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8.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9.xml" ContentType="application/vnd.openxmlformats-officedocument.drawingml.chart+xml"/>
  <Override PartName="/word/charts/style8.xml" ContentType="application/vnd.ms-office.chartstyle+xml"/>
  <Override PartName="/word/charts/colors8.xml" ContentType="application/vnd.ms-office.chartcolorstyle+xml"/>
  <Override PartName="/word/header2.xml" ContentType="application/vnd.openxmlformats-officedocument.wordprocessingml.header+xml"/>
  <Override PartName="/word/charts/chart10.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6.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7.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8.xml" ContentType="application/vnd.openxmlformats-officedocument.drawingml.chart+xml"/>
  <Override PartName="/word/charts/style17.xml" ContentType="application/vnd.ms-office.chartstyle+xml"/>
  <Override PartName="/word/charts/colors17.xml" ContentType="application/vnd.ms-office.chartcolorstyle+xml"/>
  <Override PartName="/word/drawings/drawing2.xml" ContentType="application/vnd.openxmlformats-officedocument.drawingml.chartshapes+xml"/>
  <Override PartName="/word/charts/chart19.xml" ContentType="application/vnd.openxmlformats-officedocument.drawingml.chart+xml"/>
  <Override PartName="/word/charts/style18.xml" ContentType="application/vnd.ms-office.chartstyle+xml"/>
  <Override PartName="/word/charts/colors18.xml" ContentType="application/vnd.ms-office.chartcolorstyle+xml"/>
  <Override PartName="/word/drawings/drawing3.xml" ContentType="application/vnd.openxmlformats-officedocument.drawingml.chartshapes+xml"/>
  <Override PartName="/word/charts/chart20.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1.xml" ContentType="application/vnd.openxmlformats-officedocument.drawingml.chart+xml"/>
  <Override PartName="/word/charts/style20.xml" ContentType="application/vnd.ms-office.chartstyle+xml"/>
  <Override PartName="/word/charts/colors20.xml" ContentType="application/vnd.ms-office.chartcolorstyle+xml"/>
  <Override PartName="/word/drawings/drawing4.xml" ContentType="application/vnd.openxmlformats-officedocument.drawingml.chartshapes+xml"/>
  <Override PartName="/word/charts/chart22.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xml" ContentType="application/vnd.openxmlformats-officedocument.themeOverride+xml"/>
  <Override PartName="/word/charts/chart2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5.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2.xml" ContentType="application/vnd.openxmlformats-officedocument.themeOverride+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26.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7.xml" ContentType="application/vnd.openxmlformats-officedocument.drawingml.chart+xml"/>
  <Override PartName="/word/charts/style26.xml" ContentType="application/vnd.ms-office.chartstyle+xml"/>
  <Override PartName="/word/charts/colors26.xml" ContentType="application/vnd.ms-office.chartcolorstyle+xml"/>
  <Override PartName="/word/drawings/drawing5.xml" ContentType="application/vnd.openxmlformats-officedocument.drawingml.chartshapes+xml"/>
  <Override PartName="/word/charts/chart28.xml" ContentType="application/vnd.openxmlformats-officedocument.drawingml.chart+xml"/>
  <Override PartName="/word/charts/style27.xml" ContentType="application/vnd.ms-office.chartstyle+xml"/>
  <Override PartName="/word/charts/colors27.xml" ContentType="application/vnd.ms-office.chartcolorstyle+xml"/>
  <Override PartName="/word/drawings/drawing6.xml" ContentType="application/vnd.openxmlformats-officedocument.drawingml.chartshapes+xml"/>
  <Override PartName="/word/charts/chart29.xml" ContentType="application/vnd.openxmlformats-officedocument.drawingml.chart+xml"/>
  <Override PartName="/word/charts/style28.xml" ContentType="application/vnd.ms-office.chartstyle+xml"/>
  <Override PartName="/word/charts/colors28.xml" ContentType="application/vnd.ms-office.chartcolorstyle+xml"/>
  <Override PartName="/word/drawings/drawing7.xml" ContentType="application/vnd.openxmlformats-officedocument.drawingml.chartshapes+xml"/>
  <Override PartName="/word/charts/chart30.xml" ContentType="application/vnd.openxmlformats-officedocument.drawingml.chart+xml"/>
  <Override PartName="/word/charts/style29.xml" ContentType="application/vnd.ms-office.chartstyle+xml"/>
  <Override PartName="/word/charts/colors29.xml" ContentType="application/vnd.ms-office.chartcolorstyle+xml"/>
  <Override PartName="/word/drawings/drawing8.xml" ContentType="application/vnd.openxmlformats-officedocument.drawingml.chartshapes+xml"/>
  <Override PartName="/word/charts/chart31.xml" ContentType="application/vnd.openxmlformats-officedocument.drawingml.chart+xml"/>
  <Override PartName="/word/charts/style30.xml" ContentType="application/vnd.ms-office.chartstyle+xml"/>
  <Override PartName="/word/charts/colors30.xml" ContentType="application/vnd.ms-office.chartcolorstyle+xml"/>
  <Override PartName="/word/drawings/drawing9.xml" ContentType="application/vnd.openxmlformats-officedocument.drawingml.chartshapes+xml"/>
  <Override PartName="/word/header5.xml" ContentType="application/vnd.openxmlformats-officedocument.wordprocessingml.header+xml"/>
  <Override PartName="/word/header6.xml" ContentType="application/vnd.openxmlformats-officedocument.wordprocessingml.header+xml"/>
  <Override PartName="/word/charts/chart32.xml" ContentType="application/vnd.openxmlformats-officedocument.drawingml.chart+xml"/>
  <Override PartName="/word/charts/style31.xml" ContentType="application/vnd.ms-office.chartstyle+xml"/>
  <Override PartName="/word/charts/colors31.xml" ContentType="application/vnd.ms-office.chartcolorstyle+xml"/>
  <Override PartName="/word/charts/chart33.xml" ContentType="application/vnd.openxmlformats-officedocument.drawingml.chart+xml"/>
  <Override PartName="/word/charts/style32.xml" ContentType="application/vnd.ms-office.chartstyle+xml"/>
  <Override PartName="/word/charts/colors32.xml" ContentType="application/vnd.ms-office.chartcolorstyle+xml"/>
  <Override PartName="/word/charts/chart34.xml" ContentType="application/vnd.openxmlformats-officedocument.drawingml.chart+xml"/>
  <Override PartName="/word/charts/style33.xml" ContentType="application/vnd.ms-office.chartstyle+xml"/>
  <Override PartName="/word/charts/colors33.xml" ContentType="application/vnd.ms-office.chartcolorstyle+xml"/>
  <Override PartName="/word/charts/chart35.xml" ContentType="application/vnd.openxmlformats-officedocument.drawingml.chart+xml"/>
  <Override PartName="/word/charts/style34.xml" ContentType="application/vnd.ms-office.chartstyle+xml"/>
  <Override PartName="/word/charts/colors34.xml" ContentType="application/vnd.ms-office.chartcolorstyle+xml"/>
  <Override PartName="/word/charts/chart36.xml" ContentType="application/vnd.openxmlformats-officedocument.drawingml.chart+xml"/>
  <Override PartName="/word/charts/style35.xml" ContentType="application/vnd.ms-office.chartstyle+xml"/>
  <Override PartName="/word/charts/colors35.xml" ContentType="application/vnd.ms-office.chartcolorstyle+xml"/>
  <Override PartName="/word/charts/chart37.xml" ContentType="application/vnd.openxmlformats-officedocument.drawingml.chart+xml"/>
  <Override PartName="/word/charts/style36.xml" ContentType="application/vnd.ms-office.chartstyle+xml"/>
  <Override PartName="/word/charts/colors36.xml" ContentType="application/vnd.ms-office.chartcolorstyle+xml"/>
  <Override PartName="/word/charts/chart38.xml" ContentType="application/vnd.openxmlformats-officedocument.drawingml.chart+xml"/>
  <Override PartName="/word/charts/style37.xml" ContentType="application/vnd.ms-office.chartstyle+xml"/>
  <Override PartName="/word/charts/colors37.xml" ContentType="application/vnd.ms-office.chartcolorstyle+xml"/>
  <Override PartName="/word/charts/chart39.xml" ContentType="application/vnd.openxmlformats-officedocument.drawingml.chart+xml"/>
  <Override PartName="/word/charts/style38.xml" ContentType="application/vnd.ms-office.chartstyle+xml"/>
  <Override PartName="/word/charts/colors38.xml" ContentType="application/vnd.ms-office.chartcolorstyle+xml"/>
  <Override PartName="/word/charts/chart40.xml" ContentType="application/vnd.openxmlformats-officedocument.drawingml.chart+xml"/>
  <Override PartName="/word/charts/style39.xml" ContentType="application/vnd.ms-office.chartstyle+xml"/>
  <Override PartName="/word/charts/colors39.xml" ContentType="application/vnd.ms-office.chartcolorstyle+xml"/>
  <Override PartName="/word/header7.xml" ContentType="application/vnd.openxmlformats-officedocument.wordprocessingml.header+xml"/>
  <Override PartName="/word/charts/chart41.xml" ContentType="application/vnd.openxmlformats-officedocument.drawingml.chart+xml"/>
  <Override PartName="/word/charts/style40.xml" ContentType="application/vnd.ms-office.chartstyle+xml"/>
  <Override PartName="/word/charts/colors40.xml" ContentType="application/vnd.ms-office.chartcolorstyle+xml"/>
  <Override PartName="/word/charts/chart42.xml" ContentType="application/vnd.openxmlformats-officedocument.drawingml.chart+xml"/>
  <Override PartName="/word/charts/style41.xml" ContentType="application/vnd.ms-office.chartstyle+xml"/>
  <Override PartName="/word/charts/colors41.xml" ContentType="application/vnd.ms-office.chartcolorstyle+xml"/>
  <Override PartName="/word/charts/chart43.xml" ContentType="application/vnd.openxmlformats-officedocument.drawingml.chart+xml"/>
  <Override PartName="/word/charts/style42.xml" ContentType="application/vnd.ms-office.chartstyle+xml"/>
  <Override PartName="/word/charts/colors4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DAA3BE" w14:textId="708329C7" w:rsidR="008150C6" w:rsidRDefault="00A67EFE" w:rsidP="00CC116D">
      <w:pPr>
        <w:ind w:left="-283"/>
        <w:rPr>
          <w:rFonts w:cs="Arial"/>
        </w:rPr>
      </w:pPr>
      <w:bookmarkStart w:id="0" w:name="_Hlk69495943"/>
      <w:bookmarkEnd w:id="0"/>
      <w:r>
        <w:rPr>
          <w:rFonts w:asciiTheme="majorHAnsi" w:hAnsiTheme="majorHAnsi"/>
          <w:noProof/>
          <w:color w:val="FFFFFF" w:themeColor="background1"/>
        </w:rPr>
        <w:drawing>
          <wp:anchor distT="0" distB="0" distL="118745" distR="118745" simplePos="0" relativeHeight="251658272" behindDoc="1" locked="0" layoutInCell="1" allowOverlap="1" wp14:anchorId="4262780A" wp14:editId="0AEDE2BE">
            <wp:simplePos x="0" y="0"/>
            <wp:positionH relativeFrom="page">
              <wp:posOffset>-140677</wp:posOffset>
            </wp:positionH>
            <wp:positionV relativeFrom="page">
              <wp:posOffset>-185274</wp:posOffset>
            </wp:positionV>
            <wp:extent cx="7686989" cy="10873371"/>
            <wp:effectExtent l="0" t="0" r="9525" b="4445"/>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92833" cy="10881638"/>
                    </a:xfrm>
                    <a:prstGeom prst="rect">
                      <a:avLst/>
                    </a:prstGeom>
                  </pic:spPr>
                </pic:pic>
              </a:graphicData>
            </a:graphic>
            <wp14:sizeRelH relativeFrom="margin">
              <wp14:pctWidth>0</wp14:pctWidth>
            </wp14:sizeRelH>
            <wp14:sizeRelV relativeFrom="margin">
              <wp14:pctHeight>0</wp14:pctHeight>
            </wp14:sizeRelV>
          </wp:anchor>
        </w:drawing>
      </w:r>
    </w:p>
    <w:p w14:paraId="70C887C3" w14:textId="4E87C255" w:rsidR="008150C6" w:rsidRDefault="008150C6" w:rsidP="008150C6">
      <w:pPr>
        <w:ind w:left="-284"/>
        <w:rPr>
          <w:rFonts w:cs="Arial"/>
        </w:rPr>
      </w:pPr>
    </w:p>
    <w:p w14:paraId="580D3894" w14:textId="45DA1C90" w:rsidR="008150C6" w:rsidRDefault="008150C6" w:rsidP="008150C6">
      <w:pPr>
        <w:ind w:left="-284"/>
        <w:rPr>
          <w:rFonts w:cs="Arial"/>
        </w:rPr>
      </w:pPr>
    </w:p>
    <w:p w14:paraId="0E405F9C" w14:textId="17759A18" w:rsidR="008150C6" w:rsidRDefault="008150C6" w:rsidP="008150C6">
      <w:pPr>
        <w:ind w:left="-284"/>
        <w:rPr>
          <w:rFonts w:cs="Arial"/>
        </w:rPr>
      </w:pPr>
    </w:p>
    <w:p w14:paraId="56A08EFB" w14:textId="44F07D80" w:rsidR="008150C6" w:rsidRDefault="008150C6" w:rsidP="008150C6">
      <w:pPr>
        <w:ind w:left="-284"/>
        <w:rPr>
          <w:rFonts w:cs="Arial"/>
        </w:rPr>
      </w:pPr>
    </w:p>
    <w:p w14:paraId="689A0C92" w14:textId="11713963" w:rsidR="008150C6" w:rsidRDefault="008150C6" w:rsidP="008150C6">
      <w:pPr>
        <w:ind w:left="-284"/>
        <w:rPr>
          <w:rFonts w:cs="Arial"/>
        </w:rPr>
      </w:pPr>
    </w:p>
    <w:p w14:paraId="78E131A0" w14:textId="79B0856D" w:rsidR="008150C6" w:rsidRDefault="008150C6" w:rsidP="008150C6">
      <w:pPr>
        <w:ind w:left="-284"/>
        <w:rPr>
          <w:rFonts w:cs="Arial"/>
        </w:rPr>
      </w:pPr>
    </w:p>
    <w:p w14:paraId="7239B93D" w14:textId="1A28A2CC" w:rsidR="008150C6" w:rsidRDefault="008150C6" w:rsidP="008150C6">
      <w:pPr>
        <w:ind w:left="-284"/>
        <w:rPr>
          <w:rFonts w:cs="Arial"/>
        </w:rPr>
      </w:pPr>
    </w:p>
    <w:p w14:paraId="2B844B94" w14:textId="04D13E90" w:rsidR="008150C6" w:rsidRDefault="008150C6" w:rsidP="008150C6">
      <w:pPr>
        <w:ind w:left="-284"/>
        <w:rPr>
          <w:rFonts w:cs="Arial"/>
        </w:rPr>
      </w:pPr>
    </w:p>
    <w:p w14:paraId="0D542E55" w14:textId="49C224E1" w:rsidR="008150C6" w:rsidRDefault="008150C6" w:rsidP="008150C6">
      <w:pPr>
        <w:ind w:left="-284"/>
        <w:rPr>
          <w:rFonts w:cs="Arial"/>
        </w:rPr>
      </w:pPr>
    </w:p>
    <w:p w14:paraId="718223E1" w14:textId="10AF5D69" w:rsidR="008150C6" w:rsidRDefault="008150C6" w:rsidP="008150C6">
      <w:pPr>
        <w:ind w:left="-284"/>
        <w:rPr>
          <w:rFonts w:cs="Arial"/>
        </w:rPr>
      </w:pPr>
    </w:p>
    <w:p w14:paraId="28A76700" w14:textId="29CD8CA7" w:rsidR="008150C6" w:rsidRPr="008150C6" w:rsidRDefault="00AF0947" w:rsidP="008150C6">
      <w:pPr>
        <w:ind w:right="275"/>
      </w:pPr>
      <w:r>
        <w:rPr>
          <w:noProof/>
        </w:rPr>
        <mc:AlternateContent>
          <mc:Choice Requires="wps">
            <w:drawing>
              <wp:anchor distT="0" distB="0" distL="114300" distR="114300" simplePos="0" relativeHeight="251658273" behindDoc="0" locked="0" layoutInCell="1" allowOverlap="1" wp14:anchorId="706EA7A9" wp14:editId="14AF91FB">
                <wp:simplePos x="0" y="0"/>
                <wp:positionH relativeFrom="page">
                  <wp:posOffset>-388961</wp:posOffset>
                </wp:positionH>
                <wp:positionV relativeFrom="page">
                  <wp:posOffset>4142096</wp:posOffset>
                </wp:positionV>
                <wp:extent cx="7281080" cy="2429168"/>
                <wp:effectExtent l="0" t="0" r="0" b="0"/>
                <wp:wrapNone/>
                <wp:docPr id="25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281080" cy="2429168"/>
                        </a:xfrm>
                        <a:prstGeom prst="rect">
                          <a:avLst/>
                        </a:prstGeom>
                        <a:noFill/>
                        <a:ln>
                          <a:noFill/>
                        </a:ln>
                      </wps:spPr>
                      <wps:txbx>
                        <w:txbxContent>
                          <w:p w14:paraId="61B7AC13" w14:textId="413197B7" w:rsidR="00741BFF" w:rsidRPr="00887A2C" w:rsidRDefault="00741BFF" w:rsidP="00887A2C">
                            <w:pPr>
                              <w:snapToGrid w:val="0"/>
                              <w:spacing w:after="240" w:line="720" w:lineRule="exact"/>
                              <w:rPr>
                                <w:rFonts w:cs="Arial"/>
                                <w:b/>
                                <w:bCs/>
                                <w:color w:val="204277"/>
                                <w:sz w:val="64"/>
                                <w:szCs w:val="64"/>
                              </w:rPr>
                            </w:pPr>
                            <w:r w:rsidRPr="00887A2C">
                              <w:rPr>
                                <w:rFonts w:eastAsiaTheme="majorEastAsia" w:cs="Arial"/>
                                <w:b/>
                                <w:bCs/>
                                <w:color w:val="204277"/>
                                <w:sz w:val="64"/>
                                <w:szCs w:val="64"/>
                              </w:rPr>
                              <w:t>Panorama de la consommation et de la distribution des produits du porc</w:t>
                            </w:r>
                          </w:p>
                        </w:txbxContent>
                      </wps:txbx>
                      <wps:bodyPr rot="0" vert="horz" wrap="square" lIns="972000" tIns="91440" rIns="10800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06EA7A9" id="_x0000_t202" coordsize="21600,21600" o:spt="202" path="m,l,21600r21600,l21600,xe">
                <v:stroke joinstyle="miter"/>
                <v:path gradientshapeok="t" o:connecttype="rect"/>
              </v:shapetype>
              <v:shape id="Text Box 5" o:spid="_x0000_s1026" type="#_x0000_t202" style="position:absolute;left:0;text-align:left;margin-left:-30.65pt;margin-top:326.15pt;width:573.3pt;height:191.25pt;z-index:25165827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n135wEAALQDAAAOAAAAZHJzL2Uyb0RvYy54bWysU8tu2zAQvBfoPxC813rAiR3BctA2SFEg&#10;fQBJP4CiSIuoxGWXtCX367ukHMdtb0UvAvfB4czuaHM7DT07KPQGbM2LRc6ZshJaY3c1//Z0/2bN&#10;mQ/CtqIHq2p+VJ7fbl+/2oyuUiV00LcKGYFYX42u5l0IrsoyLzs1CL8ApywVNeAgAoW4y1oUI6EP&#10;fVbm+XU2ArYOQSrvKXs3F/k24WutZPiitVeB9TUnbiF9MX2b+M22G1HtULjOyBMN8Q8sBmEsPXqG&#10;uhNBsD2av6AGIxE86LCQMGSgtZEqaSA1Rf6HmsdOOJW00HC8O4/J/z9Y+fnwFZlpa15erTizYqAl&#10;PakpsHcwsas4n9H5itoeHTWGidK056TVuweQ3z21ZBc98wUfu5vxE7SEJ/YB0o1J4xCnRLoZwdBC&#10;juclxDclJVflusjXVJJUK5flTXG9jjQyUT1fd+jDBwUDi4eaI205wYvDgw9z63NLfM3Cvel7youq&#10;t78lCDNmEv3IeOYepmai7qipgfZIQhBm45DR6dAB/uRsJNPU3P/YC1Sc9R8tbeVmRZ6MNpujYrmk&#10;AFMQNcVSc1kSVhJYzRvO5uP7MHtz79DsOnprnrSFtzRCbZK4F14n5mSNNJ6TjaP3LuPU9fKzbX8B&#10;AAD//wMAUEsDBBQABgAIAAAAIQCKpNCm4gAAAA0BAAAPAAAAZHJzL2Rvd25yZXYueG1sTI/BaoNA&#10;EIbvhb7DMoXekjWmihjXUAJpD4VCk5TS20YnaurOiruJ9u07ntLbN8zPP99k69G04oq9aywpWMwD&#10;EEiFLRuqFBz221kCwnlNpW4toYJfdLDO7+8ynZZ2oA+87nwluIRcqhXU3neplK6o0Wg3tx0S7062&#10;N9rz2Fey7PXA5aaVYRDE0uiG+EKtO9zUWPzsLkbB5vx6eIk+zZbev8O3pMLz8DXulXp8GJ9XIDyO&#10;/haGSZ/VIWeno71Q6USrYBYvlhxVEEchw5QIkojpONHyKQGZZ/L/F/kfAAAA//8DAFBLAQItABQA&#10;BgAIAAAAIQC2gziS/gAAAOEBAAATAAAAAAAAAAAAAAAAAAAAAABbQ29udGVudF9UeXBlc10ueG1s&#10;UEsBAi0AFAAGAAgAAAAhADj9If/WAAAAlAEAAAsAAAAAAAAAAAAAAAAALwEAAF9yZWxzLy5yZWxz&#10;UEsBAi0AFAAGAAgAAAAhAM2WfXfnAQAAtAMAAA4AAAAAAAAAAAAAAAAALgIAAGRycy9lMm9Eb2Mu&#10;eG1sUEsBAi0AFAAGAAgAAAAhAIqk0KbiAAAADQEAAA8AAAAAAAAAAAAAAAAAQQQAAGRycy9kb3du&#10;cmV2LnhtbFBLBQYAAAAABAAEAPMAAABQBQAAAAA=&#10;" filled="f" stroked="f">
                <v:textbox inset="27mm,7.2pt,3mm,7.2pt">
                  <w:txbxContent>
                    <w:p w14:paraId="61B7AC13" w14:textId="413197B7" w:rsidR="00741BFF" w:rsidRPr="00887A2C" w:rsidRDefault="00741BFF" w:rsidP="00887A2C">
                      <w:pPr>
                        <w:snapToGrid w:val="0"/>
                        <w:spacing w:after="240" w:line="720" w:lineRule="exact"/>
                        <w:rPr>
                          <w:rFonts w:cs="Arial"/>
                          <w:b/>
                          <w:bCs/>
                          <w:color w:val="204277"/>
                          <w:sz w:val="64"/>
                          <w:szCs w:val="64"/>
                        </w:rPr>
                      </w:pPr>
                      <w:r w:rsidRPr="00887A2C">
                        <w:rPr>
                          <w:rFonts w:eastAsiaTheme="majorEastAsia" w:cs="Arial"/>
                          <w:b/>
                          <w:bCs/>
                          <w:color w:val="204277"/>
                          <w:sz w:val="64"/>
                          <w:szCs w:val="64"/>
                        </w:rPr>
                        <w:t>Panorama de la consommation et de la distribution des produits du porc</w:t>
                      </w:r>
                    </w:p>
                  </w:txbxContent>
                </v:textbox>
                <w10:wrap anchorx="page" anchory="page"/>
              </v:shape>
            </w:pict>
          </mc:Fallback>
        </mc:AlternateContent>
      </w:r>
      <w:r w:rsidR="00E46D66">
        <w:rPr>
          <w:noProof/>
        </w:rPr>
        <mc:AlternateContent>
          <mc:Choice Requires="wps">
            <w:drawing>
              <wp:anchor distT="0" distB="0" distL="114300" distR="114300" simplePos="0" relativeHeight="251658275" behindDoc="0" locked="0" layoutInCell="1" allowOverlap="1" wp14:anchorId="3FEA4987" wp14:editId="7B8057EF">
                <wp:simplePos x="0" y="0"/>
                <wp:positionH relativeFrom="column">
                  <wp:posOffset>3357349</wp:posOffset>
                </wp:positionH>
                <wp:positionV relativeFrom="paragraph">
                  <wp:posOffset>5378886</wp:posOffset>
                </wp:positionV>
                <wp:extent cx="2976880" cy="420370"/>
                <wp:effectExtent l="0" t="0" r="0" b="0"/>
                <wp:wrapTight wrapText="bothSides">
                  <wp:wrapPolygon edited="0">
                    <wp:start x="276" y="2937"/>
                    <wp:lineTo x="276" y="18598"/>
                    <wp:lineTo x="21148" y="18598"/>
                    <wp:lineTo x="21148" y="2937"/>
                    <wp:lineTo x="276" y="2937"/>
                  </wp:wrapPolygon>
                </wp:wrapTight>
                <wp:docPr id="26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976880" cy="420370"/>
                        </a:xfrm>
                        <a:prstGeom prst="rect">
                          <a:avLst/>
                        </a:prstGeom>
                        <a:noFill/>
                        <a:ln>
                          <a:noFill/>
                        </a:ln>
                      </wps:spPr>
                      <wps:txbx>
                        <w:txbxContent>
                          <w:p w14:paraId="05A5587B" w14:textId="3AB15C8B" w:rsidR="00741BFF" w:rsidRPr="00841D6E" w:rsidRDefault="00741BFF" w:rsidP="00E46D66">
                            <w:pPr>
                              <w:jc w:val="right"/>
                              <w:rPr>
                                <w:color w:val="204277"/>
                                <w:sz w:val="32"/>
                              </w:rPr>
                            </w:pPr>
                            <w:r>
                              <w:rPr>
                                <w:color w:val="204277"/>
                                <w:sz w:val="32"/>
                              </w:rPr>
                              <w:t>Avril 2021</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EA4987" id="Text Box 12" o:spid="_x0000_s1027" type="#_x0000_t202" style="position:absolute;left:0;text-align:left;margin-left:264.35pt;margin-top:423.55pt;width:234.4pt;height:33.1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7tZ4gEAALkDAAAOAAAAZHJzL2Uyb0RvYy54bWysU9uO0zAQfUfiHyy/01yout2o6QpYLUJa&#10;LtIuH+A4dmOReMzYbVK+nrHTlgJviBfLc/GZc2bGm7tp6NlBoTdga14scs6UldAau6v51+eHV2vO&#10;fBC2FT1YVfOj8vxu+/LFZnSVKqGDvlXICMT6anQ170JwVZZ52alB+AU4ZSmoAQcRyMRd1qIYCX3o&#10;szLPV9kI2DoEqbwn7/0c5NuEr7WS4bPWXgXW15y4hXRiOpt4ZtuNqHYoXGfkiYb4BxaDMJaKXqDu&#10;RRBsj+YvqMFIBA86LCQMGWhtpEoaSE2R/6HmqRNOJS3UHO8ubfL/D1Z+OnxBZtqal6uCMysGGtKz&#10;mgJ7CxMrytig0fmK8p4cZYaJ/DToJNa7R5DfPKVkVznzAx+zm/EjtAQo9gHSi0njENtEwhnB0ESO&#10;lynEopKc5e3Nar2mkKTYssxf36QxZaI6v3bow3sFA4uXmiNNOaGLw6MPkY2ozimxmIUH0/dp0r39&#10;zUGJ0ZPYR8Iz9TA1U2pJcVbfQHskOQjz/tC+06UD/MHZSLtTc/99L1Bx1n+wNJzbYrmMy3Zt4LXR&#10;XBvCSoKqeeBsvr4L84LuHZpdR5Xmblt4Q23UJimM/Z5ZnejTfiThp12OC3htp6xfP277EwAA//8D&#10;AFBLAwQUAAYACAAAACEAtZKne98AAAALAQAADwAAAGRycy9kb3ducmV2LnhtbEyPy07DMBBF90j8&#10;gzVI7KiTluA0xKlQER9Ai8TWid0kwh5HsfOgX8+wgt2M5ujOueVhdZbNZgy9RwnpJgFmsPG6x1bC&#10;x/ntIQcWokKtrEcj4dsEOFS3N6UqtF/w3cyn2DIKwVAoCV2MQ8F5aDrjVNj4wSDdLn50KtI6tlyP&#10;aqFwZ/k2SZ64Uz3Sh04N5tiZ5us0OQnNdXrNj309L1fxKeq1s9kFrZT3d+vLM7Bo1vgHw68+qUNF&#10;TrWfUAdmJWTbXBAqIX8UKTAi9nuRAatpSHc74FXJ/3eofgAAAP//AwBQSwECLQAUAAYACAAAACEA&#10;toM4kv4AAADhAQAAEwAAAAAAAAAAAAAAAAAAAAAAW0NvbnRlbnRfVHlwZXNdLnhtbFBLAQItABQA&#10;BgAIAAAAIQA4/SH/1gAAAJQBAAALAAAAAAAAAAAAAAAAAC8BAABfcmVscy8ucmVsc1BLAQItABQA&#10;BgAIAAAAIQB4X7tZ4gEAALkDAAAOAAAAAAAAAAAAAAAAAC4CAABkcnMvZTJvRG9jLnhtbFBLAQIt&#10;ABQABgAIAAAAIQC1kqd73wAAAAsBAAAPAAAAAAAAAAAAAAAAADwEAABkcnMvZG93bnJldi54bWxQ&#10;SwUGAAAAAAQABADzAAAASAUAAAAA&#10;" filled="f" stroked="f">
                <v:textbox inset=",7.2pt,,7.2pt">
                  <w:txbxContent>
                    <w:p w14:paraId="05A5587B" w14:textId="3AB15C8B" w:rsidR="00741BFF" w:rsidRPr="00841D6E" w:rsidRDefault="00741BFF" w:rsidP="00E46D66">
                      <w:pPr>
                        <w:jc w:val="right"/>
                        <w:rPr>
                          <w:color w:val="204277"/>
                          <w:sz w:val="32"/>
                        </w:rPr>
                      </w:pPr>
                      <w:r>
                        <w:rPr>
                          <w:color w:val="204277"/>
                          <w:sz w:val="32"/>
                        </w:rPr>
                        <w:t>Avril 2021</w:t>
                      </w:r>
                    </w:p>
                  </w:txbxContent>
                </v:textbox>
                <w10:wrap type="tight"/>
              </v:shape>
            </w:pict>
          </mc:Fallback>
        </mc:AlternateContent>
      </w:r>
      <w:r w:rsidR="009C46E1">
        <w:rPr>
          <w:noProof/>
        </w:rPr>
        <mc:AlternateContent>
          <mc:Choice Requires="wps">
            <w:drawing>
              <wp:anchor distT="0" distB="0" distL="114300" distR="114300" simplePos="0" relativeHeight="251658274" behindDoc="0" locked="0" layoutInCell="1" allowOverlap="1" wp14:anchorId="630C4EED" wp14:editId="7967B50A">
                <wp:simplePos x="0" y="0"/>
                <wp:positionH relativeFrom="page">
                  <wp:posOffset>-395785</wp:posOffset>
                </wp:positionH>
                <wp:positionV relativeFrom="page">
                  <wp:posOffset>6503158</wp:posOffset>
                </wp:positionV>
                <wp:extent cx="3886200" cy="846161"/>
                <wp:effectExtent l="0" t="0" r="0" b="0"/>
                <wp:wrapNone/>
                <wp:docPr id="25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886200" cy="846161"/>
                        </a:xfrm>
                        <a:prstGeom prst="rect">
                          <a:avLst/>
                        </a:prstGeom>
                        <a:noFill/>
                        <a:ln>
                          <a:noFill/>
                        </a:ln>
                      </wps:spPr>
                      <wps:txbx>
                        <w:txbxContent>
                          <w:p w14:paraId="16866C99" w14:textId="47B58148" w:rsidR="00741BFF" w:rsidRDefault="00741BFF" w:rsidP="009C46E1">
                            <w:pPr>
                              <w:snapToGrid w:val="0"/>
                              <w:rPr>
                                <w:rFonts w:eastAsiaTheme="majorEastAsia" w:cstheme="majorBidi"/>
                                <w:b/>
                                <w:bCs/>
                                <w:i/>
                                <w:color w:val="C2022B"/>
                                <w:sz w:val="36"/>
                                <w:szCs w:val="72"/>
                              </w:rPr>
                            </w:pPr>
                            <w:r>
                              <w:rPr>
                                <w:rFonts w:eastAsiaTheme="majorEastAsia" w:cstheme="majorBidi"/>
                                <w:b/>
                                <w:bCs/>
                                <w:i/>
                                <w:color w:val="C2022B"/>
                                <w:sz w:val="36"/>
                                <w:szCs w:val="72"/>
                              </w:rPr>
                              <w:t>Valérie DIOT</w:t>
                            </w:r>
                          </w:p>
                        </w:txbxContent>
                      </wps:txbx>
                      <wps:bodyPr rot="0" vert="horz" wrap="square" lIns="972000" tIns="91440" rIns="10800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C4EED" id="Text Box 6" o:spid="_x0000_s1028" type="#_x0000_t202" style="position:absolute;left:0;text-align:left;margin-left:-31.15pt;margin-top:512.05pt;width:306pt;height:66.65pt;z-index:25165827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zlC6AEAALoDAAAOAAAAZHJzL2Uyb0RvYy54bWysU9uO0zAQfUfiHyy/0ySllGzUdAWsFiEt&#10;F2mXD3Acu7GIPcZ2m5SvZ2y3pcAb4iXyXHx8zpnJ5nbWIzkI5xWYllaLkhJhOPTK7Fr69en+RU2J&#10;D8z0bAQjWnoUnt5unz/bTLYRSxhg7IUjCGJ8M9mWDiHYpig8H4RmfgFWGCxKcJoFDN2u6B2bEF2P&#10;xbIs18UErrcOuPAes3e5SLcJX0rBw2cpvQhkbClyC+nr0reL32K7Yc3OMTsofqLB/oGFZsrgoxeo&#10;OxYY2Tv1F5RW3IEHGRYcdAFSKi6SBlRTlX+oeRyYFUkLmuPtxSb//2D5p8MXR1Tf0uWrG0oM0zik&#10;JzEH8hZmso7+TNY32PZosTHMmMY5J63ePgD/5rGluOrJF3zs7qaP0CMe2wdIN2bpdHQJdROEwYEc&#10;L0OIb3JMvqzrNU6WEo61erWu1lVkUbDmfNs6H94L0CQeWupwyAmdHR58yK3nlviYgXs1jphnzWh+&#10;SyBmzCT2kXCmHuZuzo6c1XfQH1GOg7w+uO54GMD9oGTC1Wmp/75nTlAyfjA4m5vXyD8uW46q1QoD&#10;l4KqrFOpuy4xwxGspYGSfHwX8oburVO7Ad/Kfht4g0ZKlTRGxzOvkwBckOTSaZnjBl7HqevXL7f9&#10;CQAA//8DAFBLAwQUAAYACAAAACEACoyvLeMAAAANAQAADwAAAGRycy9kb3ducmV2LnhtbEyPwU7D&#10;MAyG70i8Q2QkblvS0m1Qmk7TgJ0mJAaHHd3GtFWbpGqytvD0hBMc7f/T78/ZdtYdG2lwjTUSoqUA&#10;Rqa0qjGVhI/3l8U9MOfRKOysIQlf5GCbX19lmCo7mTcaT75iocS4FCXU3vcp566sSaNb2p5MyD7t&#10;oNGHcai4GnAK5brjsRBrrrEx4UKNPe1rKtvTRUsocGzw6Xg+vKrpW+wP7fN5R62Utzfz7hGYp9n/&#10;wfCrH9QhD06FvRjlWCdhsY7vAhoCEScRsICskocNsCKsotUmAZ5n/P8X+Q8AAAD//wMAUEsBAi0A&#10;FAAGAAgAAAAhALaDOJL+AAAA4QEAABMAAAAAAAAAAAAAAAAAAAAAAFtDb250ZW50X1R5cGVzXS54&#10;bWxQSwECLQAUAAYACAAAACEAOP0h/9YAAACUAQAACwAAAAAAAAAAAAAAAAAvAQAAX3JlbHMvLnJl&#10;bHNQSwECLQAUAAYACAAAACEAgas5QugBAAC6AwAADgAAAAAAAAAAAAAAAAAuAgAAZHJzL2Uyb0Rv&#10;Yy54bWxQSwECLQAUAAYACAAAACEACoyvLeMAAAANAQAADwAAAAAAAAAAAAAAAABCBAAAZHJzL2Rv&#10;d25yZXYueG1sUEsFBgAAAAAEAAQA8wAAAFIFAAAAAA==&#10;" filled="f" stroked="f">
                <v:textbox inset="27mm,7.2pt,3mm,7.2pt">
                  <w:txbxContent>
                    <w:p w14:paraId="16866C99" w14:textId="47B58148" w:rsidR="00741BFF" w:rsidRDefault="00741BFF" w:rsidP="009C46E1">
                      <w:pPr>
                        <w:snapToGrid w:val="0"/>
                        <w:rPr>
                          <w:rFonts w:eastAsiaTheme="majorEastAsia" w:cstheme="majorBidi"/>
                          <w:b/>
                          <w:bCs/>
                          <w:i/>
                          <w:color w:val="C2022B"/>
                          <w:sz w:val="36"/>
                          <w:szCs w:val="72"/>
                        </w:rPr>
                      </w:pPr>
                      <w:r>
                        <w:rPr>
                          <w:rFonts w:eastAsiaTheme="majorEastAsia" w:cstheme="majorBidi"/>
                          <w:b/>
                          <w:bCs/>
                          <w:i/>
                          <w:color w:val="C2022B"/>
                          <w:sz w:val="36"/>
                          <w:szCs w:val="72"/>
                        </w:rPr>
                        <w:t>Valérie DIOT</w:t>
                      </w:r>
                    </w:p>
                  </w:txbxContent>
                </v:textbox>
                <w10:wrap anchorx="page" anchory="page"/>
              </v:shape>
            </w:pict>
          </mc:Fallback>
        </mc:AlternateContent>
      </w:r>
      <w:r w:rsidR="008150C6">
        <w:rPr>
          <w:rFonts w:asciiTheme="majorHAnsi" w:eastAsia="Times New Roman" w:hAnsiTheme="majorHAnsi"/>
          <w:noProof/>
          <w:color w:val="FFFFFF" w:themeColor="background1"/>
        </w:rPr>
        <mc:AlternateContent>
          <mc:Choice Requires="wps">
            <w:drawing>
              <wp:anchor distT="0" distB="0" distL="114300" distR="114300" simplePos="0" relativeHeight="251658270" behindDoc="0" locked="0" layoutInCell="1" allowOverlap="1" wp14:anchorId="2216AF4D" wp14:editId="6C71B247">
                <wp:simplePos x="0" y="0"/>
                <wp:positionH relativeFrom="column">
                  <wp:posOffset>441325</wp:posOffset>
                </wp:positionH>
                <wp:positionV relativeFrom="margin">
                  <wp:posOffset>8959850</wp:posOffset>
                </wp:positionV>
                <wp:extent cx="2976880" cy="381000"/>
                <wp:effectExtent l="0" t="0" r="0" b="0"/>
                <wp:wrapSquare wrapText="bothSides"/>
                <wp:docPr id="7"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6880" cy="3810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w="9525">
                              <a:solidFill>
                                <a:srgbClr val="000000"/>
                              </a:solidFill>
                              <a:miter lim="800000"/>
                              <a:headEnd/>
                              <a:tailEnd/>
                            </a14:hiddenLine>
                          </a:ext>
                        </a:extLst>
                      </wps:spPr>
                      <wps:txbx>
                        <w:txbxContent>
                          <w:p w14:paraId="7556A673" w14:textId="77777777" w:rsidR="00741BFF" w:rsidRPr="00F57CDE" w:rsidRDefault="00741BFF" w:rsidP="008150C6">
                            <w:pPr>
                              <w:rPr>
                                <w:color w:val="FFFFFF" w:themeColor="background1"/>
                                <w:sz w:val="32"/>
                              </w:rPr>
                            </w:pPr>
                            <w:r>
                              <w:rPr>
                                <w:color w:val="FFFFFF" w:themeColor="background1"/>
                                <w:sz w:val="32"/>
                              </w:rPr>
                              <w:t xml:space="preserve">Novembre </w:t>
                            </w:r>
                            <w:r w:rsidRPr="00F57CDE">
                              <w:rPr>
                                <w:color w:val="FFFFFF" w:themeColor="background1"/>
                                <w:sz w:val="32"/>
                              </w:rPr>
                              <w:t>20</w:t>
                            </w:r>
                            <w:r>
                              <w:rPr>
                                <w:color w:val="FFFFFF" w:themeColor="background1"/>
                                <w:sz w:val="32"/>
                              </w:rPr>
                              <w:t>20</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16AF4D" id="_x0000_s1029" type="#_x0000_t202" style="position:absolute;left:0;text-align:left;margin-left:34.75pt;margin-top:705.5pt;width:234.4pt;height:30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AN8QEAAM4DAAAOAAAAZHJzL2Uyb0RvYy54bWysU9tu2zAMfR+wfxD0vthOizY14hRdiw4D&#10;unVAuw9gZDkWZosapcTOvn6UnGTZ9jbsRRAvOjw8pJa3Y9+JnSZv0FaymOVSaKuwNnZTya+vj+8W&#10;UvgAtoYOra7kXnt5u3r7Zjm4Us+xxa7WJBjE+nJwlWxDcGWWedXqHvwMnbYcbJB6CGzSJqsJBkbv&#10;u2ye51fZgFQ7QqW9Z+/DFJSrhN80WoXnpvE6iK6SzC2kk9K5jme2WkK5IXCtUQca8A8sejCWi56g&#10;HiCA2JL5C6o3itBjE2YK+wybxiideuBuivyPbl5acDr1wuJ4d5LJ/z9Y9Xn3hYSpK3kthYWeR/Sq&#10;xyDe4yiKeZRncL7krBfHeWFkP485terdE6pvXli8b8Fu9B0RDq2GmukV8WV29nTC8RFkPXzCmuvA&#10;NmACGhvqo3ashmB0HtP+NJrIRbFzfnN9tVhwSHHsYlHkeZpdBuXxtSMfPmjsRbxUknj0CR12Tz5E&#10;NlAeU2Ixi4+m69L4O/ubgxOjJ7GPhCfqYVyPSaeLoyhrrPfcDuG0VPwJ+NIi/ZBi4IWqpP++BdJS&#10;dB8tS3JTXF7GDTw36NxYnxtgFUNVMkgxXe/DtLVbR2bTcqVpCBbvWMbGpA6j3hOrA31emtT4YcHj&#10;Vp7bKevXN1z9BAAA//8DAFBLAwQUAAYACAAAACEAb9isJN0AAAAMAQAADwAAAGRycy9kb3ducmV2&#10;LnhtbEyPzU7DMBCE70i8g7VI3KgTSpoQ4lSoiAegReLqxG4cYa+j2PmhT8/2BMedHc18U+1XZ9ms&#10;x9B7FJBuEmAaW6967AR8nt4fCmAhSlTSetQCfnSAfX17U8lS+QU/9HyMHaMQDKUUYGIcSs5Da7ST&#10;YeMHjfQ7+9HJSOfYcTXKhcKd5Y9JsuNO9kgNRg76YHT7fZycgPYyvRWHvpmXS/6VN6ux2RmtEPd3&#10;6+sLsKjX+GeGKz6hQ01MjZ9QBWYF7J4zcpL+lKY0ihzZttgCa65SThKvK/5/RP0LAAD//wMAUEsB&#10;Ai0AFAAGAAgAAAAhALaDOJL+AAAA4QEAABMAAAAAAAAAAAAAAAAAAAAAAFtDb250ZW50X1R5cGVz&#10;XS54bWxQSwECLQAUAAYACAAAACEAOP0h/9YAAACUAQAACwAAAAAAAAAAAAAAAAAvAQAAX3JlbHMv&#10;LnJlbHNQSwECLQAUAAYACAAAACEA7SEADfEBAADOAwAADgAAAAAAAAAAAAAAAAAuAgAAZHJzL2Uy&#10;b0RvYy54bWxQSwECLQAUAAYACAAAACEAb9isJN0AAAAMAQAADwAAAAAAAAAAAAAAAABLBAAAZHJz&#10;L2Rvd25yZXYueG1sUEsFBgAAAAAEAAQA8wAAAFUFAAAAAA==&#10;" filled="f" stroked="f">
                <v:textbox inset=",7.2pt,,7.2pt">
                  <w:txbxContent>
                    <w:p w14:paraId="7556A673" w14:textId="77777777" w:rsidR="00741BFF" w:rsidRPr="00F57CDE" w:rsidRDefault="00741BFF" w:rsidP="008150C6">
                      <w:pPr>
                        <w:rPr>
                          <w:color w:val="FFFFFF" w:themeColor="background1"/>
                          <w:sz w:val="32"/>
                        </w:rPr>
                      </w:pPr>
                      <w:r>
                        <w:rPr>
                          <w:color w:val="FFFFFF" w:themeColor="background1"/>
                          <w:sz w:val="32"/>
                        </w:rPr>
                        <w:t xml:space="preserve">Novembre </w:t>
                      </w:r>
                      <w:r w:rsidRPr="00F57CDE">
                        <w:rPr>
                          <w:color w:val="FFFFFF" w:themeColor="background1"/>
                          <w:sz w:val="32"/>
                        </w:rPr>
                        <w:t>20</w:t>
                      </w:r>
                      <w:r>
                        <w:rPr>
                          <w:color w:val="FFFFFF" w:themeColor="background1"/>
                          <w:sz w:val="32"/>
                        </w:rPr>
                        <w:t>20</w:t>
                      </w:r>
                    </w:p>
                  </w:txbxContent>
                </v:textbox>
                <w10:wrap type="square" anchory="margin"/>
              </v:shape>
            </w:pict>
          </mc:Fallback>
        </mc:AlternateContent>
      </w:r>
      <w:r w:rsidR="008150C6">
        <w:rPr>
          <w:rFonts w:asciiTheme="majorHAnsi" w:eastAsia="Times New Roman" w:hAnsiTheme="majorHAnsi"/>
          <w:noProof/>
          <w:color w:val="FFFFFF" w:themeColor="background1"/>
        </w:rPr>
        <w:drawing>
          <wp:anchor distT="0" distB="0" distL="114300" distR="114300" simplePos="0" relativeHeight="251658269" behindDoc="0" locked="0" layoutInCell="1" allowOverlap="1" wp14:anchorId="1FC0402B" wp14:editId="46635312">
            <wp:simplePos x="0" y="0"/>
            <wp:positionH relativeFrom="column">
              <wp:posOffset>0</wp:posOffset>
            </wp:positionH>
            <wp:positionV relativeFrom="paragraph">
              <wp:posOffset>8813165</wp:posOffset>
            </wp:positionV>
            <wp:extent cx="3429000" cy="406400"/>
            <wp:effectExtent l="25400" t="0" r="0" b="0"/>
            <wp:wrapNone/>
            <wp:docPr id="1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2"/>
                    <a:srcRect/>
                    <a:stretch>
                      <a:fillRect/>
                    </a:stretch>
                  </pic:blipFill>
                  <pic:spPr bwMode="auto">
                    <a:xfrm>
                      <a:off x="0" y="0"/>
                      <a:ext cx="3429000" cy="406400"/>
                    </a:xfrm>
                    <a:prstGeom prst="rect">
                      <a:avLst/>
                    </a:prstGeom>
                    <a:noFill/>
                    <a:ln w="9525">
                      <a:noFill/>
                      <a:miter lim="800000"/>
                      <a:headEnd/>
                      <a:tailEnd/>
                    </a:ln>
                  </pic:spPr>
                </pic:pic>
              </a:graphicData>
            </a:graphic>
          </wp:anchor>
        </w:drawing>
      </w:r>
      <w:r w:rsidR="008150C6">
        <w:rPr>
          <w:rFonts w:asciiTheme="majorHAnsi" w:eastAsia="Times New Roman" w:hAnsiTheme="majorHAnsi"/>
          <w:noProof/>
          <w:color w:val="FFFFFF" w:themeColor="background1"/>
        </w:rPr>
        <mc:AlternateContent>
          <mc:Choice Requires="wps">
            <w:drawing>
              <wp:anchor distT="0" distB="0" distL="114300" distR="114300" simplePos="0" relativeHeight="251658268" behindDoc="0" locked="0" layoutInCell="1" allowOverlap="1" wp14:anchorId="671C9196" wp14:editId="6B76BF5D">
                <wp:simplePos x="0" y="0"/>
                <wp:positionH relativeFrom="column">
                  <wp:posOffset>457200</wp:posOffset>
                </wp:positionH>
                <wp:positionV relativeFrom="paragraph">
                  <wp:posOffset>4241165</wp:posOffset>
                </wp:positionV>
                <wp:extent cx="0" cy="1600200"/>
                <wp:effectExtent l="25400" t="25400" r="38100" b="38100"/>
                <wp:wrapTight wrapText="bothSides">
                  <wp:wrapPolygon edited="0">
                    <wp:start x="-2147483648" y="0"/>
                    <wp:lineTo x="-2147483648" y="21471"/>
                    <wp:lineTo x="-2147483648" y="21471"/>
                    <wp:lineTo x="-2147483648" y="0"/>
                    <wp:lineTo x="-2147483648" y="0"/>
                  </wp:wrapPolygon>
                </wp:wrapTight>
                <wp:docPr id="5"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0"/>
                        </a:xfrm>
                        <a:prstGeom prst="line">
                          <a:avLst/>
                        </a:prstGeom>
                        <a:noFill/>
                        <a:ln w="25400">
                          <a:solidFill>
                            <a:schemeClr val="bg1">
                              <a:lumMod val="100000"/>
                              <a:lumOff val="0"/>
                            </a:schemeClr>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8137538" id="Line 9" o:spid="_x0000_s1026" style="position:absolute;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333.95pt" to="36pt,45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7aSMwIAAC4EAAAOAAAAZHJzL2Uyb0RvYy54bWysU9uO2jAQfa/Uf7D8HpJAuEWEFQToy3aL&#10;tNsPMLZDojq2ZRsCqvrvHTuAdtu3qnmw5uI5PjNzsni6tAKdubGNkgVOBwlGXFLFGnks8Pe3XTTD&#10;yDoiGRFK8gJfucVPy8+fFp3O+VDVSjBuEIBIm3e6wLVzOo9jS2veEjtQmktIVsq0xIFrjjEzpAP0&#10;VsTDJJnEnTJMG0W5tRDd9Em8DPhVxan7VlWWOyQKDNxcOE04D/6MlwuSHw3RdUNvNMg/sGhJI+HR&#10;B9SGOIJOpvkLqm2oUVZVbkBVG6uqaigPPUA3afJHN6810Tz0AsOx+jEm+/9g6ct5b1DDCjzGSJIW&#10;VvTcSI7mfjKdtjlcKOXe+N7oRb7qZ0V/WCRVWRN55IHh21VDWeor4g8l3rEa8A/dV8XgDjk5FcZ0&#10;qUzrIWEA6BK2cX1sg18con2QQjSdJAlsOqCT/F6ojXVfuGqRNwosgHMAJudn6zwRkt+v+Hek2jVC&#10;hGULiboCD8cZYPqUVaJhPhscrzteCoPOBBRzOKbhjji10EAfSxP/9cKBOMirj98ZBul6iEDiA7pR&#10;J8kCiZoTtr3ZjjSit4G0kJ4GD8rtOwHv4sAMcRhNUNXPeTLfzrazLMqGk22UJYxFq12ZRZNdOh1v&#10;Rpuy3KS/epJ+nn3RajdOptloFk2n41GUjXgSrWe7MlqV6WQy3a7L9bYvAiL3R8NG/RJ7ORwUu+7N&#10;fdMgytDl7Qfyqn/vg/3+N1/+BgAA//8DAFBLAwQUAAYACAAAACEAWy/1EN0AAAAJAQAADwAAAGRy&#10;cy9kb3ducmV2LnhtbEyPwU7DMBBE70j9B2uReqNOe0hJyKaiLb1WUJC4OvE2iYjXIXaa9O9ruMBx&#10;dkazb7LNZFpxod41lhGWiwgEcWl1wxXCx/vh4RGE84q1ai0TwpUcbPLZXaZSbUd+o8vJVyKUsEsV&#10;Qu19l0rpypqMcgvbEQfvbHujfJB9JXWvxlBuWrmKolga1XD4UKuOdjWVX6fBIAzX3X77Kr8//fHA&#10;xfllfyzGiBDn99PzEwhPk/8Lww9+QIc8MBV2YO1Ei7BehSkeIY7XCYgQ+D0UCMkySUDmmfy/IL8B&#10;AAD//wMAUEsBAi0AFAAGAAgAAAAhALaDOJL+AAAA4QEAABMAAAAAAAAAAAAAAAAAAAAAAFtDb250&#10;ZW50X1R5cGVzXS54bWxQSwECLQAUAAYACAAAACEAOP0h/9YAAACUAQAACwAAAAAAAAAAAAAAAAAv&#10;AQAAX3JlbHMvLnJlbHNQSwECLQAUAAYACAAAACEATA+2kjMCAAAuBAAADgAAAAAAAAAAAAAAAAAu&#10;AgAAZHJzL2Uyb0RvYy54bWxQSwECLQAUAAYACAAAACEAWy/1EN0AAAAJAQAADwAAAAAAAAAAAAAA&#10;AACNBAAAZHJzL2Rvd25yZXYueG1sUEsFBgAAAAAEAAQA8wAAAJcFAAAAAA==&#10;" strokecolor="white [3212]" strokeweight="2pt">
                <w10:wrap type="tight"/>
              </v:line>
            </w:pict>
          </mc:Fallback>
        </mc:AlternateContent>
      </w:r>
      <w:r w:rsidR="008150C6">
        <w:rPr>
          <w:noProof/>
        </w:rPr>
        <w:br w:type="page"/>
      </w:r>
      <w:r w:rsidR="008150C6">
        <w:rPr>
          <w:rFonts w:asciiTheme="majorHAnsi" w:eastAsia="Times New Roman" w:hAnsiTheme="majorHAnsi"/>
          <w:noProof/>
          <w:color w:val="FFFFFF" w:themeColor="background1"/>
        </w:rPr>
        <mc:AlternateContent>
          <mc:Choice Requires="wps">
            <w:drawing>
              <wp:anchor distT="0" distB="0" distL="114300" distR="114300" simplePos="0" relativeHeight="251658271" behindDoc="0" locked="0" layoutInCell="1" allowOverlap="1" wp14:anchorId="65F9CC79" wp14:editId="45984D38">
                <wp:simplePos x="0" y="0"/>
                <wp:positionH relativeFrom="column">
                  <wp:posOffset>457200</wp:posOffset>
                </wp:positionH>
                <wp:positionV relativeFrom="paragraph">
                  <wp:posOffset>4241165</wp:posOffset>
                </wp:positionV>
                <wp:extent cx="0" cy="1600200"/>
                <wp:effectExtent l="25400" t="25400" r="38100" b="38100"/>
                <wp:wrapTight wrapText="bothSides">
                  <wp:wrapPolygon edited="0">
                    <wp:start x="-2147483648" y="0"/>
                    <wp:lineTo x="-2147483648" y="21471"/>
                    <wp:lineTo x="-2147483648" y="21471"/>
                    <wp:lineTo x="-2147483648" y="0"/>
                    <wp:lineTo x="-2147483648" y="0"/>
                  </wp:wrapPolygon>
                </wp:wrapTight>
                <wp:docPr id="15"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00200"/>
                        </a:xfrm>
                        <a:prstGeom prst="line">
                          <a:avLst/>
                        </a:prstGeom>
                        <a:noFill/>
                        <a:ln w="25400">
                          <a:solidFill>
                            <a:schemeClr val="bg1">
                              <a:lumMod val="100000"/>
                              <a:lumOff val="0"/>
                            </a:schemeClr>
                          </a:solidFill>
                          <a:round/>
                          <a:headEnd/>
                          <a:tailEnd/>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noFill/>
                            </a14:hiddenFill>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ffectLst>
                                <a:outerShdw blurRad="38100" dist="25400" dir="5400000" algn="ctr" rotWithShape="0">
                                  <a:srgbClr val="000000">
                                    <a:alpha val="35001"/>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B3F4CC2" id="Line 9" o:spid="_x0000_s1026" style="position:absolute;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333.95pt" to="36pt,45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2swNQIAAC8EAAAOAAAAZHJzL2Uyb0RvYy54bWysU02PmzAQvVfqf7C4EyAhXyhklRDSy3Yb&#10;abc/wLFNQDW2ZTuBqOp/79gk0W57q8rBmhl73ryZeaye+pajC9OmkSIPklEcICaIpI045cH3t324&#10;CJCxWFDMpWB5cGUmeFp//rTqVMbGspacMo0ARJisU3lQW6uyKDKkZi02I6mYgMtK6hZbcPUpohp3&#10;gN7yaBzHs6iTmiotCTMGorvhMlh7/KpixH6rKsMs4nkA3Kw/tT+P7ozWK5ydNFZ1Q2408D+waHEj&#10;oOgDaoctRmfd/AXVNkRLIys7IrKNZFU1hPkeoJsk/qOb1xor5nuB4Rj1GJP5f7Dk5XLQqKGwu2mA&#10;BG5hR8+NYGjpRtMpk8GLQhy0a4704lU9S/LDICGLGosT8xTfrgrSEpcRfUhxjlFQ4Nh9lRTe4LOV&#10;fk59pVsHCRNAvV/H9bEO1ltEhiCBaDKLY1i1R8fZPVFpY78w2SJn5AEHzh4YX56NdURwdn/i6gi5&#10;bzj32+YCdXkwnqaA6a6M5A11t95xwmMF1+iCQTLHU+Lf8HMLDQyxJHbfoByIg76G+J2h166D8CQ+&#10;oGt5FtSTqBmm5c22uOGDDaS5cDSYl+7QCXi9BdPHYTReVj+X8bJclIs0TMezMkxjSsPNvkjD2T6Z&#10;T3eTXVHskl8DSTfPIWmzn8bzdLII5/PpJEwnLA63i30RbopkNpuX22JbDklA5F7Ub9QtcZDDUdLr&#10;Qd83Dar0Xd7+ICf79z7Y7//z9W8AAAD//wMAUEsDBBQABgAIAAAAIQBbL/UQ3QAAAAkBAAAPAAAA&#10;ZHJzL2Rvd25yZXYueG1sTI/BTsMwEETvSP0Ha5F6o057SEnIpqItvVZQkLg68TaJiNchdpr072u4&#10;wHF2RrNvss1kWnGh3jWWEZaLCARxaXXDFcLH++HhEYTzirVqLRPClRxs8tldplJtR36jy8lXIpSw&#10;SxVC7X2XSunKmoxyC9sRB+9se6N8kH0lda/GUG5auYqiWBrVcPhQq452NZVfp8EgDNfdfvsqvz/9&#10;8cDF+WV/LMaIEOf30/MTCE+T/wvDD35AhzwwFXZg7USLsF6FKR4hjtcJiBD4PRQIyTJJQOaZ/L8g&#10;vwEAAP//AwBQSwECLQAUAAYACAAAACEAtoM4kv4AAADhAQAAEwAAAAAAAAAAAAAAAAAAAAAAW0Nv&#10;bnRlbnRfVHlwZXNdLnhtbFBLAQItABQABgAIAAAAIQA4/SH/1gAAAJQBAAALAAAAAAAAAAAAAAAA&#10;AC8BAABfcmVscy8ucmVsc1BLAQItABQABgAIAAAAIQCro2swNQIAAC8EAAAOAAAAAAAAAAAAAAAA&#10;AC4CAABkcnMvZTJvRG9jLnhtbFBLAQItABQABgAIAAAAIQBbL/UQ3QAAAAkBAAAPAAAAAAAAAAAA&#10;AAAAAI8EAABkcnMvZG93bnJldi54bWxQSwUGAAAAAAQABADzAAAAmQUAAAAA&#10;" strokecolor="white [3212]" strokeweight="2pt">
                <w10:wrap type="tight"/>
              </v:line>
            </w:pict>
          </mc:Fallback>
        </mc:AlternateContent>
      </w:r>
    </w:p>
    <w:sdt>
      <w:sdtPr>
        <w:rPr>
          <w:rFonts w:eastAsiaTheme="minorHAnsi" w:cstheme="minorBidi"/>
          <w:b w:val="0"/>
          <w:sz w:val="20"/>
          <w:szCs w:val="20"/>
          <w:lang w:val="fr-FR"/>
        </w:rPr>
        <w:id w:val="554353210"/>
        <w:docPartObj>
          <w:docPartGallery w:val="Table of Contents"/>
          <w:docPartUnique/>
        </w:docPartObj>
      </w:sdtPr>
      <w:sdtEndPr>
        <w:rPr>
          <w:bCs/>
          <w:sz w:val="22"/>
          <w:szCs w:val="22"/>
        </w:rPr>
      </w:sdtEndPr>
      <w:sdtContent>
        <w:p w14:paraId="71A5B50D" w14:textId="71362497" w:rsidR="00CC116D" w:rsidRPr="00822C31" w:rsidRDefault="00CC116D">
          <w:pPr>
            <w:pStyle w:val="En-ttedetabledesmatires"/>
            <w:rPr>
              <w:b w:val="0"/>
              <w:bCs/>
              <w:sz w:val="20"/>
              <w:szCs w:val="20"/>
            </w:rPr>
          </w:pPr>
          <w:r w:rsidRPr="00822C31">
            <w:rPr>
              <w:b w:val="0"/>
              <w:bCs/>
              <w:sz w:val="20"/>
              <w:szCs w:val="20"/>
              <w:lang w:val="fr-FR"/>
            </w:rPr>
            <w:t>Table des matières</w:t>
          </w:r>
        </w:p>
        <w:p w14:paraId="4CF36149" w14:textId="4016BCFB" w:rsidR="00A63F35" w:rsidRDefault="00CC116D">
          <w:pPr>
            <w:pStyle w:val="TM5"/>
            <w:rPr>
              <w:rFonts w:asciiTheme="minorHAnsi" w:eastAsiaTheme="minorEastAsia" w:hAnsiTheme="minorHAnsi"/>
              <w:noProof/>
              <w:lang w:eastAsia="fr-FR"/>
            </w:rPr>
          </w:pPr>
          <w:r w:rsidRPr="002E750F">
            <w:rPr>
              <w:sz w:val="20"/>
              <w:szCs w:val="20"/>
            </w:rPr>
            <w:fldChar w:fldCharType="begin"/>
          </w:r>
          <w:r w:rsidRPr="002E750F">
            <w:rPr>
              <w:sz w:val="20"/>
              <w:szCs w:val="20"/>
            </w:rPr>
            <w:instrText xml:space="preserve"> TOC \o "1-4" \h \z \t "INTRO;5" </w:instrText>
          </w:r>
          <w:r w:rsidRPr="002E750F">
            <w:rPr>
              <w:sz w:val="20"/>
              <w:szCs w:val="20"/>
            </w:rPr>
            <w:fldChar w:fldCharType="separate"/>
          </w:r>
          <w:hyperlink w:anchor="_Toc78131537" w:history="1">
            <w:r w:rsidR="00A63F35" w:rsidRPr="00725021">
              <w:rPr>
                <w:rStyle w:val="Lienhypertexte"/>
                <w:noProof/>
              </w:rPr>
              <w:t>Contexte et objectifs de l’étude</w:t>
            </w:r>
            <w:r w:rsidR="00A63F35">
              <w:rPr>
                <w:noProof/>
                <w:webHidden/>
              </w:rPr>
              <w:tab/>
            </w:r>
            <w:r w:rsidR="00A63F35">
              <w:rPr>
                <w:noProof/>
                <w:webHidden/>
              </w:rPr>
              <w:fldChar w:fldCharType="begin"/>
            </w:r>
            <w:r w:rsidR="00A63F35">
              <w:rPr>
                <w:noProof/>
                <w:webHidden/>
              </w:rPr>
              <w:instrText xml:space="preserve"> PAGEREF _Toc78131537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2FE810A7" w14:textId="1BC738D0" w:rsidR="00A63F35" w:rsidRDefault="00000000">
          <w:pPr>
            <w:pStyle w:val="TM1"/>
            <w:tabs>
              <w:tab w:val="right" w:leader="dot" w:pos="9060"/>
            </w:tabs>
            <w:rPr>
              <w:rFonts w:asciiTheme="minorHAnsi" w:eastAsiaTheme="minorEastAsia" w:hAnsiTheme="minorHAnsi"/>
              <w:noProof/>
              <w:lang w:eastAsia="fr-FR"/>
            </w:rPr>
          </w:pPr>
          <w:hyperlink w:anchor="_Toc78131538" w:history="1">
            <w:r w:rsidR="00A63F35" w:rsidRPr="00725021">
              <w:rPr>
                <w:rStyle w:val="Lienhypertexte"/>
                <w:noProof/>
              </w:rPr>
              <w:t>Partie 1 : Etat de l’art, sources de données de quantification de la consommation et limites de validité</w:t>
            </w:r>
            <w:r w:rsidR="00A63F35">
              <w:rPr>
                <w:noProof/>
                <w:webHidden/>
              </w:rPr>
              <w:tab/>
            </w:r>
            <w:r w:rsidR="00A63F35">
              <w:rPr>
                <w:noProof/>
                <w:webHidden/>
              </w:rPr>
              <w:fldChar w:fldCharType="begin"/>
            </w:r>
            <w:r w:rsidR="00A63F35">
              <w:rPr>
                <w:noProof/>
                <w:webHidden/>
              </w:rPr>
              <w:instrText xml:space="preserve"> PAGEREF _Toc78131538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74D3960E" w14:textId="0FDDD7C6" w:rsidR="00A63F35" w:rsidRDefault="00000000">
          <w:pPr>
            <w:pStyle w:val="TM1"/>
            <w:tabs>
              <w:tab w:val="left" w:pos="440"/>
              <w:tab w:val="right" w:leader="dot" w:pos="9060"/>
            </w:tabs>
            <w:rPr>
              <w:rFonts w:asciiTheme="minorHAnsi" w:eastAsiaTheme="minorEastAsia" w:hAnsiTheme="minorHAnsi"/>
              <w:noProof/>
              <w:lang w:eastAsia="fr-FR"/>
            </w:rPr>
          </w:pPr>
          <w:hyperlink w:anchor="_Toc78131539" w:history="1">
            <w:r w:rsidR="00A63F35" w:rsidRPr="00725021">
              <w:rPr>
                <w:rStyle w:val="Lienhypertexte"/>
                <w:noProof/>
              </w:rPr>
              <w:t>1.</w:t>
            </w:r>
            <w:r w:rsidR="00A63F35">
              <w:rPr>
                <w:rFonts w:asciiTheme="minorHAnsi" w:eastAsiaTheme="minorEastAsia" w:hAnsiTheme="minorHAnsi"/>
                <w:noProof/>
                <w:lang w:eastAsia="fr-FR"/>
              </w:rPr>
              <w:tab/>
            </w:r>
            <w:r w:rsidR="00A63F35" w:rsidRPr="00725021">
              <w:rPr>
                <w:rStyle w:val="Lienhypertexte"/>
                <w:noProof/>
              </w:rPr>
              <w:t>Données de bilan de la consommation des viandes</w:t>
            </w:r>
            <w:r w:rsidR="00A63F35">
              <w:rPr>
                <w:noProof/>
                <w:webHidden/>
              </w:rPr>
              <w:tab/>
            </w:r>
            <w:r w:rsidR="00A63F35">
              <w:rPr>
                <w:noProof/>
                <w:webHidden/>
              </w:rPr>
              <w:fldChar w:fldCharType="begin"/>
            </w:r>
            <w:r w:rsidR="00A63F35">
              <w:rPr>
                <w:noProof/>
                <w:webHidden/>
              </w:rPr>
              <w:instrText xml:space="preserve"> PAGEREF _Toc78131539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74308A8C" w14:textId="14BD95BA" w:rsidR="00A63F35" w:rsidRDefault="00000000">
          <w:pPr>
            <w:pStyle w:val="TM2"/>
            <w:tabs>
              <w:tab w:val="left" w:pos="880"/>
              <w:tab w:val="right" w:leader="dot" w:pos="9060"/>
            </w:tabs>
            <w:rPr>
              <w:rFonts w:asciiTheme="minorHAnsi" w:eastAsiaTheme="minorEastAsia" w:hAnsiTheme="minorHAnsi"/>
              <w:noProof/>
              <w:lang w:eastAsia="fr-FR"/>
            </w:rPr>
          </w:pPr>
          <w:hyperlink w:anchor="_Toc78131540" w:history="1">
            <w:r w:rsidR="00A63F35" w:rsidRPr="00725021">
              <w:rPr>
                <w:rStyle w:val="Lienhypertexte"/>
                <w:noProof/>
              </w:rPr>
              <w:t>1.1.</w:t>
            </w:r>
            <w:r w:rsidR="00A63F35">
              <w:rPr>
                <w:rFonts w:asciiTheme="minorHAnsi" w:eastAsiaTheme="minorEastAsia" w:hAnsiTheme="minorHAnsi"/>
                <w:noProof/>
                <w:lang w:eastAsia="fr-FR"/>
              </w:rPr>
              <w:tab/>
            </w:r>
            <w:r w:rsidR="00A63F35" w:rsidRPr="00725021">
              <w:rPr>
                <w:rStyle w:val="Lienhypertexte"/>
                <w:noProof/>
              </w:rPr>
              <w:t>Approvisionnement du marché français</w:t>
            </w:r>
            <w:r w:rsidR="00A63F35">
              <w:rPr>
                <w:noProof/>
                <w:webHidden/>
              </w:rPr>
              <w:tab/>
            </w:r>
            <w:r w:rsidR="00A63F35">
              <w:rPr>
                <w:noProof/>
                <w:webHidden/>
              </w:rPr>
              <w:fldChar w:fldCharType="begin"/>
            </w:r>
            <w:r w:rsidR="00A63F35">
              <w:rPr>
                <w:noProof/>
                <w:webHidden/>
              </w:rPr>
              <w:instrText xml:space="preserve"> PAGEREF _Toc78131540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0540199E" w14:textId="73AC0515" w:rsidR="00A63F35" w:rsidRDefault="00000000">
          <w:pPr>
            <w:pStyle w:val="TM2"/>
            <w:tabs>
              <w:tab w:val="left" w:pos="880"/>
              <w:tab w:val="right" w:leader="dot" w:pos="9060"/>
            </w:tabs>
            <w:rPr>
              <w:rFonts w:asciiTheme="minorHAnsi" w:eastAsiaTheme="minorEastAsia" w:hAnsiTheme="minorHAnsi"/>
              <w:noProof/>
              <w:lang w:eastAsia="fr-FR"/>
            </w:rPr>
          </w:pPr>
          <w:hyperlink w:anchor="_Toc78131541" w:history="1">
            <w:r w:rsidR="00A63F35" w:rsidRPr="00725021">
              <w:rPr>
                <w:rStyle w:val="Lienhypertexte"/>
                <w:noProof/>
              </w:rPr>
              <w:t>1.2.</w:t>
            </w:r>
            <w:r w:rsidR="00A63F35">
              <w:rPr>
                <w:rFonts w:asciiTheme="minorHAnsi" w:eastAsiaTheme="minorEastAsia" w:hAnsiTheme="minorHAnsi"/>
                <w:noProof/>
                <w:lang w:eastAsia="fr-FR"/>
              </w:rPr>
              <w:tab/>
            </w:r>
            <w:r w:rsidR="00A63F35" w:rsidRPr="00725021">
              <w:rPr>
                <w:rStyle w:val="Lienhypertexte"/>
                <w:noProof/>
              </w:rPr>
              <w:t>Evolution de la consommation apparente toutes espèces</w:t>
            </w:r>
            <w:r w:rsidR="00A63F35">
              <w:rPr>
                <w:noProof/>
                <w:webHidden/>
              </w:rPr>
              <w:tab/>
            </w:r>
            <w:r w:rsidR="00A63F35">
              <w:rPr>
                <w:noProof/>
                <w:webHidden/>
              </w:rPr>
              <w:fldChar w:fldCharType="begin"/>
            </w:r>
            <w:r w:rsidR="00A63F35">
              <w:rPr>
                <w:noProof/>
                <w:webHidden/>
              </w:rPr>
              <w:instrText xml:space="preserve"> PAGEREF _Toc78131541 \h </w:instrText>
            </w:r>
            <w:r w:rsidR="00A63F35">
              <w:rPr>
                <w:noProof/>
                <w:webHidden/>
              </w:rPr>
            </w:r>
            <w:r w:rsidR="00A63F35">
              <w:rPr>
                <w:noProof/>
                <w:webHidden/>
              </w:rPr>
              <w:fldChar w:fldCharType="separate"/>
            </w:r>
            <w:r w:rsidR="009044D1">
              <w:rPr>
                <w:noProof/>
                <w:webHidden/>
              </w:rPr>
              <w:t>1</w:t>
            </w:r>
            <w:r w:rsidR="00A63F35">
              <w:rPr>
                <w:noProof/>
                <w:webHidden/>
              </w:rPr>
              <w:fldChar w:fldCharType="end"/>
            </w:r>
          </w:hyperlink>
        </w:p>
        <w:p w14:paraId="07238683" w14:textId="106C71BA" w:rsidR="00A63F35" w:rsidRDefault="00000000">
          <w:pPr>
            <w:pStyle w:val="TM1"/>
            <w:tabs>
              <w:tab w:val="left" w:pos="440"/>
              <w:tab w:val="right" w:leader="dot" w:pos="9060"/>
            </w:tabs>
            <w:rPr>
              <w:rFonts w:asciiTheme="minorHAnsi" w:eastAsiaTheme="minorEastAsia" w:hAnsiTheme="minorHAnsi"/>
              <w:noProof/>
              <w:lang w:eastAsia="fr-FR"/>
            </w:rPr>
          </w:pPr>
          <w:hyperlink w:anchor="_Toc78131542" w:history="1">
            <w:r w:rsidR="00A63F35" w:rsidRPr="00725021">
              <w:rPr>
                <w:rStyle w:val="Lienhypertexte"/>
                <w:noProof/>
              </w:rPr>
              <w:t>2.</w:t>
            </w:r>
            <w:r w:rsidR="00A63F35">
              <w:rPr>
                <w:rFonts w:asciiTheme="minorHAnsi" w:eastAsiaTheme="minorEastAsia" w:hAnsiTheme="minorHAnsi"/>
                <w:noProof/>
                <w:lang w:eastAsia="fr-FR"/>
              </w:rPr>
              <w:tab/>
            </w:r>
            <w:r w:rsidR="00A63F35" w:rsidRPr="00725021">
              <w:rPr>
                <w:rStyle w:val="Lienhypertexte"/>
                <w:noProof/>
              </w:rPr>
              <w:t>Données statistiques économiques publiques</w:t>
            </w:r>
            <w:r w:rsidR="00A63F35">
              <w:rPr>
                <w:noProof/>
                <w:webHidden/>
              </w:rPr>
              <w:tab/>
            </w:r>
            <w:r w:rsidR="00A63F35">
              <w:rPr>
                <w:noProof/>
                <w:webHidden/>
              </w:rPr>
              <w:fldChar w:fldCharType="begin"/>
            </w:r>
            <w:r w:rsidR="00A63F35">
              <w:rPr>
                <w:noProof/>
                <w:webHidden/>
              </w:rPr>
              <w:instrText xml:space="preserve"> PAGEREF _Toc78131542 \h </w:instrText>
            </w:r>
            <w:r w:rsidR="00A63F35">
              <w:rPr>
                <w:noProof/>
                <w:webHidden/>
              </w:rPr>
            </w:r>
            <w:r w:rsidR="00A63F35">
              <w:rPr>
                <w:noProof/>
                <w:webHidden/>
              </w:rPr>
              <w:fldChar w:fldCharType="separate"/>
            </w:r>
            <w:r w:rsidR="009044D1">
              <w:rPr>
                <w:noProof/>
                <w:webHidden/>
              </w:rPr>
              <w:t>3</w:t>
            </w:r>
            <w:r w:rsidR="00A63F35">
              <w:rPr>
                <w:noProof/>
                <w:webHidden/>
              </w:rPr>
              <w:fldChar w:fldCharType="end"/>
            </w:r>
          </w:hyperlink>
        </w:p>
        <w:p w14:paraId="78EC0755" w14:textId="6F445F06" w:rsidR="00A63F35" w:rsidRDefault="00000000">
          <w:pPr>
            <w:pStyle w:val="TM2"/>
            <w:tabs>
              <w:tab w:val="left" w:pos="880"/>
              <w:tab w:val="right" w:leader="dot" w:pos="9060"/>
            </w:tabs>
            <w:rPr>
              <w:rFonts w:asciiTheme="minorHAnsi" w:eastAsiaTheme="minorEastAsia" w:hAnsiTheme="minorHAnsi"/>
              <w:noProof/>
              <w:lang w:eastAsia="fr-FR"/>
            </w:rPr>
          </w:pPr>
          <w:hyperlink w:anchor="_Toc78131543" w:history="1">
            <w:r w:rsidR="00A63F35" w:rsidRPr="00725021">
              <w:rPr>
                <w:rStyle w:val="Lienhypertexte"/>
                <w:noProof/>
              </w:rPr>
              <w:t>2.1.</w:t>
            </w:r>
            <w:r w:rsidR="00A63F35">
              <w:rPr>
                <w:rFonts w:asciiTheme="minorHAnsi" w:eastAsiaTheme="minorEastAsia" w:hAnsiTheme="minorHAnsi"/>
                <w:noProof/>
                <w:lang w:eastAsia="fr-FR"/>
              </w:rPr>
              <w:tab/>
            </w:r>
            <w:r w:rsidR="00A63F35" w:rsidRPr="00725021">
              <w:rPr>
                <w:rStyle w:val="Lienhypertexte"/>
                <w:noProof/>
              </w:rPr>
              <w:t>Enquête Import / Export</w:t>
            </w:r>
            <w:r w:rsidR="00A63F35">
              <w:rPr>
                <w:noProof/>
                <w:webHidden/>
              </w:rPr>
              <w:tab/>
            </w:r>
            <w:r w:rsidR="00A63F35">
              <w:rPr>
                <w:noProof/>
                <w:webHidden/>
              </w:rPr>
              <w:fldChar w:fldCharType="begin"/>
            </w:r>
            <w:r w:rsidR="00A63F35">
              <w:rPr>
                <w:noProof/>
                <w:webHidden/>
              </w:rPr>
              <w:instrText xml:space="preserve"> PAGEREF _Toc78131543 \h </w:instrText>
            </w:r>
            <w:r w:rsidR="00A63F35">
              <w:rPr>
                <w:noProof/>
                <w:webHidden/>
              </w:rPr>
            </w:r>
            <w:r w:rsidR="00A63F35">
              <w:rPr>
                <w:noProof/>
                <w:webHidden/>
              </w:rPr>
              <w:fldChar w:fldCharType="separate"/>
            </w:r>
            <w:r w:rsidR="009044D1">
              <w:rPr>
                <w:noProof/>
                <w:webHidden/>
              </w:rPr>
              <w:t>3</w:t>
            </w:r>
            <w:r w:rsidR="00A63F35">
              <w:rPr>
                <w:noProof/>
                <w:webHidden/>
              </w:rPr>
              <w:fldChar w:fldCharType="end"/>
            </w:r>
          </w:hyperlink>
        </w:p>
        <w:p w14:paraId="11E24D7B" w14:textId="19BC6F1A" w:rsidR="00A63F35" w:rsidRDefault="00000000">
          <w:pPr>
            <w:pStyle w:val="TM3"/>
            <w:rPr>
              <w:rFonts w:asciiTheme="minorHAnsi" w:eastAsiaTheme="minorEastAsia" w:hAnsiTheme="minorHAnsi"/>
              <w:noProof/>
              <w:lang w:eastAsia="fr-FR"/>
            </w:rPr>
          </w:pPr>
          <w:hyperlink w:anchor="_Toc78131544" w:history="1">
            <w:r w:rsidR="00A63F35" w:rsidRPr="00725021">
              <w:rPr>
                <w:rStyle w:val="Lienhypertexte"/>
                <w:noProof/>
              </w:rPr>
              <w:t>2.1.1. Les typologies de produits concernés :</w:t>
            </w:r>
            <w:r w:rsidR="00A63F35">
              <w:rPr>
                <w:noProof/>
                <w:webHidden/>
              </w:rPr>
              <w:tab/>
            </w:r>
            <w:r w:rsidR="00A63F35">
              <w:rPr>
                <w:noProof/>
                <w:webHidden/>
              </w:rPr>
              <w:fldChar w:fldCharType="begin"/>
            </w:r>
            <w:r w:rsidR="00A63F35">
              <w:rPr>
                <w:noProof/>
                <w:webHidden/>
              </w:rPr>
              <w:instrText xml:space="preserve"> PAGEREF _Toc78131544 \h </w:instrText>
            </w:r>
            <w:r w:rsidR="00A63F35">
              <w:rPr>
                <w:noProof/>
                <w:webHidden/>
              </w:rPr>
            </w:r>
            <w:r w:rsidR="00A63F35">
              <w:rPr>
                <w:noProof/>
                <w:webHidden/>
              </w:rPr>
              <w:fldChar w:fldCharType="separate"/>
            </w:r>
            <w:r w:rsidR="009044D1">
              <w:rPr>
                <w:noProof/>
                <w:webHidden/>
              </w:rPr>
              <w:t>3</w:t>
            </w:r>
            <w:r w:rsidR="00A63F35">
              <w:rPr>
                <w:noProof/>
                <w:webHidden/>
              </w:rPr>
              <w:fldChar w:fldCharType="end"/>
            </w:r>
          </w:hyperlink>
        </w:p>
        <w:p w14:paraId="31C31611" w14:textId="19E2F4E4" w:rsidR="00A63F35" w:rsidRDefault="00000000">
          <w:pPr>
            <w:pStyle w:val="TM3"/>
            <w:rPr>
              <w:rFonts w:asciiTheme="minorHAnsi" w:eastAsiaTheme="minorEastAsia" w:hAnsiTheme="minorHAnsi"/>
              <w:noProof/>
              <w:lang w:eastAsia="fr-FR"/>
            </w:rPr>
          </w:pPr>
          <w:hyperlink w:anchor="_Toc78131545" w:history="1">
            <w:r w:rsidR="00A63F35" w:rsidRPr="00725021">
              <w:rPr>
                <w:rStyle w:val="Lienhypertexte"/>
                <w:noProof/>
              </w:rPr>
              <w:t>2.1.2 Sources d’écart de données statistiques :</w:t>
            </w:r>
            <w:r w:rsidR="00A63F35">
              <w:rPr>
                <w:noProof/>
                <w:webHidden/>
              </w:rPr>
              <w:tab/>
            </w:r>
            <w:r w:rsidR="00A63F35">
              <w:rPr>
                <w:noProof/>
                <w:webHidden/>
              </w:rPr>
              <w:fldChar w:fldCharType="begin"/>
            </w:r>
            <w:r w:rsidR="00A63F35">
              <w:rPr>
                <w:noProof/>
                <w:webHidden/>
              </w:rPr>
              <w:instrText xml:space="preserve"> PAGEREF _Toc78131545 \h </w:instrText>
            </w:r>
            <w:r w:rsidR="00A63F35">
              <w:rPr>
                <w:noProof/>
                <w:webHidden/>
              </w:rPr>
            </w:r>
            <w:r w:rsidR="00A63F35">
              <w:rPr>
                <w:noProof/>
                <w:webHidden/>
              </w:rPr>
              <w:fldChar w:fldCharType="separate"/>
            </w:r>
            <w:r w:rsidR="009044D1">
              <w:rPr>
                <w:noProof/>
                <w:webHidden/>
              </w:rPr>
              <w:t>4</w:t>
            </w:r>
            <w:r w:rsidR="00A63F35">
              <w:rPr>
                <w:noProof/>
                <w:webHidden/>
              </w:rPr>
              <w:fldChar w:fldCharType="end"/>
            </w:r>
          </w:hyperlink>
        </w:p>
        <w:p w14:paraId="24324E5D" w14:textId="2370CBAC" w:rsidR="00A63F35" w:rsidRDefault="00000000">
          <w:pPr>
            <w:pStyle w:val="TM3"/>
            <w:rPr>
              <w:rFonts w:asciiTheme="minorHAnsi" w:eastAsiaTheme="minorEastAsia" w:hAnsiTheme="minorHAnsi"/>
              <w:noProof/>
              <w:lang w:eastAsia="fr-FR"/>
            </w:rPr>
          </w:pPr>
          <w:hyperlink w:anchor="_Toc78131546" w:history="1">
            <w:r w:rsidR="00A63F35" w:rsidRPr="00725021">
              <w:rPr>
                <w:rStyle w:val="Lienhypertexte"/>
                <w:noProof/>
              </w:rPr>
              <w:t>2.1.3. En 2018, léger recul de l’importation et des exportations alors que la production est en hausse</w:t>
            </w:r>
            <w:r w:rsidR="00A63F35">
              <w:rPr>
                <w:noProof/>
                <w:webHidden/>
              </w:rPr>
              <w:tab/>
            </w:r>
            <w:r w:rsidR="00A63F35">
              <w:rPr>
                <w:noProof/>
                <w:webHidden/>
              </w:rPr>
              <w:fldChar w:fldCharType="begin"/>
            </w:r>
            <w:r w:rsidR="00A63F35">
              <w:rPr>
                <w:noProof/>
                <w:webHidden/>
              </w:rPr>
              <w:instrText xml:space="preserve"> PAGEREF _Toc78131546 \h </w:instrText>
            </w:r>
            <w:r w:rsidR="00A63F35">
              <w:rPr>
                <w:noProof/>
                <w:webHidden/>
              </w:rPr>
            </w:r>
            <w:r w:rsidR="00A63F35">
              <w:rPr>
                <w:noProof/>
                <w:webHidden/>
              </w:rPr>
              <w:fldChar w:fldCharType="separate"/>
            </w:r>
            <w:r w:rsidR="009044D1">
              <w:rPr>
                <w:noProof/>
                <w:webHidden/>
              </w:rPr>
              <w:t>5</w:t>
            </w:r>
            <w:r w:rsidR="00A63F35">
              <w:rPr>
                <w:noProof/>
                <w:webHidden/>
              </w:rPr>
              <w:fldChar w:fldCharType="end"/>
            </w:r>
          </w:hyperlink>
        </w:p>
        <w:p w14:paraId="38F50480" w14:textId="6E21BEB8" w:rsidR="00A63F35" w:rsidRDefault="00000000">
          <w:pPr>
            <w:pStyle w:val="TM4"/>
            <w:rPr>
              <w:rFonts w:asciiTheme="minorHAnsi" w:eastAsiaTheme="minorEastAsia" w:hAnsiTheme="minorHAnsi"/>
              <w:noProof/>
              <w:lang w:eastAsia="fr-FR"/>
            </w:rPr>
          </w:pPr>
          <w:hyperlink w:anchor="_Toc78131547" w:history="1">
            <w:r w:rsidR="00A63F35" w:rsidRPr="00725021">
              <w:rPr>
                <w:rStyle w:val="Lienhypertexte"/>
                <w:noProof/>
              </w:rPr>
              <w:t>2.1.3.1. Des importations maintenues sous les 600 kt tirés par les viandes fraîches</w:t>
            </w:r>
            <w:r w:rsidR="00A63F35">
              <w:rPr>
                <w:noProof/>
                <w:webHidden/>
              </w:rPr>
              <w:tab/>
            </w:r>
            <w:r w:rsidR="00A63F35">
              <w:rPr>
                <w:noProof/>
                <w:webHidden/>
              </w:rPr>
              <w:fldChar w:fldCharType="begin"/>
            </w:r>
            <w:r w:rsidR="00A63F35">
              <w:rPr>
                <w:noProof/>
                <w:webHidden/>
              </w:rPr>
              <w:instrText xml:space="preserve"> PAGEREF _Toc78131547 \h </w:instrText>
            </w:r>
            <w:r w:rsidR="00A63F35">
              <w:rPr>
                <w:noProof/>
                <w:webHidden/>
              </w:rPr>
            </w:r>
            <w:r w:rsidR="00A63F35">
              <w:rPr>
                <w:noProof/>
                <w:webHidden/>
              </w:rPr>
              <w:fldChar w:fldCharType="separate"/>
            </w:r>
            <w:r w:rsidR="009044D1">
              <w:rPr>
                <w:noProof/>
                <w:webHidden/>
              </w:rPr>
              <w:t>5</w:t>
            </w:r>
            <w:r w:rsidR="00A63F35">
              <w:rPr>
                <w:noProof/>
                <w:webHidden/>
              </w:rPr>
              <w:fldChar w:fldCharType="end"/>
            </w:r>
          </w:hyperlink>
        </w:p>
        <w:p w14:paraId="2ABA7D9D" w14:textId="79C163AB" w:rsidR="00A63F35" w:rsidRDefault="00000000">
          <w:pPr>
            <w:pStyle w:val="TM4"/>
            <w:rPr>
              <w:rFonts w:asciiTheme="minorHAnsi" w:eastAsiaTheme="minorEastAsia" w:hAnsiTheme="minorHAnsi"/>
              <w:noProof/>
              <w:lang w:eastAsia="fr-FR"/>
            </w:rPr>
          </w:pPr>
          <w:hyperlink w:anchor="_Toc78131548" w:history="1">
            <w:r w:rsidR="00A63F35" w:rsidRPr="00725021">
              <w:rPr>
                <w:rStyle w:val="Lienhypertexte"/>
                <w:noProof/>
              </w:rPr>
              <w:t>2.1.3.2. Des exportations stables en 2018</w:t>
            </w:r>
            <w:r w:rsidR="00A63F35">
              <w:rPr>
                <w:noProof/>
                <w:webHidden/>
              </w:rPr>
              <w:tab/>
            </w:r>
            <w:r w:rsidR="00A63F35">
              <w:rPr>
                <w:noProof/>
                <w:webHidden/>
              </w:rPr>
              <w:fldChar w:fldCharType="begin"/>
            </w:r>
            <w:r w:rsidR="00A63F35">
              <w:rPr>
                <w:noProof/>
                <w:webHidden/>
              </w:rPr>
              <w:instrText xml:space="preserve"> PAGEREF _Toc78131548 \h </w:instrText>
            </w:r>
            <w:r w:rsidR="00A63F35">
              <w:rPr>
                <w:noProof/>
                <w:webHidden/>
              </w:rPr>
            </w:r>
            <w:r w:rsidR="00A63F35">
              <w:rPr>
                <w:noProof/>
                <w:webHidden/>
              </w:rPr>
              <w:fldChar w:fldCharType="separate"/>
            </w:r>
            <w:r w:rsidR="009044D1">
              <w:rPr>
                <w:noProof/>
                <w:webHidden/>
              </w:rPr>
              <w:t>6</w:t>
            </w:r>
            <w:r w:rsidR="00A63F35">
              <w:rPr>
                <w:noProof/>
                <w:webHidden/>
              </w:rPr>
              <w:fldChar w:fldCharType="end"/>
            </w:r>
          </w:hyperlink>
        </w:p>
        <w:p w14:paraId="4F71C514" w14:textId="698998D2" w:rsidR="00A63F35" w:rsidRDefault="00000000">
          <w:pPr>
            <w:pStyle w:val="TM4"/>
            <w:rPr>
              <w:rFonts w:asciiTheme="minorHAnsi" w:eastAsiaTheme="minorEastAsia" w:hAnsiTheme="minorHAnsi"/>
              <w:noProof/>
              <w:lang w:eastAsia="fr-FR"/>
            </w:rPr>
          </w:pPr>
          <w:hyperlink w:anchor="_Toc78131549" w:history="1">
            <w:r w:rsidR="00A63F35" w:rsidRPr="00725021">
              <w:rPr>
                <w:rStyle w:val="Lienhypertexte"/>
                <w:noProof/>
              </w:rPr>
              <w:t>2.1.3.3. 2018, sous le signe d’une hausse légère de la production, d’une limitation des importations et des exportations</w:t>
            </w:r>
            <w:r w:rsidR="00A63F35">
              <w:rPr>
                <w:noProof/>
                <w:webHidden/>
              </w:rPr>
              <w:tab/>
            </w:r>
            <w:r w:rsidR="00A63F35">
              <w:rPr>
                <w:noProof/>
                <w:webHidden/>
              </w:rPr>
              <w:fldChar w:fldCharType="begin"/>
            </w:r>
            <w:r w:rsidR="00A63F35">
              <w:rPr>
                <w:noProof/>
                <w:webHidden/>
              </w:rPr>
              <w:instrText xml:space="preserve"> PAGEREF _Toc78131549 \h </w:instrText>
            </w:r>
            <w:r w:rsidR="00A63F35">
              <w:rPr>
                <w:noProof/>
                <w:webHidden/>
              </w:rPr>
            </w:r>
            <w:r w:rsidR="00A63F35">
              <w:rPr>
                <w:noProof/>
                <w:webHidden/>
              </w:rPr>
              <w:fldChar w:fldCharType="separate"/>
            </w:r>
            <w:r w:rsidR="009044D1">
              <w:rPr>
                <w:noProof/>
                <w:webHidden/>
              </w:rPr>
              <w:t>7</w:t>
            </w:r>
            <w:r w:rsidR="00A63F35">
              <w:rPr>
                <w:noProof/>
                <w:webHidden/>
              </w:rPr>
              <w:fldChar w:fldCharType="end"/>
            </w:r>
          </w:hyperlink>
        </w:p>
        <w:p w14:paraId="5AA27053" w14:textId="6A58E94D" w:rsidR="00A63F35" w:rsidRDefault="00000000">
          <w:pPr>
            <w:pStyle w:val="TM2"/>
            <w:tabs>
              <w:tab w:val="left" w:pos="880"/>
              <w:tab w:val="right" w:leader="dot" w:pos="9060"/>
            </w:tabs>
            <w:rPr>
              <w:rFonts w:asciiTheme="minorHAnsi" w:eastAsiaTheme="minorEastAsia" w:hAnsiTheme="minorHAnsi"/>
              <w:noProof/>
              <w:lang w:eastAsia="fr-FR"/>
            </w:rPr>
          </w:pPr>
          <w:hyperlink w:anchor="_Toc78131550" w:history="1">
            <w:r w:rsidR="00A63F35" w:rsidRPr="00725021">
              <w:rPr>
                <w:rStyle w:val="Lienhypertexte"/>
                <w:noProof/>
              </w:rPr>
              <w:t>2.2.</w:t>
            </w:r>
            <w:r w:rsidR="00A63F35">
              <w:rPr>
                <w:rFonts w:asciiTheme="minorHAnsi" w:eastAsiaTheme="minorEastAsia" w:hAnsiTheme="minorHAnsi"/>
                <w:noProof/>
                <w:lang w:eastAsia="fr-FR"/>
              </w:rPr>
              <w:tab/>
            </w:r>
            <w:r w:rsidR="00A63F35" w:rsidRPr="00725021">
              <w:rPr>
                <w:rStyle w:val="Lienhypertexte"/>
                <w:noProof/>
              </w:rPr>
              <w:t>Enquête de production PRODCOM</w:t>
            </w:r>
            <w:r w:rsidR="00A63F35">
              <w:rPr>
                <w:noProof/>
                <w:webHidden/>
              </w:rPr>
              <w:tab/>
            </w:r>
            <w:r w:rsidR="00A63F35">
              <w:rPr>
                <w:noProof/>
                <w:webHidden/>
              </w:rPr>
              <w:fldChar w:fldCharType="begin"/>
            </w:r>
            <w:r w:rsidR="00A63F35">
              <w:rPr>
                <w:noProof/>
                <w:webHidden/>
              </w:rPr>
              <w:instrText xml:space="preserve"> PAGEREF _Toc78131550 \h </w:instrText>
            </w:r>
            <w:r w:rsidR="00A63F35">
              <w:rPr>
                <w:noProof/>
                <w:webHidden/>
              </w:rPr>
            </w:r>
            <w:r w:rsidR="00A63F35">
              <w:rPr>
                <w:noProof/>
                <w:webHidden/>
              </w:rPr>
              <w:fldChar w:fldCharType="separate"/>
            </w:r>
            <w:r w:rsidR="009044D1">
              <w:rPr>
                <w:noProof/>
                <w:webHidden/>
              </w:rPr>
              <w:t>8</w:t>
            </w:r>
            <w:r w:rsidR="00A63F35">
              <w:rPr>
                <w:noProof/>
                <w:webHidden/>
              </w:rPr>
              <w:fldChar w:fldCharType="end"/>
            </w:r>
          </w:hyperlink>
        </w:p>
        <w:p w14:paraId="24BBF4C0" w14:textId="0515EE8B" w:rsidR="00A63F35" w:rsidRDefault="00000000">
          <w:pPr>
            <w:pStyle w:val="TM3"/>
            <w:rPr>
              <w:rFonts w:asciiTheme="minorHAnsi" w:eastAsiaTheme="minorEastAsia" w:hAnsiTheme="minorHAnsi"/>
              <w:noProof/>
              <w:lang w:eastAsia="fr-FR"/>
            </w:rPr>
          </w:pPr>
          <w:hyperlink w:anchor="_Toc78131551" w:history="1">
            <w:r w:rsidR="00A63F35" w:rsidRPr="00725021">
              <w:rPr>
                <w:rStyle w:val="Lienhypertexte"/>
                <w:noProof/>
              </w:rPr>
              <w:t>2.2.1 Méthode de l’enquête PRODCOM</w:t>
            </w:r>
            <w:r w:rsidR="00A63F35">
              <w:rPr>
                <w:noProof/>
                <w:webHidden/>
              </w:rPr>
              <w:tab/>
            </w:r>
            <w:r w:rsidR="00A63F35">
              <w:rPr>
                <w:noProof/>
                <w:webHidden/>
              </w:rPr>
              <w:fldChar w:fldCharType="begin"/>
            </w:r>
            <w:r w:rsidR="00A63F35">
              <w:rPr>
                <w:noProof/>
                <w:webHidden/>
              </w:rPr>
              <w:instrText xml:space="preserve"> PAGEREF _Toc78131551 \h </w:instrText>
            </w:r>
            <w:r w:rsidR="00A63F35">
              <w:rPr>
                <w:noProof/>
                <w:webHidden/>
              </w:rPr>
            </w:r>
            <w:r w:rsidR="00A63F35">
              <w:rPr>
                <w:noProof/>
                <w:webHidden/>
              </w:rPr>
              <w:fldChar w:fldCharType="separate"/>
            </w:r>
            <w:r w:rsidR="009044D1">
              <w:rPr>
                <w:noProof/>
                <w:webHidden/>
              </w:rPr>
              <w:t>8</w:t>
            </w:r>
            <w:r w:rsidR="00A63F35">
              <w:rPr>
                <w:noProof/>
                <w:webHidden/>
              </w:rPr>
              <w:fldChar w:fldCharType="end"/>
            </w:r>
          </w:hyperlink>
        </w:p>
        <w:p w14:paraId="59A91FFF" w14:textId="2FB39D0B" w:rsidR="00A63F35" w:rsidRDefault="00000000">
          <w:pPr>
            <w:pStyle w:val="TM3"/>
            <w:rPr>
              <w:rFonts w:asciiTheme="minorHAnsi" w:eastAsiaTheme="minorEastAsia" w:hAnsiTheme="minorHAnsi"/>
              <w:noProof/>
              <w:lang w:eastAsia="fr-FR"/>
            </w:rPr>
          </w:pPr>
          <w:hyperlink w:anchor="_Toc78131552" w:history="1">
            <w:r w:rsidR="00A63F35" w:rsidRPr="00725021">
              <w:rPr>
                <w:rStyle w:val="Lienhypertexte"/>
                <w:noProof/>
              </w:rPr>
              <w:t>2.2.2. Activités principales d’intérêt</w:t>
            </w:r>
            <w:r w:rsidR="00A63F35">
              <w:rPr>
                <w:noProof/>
                <w:webHidden/>
              </w:rPr>
              <w:tab/>
            </w:r>
            <w:r w:rsidR="00A63F35">
              <w:rPr>
                <w:noProof/>
                <w:webHidden/>
              </w:rPr>
              <w:fldChar w:fldCharType="begin"/>
            </w:r>
            <w:r w:rsidR="00A63F35">
              <w:rPr>
                <w:noProof/>
                <w:webHidden/>
              </w:rPr>
              <w:instrText xml:space="preserve"> PAGEREF _Toc78131552 \h </w:instrText>
            </w:r>
            <w:r w:rsidR="00A63F35">
              <w:rPr>
                <w:noProof/>
                <w:webHidden/>
              </w:rPr>
            </w:r>
            <w:r w:rsidR="00A63F35">
              <w:rPr>
                <w:noProof/>
                <w:webHidden/>
              </w:rPr>
              <w:fldChar w:fldCharType="separate"/>
            </w:r>
            <w:r w:rsidR="009044D1">
              <w:rPr>
                <w:noProof/>
                <w:webHidden/>
              </w:rPr>
              <w:t>8</w:t>
            </w:r>
            <w:r w:rsidR="00A63F35">
              <w:rPr>
                <w:noProof/>
                <w:webHidden/>
              </w:rPr>
              <w:fldChar w:fldCharType="end"/>
            </w:r>
          </w:hyperlink>
        </w:p>
        <w:p w14:paraId="483D66F5" w14:textId="42848B35" w:rsidR="00A63F35" w:rsidRDefault="00000000">
          <w:pPr>
            <w:pStyle w:val="TM3"/>
            <w:rPr>
              <w:rFonts w:asciiTheme="minorHAnsi" w:eastAsiaTheme="minorEastAsia" w:hAnsiTheme="minorHAnsi"/>
              <w:noProof/>
              <w:lang w:eastAsia="fr-FR"/>
            </w:rPr>
          </w:pPr>
          <w:hyperlink w:anchor="_Toc78131553" w:history="1">
            <w:r w:rsidR="00A63F35" w:rsidRPr="00725021">
              <w:rPr>
                <w:rStyle w:val="Lienhypertexte"/>
                <w:noProof/>
              </w:rPr>
              <w:t>2.2.3. Autres secteurs d’activité non couverts par enquête</w:t>
            </w:r>
            <w:r w:rsidR="00A63F35">
              <w:rPr>
                <w:noProof/>
                <w:webHidden/>
              </w:rPr>
              <w:tab/>
            </w:r>
            <w:r w:rsidR="00A63F35">
              <w:rPr>
                <w:noProof/>
                <w:webHidden/>
              </w:rPr>
              <w:fldChar w:fldCharType="begin"/>
            </w:r>
            <w:r w:rsidR="00A63F35">
              <w:rPr>
                <w:noProof/>
                <w:webHidden/>
              </w:rPr>
              <w:instrText xml:space="preserve"> PAGEREF _Toc78131553 \h </w:instrText>
            </w:r>
            <w:r w:rsidR="00A63F35">
              <w:rPr>
                <w:noProof/>
                <w:webHidden/>
              </w:rPr>
            </w:r>
            <w:r w:rsidR="00A63F35">
              <w:rPr>
                <w:noProof/>
                <w:webHidden/>
              </w:rPr>
              <w:fldChar w:fldCharType="separate"/>
            </w:r>
            <w:r w:rsidR="009044D1">
              <w:rPr>
                <w:noProof/>
                <w:webHidden/>
              </w:rPr>
              <w:t>9</w:t>
            </w:r>
            <w:r w:rsidR="00A63F35">
              <w:rPr>
                <w:noProof/>
                <w:webHidden/>
              </w:rPr>
              <w:fldChar w:fldCharType="end"/>
            </w:r>
          </w:hyperlink>
        </w:p>
        <w:p w14:paraId="76A39F5D" w14:textId="73DBEE4E" w:rsidR="00A63F35" w:rsidRDefault="00000000">
          <w:pPr>
            <w:pStyle w:val="TM3"/>
            <w:rPr>
              <w:rFonts w:asciiTheme="minorHAnsi" w:eastAsiaTheme="minorEastAsia" w:hAnsiTheme="minorHAnsi"/>
              <w:noProof/>
              <w:lang w:eastAsia="fr-FR"/>
            </w:rPr>
          </w:pPr>
          <w:hyperlink w:anchor="_Toc78131554" w:history="1">
            <w:r w:rsidR="00A63F35" w:rsidRPr="00725021">
              <w:rPr>
                <w:rStyle w:val="Lienhypertexte"/>
                <w:noProof/>
              </w:rPr>
              <w:t>2.2.4. La production porcine en 2018</w:t>
            </w:r>
            <w:r w:rsidR="00A63F35">
              <w:rPr>
                <w:noProof/>
                <w:webHidden/>
              </w:rPr>
              <w:tab/>
            </w:r>
            <w:r w:rsidR="00A63F35">
              <w:rPr>
                <w:noProof/>
                <w:webHidden/>
              </w:rPr>
              <w:fldChar w:fldCharType="begin"/>
            </w:r>
            <w:r w:rsidR="00A63F35">
              <w:rPr>
                <w:noProof/>
                <w:webHidden/>
              </w:rPr>
              <w:instrText xml:space="preserve"> PAGEREF _Toc78131554 \h </w:instrText>
            </w:r>
            <w:r w:rsidR="00A63F35">
              <w:rPr>
                <w:noProof/>
                <w:webHidden/>
              </w:rPr>
            </w:r>
            <w:r w:rsidR="00A63F35">
              <w:rPr>
                <w:noProof/>
                <w:webHidden/>
              </w:rPr>
              <w:fldChar w:fldCharType="separate"/>
            </w:r>
            <w:r w:rsidR="009044D1">
              <w:rPr>
                <w:noProof/>
                <w:webHidden/>
              </w:rPr>
              <w:t>9</w:t>
            </w:r>
            <w:r w:rsidR="00A63F35">
              <w:rPr>
                <w:noProof/>
                <w:webHidden/>
              </w:rPr>
              <w:fldChar w:fldCharType="end"/>
            </w:r>
          </w:hyperlink>
        </w:p>
        <w:p w14:paraId="7E25B53B" w14:textId="40153A52" w:rsidR="00A63F35" w:rsidRDefault="00000000">
          <w:pPr>
            <w:pStyle w:val="TM4"/>
            <w:rPr>
              <w:rFonts w:asciiTheme="minorHAnsi" w:eastAsiaTheme="minorEastAsia" w:hAnsiTheme="minorHAnsi"/>
              <w:noProof/>
              <w:lang w:eastAsia="fr-FR"/>
            </w:rPr>
          </w:pPr>
          <w:hyperlink w:anchor="_Toc78131555" w:history="1">
            <w:r w:rsidR="00A63F35" w:rsidRPr="00725021">
              <w:rPr>
                <w:rStyle w:val="Lienhypertexte"/>
                <w:noProof/>
              </w:rPr>
              <w:t>2.2.4.1. Données de cadrage</w:t>
            </w:r>
            <w:r w:rsidR="00A63F35">
              <w:rPr>
                <w:noProof/>
                <w:webHidden/>
              </w:rPr>
              <w:tab/>
            </w:r>
            <w:r w:rsidR="00A63F35">
              <w:rPr>
                <w:noProof/>
                <w:webHidden/>
              </w:rPr>
              <w:fldChar w:fldCharType="begin"/>
            </w:r>
            <w:r w:rsidR="00A63F35">
              <w:rPr>
                <w:noProof/>
                <w:webHidden/>
              </w:rPr>
              <w:instrText xml:space="preserve"> PAGEREF _Toc78131555 \h </w:instrText>
            </w:r>
            <w:r w:rsidR="00A63F35">
              <w:rPr>
                <w:noProof/>
                <w:webHidden/>
              </w:rPr>
            </w:r>
            <w:r w:rsidR="00A63F35">
              <w:rPr>
                <w:noProof/>
                <w:webHidden/>
              </w:rPr>
              <w:fldChar w:fldCharType="separate"/>
            </w:r>
            <w:r w:rsidR="009044D1">
              <w:rPr>
                <w:noProof/>
                <w:webHidden/>
              </w:rPr>
              <w:t>9</w:t>
            </w:r>
            <w:r w:rsidR="00A63F35">
              <w:rPr>
                <w:noProof/>
                <w:webHidden/>
              </w:rPr>
              <w:fldChar w:fldCharType="end"/>
            </w:r>
          </w:hyperlink>
        </w:p>
        <w:p w14:paraId="07A6A1C8" w14:textId="43106710" w:rsidR="00A63F35" w:rsidRDefault="00000000">
          <w:pPr>
            <w:pStyle w:val="TM4"/>
            <w:rPr>
              <w:rFonts w:asciiTheme="minorHAnsi" w:eastAsiaTheme="minorEastAsia" w:hAnsiTheme="minorHAnsi"/>
              <w:noProof/>
              <w:lang w:eastAsia="fr-FR"/>
            </w:rPr>
          </w:pPr>
          <w:hyperlink w:anchor="_Toc78131556" w:history="1">
            <w:r w:rsidR="00A63F35" w:rsidRPr="00725021">
              <w:rPr>
                <w:rStyle w:val="Lienhypertexte"/>
                <w:noProof/>
              </w:rPr>
              <w:t>2.2.4.2 Activités de transformation en charcuterie et salaison (10.13.A)</w:t>
            </w:r>
            <w:r w:rsidR="00A63F35">
              <w:rPr>
                <w:noProof/>
                <w:webHidden/>
              </w:rPr>
              <w:tab/>
            </w:r>
            <w:r w:rsidR="00A63F35">
              <w:rPr>
                <w:noProof/>
                <w:webHidden/>
              </w:rPr>
              <w:fldChar w:fldCharType="begin"/>
            </w:r>
            <w:r w:rsidR="00A63F35">
              <w:rPr>
                <w:noProof/>
                <w:webHidden/>
              </w:rPr>
              <w:instrText xml:space="preserve"> PAGEREF _Toc78131556 \h </w:instrText>
            </w:r>
            <w:r w:rsidR="00A63F35">
              <w:rPr>
                <w:noProof/>
                <w:webHidden/>
              </w:rPr>
            </w:r>
            <w:r w:rsidR="00A63F35">
              <w:rPr>
                <w:noProof/>
                <w:webHidden/>
              </w:rPr>
              <w:fldChar w:fldCharType="separate"/>
            </w:r>
            <w:r w:rsidR="009044D1">
              <w:rPr>
                <w:noProof/>
                <w:webHidden/>
              </w:rPr>
              <w:t>10</w:t>
            </w:r>
            <w:r w:rsidR="00A63F35">
              <w:rPr>
                <w:noProof/>
                <w:webHidden/>
              </w:rPr>
              <w:fldChar w:fldCharType="end"/>
            </w:r>
          </w:hyperlink>
        </w:p>
        <w:p w14:paraId="1E992730" w14:textId="715E52BB" w:rsidR="00A63F35" w:rsidRDefault="00000000">
          <w:pPr>
            <w:pStyle w:val="TM4"/>
            <w:rPr>
              <w:rFonts w:asciiTheme="minorHAnsi" w:eastAsiaTheme="minorEastAsia" w:hAnsiTheme="minorHAnsi"/>
              <w:noProof/>
              <w:lang w:eastAsia="fr-FR"/>
            </w:rPr>
          </w:pPr>
          <w:hyperlink w:anchor="_Toc78131557" w:history="1">
            <w:r w:rsidR="00A63F35" w:rsidRPr="00725021">
              <w:rPr>
                <w:rStyle w:val="Lienhypertexte"/>
                <w:noProof/>
              </w:rPr>
              <w:t>2.2.4.3 Activités de transformation en produits traiteurs à partir des produits de charcuterie salaison (10.85.Z)</w:t>
            </w:r>
            <w:r w:rsidR="00A63F35">
              <w:rPr>
                <w:noProof/>
                <w:webHidden/>
              </w:rPr>
              <w:tab/>
            </w:r>
            <w:r w:rsidR="00A63F35">
              <w:rPr>
                <w:noProof/>
                <w:webHidden/>
              </w:rPr>
              <w:fldChar w:fldCharType="begin"/>
            </w:r>
            <w:r w:rsidR="00A63F35">
              <w:rPr>
                <w:noProof/>
                <w:webHidden/>
              </w:rPr>
              <w:instrText xml:space="preserve"> PAGEREF _Toc78131557 \h </w:instrText>
            </w:r>
            <w:r w:rsidR="00A63F35">
              <w:rPr>
                <w:noProof/>
                <w:webHidden/>
              </w:rPr>
            </w:r>
            <w:r w:rsidR="00A63F35">
              <w:rPr>
                <w:noProof/>
                <w:webHidden/>
              </w:rPr>
              <w:fldChar w:fldCharType="separate"/>
            </w:r>
            <w:r w:rsidR="009044D1">
              <w:rPr>
                <w:noProof/>
                <w:webHidden/>
              </w:rPr>
              <w:t>11</w:t>
            </w:r>
            <w:r w:rsidR="00A63F35">
              <w:rPr>
                <w:noProof/>
                <w:webHidden/>
              </w:rPr>
              <w:fldChar w:fldCharType="end"/>
            </w:r>
          </w:hyperlink>
        </w:p>
        <w:p w14:paraId="74811262" w14:textId="3E5D7F0F" w:rsidR="00A63F35" w:rsidRDefault="00000000">
          <w:pPr>
            <w:pStyle w:val="TM3"/>
            <w:rPr>
              <w:rFonts w:asciiTheme="minorHAnsi" w:eastAsiaTheme="minorEastAsia" w:hAnsiTheme="minorHAnsi"/>
              <w:noProof/>
              <w:lang w:eastAsia="fr-FR"/>
            </w:rPr>
          </w:pPr>
          <w:hyperlink w:anchor="_Toc78131558" w:history="1">
            <w:r w:rsidR="00A63F35" w:rsidRPr="00725021">
              <w:rPr>
                <w:rStyle w:val="Lienhypertexte"/>
                <w:noProof/>
              </w:rPr>
              <w:t>2.2.5. Appariements de données de production et de données import – export</w:t>
            </w:r>
            <w:r w:rsidR="00A63F35">
              <w:rPr>
                <w:noProof/>
                <w:webHidden/>
              </w:rPr>
              <w:tab/>
            </w:r>
            <w:r w:rsidR="00A63F35">
              <w:rPr>
                <w:noProof/>
                <w:webHidden/>
              </w:rPr>
              <w:fldChar w:fldCharType="begin"/>
            </w:r>
            <w:r w:rsidR="00A63F35">
              <w:rPr>
                <w:noProof/>
                <w:webHidden/>
              </w:rPr>
              <w:instrText xml:space="preserve"> PAGEREF _Toc78131558 \h </w:instrText>
            </w:r>
            <w:r w:rsidR="00A63F35">
              <w:rPr>
                <w:noProof/>
                <w:webHidden/>
              </w:rPr>
            </w:r>
            <w:r w:rsidR="00A63F35">
              <w:rPr>
                <w:noProof/>
                <w:webHidden/>
              </w:rPr>
              <w:fldChar w:fldCharType="separate"/>
            </w:r>
            <w:r w:rsidR="009044D1">
              <w:rPr>
                <w:noProof/>
                <w:webHidden/>
              </w:rPr>
              <w:t>14</w:t>
            </w:r>
            <w:r w:rsidR="00A63F35">
              <w:rPr>
                <w:noProof/>
                <w:webHidden/>
              </w:rPr>
              <w:fldChar w:fldCharType="end"/>
            </w:r>
          </w:hyperlink>
        </w:p>
        <w:p w14:paraId="16AB316A" w14:textId="70DBD671" w:rsidR="00A63F35" w:rsidRDefault="00000000">
          <w:pPr>
            <w:pStyle w:val="TM4"/>
            <w:rPr>
              <w:rFonts w:asciiTheme="minorHAnsi" w:eastAsiaTheme="minorEastAsia" w:hAnsiTheme="minorHAnsi"/>
              <w:noProof/>
              <w:lang w:eastAsia="fr-FR"/>
            </w:rPr>
          </w:pPr>
          <w:hyperlink w:anchor="_Toc78131559" w:history="1">
            <w:r w:rsidR="00A63F35" w:rsidRPr="00725021">
              <w:rPr>
                <w:rStyle w:val="Lienhypertexte"/>
                <w:noProof/>
              </w:rPr>
              <w:t>2.2.5.1. Codification des produits</w:t>
            </w:r>
            <w:r w:rsidR="00A63F35">
              <w:rPr>
                <w:noProof/>
                <w:webHidden/>
              </w:rPr>
              <w:tab/>
            </w:r>
            <w:r w:rsidR="00A63F35">
              <w:rPr>
                <w:noProof/>
                <w:webHidden/>
              </w:rPr>
              <w:fldChar w:fldCharType="begin"/>
            </w:r>
            <w:r w:rsidR="00A63F35">
              <w:rPr>
                <w:noProof/>
                <w:webHidden/>
              </w:rPr>
              <w:instrText xml:space="preserve"> PAGEREF _Toc78131559 \h </w:instrText>
            </w:r>
            <w:r w:rsidR="00A63F35">
              <w:rPr>
                <w:noProof/>
                <w:webHidden/>
              </w:rPr>
            </w:r>
            <w:r w:rsidR="00A63F35">
              <w:rPr>
                <w:noProof/>
                <w:webHidden/>
              </w:rPr>
              <w:fldChar w:fldCharType="separate"/>
            </w:r>
            <w:r w:rsidR="009044D1">
              <w:rPr>
                <w:noProof/>
                <w:webHidden/>
              </w:rPr>
              <w:t>14</w:t>
            </w:r>
            <w:r w:rsidR="00A63F35">
              <w:rPr>
                <w:noProof/>
                <w:webHidden/>
              </w:rPr>
              <w:fldChar w:fldCharType="end"/>
            </w:r>
          </w:hyperlink>
        </w:p>
        <w:p w14:paraId="40937411" w14:textId="4ED655F4" w:rsidR="00A63F35" w:rsidRDefault="00000000">
          <w:pPr>
            <w:pStyle w:val="TM4"/>
            <w:rPr>
              <w:rFonts w:asciiTheme="minorHAnsi" w:eastAsiaTheme="minorEastAsia" w:hAnsiTheme="minorHAnsi"/>
              <w:noProof/>
              <w:lang w:eastAsia="fr-FR"/>
            </w:rPr>
          </w:pPr>
          <w:hyperlink w:anchor="_Toc78131560" w:history="1">
            <w:r w:rsidR="00A63F35" w:rsidRPr="00725021">
              <w:rPr>
                <w:rStyle w:val="Lienhypertexte"/>
                <w:noProof/>
              </w:rPr>
              <w:t>2.2.5.2. Méthode d’appariement</w:t>
            </w:r>
            <w:r w:rsidR="00A63F35">
              <w:rPr>
                <w:noProof/>
                <w:webHidden/>
              </w:rPr>
              <w:tab/>
            </w:r>
            <w:r w:rsidR="00A63F35">
              <w:rPr>
                <w:noProof/>
                <w:webHidden/>
              </w:rPr>
              <w:fldChar w:fldCharType="begin"/>
            </w:r>
            <w:r w:rsidR="00A63F35">
              <w:rPr>
                <w:noProof/>
                <w:webHidden/>
              </w:rPr>
              <w:instrText xml:space="preserve"> PAGEREF _Toc78131560 \h </w:instrText>
            </w:r>
            <w:r w:rsidR="00A63F35">
              <w:rPr>
                <w:noProof/>
                <w:webHidden/>
              </w:rPr>
            </w:r>
            <w:r w:rsidR="00A63F35">
              <w:rPr>
                <w:noProof/>
                <w:webHidden/>
              </w:rPr>
              <w:fldChar w:fldCharType="separate"/>
            </w:r>
            <w:r w:rsidR="009044D1">
              <w:rPr>
                <w:noProof/>
                <w:webHidden/>
              </w:rPr>
              <w:t>14</w:t>
            </w:r>
            <w:r w:rsidR="00A63F35">
              <w:rPr>
                <w:noProof/>
                <w:webHidden/>
              </w:rPr>
              <w:fldChar w:fldCharType="end"/>
            </w:r>
          </w:hyperlink>
        </w:p>
        <w:p w14:paraId="73D891BB" w14:textId="06182B22" w:rsidR="00A63F35" w:rsidRDefault="00000000">
          <w:pPr>
            <w:pStyle w:val="TM4"/>
            <w:rPr>
              <w:rFonts w:asciiTheme="minorHAnsi" w:eastAsiaTheme="minorEastAsia" w:hAnsiTheme="minorHAnsi"/>
              <w:noProof/>
              <w:lang w:eastAsia="fr-FR"/>
            </w:rPr>
          </w:pPr>
          <w:hyperlink w:anchor="_Toc78131561" w:history="1">
            <w:r w:rsidR="00A63F35" w:rsidRPr="00725021">
              <w:rPr>
                <w:rStyle w:val="Lienhypertexte"/>
                <w:noProof/>
              </w:rPr>
              <w:t>2.2.5.3. Principes de l’appariement des données de production et douanières</w:t>
            </w:r>
            <w:r w:rsidR="00A63F35">
              <w:rPr>
                <w:noProof/>
                <w:webHidden/>
              </w:rPr>
              <w:tab/>
            </w:r>
            <w:r w:rsidR="00A63F35">
              <w:rPr>
                <w:noProof/>
                <w:webHidden/>
              </w:rPr>
              <w:fldChar w:fldCharType="begin"/>
            </w:r>
            <w:r w:rsidR="00A63F35">
              <w:rPr>
                <w:noProof/>
                <w:webHidden/>
              </w:rPr>
              <w:instrText xml:space="preserve"> PAGEREF _Toc78131561 \h </w:instrText>
            </w:r>
            <w:r w:rsidR="00A63F35">
              <w:rPr>
                <w:noProof/>
                <w:webHidden/>
              </w:rPr>
            </w:r>
            <w:r w:rsidR="00A63F35">
              <w:rPr>
                <w:noProof/>
                <w:webHidden/>
              </w:rPr>
              <w:fldChar w:fldCharType="separate"/>
            </w:r>
            <w:r w:rsidR="009044D1">
              <w:rPr>
                <w:noProof/>
                <w:webHidden/>
              </w:rPr>
              <w:t>14</w:t>
            </w:r>
            <w:r w:rsidR="00A63F35">
              <w:rPr>
                <w:noProof/>
                <w:webHidden/>
              </w:rPr>
              <w:fldChar w:fldCharType="end"/>
            </w:r>
          </w:hyperlink>
        </w:p>
        <w:p w14:paraId="565B9FCE" w14:textId="07FF1EB8" w:rsidR="00A63F35" w:rsidRDefault="00000000">
          <w:pPr>
            <w:pStyle w:val="TM4"/>
            <w:rPr>
              <w:rFonts w:asciiTheme="minorHAnsi" w:eastAsiaTheme="minorEastAsia" w:hAnsiTheme="minorHAnsi"/>
              <w:noProof/>
              <w:lang w:eastAsia="fr-FR"/>
            </w:rPr>
          </w:pPr>
          <w:hyperlink w:anchor="_Toc78131562" w:history="1">
            <w:r w:rsidR="00A63F35" w:rsidRPr="00725021">
              <w:rPr>
                <w:rStyle w:val="Lienhypertexte"/>
                <w:noProof/>
              </w:rPr>
              <w:t>2.2.5.4 Résultats d’appariement de l’activité abattage découpe (10.11.Z) :</w:t>
            </w:r>
            <w:r w:rsidR="00A63F35">
              <w:rPr>
                <w:noProof/>
                <w:webHidden/>
              </w:rPr>
              <w:tab/>
            </w:r>
            <w:r w:rsidR="00A63F35">
              <w:rPr>
                <w:noProof/>
                <w:webHidden/>
              </w:rPr>
              <w:fldChar w:fldCharType="begin"/>
            </w:r>
            <w:r w:rsidR="00A63F35">
              <w:rPr>
                <w:noProof/>
                <w:webHidden/>
              </w:rPr>
              <w:instrText xml:space="preserve"> PAGEREF _Toc78131562 \h </w:instrText>
            </w:r>
            <w:r w:rsidR="00A63F35">
              <w:rPr>
                <w:noProof/>
                <w:webHidden/>
              </w:rPr>
            </w:r>
            <w:r w:rsidR="00A63F35">
              <w:rPr>
                <w:noProof/>
                <w:webHidden/>
              </w:rPr>
              <w:fldChar w:fldCharType="separate"/>
            </w:r>
            <w:r w:rsidR="009044D1">
              <w:rPr>
                <w:noProof/>
                <w:webHidden/>
              </w:rPr>
              <w:t>15</w:t>
            </w:r>
            <w:r w:rsidR="00A63F35">
              <w:rPr>
                <w:noProof/>
                <w:webHidden/>
              </w:rPr>
              <w:fldChar w:fldCharType="end"/>
            </w:r>
          </w:hyperlink>
        </w:p>
        <w:p w14:paraId="140E78D5" w14:textId="2A87712C" w:rsidR="00A63F35" w:rsidRDefault="00000000">
          <w:pPr>
            <w:pStyle w:val="TM4"/>
            <w:rPr>
              <w:rFonts w:asciiTheme="minorHAnsi" w:eastAsiaTheme="minorEastAsia" w:hAnsiTheme="minorHAnsi"/>
              <w:noProof/>
              <w:lang w:eastAsia="fr-FR"/>
            </w:rPr>
          </w:pPr>
          <w:hyperlink w:anchor="_Toc78131563" w:history="1">
            <w:r w:rsidR="00A63F35" w:rsidRPr="00725021">
              <w:rPr>
                <w:rStyle w:val="Lienhypertexte"/>
                <w:noProof/>
              </w:rPr>
              <w:t>2.2.5.5. Résultats d’appariement de l’activité de charcuterie et salaison (10.13.A) :</w:t>
            </w:r>
            <w:r w:rsidR="00A63F35">
              <w:rPr>
                <w:noProof/>
                <w:webHidden/>
              </w:rPr>
              <w:tab/>
            </w:r>
            <w:r w:rsidR="00A63F35">
              <w:rPr>
                <w:noProof/>
                <w:webHidden/>
              </w:rPr>
              <w:fldChar w:fldCharType="begin"/>
            </w:r>
            <w:r w:rsidR="00A63F35">
              <w:rPr>
                <w:noProof/>
                <w:webHidden/>
              </w:rPr>
              <w:instrText xml:space="preserve"> PAGEREF _Toc78131563 \h </w:instrText>
            </w:r>
            <w:r w:rsidR="00A63F35">
              <w:rPr>
                <w:noProof/>
                <w:webHidden/>
              </w:rPr>
            </w:r>
            <w:r w:rsidR="00A63F35">
              <w:rPr>
                <w:noProof/>
                <w:webHidden/>
              </w:rPr>
              <w:fldChar w:fldCharType="separate"/>
            </w:r>
            <w:r w:rsidR="009044D1">
              <w:rPr>
                <w:noProof/>
                <w:webHidden/>
              </w:rPr>
              <w:t>17</w:t>
            </w:r>
            <w:r w:rsidR="00A63F35">
              <w:rPr>
                <w:noProof/>
                <w:webHidden/>
              </w:rPr>
              <w:fldChar w:fldCharType="end"/>
            </w:r>
          </w:hyperlink>
        </w:p>
        <w:p w14:paraId="0A3E3270" w14:textId="684669E9" w:rsidR="00A63F35" w:rsidRDefault="00000000">
          <w:pPr>
            <w:pStyle w:val="TM4"/>
            <w:rPr>
              <w:rFonts w:asciiTheme="minorHAnsi" w:eastAsiaTheme="minorEastAsia" w:hAnsiTheme="minorHAnsi"/>
              <w:noProof/>
              <w:lang w:eastAsia="fr-FR"/>
            </w:rPr>
          </w:pPr>
          <w:hyperlink w:anchor="_Toc78131564" w:history="1">
            <w:r w:rsidR="00A63F35" w:rsidRPr="00725021">
              <w:rPr>
                <w:rStyle w:val="Lienhypertexte"/>
                <w:noProof/>
              </w:rPr>
              <w:t>2.2.5.6. Résultats d’appariement de l’activité (10.85.A) :</w:t>
            </w:r>
            <w:r w:rsidR="00A63F35">
              <w:rPr>
                <w:noProof/>
                <w:webHidden/>
              </w:rPr>
              <w:tab/>
            </w:r>
            <w:r w:rsidR="00A63F35">
              <w:rPr>
                <w:noProof/>
                <w:webHidden/>
              </w:rPr>
              <w:fldChar w:fldCharType="begin"/>
            </w:r>
            <w:r w:rsidR="00A63F35">
              <w:rPr>
                <w:noProof/>
                <w:webHidden/>
              </w:rPr>
              <w:instrText xml:space="preserve"> PAGEREF _Toc78131564 \h </w:instrText>
            </w:r>
            <w:r w:rsidR="00A63F35">
              <w:rPr>
                <w:noProof/>
                <w:webHidden/>
              </w:rPr>
            </w:r>
            <w:r w:rsidR="00A63F35">
              <w:rPr>
                <w:noProof/>
                <w:webHidden/>
              </w:rPr>
              <w:fldChar w:fldCharType="separate"/>
            </w:r>
            <w:r w:rsidR="009044D1">
              <w:rPr>
                <w:noProof/>
                <w:webHidden/>
              </w:rPr>
              <w:t>20</w:t>
            </w:r>
            <w:r w:rsidR="00A63F35">
              <w:rPr>
                <w:noProof/>
                <w:webHidden/>
              </w:rPr>
              <w:fldChar w:fldCharType="end"/>
            </w:r>
          </w:hyperlink>
        </w:p>
        <w:p w14:paraId="0F21A8DD" w14:textId="0B4B6A24" w:rsidR="00A63F35" w:rsidRDefault="00000000">
          <w:pPr>
            <w:pStyle w:val="TM1"/>
            <w:tabs>
              <w:tab w:val="left" w:pos="440"/>
              <w:tab w:val="right" w:leader="dot" w:pos="9060"/>
            </w:tabs>
            <w:rPr>
              <w:rFonts w:asciiTheme="minorHAnsi" w:eastAsiaTheme="minorEastAsia" w:hAnsiTheme="minorHAnsi"/>
              <w:noProof/>
              <w:lang w:eastAsia="fr-FR"/>
            </w:rPr>
          </w:pPr>
          <w:hyperlink w:anchor="_Toc78131565" w:history="1">
            <w:r w:rsidR="00A63F35" w:rsidRPr="00725021">
              <w:rPr>
                <w:rStyle w:val="Lienhypertexte"/>
                <w:noProof/>
              </w:rPr>
              <w:t>3.</w:t>
            </w:r>
            <w:r w:rsidR="00A63F35">
              <w:rPr>
                <w:rFonts w:asciiTheme="minorHAnsi" w:eastAsiaTheme="minorEastAsia" w:hAnsiTheme="minorHAnsi"/>
                <w:noProof/>
                <w:lang w:eastAsia="fr-FR"/>
              </w:rPr>
              <w:tab/>
            </w:r>
            <w:r w:rsidR="00A63F35" w:rsidRPr="00725021">
              <w:rPr>
                <w:rStyle w:val="Lienhypertexte"/>
                <w:noProof/>
              </w:rPr>
              <w:t>Enquêtes de mesure des comportements déclaratifs de consommation ou d’achats</w:t>
            </w:r>
            <w:r w:rsidR="00A63F35">
              <w:rPr>
                <w:noProof/>
                <w:webHidden/>
              </w:rPr>
              <w:tab/>
            </w:r>
            <w:r w:rsidR="00A63F35">
              <w:rPr>
                <w:noProof/>
                <w:webHidden/>
              </w:rPr>
              <w:fldChar w:fldCharType="begin"/>
            </w:r>
            <w:r w:rsidR="00A63F35">
              <w:rPr>
                <w:noProof/>
                <w:webHidden/>
              </w:rPr>
              <w:instrText xml:space="preserve"> PAGEREF _Toc78131565 \h </w:instrText>
            </w:r>
            <w:r w:rsidR="00A63F35">
              <w:rPr>
                <w:noProof/>
                <w:webHidden/>
              </w:rPr>
            </w:r>
            <w:r w:rsidR="00A63F35">
              <w:rPr>
                <w:noProof/>
                <w:webHidden/>
              </w:rPr>
              <w:fldChar w:fldCharType="separate"/>
            </w:r>
            <w:r w:rsidR="009044D1">
              <w:rPr>
                <w:noProof/>
                <w:webHidden/>
              </w:rPr>
              <w:t>21</w:t>
            </w:r>
            <w:r w:rsidR="00A63F35">
              <w:rPr>
                <w:noProof/>
                <w:webHidden/>
              </w:rPr>
              <w:fldChar w:fldCharType="end"/>
            </w:r>
          </w:hyperlink>
        </w:p>
        <w:p w14:paraId="1957E647" w14:textId="4D3A114A" w:rsidR="00A63F35" w:rsidRDefault="00000000">
          <w:pPr>
            <w:pStyle w:val="TM2"/>
            <w:tabs>
              <w:tab w:val="left" w:pos="880"/>
              <w:tab w:val="right" w:leader="dot" w:pos="9060"/>
            </w:tabs>
            <w:rPr>
              <w:rFonts w:asciiTheme="minorHAnsi" w:eastAsiaTheme="minorEastAsia" w:hAnsiTheme="minorHAnsi"/>
              <w:noProof/>
              <w:lang w:eastAsia="fr-FR"/>
            </w:rPr>
          </w:pPr>
          <w:hyperlink w:anchor="_Toc78131566" w:history="1">
            <w:r w:rsidR="00A63F35" w:rsidRPr="00725021">
              <w:rPr>
                <w:rStyle w:val="Lienhypertexte"/>
                <w:noProof/>
              </w:rPr>
              <w:t>3.1.</w:t>
            </w:r>
            <w:r w:rsidR="00A63F35">
              <w:rPr>
                <w:rFonts w:asciiTheme="minorHAnsi" w:eastAsiaTheme="minorEastAsia" w:hAnsiTheme="minorHAnsi"/>
                <w:noProof/>
                <w:lang w:eastAsia="fr-FR"/>
              </w:rPr>
              <w:tab/>
            </w:r>
            <w:r w:rsidR="00A63F35" w:rsidRPr="00725021">
              <w:rPr>
                <w:rStyle w:val="Lienhypertexte"/>
                <w:noProof/>
              </w:rPr>
              <w:t>L’enquête budget des familles de l’INSEE et l’enquête annuelle des comptes nationaux base 2014</w:t>
            </w:r>
            <w:r w:rsidR="00A63F35">
              <w:rPr>
                <w:noProof/>
                <w:webHidden/>
              </w:rPr>
              <w:tab/>
            </w:r>
            <w:r w:rsidR="00A63F35">
              <w:rPr>
                <w:noProof/>
                <w:webHidden/>
              </w:rPr>
              <w:fldChar w:fldCharType="begin"/>
            </w:r>
            <w:r w:rsidR="00A63F35">
              <w:rPr>
                <w:noProof/>
                <w:webHidden/>
              </w:rPr>
              <w:instrText xml:space="preserve"> PAGEREF _Toc78131566 \h </w:instrText>
            </w:r>
            <w:r w:rsidR="00A63F35">
              <w:rPr>
                <w:noProof/>
                <w:webHidden/>
              </w:rPr>
            </w:r>
            <w:r w:rsidR="00A63F35">
              <w:rPr>
                <w:noProof/>
                <w:webHidden/>
              </w:rPr>
              <w:fldChar w:fldCharType="separate"/>
            </w:r>
            <w:r w:rsidR="009044D1">
              <w:rPr>
                <w:noProof/>
                <w:webHidden/>
              </w:rPr>
              <w:t>23</w:t>
            </w:r>
            <w:r w:rsidR="00A63F35">
              <w:rPr>
                <w:noProof/>
                <w:webHidden/>
              </w:rPr>
              <w:fldChar w:fldCharType="end"/>
            </w:r>
          </w:hyperlink>
        </w:p>
        <w:p w14:paraId="5C29E9EA" w14:textId="614E03B3" w:rsidR="00A63F35" w:rsidRDefault="00000000">
          <w:pPr>
            <w:pStyle w:val="TM3"/>
            <w:rPr>
              <w:rFonts w:asciiTheme="minorHAnsi" w:eastAsiaTheme="minorEastAsia" w:hAnsiTheme="minorHAnsi"/>
              <w:noProof/>
              <w:lang w:eastAsia="fr-FR"/>
            </w:rPr>
          </w:pPr>
          <w:hyperlink w:anchor="_Toc78131567" w:history="1">
            <w:r w:rsidR="00A63F35" w:rsidRPr="00725021">
              <w:rPr>
                <w:rStyle w:val="Lienhypertexte"/>
                <w:noProof/>
              </w:rPr>
              <w:t>3.1.1. Objectifs et méthode de l’enquête</w:t>
            </w:r>
            <w:r w:rsidR="00A63F35">
              <w:rPr>
                <w:noProof/>
                <w:webHidden/>
              </w:rPr>
              <w:tab/>
            </w:r>
            <w:r w:rsidR="00A63F35">
              <w:rPr>
                <w:noProof/>
                <w:webHidden/>
              </w:rPr>
              <w:fldChar w:fldCharType="begin"/>
            </w:r>
            <w:r w:rsidR="00A63F35">
              <w:rPr>
                <w:noProof/>
                <w:webHidden/>
              </w:rPr>
              <w:instrText xml:space="preserve"> PAGEREF _Toc78131567 \h </w:instrText>
            </w:r>
            <w:r w:rsidR="00A63F35">
              <w:rPr>
                <w:noProof/>
                <w:webHidden/>
              </w:rPr>
            </w:r>
            <w:r w:rsidR="00A63F35">
              <w:rPr>
                <w:noProof/>
                <w:webHidden/>
              </w:rPr>
              <w:fldChar w:fldCharType="separate"/>
            </w:r>
            <w:r w:rsidR="009044D1">
              <w:rPr>
                <w:noProof/>
                <w:webHidden/>
              </w:rPr>
              <w:t>23</w:t>
            </w:r>
            <w:r w:rsidR="00A63F35">
              <w:rPr>
                <w:noProof/>
                <w:webHidden/>
              </w:rPr>
              <w:fldChar w:fldCharType="end"/>
            </w:r>
          </w:hyperlink>
        </w:p>
        <w:p w14:paraId="4EFF91B8" w14:textId="336348F3" w:rsidR="00A63F35" w:rsidRDefault="00000000">
          <w:pPr>
            <w:pStyle w:val="TM3"/>
            <w:rPr>
              <w:rFonts w:asciiTheme="minorHAnsi" w:eastAsiaTheme="minorEastAsia" w:hAnsiTheme="minorHAnsi"/>
              <w:noProof/>
              <w:lang w:eastAsia="fr-FR"/>
            </w:rPr>
          </w:pPr>
          <w:hyperlink w:anchor="_Toc78131568" w:history="1">
            <w:r w:rsidR="00A63F35" w:rsidRPr="00725021">
              <w:rPr>
                <w:rStyle w:val="Lienhypertexte"/>
                <w:noProof/>
              </w:rPr>
              <w:t>3.1.2. Principaux résultats pour les protéines carnées</w:t>
            </w:r>
            <w:r w:rsidR="00A63F35">
              <w:rPr>
                <w:noProof/>
                <w:webHidden/>
              </w:rPr>
              <w:tab/>
            </w:r>
            <w:r w:rsidR="00A63F35">
              <w:rPr>
                <w:noProof/>
                <w:webHidden/>
              </w:rPr>
              <w:fldChar w:fldCharType="begin"/>
            </w:r>
            <w:r w:rsidR="00A63F35">
              <w:rPr>
                <w:noProof/>
                <w:webHidden/>
              </w:rPr>
              <w:instrText xml:space="preserve"> PAGEREF _Toc78131568 \h </w:instrText>
            </w:r>
            <w:r w:rsidR="00A63F35">
              <w:rPr>
                <w:noProof/>
                <w:webHidden/>
              </w:rPr>
            </w:r>
            <w:r w:rsidR="00A63F35">
              <w:rPr>
                <w:noProof/>
                <w:webHidden/>
              </w:rPr>
              <w:fldChar w:fldCharType="separate"/>
            </w:r>
            <w:r w:rsidR="009044D1">
              <w:rPr>
                <w:noProof/>
                <w:webHidden/>
              </w:rPr>
              <w:t>23</w:t>
            </w:r>
            <w:r w:rsidR="00A63F35">
              <w:rPr>
                <w:noProof/>
                <w:webHidden/>
              </w:rPr>
              <w:fldChar w:fldCharType="end"/>
            </w:r>
          </w:hyperlink>
        </w:p>
        <w:p w14:paraId="3D862645" w14:textId="2B51F136" w:rsidR="00A63F35" w:rsidRDefault="00000000">
          <w:pPr>
            <w:pStyle w:val="TM3"/>
            <w:rPr>
              <w:rFonts w:asciiTheme="minorHAnsi" w:eastAsiaTheme="minorEastAsia" w:hAnsiTheme="minorHAnsi"/>
              <w:noProof/>
              <w:lang w:eastAsia="fr-FR"/>
            </w:rPr>
          </w:pPr>
          <w:hyperlink w:anchor="_Toc78131569" w:history="1">
            <w:r w:rsidR="00A63F35" w:rsidRPr="00725021">
              <w:rPr>
                <w:rStyle w:val="Lienhypertexte"/>
                <w:noProof/>
              </w:rPr>
              <w:t>3.1.3. Limites de l’enquête BDF :</w:t>
            </w:r>
            <w:r w:rsidR="00A63F35">
              <w:rPr>
                <w:noProof/>
                <w:webHidden/>
              </w:rPr>
              <w:tab/>
            </w:r>
            <w:r w:rsidR="00A63F35">
              <w:rPr>
                <w:noProof/>
                <w:webHidden/>
              </w:rPr>
              <w:fldChar w:fldCharType="begin"/>
            </w:r>
            <w:r w:rsidR="00A63F35">
              <w:rPr>
                <w:noProof/>
                <w:webHidden/>
              </w:rPr>
              <w:instrText xml:space="preserve"> PAGEREF _Toc78131569 \h </w:instrText>
            </w:r>
            <w:r w:rsidR="00A63F35">
              <w:rPr>
                <w:noProof/>
                <w:webHidden/>
              </w:rPr>
            </w:r>
            <w:r w:rsidR="00A63F35">
              <w:rPr>
                <w:noProof/>
                <w:webHidden/>
              </w:rPr>
              <w:fldChar w:fldCharType="separate"/>
            </w:r>
            <w:r w:rsidR="009044D1">
              <w:rPr>
                <w:noProof/>
                <w:webHidden/>
              </w:rPr>
              <w:t>24</w:t>
            </w:r>
            <w:r w:rsidR="00A63F35">
              <w:rPr>
                <w:noProof/>
                <w:webHidden/>
              </w:rPr>
              <w:fldChar w:fldCharType="end"/>
            </w:r>
          </w:hyperlink>
        </w:p>
        <w:p w14:paraId="5E770A85" w14:textId="6F40DD03" w:rsidR="00A63F35" w:rsidRDefault="00000000">
          <w:pPr>
            <w:pStyle w:val="TM3"/>
            <w:rPr>
              <w:rFonts w:asciiTheme="minorHAnsi" w:eastAsiaTheme="minorEastAsia" w:hAnsiTheme="minorHAnsi"/>
              <w:noProof/>
              <w:lang w:eastAsia="fr-FR"/>
            </w:rPr>
          </w:pPr>
          <w:hyperlink w:anchor="_Toc78131570" w:history="1">
            <w:r w:rsidR="00A63F35" w:rsidRPr="00725021">
              <w:rPr>
                <w:rStyle w:val="Lienhypertexte"/>
                <w:noProof/>
              </w:rPr>
              <w:t>3.1.4. Comparaison de l’enquête BDF avec les données de la comptabilité nationale base 2014</w:t>
            </w:r>
            <w:r w:rsidR="00A63F35">
              <w:rPr>
                <w:noProof/>
                <w:webHidden/>
              </w:rPr>
              <w:tab/>
            </w:r>
            <w:r w:rsidR="00A63F35">
              <w:rPr>
                <w:noProof/>
                <w:webHidden/>
              </w:rPr>
              <w:fldChar w:fldCharType="begin"/>
            </w:r>
            <w:r w:rsidR="00A63F35">
              <w:rPr>
                <w:noProof/>
                <w:webHidden/>
              </w:rPr>
              <w:instrText xml:space="preserve"> PAGEREF _Toc78131570 \h </w:instrText>
            </w:r>
            <w:r w:rsidR="00A63F35">
              <w:rPr>
                <w:noProof/>
                <w:webHidden/>
              </w:rPr>
            </w:r>
            <w:r w:rsidR="00A63F35">
              <w:rPr>
                <w:noProof/>
                <w:webHidden/>
              </w:rPr>
              <w:fldChar w:fldCharType="separate"/>
            </w:r>
            <w:r w:rsidR="009044D1">
              <w:rPr>
                <w:noProof/>
                <w:webHidden/>
              </w:rPr>
              <w:t>25</w:t>
            </w:r>
            <w:r w:rsidR="00A63F35">
              <w:rPr>
                <w:noProof/>
                <w:webHidden/>
              </w:rPr>
              <w:fldChar w:fldCharType="end"/>
            </w:r>
          </w:hyperlink>
        </w:p>
        <w:p w14:paraId="17DB67E9" w14:textId="6062D13E" w:rsidR="00A63F35" w:rsidRDefault="00000000">
          <w:pPr>
            <w:pStyle w:val="TM3"/>
            <w:rPr>
              <w:rFonts w:asciiTheme="minorHAnsi" w:eastAsiaTheme="minorEastAsia" w:hAnsiTheme="minorHAnsi"/>
              <w:noProof/>
              <w:lang w:eastAsia="fr-FR"/>
            </w:rPr>
          </w:pPr>
          <w:hyperlink w:anchor="_Toc78131571" w:history="1">
            <w:r w:rsidR="00A63F35" w:rsidRPr="00725021">
              <w:rPr>
                <w:rStyle w:val="Lienhypertexte"/>
                <w:noProof/>
              </w:rPr>
              <w:t>3.1.5. Principaux résultats d’analyse des comptes nationaux base 2014</w:t>
            </w:r>
            <w:r w:rsidR="00A63F35">
              <w:rPr>
                <w:noProof/>
                <w:webHidden/>
              </w:rPr>
              <w:tab/>
            </w:r>
            <w:r w:rsidR="00A63F35">
              <w:rPr>
                <w:noProof/>
                <w:webHidden/>
              </w:rPr>
              <w:fldChar w:fldCharType="begin"/>
            </w:r>
            <w:r w:rsidR="00A63F35">
              <w:rPr>
                <w:noProof/>
                <w:webHidden/>
              </w:rPr>
              <w:instrText xml:space="preserve"> PAGEREF _Toc78131571 \h </w:instrText>
            </w:r>
            <w:r w:rsidR="00A63F35">
              <w:rPr>
                <w:noProof/>
                <w:webHidden/>
              </w:rPr>
            </w:r>
            <w:r w:rsidR="00A63F35">
              <w:rPr>
                <w:noProof/>
                <w:webHidden/>
              </w:rPr>
              <w:fldChar w:fldCharType="separate"/>
            </w:r>
            <w:r w:rsidR="009044D1">
              <w:rPr>
                <w:noProof/>
                <w:webHidden/>
              </w:rPr>
              <w:t>25</w:t>
            </w:r>
            <w:r w:rsidR="00A63F35">
              <w:rPr>
                <w:noProof/>
                <w:webHidden/>
              </w:rPr>
              <w:fldChar w:fldCharType="end"/>
            </w:r>
          </w:hyperlink>
        </w:p>
        <w:p w14:paraId="572E1615" w14:textId="6A220400" w:rsidR="00A63F35" w:rsidRDefault="00000000">
          <w:pPr>
            <w:pStyle w:val="TM2"/>
            <w:tabs>
              <w:tab w:val="left" w:pos="880"/>
              <w:tab w:val="right" w:leader="dot" w:pos="9060"/>
            </w:tabs>
            <w:rPr>
              <w:rFonts w:asciiTheme="minorHAnsi" w:eastAsiaTheme="minorEastAsia" w:hAnsiTheme="minorHAnsi"/>
              <w:noProof/>
              <w:lang w:eastAsia="fr-FR"/>
            </w:rPr>
          </w:pPr>
          <w:hyperlink w:anchor="_Toc78131572" w:history="1">
            <w:r w:rsidR="00A63F35" w:rsidRPr="00725021">
              <w:rPr>
                <w:rStyle w:val="Lienhypertexte"/>
                <w:noProof/>
              </w:rPr>
              <w:t>3.2.</w:t>
            </w:r>
            <w:r w:rsidR="00A63F35">
              <w:rPr>
                <w:rFonts w:asciiTheme="minorHAnsi" w:eastAsiaTheme="minorEastAsia" w:hAnsiTheme="minorHAnsi"/>
                <w:noProof/>
                <w:lang w:eastAsia="fr-FR"/>
              </w:rPr>
              <w:tab/>
            </w:r>
            <w:r w:rsidR="00A63F35" w:rsidRPr="00725021">
              <w:rPr>
                <w:rStyle w:val="Lienhypertexte"/>
                <w:noProof/>
              </w:rPr>
              <w:t>Données Anses, Enquête Inca</w:t>
            </w:r>
            <w:r w:rsidR="00A63F35">
              <w:rPr>
                <w:noProof/>
                <w:webHidden/>
              </w:rPr>
              <w:tab/>
            </w:r>
            <w:r w:rsidR="00A63F35">
              <w:rPr>
                <w:noProof/>
                <w:webHidden/>
              </w:rPr>
              <w:fldChar w:fldCharType="begin"/>
            </w:r>
            <w:r w:rsidR="00A63F35">
              <w:rPr>
                <w:noProof/>
                <w:webHidden/>
              </w:rPr>
              <w:instrText xml:space="preserve"> PAGEREF _Toc78131572 \h </w:instrText>
            </w:r>
            <w:r w:rsidR="00A63F35">
              <w:rPr>
                <w:noProof/>
                <w:webHidden/>
              </w:rPr>
            </w:r>
            <w:r w:rsidR="00A63F35">
              <w:rPr>
                <w:noProof/>
                <w:webHidden/>
              </w:rPr>
              <w:fldChar w:fldCharType="separate"/>
            </w:r>
            <w:r w:rsidR="009044D1">
              <w:rPr>
                <w:noProof/>
                <w:webHidden/>
              </w:rPr>
              <w:t>26</w:t>
            </w:r>
            <w:r w:rsidR="00A63F35">
              <w:rPr>
                <w:noProof/>
                <w:webHidden/>
              </w:rPr>
              <w:fldChar w:fldCharType="end"/>
            </w:r>
          </w:hyperlink>
        </w:p>
        <w:p w14:paraId="1E120590" w14:textId="2F32CD20" w:rsidR="00A63F35" w:rsidRDefault="00000000">
          <w:pPr>
            <w:pStyle w:val="TM3"/>
            <w:rPr>
              <w:rFonts w:asciiTheme="minorHAnsi" w:eastAsiaTheme="minorEastAsia" w:hAnsiTheme="minorHAnsi"/>
              <w:noProof/>
              <w:lang w:eastAsia="fr-FR"/>
            </w:rPr>
          </w:pPr>
          <w:hyperlink w:anchor="_Toc78131573" w:history="1">
            <w:r w:rsidR="00A63F35" w:rsidRPr="00725021">
              <w:rPr>
                <w:rStyle w:val="Lienhypertexte"/>
                <w:noProof/>
              </w:rPr>
              <w:t>3.2.1. Objectifs et méthode de l’enquête</w:t>
            </w:r>
            <w:r w:rsidR="00A63F35">
              <w:rPr>
                <w:noProof/>
                <w:webHidden/>
              </w:rPr>
              <w:tab/>
            </w:r>
            <w:r w:rsidR="00A63F35">
              <w:rPr>
                <w:noProof/>
                <w:webHidden/>
              </w:rPr>
              <w:fldChar w:fldCharType="begin"/>
            </w:r>
            <w:r w:rsidR="00A63F35">
              <w:rPr>
                <w:noProof/>
                <w:webHidden/>
              </w:rPr>
              <w:instrText xml:space="preserve"> PAGEREF _Toc78131573 \h </w:instrText>
            </w:r>
            <w:r w:rsidR="00A63F35">
              <w:rPr>
                <w:noProof/>
                <w:webHidden/>
              </w:rPr>
            </w:r>
            <w:r w:rsidR="00A63F35">
              <w:rPr>
                <w:noProof/>
                <w:webHidden/>
              </w:rPr>
              <w:fldChar w:fldCharType="separate"/>
            </w:r>
            <w:r w:rsidR="009044D1">
              <w:rPr>
                <w:noProof/>
                <w:webHidden/>
              </w:rPr>
              <w:t>27</w:t>
            </w:r>
            <w:r w:rsidR="00A63F35">
              <w:rPr>
                <w:noProof/>
                <w:webHidden/>
              </w:rPr>
              <w:fldChar w:fldCharType="end"/>
            </w:r>
          </w:hyperlink>
        </w:p>
        <w:p w14:paraId="346C284D" w14:textId="3344535D" w:rsidR="00A63F35" w:rsidRDefault="00000000">
          <w:pPr>
            <w:pStyle w:val="TM3"/>
            <w:rPr>
              <w:rFonts w:asciiTheme="minorHAnsi" w:eastAsiaTheme="minorEastAsia" w:hAnsiTheme="minorHAnsi"/>
              <w:noProof/>
              <w:lang w:eastAsia="fr-FR"/>
            </w:rPr>
          </w:pPr>
          <w:hyperlink w:anchor="_Toc78131574" w:history="1">
            <w:r w:rsidR="00A63F35" w:rsidRPr="00725021">
              <w:rPr>
                <w:rStyle w:val="Lienhypertexte"/>
                <w:noProof/>
              </w:rPr>
              <w:t>3.2.2. Principaux résultats pour les protéines carnées</w:t>
            </w:r>
            <w:r w:rsidR="00A63F35">
              <w:rPr>
                <w:noProof/>
                <w:webHidden/>
              </w:rPr>
              <w:tab/>
            </w:r>
            <w:r w:rsidR="00A63F35">
              <w:rPr>
                <w:noProof/>
                <w:webHidden/>
              </w:rPr>
              <w:fldChar w:fldCharType="begin"/>
            </w:r>
            <w:r w:rsidR="00A63F35">
              <w:rPr>
                <w:noProof/>
                <w:webHidden/>
              </w:rPr>
              <w:instrText xml:space="preserve"> PAGEREF _Toc78131574 \h </w:instrText>
            </w:r>
            <w:r w:rsidR="00A63F35">
              <w:rPr>
                <w:noProof/>
                <w:webHidden/>
              </w:rPr>
            </w:r>
            <w:r w:rsidR="00A63F35">
              <w:rPr>
                <w:noProof/>
                <w:webHidden/>
              </w:rPr>
              <w:fldChar w:fldCharType="separate"/>
            </w:r>
            <w:r w:rsidR="009044D1">
              <w:rPr>
                <w:noProof/>
                <w:webHidden/>
              </w:rPr>
              <w:t>28</w:t>
            </w:r>
            <w:r w:rsidR="00A63F35">
              <w:rPr>
                <w:noProof/>
                <w:webHidden/>
              </w:rPr>
              <w:fldChar w:fldCharType="end"/>
            </w:r>
          </w:hyperlink>
        </w:p>
        <w:p w14:paraId="3452D449" w14:textId="3BBC0DC2" w:rsidR="00A63F35" w:rsidRDefault="00000000">
          <w:pPr>
            <w:pStyle w:val="TM3"/>
            <w:rPr>
              <w:rFonts w:asciiTheme="minorHAnsi" w:eastAsiaTheme="minorEastAsia" w:hAnsiTheme="minorHAnsi"/>
              <w:noProof/>
              <w:lang w:eastAsia="fr-FR"/>
            </w:rPr>
          </w:pPr>
          <w:hyperlink w:anchor="_Toc78131575" w:history="1">
            <w:r w:rsidR="00A63F35" w:rsidRPr="00725021">
              <w:rPr>
                <w:rStyle w:val="Lienhypertexte"/>
                <w:noProof/>
              </w:rPr>
              <w:t>3.2.3. Poids relatif de la consommation Hors Domicile</w:t>
            </w:r>
            <w:r w:rsidR="00A63F35">
              <w:rPr>
                <w:noProof/>
                <w:webHidden/>
              </w:rPr>
              <w:tab/>
            </w:r>
            <w:r w:rsidR="00A63F35">
              <w:rPr>
                <w:noProof/>
                <w:webHidden/>
              </w:rPr>
              <w:fldChar w:fldCharType="begin"/>
            </w:r>
            <w:r w:rsidR="00A63F35">
              <w:rPr>
                <w:noProof/>
                <w:webHidden/>
              </w:rPr>
              <w:instrText xml:space="preserve"> PAGEREF _Toc78131575 \h </w:instrText>
            </w:r>
            <w:r w:rsidR="00A63F35">
              <w:rPr>
                <w:noProof/>
                <w:webHidden/>
              </w:rPr>
            </w:r>
            <w:r w:rsidR="00A63F35">
              <w:rPr>
                <w:noProof/>
                <w:webHidden/>
              </w:rPr>
              <w:fldChar w:fldCharType="separate"/>
            </w:r>
            <w:r w:rsidR="009044D1">
              <w:rPr>
                <w:noProof/>
                <w:webHidden/>
              </w:rPr>
              <w:t>29</w:t>
            </w:r>
            <w:r w:rsidR="00A63F35">
              <w:rPr>
                <w:noProof/>
                <w:webHidden/>
              </w:rPr>
              <w:fldChar w:fldCharType="end"/>
            </w:r>
          </w:hyperlink>
        </w:p>
        <w:p w14:paraId="68A6C4D7" w14:textId="1BCFD9BF" w:rsidR="00A63F35" w:rsidRDefault="00000000">
          <w:pPr>
            <w:pStyle w:val="TM3"/>
            <w:rPr>
              <w:rFonts w:asciiTheme="minorHAnsi" w:eastAsiaTheme="minorEastAsia" w:hAnsiTheme="minorHAnsi"/>
              <w:noProof/>
              <w:lang w:eastAsia="fr-FR"/>
            </w:rPr>
          </w:pPr>
          <w:hyperlink w:anchor="_Toc78131576" w:history="1">
            <w:r w:rsidR="00A63F35" w:rsidRPr="00725021">
              <w:rPr>
                <w:rStyle w:val="Lienhypertexte"/>
                <w:noProof/>
              </w:rPr>
              <w:t>3.2.4. Discussion autour des limites de l’étude</w:t>
            </w:r>
            <w:r w:rsidR="00A63F35">
              <w:rPr>
                <w:noProof/>
                <w:webHidden/>
              </w:rPr>
              <w:tab/>
            </w:r>
            <w:r w:rsidR="00A63F35">
              <w:rPr>
                <w:noProof/>
                <w:webHidden/>
              </w:rPr>
              <w:fldChar w:fldCharType="begin"/>
            </w:r>
            <w:r w:rsidR="00A63F35">
              <w:rPr>
                <w:noProof/>
                <w:webHidden/>
              </w:rPr>
              <w:instrText xml:space="preserve"> PAGEREF _Toc78131576 \h </w:instrText>
            </w:r>
            <w:r w:rsidR="00A63F35">
              <w:rPr>
                <w:noProof/>
                <w:webHidden/>
              </w:rPr>
            </w:r>
            <w:r w:rsidR="00A63F35">
              <w:rPr>
                <w:noProof/>
                <w:webHidden/>
              </w:rPr>
              <w:fldChar w:fldCharType="separate"/>
            </w:r>
            <w:r w:rsidR="009044D1">
              <w:rPr>
                <w:noProof/>
                <w:webHidden/>
              </w:rPr>
              <w:t>30</w:t>
            </w:r>
            <w:r w:rsidR="00A63F35">
              <w:rPr>
                <w:noProof/>
                <w:webHidden/>
              </w:rPr>
              <w:fldChar w:fldCharType="end"/>
            </w:r>
          </w:hyperlink>
        </w:p>
        <w:p w14:paraId="60DA6184" w14:textId="7B73BDBF" w:rsidR="00A63F35" w:rsidRDefault="00000000">
          <w:pPr>
            <w:pStyle w:val="TM2"/>
            <w:tabs>
              <w:tab w:val="right" w:leader="dot" w:pos="9060"/>
            </w:tabs>
            <w:rPr>
              <w:rFonts w:asciiTheme="minorHAnsi" w:eastAsiaTheme="minorEastAsia" w:hAnsiTheme="minorHAnsi"/>
              <w:noProof/>
              <w:lang w:eastAsia="fr-FR"/>
            </w:rPr>
          </w:pPr>
          <w:hyperlink w:anchor="_Toc78131577" w:history="1">
            <w:r w:rsidR="00A63F35" w:rsidRPr="00725021">
              <w:rPr>
                <w:rStyle w:val="Lienhypertexte"/>
                <w:noProof/>
              </w:rPr>
              <w:t>3.3. Enquête CCAF / Credoc</w:t>
            </w:r>
            <w:r w:rsidR="00A63F35">
              <w:rPr>
                <w:noProof/>
                <w:webHidden/>
              </w:rPr>
              <w:tab/>
            </w:r>
            <w:r w:rsidR="00A63F35">
              <w:rPr>
                <w:noProof/>
                <w:webHidden/>
              </w:rPr>
              <w:fldChar w:fldCharType="begin"/>
            </w:r>
            <w:r w:rsidR="00A63F35">
              <w:rPr>
                <w:noProof/>
                <w:webHidden/>
              </w:rPr>
              <w:instrText xml:space="preserve"> PAGEREF _Toc78131577 \h </w:instrText>
            </w:r>
            <w:r w:rsidR="00A63F35">
              <w:rPr>
                <w:noProof/>
                <w:webHidden/>
              </w:rPr>
            </w:r>
            <w:r w:rsidR="00A63F35">
              <w:rPr>
                <w:noProof/>
                <w:webHidden/>
              </w:rPr>
              <w:fldChar w:fldCharType="separate"/>
            </w:r>
            <w:r w:rsidR="009044D1">
              <w:rPr>
                <w:noProof/>
                <w:webHidden/>
              </w:rPr>
              <w:t>30</w:t>
            </w:r>
            <w:r w:rsidR="00A63F35">
              <w:rPr>
                <w:noProof/>
                <w:webHidden/>
              </w:rPr>
              <w:fldChar w:fldCharType="end"/>
            </w:r>
          </w:hyperlink>
        </w:p>
        <w:p w14:paraId="34DBF6FF" w14:textId="43BA3A0F" w:rsidR="00A63F35" w:rsidRDefault="00000000">
          <w:pPr>
            <w:pStyle w:val="TM3"/>
            <w:rPr>
              <w:rFonts w:asciiTheme="minorHAnsi" w:eastAsiaTheme="minorEastAsia" w:hAnsiTheme="minorHAnsi"/>
              <w:noProof/>
              <w:lang w:eastAsia="fr-FR"/>
            </w:rPr>
          </w:pPr>
          <w:hyperlink w:anchor="_Toc78131578" w:history="1">
            <w:r w:rsidR="00A63F35" w:rsidRPr="00725021">
              <w:rPr>
                <w:rStyle w:val="Lienhypertexte"/>
                <w:noProof/>
              </w:rPr>
              <w:t>3.3.1. Objectifs et méthode de l’enquête</w:t>
            </w:r>
            <w:r w:rsidR="00A63F35">
              <w:rPr>
                <w:noProof/>
                <w:webHidden/>
              </w:rPr>
              <w:tab/>
            </w:r>
            <w:r w:rsidR="00A63F35">
              <w:rPr>
                <w:noProof/>
                <w:webHidden/>
              </w:rPr>
              <w:fldChar w:fldCharType="begin"/>
            </w:r>
            <w:r w:rsidR="00A63F35">
              <w:rPr>
                <w:noProof/>
                <w:webHidden/>
              </w:rPr>
              <w:instrText xml:space="preserve"> PAGEREF _Toc78131578 \h </w:instrText>
            </w:r>
            <w:r w:rsidR="00A63F35">
              <w:rPr>
                <w:noProof/>
                <w:webHidden/>
              </w:rPr>
            </w:r>
            <w:r w:rsidR="00A63F35">
              <w:rPr>
                <w:noProof/>
                <w:webHidden/>
              </w:rPr>
              <w:fldChar w:fldCharType="separate"/>
            </w:r>
            <w:r w:rsidR="009044D1">
              <w:rPr>
                <w:noProof/>
                <w:webHidden/>
              </w:rPr>
              <w:t>30</w:t>
            </w:r>
            <w:r w:rsidR="00A63F35">
              <w:rPr>
                <w:noProof/>
                <w:webHidden/>
              </w:rPr>
              <w:fldChar w:fldCharType="end"/>
            </w:r>
          </w:hyperlink>
        </w:p>
        <w:p w14:paraId="759F59A5" w14:textId="5FF529B0" w:rsidR="00A63F35" w:rsidRDefault="00000000">
          <w:pPr>
            <w:pStyle w:val="TM3"/>
            <w:rPr>
              <w:rFonts w:asciiTheme="minorHAnsi" w:eastAsiaTheme="minorEastAsia" w:hAnsiTheme="minorHAnsi"/>
              <w:noProof/>
              <w:lang w:eastAsia="fr-FR"/>
            </w:rPr>
          </w:pPr>
          <w:hyperlink w:anchor="_Toc78131579" w:history="1">
            <w:r w:rsidR="00A63F35" w:rsidRPr="00725021">
              <w:rPr>
                <w:rStyle w:val="Lienhypertexte"/>
                <w:noProof/>
              </w:rPr>
              <w:t>3.3.2. Résultats de l’enquête :</w:t>
            </w:r>
            <w:r w:rsidR="00A63F35">
              <w:rPr>
                <w:noProof/>
                <w:webHidden/>
              </w:rPr>
              <w:tab/>
            </w:r>
            <w:r w:rsidR="00A63F35">
              <w:rPr>
                <w:noProof/>
                <w:webHidden/>
              </w:rPr>
              <w:fldChar w:fldCharType="begin"/>
            </w:r>
            <w:r w:rsidR="00A63F35">
              <w:rPr>
                <w:noProof/>
                <w:webHidden/>
              </w:rPr>
              <w:instrText xml:space="preserve"> PAGEREF _Toc78131579 \h </w:instrText>
            </w:r>
            <w:r w:rsidR="00A63F35">
              <w:rPr>
                <w:noProof/>
                <w:webHidden/>
              </w:rPr>
            </w:r>
            <w:r w:rsidR="00A63F35">
              <w:rPr>
                <w:noProof/>
                <w:webHidden/>
              </w:rPr>
              <w:fldChar w:fldCharType="separate"/>
            </w:r>
            <w:r w:rsidR="009044D1">
              <w:rPr>
                <w:noProof/>
                <w:webHidden/>
              </w:rPr>
              <w:t>32</w:t>
            </w:r>
            <w:r w:rsidR="00A63F35">
              <w:rPr>
                <w:noProof/>
                <w:webHidden/>
              </w:rPr>
              <w:fldChar w:fldCharType="end"/>
            </w:r>
          </w:hyperlink>
        </w:p>
        <w:p w14:paraId="7D3EF3F1" w14:textId="38CE09AB" w:rsidR="00A63F35" w:rsidRDefault="00000000">
          <w:pPr>
            <w:pStyle w:val="TM4"/>
            <w:rPr>
              <w:rFonts w:asciiTheme="minorHAnsi" w:eastAsiaTheme="minorEastAsia" w:hAnsiTheme="minorHAnsi"/>
              <w:noProof/>
              <w:lang w:eastAsia="fr-FR"/>
            </w:rPr>
          </w:pPr>
          <w:hyperlink w:anchor="_Toc78131580" w:history="1">
            <w:r w:rsidR="00A63F35" w:rsidRPr="00725021">
              <w:rPr>
                <w:rStyle w:val="Lienhypertexte"/>
                <w:noProof/>
              </w:rPr>
              <w:t>3.3.2.1. Consommation de viande de porc</w:t>
            </w:r>
            <w:r w:rsidR="00A63F35">
              <w:rPr>
                <w:noProof/>
                <w:webHidden/>
              </w:rPr>
              <w:tab/>
            </w:r>
            <w:r w:rsidR="00A63F35">
              <w:rPr>
                <w:noProof/>
                <w:webHidden/>
              </w:rPr>
              <w:fldChar w:fldCharType="begin"/>
            </w:r>
            <w:r w:rsidR="00A63F35">
              <w:rPr>
                <w:noProof/>
                <w:webHidden/>
              </w:rPr>
              <w:instrText xml:space="preserve"> PAGEREF _Toc78131580 \h </w:instrText>
            </w:r>
            <w:r w:rsidR="00A63F35">
              <w:rPr>
                <w:noProof/>
                <w:webHidden/>
              </w:rPr>
            </w:r>
            <w:r w:rsidR="00A63F35">
              <w:rPr>
                <w:noProof/>
                <w:webHidden/>
              </w:rPr>
              <w:fldChar w:fldCharType="separate"/>
            </w:r>
            <w:r w:rsidR="009044D1">
              <w:rPr>
                <w:noProof/>
                <w:webHidden/>
              </w:rPr>
              <w:t>32</w:t>
            </w:r>
            <w:r w:rsidR="00A63F35">
              <w:rPr>
                <w:noProof/>
                <w:webHidden/>
              </w:rPr>
              <w:fldChar w:fldCharType="end"/>
            </w:r>
          </w:hyperlink>
        </w:p>
        <w:p w14:paraId="73215F0E" w14:textId="282F02B8" w:rsidR="00A63F35" w:rsidRDefault="00000000">
          <w:pPr>
            <w:pStyle w:val="TM4"/>
            <w:rPr>
              <w:rFonts w:asciiTheme="minorHAnsi" w:eastAsiaTheme="minorEastAsia" w:hAnsiTheme="minorHAnsi"/>
              <w:noProof/>
              <w:lang w:eastAsia="fr-FR"/>
            </w:rPr>
          </w:pPr>
          <w:hyperlink w:anchor="_Toc78131581" w:history="1">
            <w:r w:rsidR="00A63F35" w:rsidRPr="00725021">
              <w:rPr>
                <w:rStyle w:val="Lienhypertexte"/>
                <w:noProof/>
              </w:rPr>
              <w:t>3.3.2.2. Consommation de charcuteries hors saucisserie</w:t>
            </w:r>
            <w:r w:rsidR="00A63F35">
              <w:rPr>
                <w:noProof/>
                <w:webHidden/>
              </w:rPr>
              <w:tab/>
            </w:r>
            <w:r w:rsidR="00A63F35">
              <w:rPr>
                <w:noProof/>
                <w:webHidden/>
              </w:rPr>
              <w:fldChar w:fldCharType="begin"/>
            </w:r>
            <w:r w:rsidR="00A63F35">
              <w:rPr>
                <w:noProof/>
                <w:webHidden/>
              </w:rPr>
              <w:instrText xml:space="preserve"> PAGEREF _Toc78131581 \h </w:instrText>
            </w:r>
            <w:r w:rsidR="00A63F35">
              <w:rPr>
                <w:noProof/>
                <w:webHidden/>
              </w:rPr>
            </w:r>
            <w:r w:rsidR="00A63F35">
              <w:rPr>
                <w:noProof/>
                <w:webHidden/>
              </w:rPr>
              <w:fldChar w:fldCharType="separate"/>
            </w:r>
            <w:r w:rsidR="009044D1">
              <w:rPr>
                <w:noProof/>
                <w:webHidden/>
              </w:rPr>
              <w:t>33</w:t>
            </w:r>
            <w:r w:rsidR="00A63F35">
              <w:rPr>
                <w:noProof/>
                <w:webHidden/>
              </w:rPr>
              <w:fldChar w:fldCharType="end"/>
            </w:r>
          </w:hyperlink>
        </w:p>
        <w:p w14:paraId="62489BB0" w14:textId="551AFDA6" w:rsidR="00A63F35" w:rsidRDefault="00000000">
          <w:pPr>
            <w:pStyle w:val="TM4"/>
            <w:rPr>
              <w:rFonts w:asciiTheme="minorHAnsi" w:eastAsiaTheme="minorEastAsia" w:hAnsiTheme="minorHAnsi"/>
              <w:noProof/>
              <w:lang w:eastAsia="fr-FR"/>
            </w:rPr>
          </w:pPr>
          <w:hyperlink w:anchor="_Toc78131582" w:history="1">
            <w:r w:rsidR="00A63F35" w:rsidRPr="00725021">
              <w:rPr>
                <w:rStyle w:val="Lienhypertexte"/>
                <w:noProof/>
              </w:rPr>
              <w:t>3.3.2.3. Consommation de produits de saucisserie</w:t>
            </w:r>
            <w:r w:rsidR="00A63F35">
              <w:rPr>
                <w:noProof/>
                <w:webHidden/>
              </w:rPr>
              <w:tab/>
            </w:r>
            <w:r w:rsidR="00A63F35">
              <w:rPr>
                <w:noProof/>
                <w:webHidden/>
              </w:rPr>
              <w:fldChar w:fldCharType="begin"/>
            </w:r>
            <w:r w:rsidR="00A63F35">
              <w:rPr>
                <w:noProof/>
                <w:webHidden/>
              </w:rPr>
              <w:instrText xml:space="preserve"> PAGEREF _Toc78131582 \h </w:instrText>
            </w:r>
            <w:r w:rsidR="00A63F35">
              <w:rPr>
                <w:noProof/>
                <w:webHidden/>
              </w:rPr>
            </w:r>
            <w:r w:rsidR="00A63F35">
              <w:rPr>
                <w:noProof/>
                <w:webHidden/>
              </w:rPr>
              <w:fldChar w:fldCharType="separate"/>
            </w:r>
            <w:r w:rsidR="009044D1">
              <w:rPr>
                <w:noProof/>
                <w:webHidden/>
              </w:rPr>
              <w:t>34</w:t>
            </w:r>
            <w:r w:rsidR="00A63F35">
              <w:rPr>
                <w:noProof/>
                <w:webHidden/>
              </w:rPr>
              <w:fldChar w:fldCharType="end"/>
            </w:r>
          </w:hyperlink>
        </w:p>
        <w:p w14:paraId="168995AB" w14:textId="306B18D5" w:rsidR="00A63F35" w:rsidRDefault="00000000">
          <w:pPr>
            <w:pStyle w:val="TM4"/>
            <w:rPr>
              <w:rFonts w:asciiTheme="minorHAnsi" w:eastAsiaTheme="minorEastAsia" w:hAnsiTheme="minorHAnsi"/>
              <w:noProof/>
              <w:lang w:eastAsia="fr-FR"/>
            </w:rPr>
          </w:pPr>
          <w:hyperlink w:anchor="_Toc78131583" w:history="1">
            <w:r w:rsidR="00A63F35" w:rsidRPr="00725021">
              <w:rPr>
                <w:rStyle w:val="Lienhypertexte"/>
                <w:noProof/>
              </w:rPr>
              <w:t>3.3.2.4. Consommation du porc sous forme d’ingrédients</w:t>
            </w:r>
            <w:r w:rsidR="00A63F35">
              <w:rPr>
                <w:noProof/>
                <w:webHidden/>
              </w:rPr>
              <w:tab/>
            </w:r>
            <w:r w:rsidR="00A63F35">
              <w:rPr>
                <w:noProof/>
                <w:webHidden/>
              </w:rPr>
              <w:fldChar w:fldCharType="begin"/>
            </w:r>
            <w:r w:rsidR="00A63F35">
              <w:rPr>
                <w:noProof/>
                <w:webHidden/>
              </w:rPr>
              <w:instrText xml:space="preserve"> PAGEREF _Toc78131583 \h </w:instrText>
            </w:r>
            <w:r w:rsidR="00A63F35">
              <w:rPr>
                <w:noProof/>
                <w:webHidden/>
              </w:rPr>
            </w:r>
            <w:r w:rsidR="00A63F35">
              <w:rPr>
                <w:noProof/>
                <w:webHidden/>
              </w:rPr>
              <w:fldChar w:fldCharType="separate"/>
            </w:r>
            <w:r w:rsidR="009044D1">
              <w:rPr>
                <w:noProof/>
                <w:webHidden/>
              </w:rPr>
              <w:t>35</w:t>
            </w:r>
            <w:r w:rsidR="00A63F35">
              <w:rPr>
                <w:noProof/>
                <w:webHidden/>
              </w:rPr>
              <w:fldChar w:fldCharType="end"/>
            </w:r>
          </w:hyperlink>
        </w:p>
        <w:p w14:paraId="373F75B9" w14:textId="2053C753" w:rsidR="00A63F35" w:rsidRDefault="00000000">
          <w:pPr>
            <w:pStyle w:val="TM4"/>
            <w:rPr>
              <w:rFonts w:asciiTheme="minorHAnsi" w:eastAsiaTheme="minorEastAsia" w:hAnsiTheme="minorHAnsi"/>
              <w:noProof/>
              <w:lang w:eastAsia="fr-FR"/>
            </w:rPr>
          </w:pPr>
          <w:hyperlink w:anchor="_Toc78131584" w:history="1">
            <w:r w:rsidR="00A63F35" w:rsidRPr="00725021">
              <w:rPr>
                <w:rStyle w:val="Lienhypertexte"/>
                <w:noProof/>
              </w:rPr>
              <w:t>3.3.2.5. Approche par lieu de consommation</w:t>
            </w:r>
            <w:r w:rsidR="00A63F35">
              <w:rPr>
                <w:noProof/>
                <w:webHidden/>
              </w:rPr>
              <w:tab/>
            </w:r>
            <w:r w:rsidR="00A63F35">
              <w:rPr>
                <w:noProof/>
                <w:webHidden/>
              </w:rPr>
              <w:fldChar w:fldCharType="begin"/>
            </w:r>
            <w:r w:rsidR="00A63F35">
              <w:rPr>
                <w:noProof/>
                <w:webHidden/>
              </w:rPr>
              <w:instrText xml:space="preserve"> PAGEREF _Toc78131584 \h </w:instrText>
            </w:r>
            <w:r w:rsidR="00A63F35">
              <w:rPr>
                <w:noProof/>
                <w:webHidden/>
              </w:rPr>
            </w:r>
            <w:r w:rsidR="00A63F35">
              <w:rPr>
                <w:noProof/>
                <w:webHidden/>
              </w:rPr>
              <w:fldChar w:fldCharType="separate"/>
            </w:r>
            <w:r w:rsidR="009044D1">
              <w:rPr>
                <w:noProof/>
                <w:webHidden/>
              </w:rPr>
              <w:t>35</w:t>
            </w:r>
            <w:r w:rsidR="00A63F35">
              <w:rPr>
                <w:noProof/>
                <w:webHidden/>
              </w:rPr>
              <w:fldChar w:fldCharType="end"/>
            </w:r>
          </w:hyperlink>
        </w:p>
        <w:p w14:paraId="18940151" w14:textId="2EB790AC" w:rsidR="00A63F35" w:rsidRDefault="00000000">
          <w:pPr>
            <w:pStyle w:val="TM3"/>
            <w:rPr>
              <w:rFonts w:asciiTheme="minorHAnsi" w:eastAsiaTheme="minorEastAsia" w:hAnsiTheme="minorHAnsi"/>
              <w:noProof/>
              <w:lang w:eastAsia="fr-FR"/>
            </w:rPr>
          </w:pPr>
          <w:hyperlink w:anchor="_Toc78131585" w:history="1">
            <w:r w:rsidR="00A63F35" w:rsidRPr="00725021">
              <w:rPr>
                <w:rStyle w:val="Lienhypertexte"/>
                <w:noProof/>
              </w:rPr>
              <w:t>3.3.3. Limites de l’enquête :</w:t>
            </w:r>
            <w:r w:rsidR="00A63F35">
              <w:rPr>
                <w:noProof/>
                <w:webHidden/>
              </w:rPr>
              <w:tab/>
            </w:r>
            <w:r w:rsidR="00A63F35">
              <w:rPr>
                <w:noProof/>
                <w:webHidden/>
              </w:rPr>
              <w:fldChar w:fldCharType="begin"/>
            </w:r>
            <w:r w:rsidR="00A63F35">
              <w:rPr>
                <w:noProof/>
                <w:webHidden/>
              </w:rPr>
              <w:instrText xml:space="preserve"> PAGEREF _Toc78131585 \h </w:instrText>
            </w:r>
            <w:r w:rsidR="00A63F35">
              <w:rPr>
                <w:noProof/>
                <w:webHidden/>
              </w:rPr>
            </w:r>
            <w:r w:rsidR="00A63F35">
              <w:rPr>
                <w:noProof/>
                <w:webHidden/>
              </w:rPr>
              <w:fldChar w:fldCharType="separate"/>
            </w:r>
            <w:r w:rsidR="009044D1">
              <w:rPr>
                <w:noProof/>
                <w:webHidden/>
              </w:rPr>
              <w:t>36</w:t>
            </w:r>
            <w:r w:rsidR="00A63F35">
              <w:rPr>
                <w:noProof/>
                <w:webHidden/>
              </w:rPr>
              <w:fldChar w:fldCharType="end"/>
            </w:r>
          </w:hyperlink>
        </w:p>
        <w:p w14:paraId="0103425E" w14:textId="688283DE" w:rsidR="00A63F35" w:rsidRDefault="00000000">
          <w:pPr>
            <w:pStyle w:val="TM2"/>
            <w:tabs>
              <w:tab w:val="left" w:pos="880"/>
              <w:tab w:val="right" w:leader="dot" w:pos="9060"/>
            </w:tabs>
            <w:rPr>
              <w:rFonts w:asciiTheme="minorHAnsi" w:eastAsiaTheme="minorEastAsia" w:hAnsiTheme="minorHAnsi"/>
              <w:noProof/>
              <w:lang w:eastAsia="fr-FR"/>
            </w:rPr>
          </w:pPr>
          <w:hyperlink w:anchor="_Toc78131586" w:history="1">
            <w:r w:rsidR="00A63F35" w:rsidRPr="00725021">
              <w:rPr>
                <w:rStyle w:val="Lienhypertexte"/>
                <w:noProof/>
              </w:rPr>
              <w:t>3.4.</w:t>
            </w:r>
            <w:r w:rsidR="00A63F35">
              <w:rPr>
                <w:rFonts w:asciiTheme="minorHAnsi" w:eastAsiaTheme="minorEastAsia" w:hAnsiTheme="minorHAnsi"/>
                <w:noProof/>
                <w:lang w:eastAsia="fr-FR"/>
              </w:rPr>
              <w:tab/>
            </w:r>
            <w:r w:rsidR="00A63F35" w:rsidRPr="00725021">
              <w:rPr>
                <w:rStyle w:val="Lienhypertexte"/>
                <w:noProof/>
              </w:rPr>
              <w:t>Enquête Kantar</w:t>
            </w:r>
            <w:r w:rsidR="00A63F35">
              <w:rPr>
                <w:noProof/>
                <w:webHidden/>
              </w:rPr>
              <w:tab/>
            </w:r>
            <w:r w:rsidR="00A63F35">
              <w:rPr>
                <w:noProof/>
                <w:webHidden/>
              </w:rPr>
              <w:fldChar w:fldCharType="begin"/>
            </w:r>
            <w:r w:rsidR="00A63F35">
              <w:rPr>
                <w:noProof/>
                <w:webHidden/>
              </w:rPr>
              <w:instrText xml:space="preserve"> PAGEREF _Toc78131586 \h </w:instrText>
            </w:r>
            <w:r w:rsidR="00A63F35">
              <w:rPr>
                <w:noProof/>
                <w:webHidden/>
              </w:rPr>
            </w:r>
            <w:r w:rsidR="00A63F35">
              <w:rPr>
                <w:noProof/>
                <w:webHidden/>
              </w:rPr>
              <w:fldChar w:fldCharType="separate"/>
            </w:r>
            <w:r w:rsidR="009044D1">
              <w:rPr>
                <w:noProof/>
                <w:webHidden/>
              </w:rPr>
              <w:t>37</w:t>
            </w:r>
            <w:r w:rsidR="00A63F35">
              <w:rPr>
                <w:noProof/>
                <w:webHidden/>
              </w:rPr>
              <w:fldChar w:fldCharType="end"/>
            </w:r>
          </w:hyperlink>
        </w:p>
        <w:p w14:paraId="7515BDA1" w14:textId="21C7FA22" w:rsidR="00A63F35" w:rsidRDefault="00000000">
          <w:pPr>
            <w:pStyle w:val="TM3"/>
            <w:rPr>
              <w:rFonts w:asciiTheme="minorHAnsi" w:eastAsiaTheme="minorEastAsia" w:hAnsiTheme="minorHAnsi"/>
              <w:noProof/>
              <w:lang w:eastAsia="fr-FR"/>
            </w:rPr>
          </w:pPr>
          <w:hyperlink w:anchor="_Toc78131587" w:history="1">
            <w:r w:rsidR="00A63F35" w:rsidRPr="00725021">
              <w:rPr>
                <w:rStyle w:val="Lienhypertexte"/>
                <w:noProof/>
              </w:rPr>
              <w:t>3.4.1. Objectifs et méthode du panel à domicile</w:t>
            </w:r>
            <w:r w:rsidR="00A63F35">
              <w:rPr>
                <w:noProof/>
                <w:webHidden/>
              </w:rPr>
              <w:tab/>
            </w:r>
            <w:r w:rsidR="00A63F35">
              <w:rPr>
                <w:noProof/>
                <w:webHidden/>
              </w:rPr>
              <w:fldChar w:fldCharType="begin"/>
            </w:r>
            <w:r w:rsidR="00A63F35">
              <w:rPr>
                <w:noProof/>
                <w:webHidden/>
              </w:rPr>
              <w:instrText xml:space="preserve"> PAGEREF _Toc78131587 \h </w:instrText>
            </w:r>
            <w:r w:rsidR="00A63F35">
              <w:rPr>
                <w:noProof/>
                <w:webHidden/>
              </w:rPr>
            </w:r>
            <w:r w:rsidR="00A63F35">
              <w:rPr>
                <w:noProof/>
                <w:webHidden/>
              </w:rPr>
              <w:fldChar w:fldCharType="separate"/>
            </w:r>
            <w:r w:rsidR="009044D1">
              <w:rPr>
                <w:noProof/>
                <w:webHidden/>
              </w:rPr>
              <w:t>37</w:t>
            </w:r>
            <w:r w:rsidR="00A63F35">
              <w:rPr>
                <w:noProof/>
                <w:webHidden/>
              </w:rPr>
              <w:fldChar w:fldCharType="end"/>
            </w:r>
          </w:hyperlink>
        </w:p>
        <w:p w14:paraId="5E18AD24" w14:textId="106462A8" w:rsidR="00A63F35" w:rsidRDefault="00000000">
          <w:pPr>
            <w:pStyle w:val="TM3"/>
            <w:rPr>
              <w:rFonts w:asciiTheme="minorHAnsi" w:eastAsiaTheme="minorEastAsia" w:hAnsiTheme="minorHAnsi"/>
              <w:noProof/>
              <w:lang w:eastAsia="fr-FR"/>
            </w:rPr>
          </w:pPr>
          <w:hyperlink w:anchor="_Toc78131588" w:history="1">
            <w:r w:rsidR="00A63F35" w:rsidRPr="00725021">
              <w:rPr>
                <w:rStyle w:val="Lienhypertexte"/>
                <w:noProof/>
              </w:rPr>
              <w:t>3.4.2 Résultats :</w:t>
            </w:r>
            <w:r w:rsidR="00A63F35">
              <w:rPr>
                <w:noProof/>
                <w:webHidden/>
              </w:rPr>
              <w:tab/>
            </w:r>
            <w:r w:rsidR="00A63F35">
              <w:rPr>
                <w:noProof/>
                <w:webHidden/>
              </w:rPr>
              <w:fldChar w:fldCharType="begin"/>
            </w:r>
            <w:r w:rsidR="00A63F35">
              <w:rPr>
                <w:noProof/>
                <w:webHidden/>
              </w:rPr>
              <w:instrText xml:space="preserve"> PAGEREF _Toc78131588 \h </w:instrText>
            </w:r>
            <w:r w:rsidR="00A63F35">
              <w:rPr>
                <w:noProof/>
                <w:webHidden/>
              </w:rPr>
            </w:r>
            <w:r w:rsidR="00A63F35">
              <w:rPr>
                <w:noProof/>
                <w:webHidden/>
              </w:rPr>
              <w:fldChar w:fldCharType="separate"/>
            </w:r>
            <w:r w:rsidR="009044D1">
              <w:rPr>
                <w:noProof/>
                <w:webHidden/>
              </w:rPr>
              <w:t>37</w:t>
            </w:r>
            <w:r w:rsidR="00A63F35">
              <w:rPr>
                <w:noProof/>
                <w:webHidden/>
              </w:rPr>
              <w:fldChar w:fldCharType="end"/>
            </w:r>
          </w:hyperlink>
        </w:p>
        <w:p w14:paraId="73B739C8" w14:textId="214D4188" w:rsidR="00A63F35" w:rsidRDefault="00000000">
          <w:pPr>
            <w:pStyle w:val="TM4"/>
            <w:rPr>
              <w:rFonts w:asciiTheme="minorHAnsi" w:eastAsiaTheme="minorEastAsia" w:hAnsiTheme="minorHAnsi"/>
              <w:noProof/>
              <w:lang w:eastAsia="fr-FR"/>
            </w:rPr>
          </w:pPr>
          <w:hyperlink w:anchor="_Toc78131589" w:history="1">
            <w:r w:rsidR="00A63F35" w:rsidRPr="00725021">
              <w:rPr>
                <w:rStyle w:val="Lienhypertexte"/>
                <w:noProof/>
              </w:rPr>
              <w:t>3.4.2.1 Environ 45% des volumes à domicile sont des produits de mélange en charcuterie</w:t>
            </w:r>
            <w:r w:rsidR="00A63F35">
              <w:rPr>
                <w:noProof/>
                <w:webHidden/>
              </w:rPr>
              <w:tab/>
            </w:r>
            <w:r w:rsidR="00A63F35">
              <w:rPr>
                <w:noProof/>
                <w:webHidden/>
              </w:rPr>
              <w:fldChar w:fldCharType="begin"/>
            </w:r>
            <w:r w:rsidR="00A63F35">
              <w:rPr>
                <w:noProof/>
                <w:webHidden/>
              </w:rPr>
              <w:instrText xml:space="preserve"> PAGEREF _Toc78131589 \h </w:instrText>
            </w:r>
            <w:r w:rsidR="00A63F35">
              <w:rPr>
                <w:noProof/>
                <w:webHidden/>
              </w:rPr>
            </w:r>
            <w:r w:rsidR="00A63F35">
              <w:rPr>
                <w:noProof/>
                <w:webHidden/>
              </w:rPr>
              <w:fldChar w:fldCharType="separate"/>
            </w:r>
            <w:r w:rsidR="009044D1">
              <w:rPr>
                <w:noProof/>
                <w:webHidden/>
              </w:rPr>
              <w:t>37</w:t>
            </w:r>
            <w:r w:rsidR="00A63F35">
              <w:rPr>
                <w:noProof/>
                <w:webHidden/>
              </w:rPr>
              <w:fldChar w:fldCharType="end"/>
            </w:r>
          </w:hyperlink>
        </w:p>
        <w:p w14:paraId="5730A996" w14:textId="4D10B0B0" w:rsidR="00A63F35" w:rsidRDefault="00000000">
          <w:pPr>
            <w:pStyle w:val="TM4"/>
            <w:rPr>
              <w:rFonts w:asciiTheme="minorHAnsi" w:eastAsiaTheme="minorEastAsia" w:hAnsiTheme="minorHAnsi"/>
              <w:noProof/>
              <w:lang w:eastAsia="fr-FR"/>
            </w:rPr>
          </w:pPr>
          <w:hyperlink w:anchor="_Toc78131590" w:history="1">
            <w:r w:rsidR="00A63F35" w:rsidRPr="00725021">
              <w:rPr>
                <w:rStyle w:val="Lienhypertexte"/>
                <w:noProof/>
              </w:rPr>
              <w:t>3.4.2.2. Érosion lente et continue des volumes d’achat à domicile depuis 5 ans</w:t>
            </w:r>
            <w:r w:rsidR="00A63F35">
              <w:rPr>
                <w:noProof/>
                <w:webHidden/>
              </w:rPr>
              <w:tab/>
            </w:r>
            <w:r w:rsidR="00A63F35">
              <w:rPr>
                <w:noProof/>
                <w:webHidden/>
              </w:rPr>
              <w:fldChar w:fldCharType="begin"/>
            </w:r>
            <w:r w:rsidR="00A63F35">
              <w:rPr>
                <w:noProof/>
                <w:webHidden/>
              </w:rPr>
              <w:instrText xml:space="preserve"> PAGEREF _Toc78131590 \h </w:instrText>
            </w:r>
            <w:r w:rsidR="00A63F35">
              <w:rPr>
                <w:noProof/>
                <w:webHidden/>
              </w:rPr>
            </w:r>
            <w:r w:rsidR="00A63F35">
              <w:rPr>
                <w:noProof/>
                <w:webHidden/>
              </w:rPr>
              <w:fldChar w:fldCharType="separate"/>
            </w:r>
            <w:r w:rsidR="009044D1">
              <w:rPr>
                <w:noProof/>
                <w:webHidden/>
              </w:rPr>
              <w:t>38</w:t>
            </w:r>
            <w:r w:rsidR="00A63F35">
              <w:rPr>
                <w:noProof/>
                <w:webHidden/>
              </w:rPr>
              <w:fldChar w:fldCharType="end"/>
            </w:r>
          </w:hyperlink>
        </w:p>
        <w:p w14:paraId="00E6CA1F" w14:textId="2EF9B4DE" w:rsidR="00A63F35" w:rsidRDefault="00000000">
          <w:pPr>
            <w:pStyle w:val="TM4"/>
            <w:rPr>
              <w:rFonts w:asciiTheme="minorHAnsi" w:eastAsiaTheme="minorEastAsia" w:hAnsiTheme="minorHAnsi"/>
              <w:noProof/>
              <w:lang w:eastAsia="fr-FR"/>
            </w:rPr>
          </w:pPr>
          <w:hyperlink w:anchor="_Toc78131591" w:history="1">
            <w:r w:rsidR="00A63F35" w:rsidRPr="00725021">
              <w:rPr>
                <w:rStyle w:val="Lienhypertexte"/>
                <w:noProof/>
              </w:rPr>
              <w:t>3.4.2.3. Part des produits de volaille susceptibles d’intégrer du porc</w:t>
            </w:r>
            <w:r w:rsidR="00A63F35">
              <w:rPr>
                <w:noProof/>
                <w:webHidden/>
              </w:rPr>
              <w:tab/>
            </w:r>
            <w:r w:rsidR="00A63F35">
              <w:rPr>
                <w:noProof/>
                <w:webHidden/>
              </w:rPr>
              <w:fldChar w:fldCharType="begin"/>
            </w:r>
            <w:r w:rsidR="00A63F35">
              <w:rPr>
                <w:noProof/>
                <w:webHidden/>
              </w:rPr>
              <w:instrText xml:space="preserve"> PAGEREF _Toc78131591 \h </w:instrText>
            </w:r>
            <w:r w:rsidR="00A63F35">
              <w:rPr>
                <w:noProof/>
                <w:webHidden/>
              </w:rPr>
            </w:r>
            <w:r w:rsidR="00A63F35">
              <w:rPr>
                <w:noProof/>
                <w:webHidden/>
              </w:rPr>
              <w:fldChar w:fldCharType="separate"/>
            </w:r>
            <w:r w:rsidR="009044D1">
              <w:rPr>
                <w:noProof/>
                <w:webHidden/>
              </w:rPr>
              <w:t>39</w:t>
            </w:r>
            <w:r w:rsidR="00A63F35">
              <w:rPr>
                <w:noProof/>
                <w:webHidden/>
              </w:rPr>
              <w:fldChar w:fldCharType="end"/>
            </w:r>
          </w:hyperlink>
        </w:p>
        <w:p w14:paraId="30E4A695" w14:textId="55BE8D99" w:rsidR="00A63F35" w:rsidRDefault="00000000">
          <w:pPr>
            <w:pStyle w:val="TM4"/>
            <w:rPr>
              <w:rFonts w:asciiTheme="minorHAnsi" w:eastAsiaTheme="minorEastAsia" w:hAnsiTheme="minorHAnsi"/>
              <w:noProof/>
              <w:lang w:eastAsia="fr-FR"/>
            </w:rPr>
          </w:pPr>
          <w:hyperlink w:anchor="_Toc78131592" w:history="1">
            <w:r w:rsidR="00A63F35" w:rsidRPr="00725021">
              <w:rPr>
                <w:rStyle w:val="Lienhypertexte"/>
                <w:noProof/>
              </w:rPr>
              <w:t>3.4.2.4. Point part relative des différents circuits de distribution</w:t>
            </w:r>
            <w:r w:rsidR="00A63F35">
              <w:rPr>
                <w:noProof/>
                <w:webHidden/>
              </w:rPr>
              <w:tab/>
            </w:r>
            <w:r w:rsidR="00A63F35">
              <w:rPr>
                <w:noProof/>
                <w:webHidden/>
              </w:rPr>
              <w:fldChar w:fldCharType="begin"/>
            </w:r>
            <w:r w:rsidR="00A63F35">
              <w:rPr>
                <w:noProof/>
                <w:webHidden/>
              </w:rPr>
              <w:instrText xml:space="preserve"> PAGEREF _Toc78131592 \h </w:instrText>
            </w:r>
            <w:r w:rsidR="00A63F35">
              <w:rPr>
                <w:noProof/>
                <w:webHidden/>
              </w:rPr>
            </w:r>
            <w:r w:rsidR="00A63F35">
              <w:rPr>
                <w:noProof/>
                <w:webHidden/>
              </w:rPr>
              <w:fldChar w:fldCharType="separate"/>
            </w:r>
            <w:r w:rsidR="009044D1">
              <w:rPr>
                <w:noProof/>
                <w:webHidden/>
              </w:rPr>
              <w:t>39</w:t>
            </w:r>
            <w:r w:rsidR="00A63F35">
              <w:rPr>
                <w:noProof/>
                <w:webHidden/>
              </w:rPr>
              <w:fldChar w:fldCharType="end"/>
            </w:r>
          </w:hyperlink>
        </w:p>
        <w:p w14:paraId="4ED7791F" w14:textId="776FF298" w:rsidR="00A63F35" w:rsidRDefault="00000000">
          <w:pPr>
            <w:pStyle w:val="TM3"/>
            <w:rPr>
              <w:rFonts w:asciiTheme="minorHAnsi" w:eastAsiaTheme="minorEastAsia" w:hAnsiTheme="minorHAnsi"/>
              <w:noProof/>
              <w:lang w:eastAsia="fr-FR"/>
            </w:rPr>
          </w:pPr>
          <w:hyperlink w:anchor="_Toc78131593" w:history="1">
            <w:r w:rsidR="00A63F35" w:rsidRPr="00725021">
              <w:rPr>
                <w:rStyle w:val="Lienhypertexte"/>
                <w:noProof/>
              </w:rPr>
              <w:t>3.4.3 Les biais identifiés par Kantar :</w:t>
            </w:r>
            <w:r w:rsidR="00A63F35">
              <w:rPr>
                <w:noProof/>
                <w:webHidden/>
              </w:rPr>
              <w:tab/>
            </w:r>
            <w:r w:rsidR="00A63F35">
              <w:rPr>
                <w:noProof/>
                <w:webHidden/>
              </w:rPr>
              <w:fldChar w:fldCharType="begin"/>
            </w:r>
            <w:r w:rsidR="00A63F35">
              <w:rPr>
                <w:noProof/>
                <w:webHidden/>
              </w:rPr>
              <w:instrText xml:space="preserve"> PAGEREF _Toc78131593 \h </w:instrText>
            </w:r>
            <w:r w:rsidR="00A63F35">
              <w:rPr>
                <w:noProof/>
                <w:webHidden/>
              </w:rPr>
            </w:r>
            <w:r w:rsidR="00A63F35">
              <w:rPr>
                <w:noProof/>
                <w:webHidden/>
              </w:rPr>
              <w:fldChar w:fldCharType="separate"/>
            </w:r>
            <w:r w:rsidR="009044D1">
              <w:rPr>
                <w:noProof/>
                <w:webHidden/>
              </w:rPr>
              <w:t>40</w:t>
            </w:r>
            <w:r w:rsidR="00A63F35">
              <w:rPr>
                <w:noProof/>
                <w:webHidden/>
              </w:rPr>
              <w:fldChar w:fldCharType="end"/>
            </w:r>
          </w:hyperlink>
        </w:p>
        <w:p w14:paraId="3B4E7B2F" w14:textId="27AD3A19" w:rsidR="00A63F35" w:rsidRDefault="00000000">
          <w:pPr>
            <w:pStyle w:val="TM4"/>
            <w:rPr>
              <w:rFonts w:asciiTheme="minorHAnsi" w:eastAsiaTheme="minorEastAsia" w:hAnsiTheme="minorHAnsi"/>
              <w:noProof/>
              <w:lang w:eastAsia="fr-FR"/>
            </w:rPr>
          </w:pPr>
          <w:hyperlink w:anchor="_Toc78131594" w:history="1">
            <w:r w:rsidR="00A63F35" w:rsidRPr="00725021">
              <w:rPr>
                <w:rStyle w:val="Lienhypertexte"/>
                <w:noProof/>
              </w:rPr>
              <w:t>3.4.3.1. Les biais liés au panel de consommateurs</w:t>
            </w:r>
            <w:r w:rsidR="00A63F35">
              <w:rPr>
                <w:noProof/>
                <w:webHidden/>
              </w:rPr>
              <w:tab/>
            </w:r>
            <w:r w:rsidR="00A63F35">
              <w:rPr>
                <w:noProof/>
                <w:webHidden/>
              </w:rPr>
              <w:fldChar w:fldCharType="begin"/>
            </w:r>
            <w:r w:rsidR="00A63F35">
              <w:rPr>
                <w:noProof/>
                <w:webHidden/>
              </w:rPr>
              <w:instrText xml:space="preserve"> PAGEREF _Toc78131594 \h </w:instrText>
            </w:r>
            <w:r w:rsidR="00A63F35">
              <w:rPr>
                <w:noProof/>
                <w:webHidden/>
              </w:rPr>
            </w:r>
            <w:r w:rsidR="00A63F35">
              <w:rPr>
                <w:noProof/>
                <w:webHidden/>
              </w:rPr>
              <w:fldChar w:fldCharType="separate"/>
            </w:r>
            <w:r w:rsidR="009044D1">
              <w:rPr>
                <w:noProof/>
                <w:webHidden/>
              </w:rPr>
              <w:t>40</w:t>
            </w:r>
            <w:r w:rsidR="00A63F35">
              <w:rPr>
                <w:noProof/>
                <w:webHidden/>
              </w:rPr>
              <w:fldChar w:fldCharType="end"/>
            </w:r>
          </w:hyperlink>
        </w:p>
        <w:p w14:paraId="4CD87EDC" w14:textId="55DC80EF" w:rsidR="00A63F35" w:rsidRDefault="00000000">
          <w:pPr>
            <w:pStyle w:val="TM4"/>
            <w:rPr>
              <w:rFonts w:asciiTheme="minorHAnsi" w:eastAsiaTheme="minorEastAsia" w:hAnsiTheme="minorHAnsi"/>
              <w:noProof/>
              <w:lang w:eastAsia="fr-FR"/>
            </w:rPr>
          </w:pPr>
          <w:hyperlink w:anchor="_Toc78131595" w:history="1">
            <w:r w:rsidR="00A63F35" w:rsidRPr="00725021">
              <w:rPr>
                <w:rStyle w:val="Lienhypertexte"/>
                <w:noProof/>
              </w:rPr>
              <w:t>3.4.3.2. Les biais liés à la diffusion par circuit selon les catégories de produits</w:t>
            </w:r>
            <w:r w:rsidR="00A63F35">
              <w:rPr>
                <w:noProof/>
                <w:webHidden/>
              </w:rPr>
              <w:tab/>
            </w:r>
            <w:r w:rsidR="00A63F35">
              <w:rPr>
                <w:noProof/>
                <w:webHidden/>
              </w:rPr>
              <w:fldChar w:fldCharType="begin"/>
            </w:r>
            <w:r w:rsidR="00A63F35">
              <w:rPr>
                <w:noProof/>
                <w:webHidden/>
              </w:rPr>
              <w:instrText xml:space="preserve"> PAGEREF _Toc78131595 \h </w:instrText>
            </w:r>
            <w:r w:rsidR="00A63F35">
              <w:rPr>
                <w:noProof/>
                <w:webHidden/>
              </w:rPr>
            </w:r>
            <w:r w:rsidR="00A63F35">
              <w:rPr>
                <w:noProof/>
                <w:webHidden/>
              </w:rPr>
              <w:fldChar w:fldCharType="separate"/>
            </w:r>
            <w:r w:rsidR="009044D1">
              <w:rPr>
                <w:noProof/>
                <w:webHidden/>
              </w:rPr>
              <w:t>41</w:t>
            </w:r>
            <w:r w:rsidR="00A63F35">
              <w:rPr>
                <w:noProof/>
                <w:webHidden/>
              </w:rPr>
              <w:fldChar w:fldCharType="end"/>
            </w:r>
          </w:hyperlink>
        </w:p>
        <w:p w14:paraId="28878E06" w14:textId="1750F138" w:rsidR="00A63F35" w:rsidRDefault="00000000">
          <w:pPr>
            <w:pStyle w:val="TM3"/>
            <w:rPr>
              <w:rFonts w:asciiTheme="minorHAnsi" w:eastAsiaTheme="minorEastAsia" w:hAnsiTheme="minorHAnsi"/>
              <w:noProof/>
              <w:lang w:eastAsia="fr-FR"/>
            </w:rPr>
          </w:pPr>
          <w:hyperlink w:anchor="_Toc78131596" w:history="1">
            <w:r w:rsidR="00A63F35" w:rsidRPr="00725021">
              <w:rPr>
                <w:rStyle w:val="Lienhypertexte"/>
                <w:noProof/>
              </w:rPr>
              <w:t>3.4.4. Les limites liées à la nomenclature des produits :</w:t>
            </w:r>
            <w:r w:rsidR="00A63F35">
              <w:rPr>
                <w:noProof/>
                <w:webHidden/>
              </w:rPr>
              <w:tab/>
            </w:r>
            <w:r w:rsidR="00A63F35">
              <w:rPr>
                <w:noProof/>
                <w:webHidden/>
              </w:rPr>
              <w:fldChar w:fldCharType="begin"/>
            </w:r>
            <w:r w:rsidR="00A63F35">
              <w:rPr>
                <w:noProof/>
                <w:webHidden/>
              </w:rPr>
              <w:instrText xml:space="preserve"> PAGEREF _Toc78131596 \h </w:instrText>
            </w:r>
            <w:r w:rsidR="00A63F35">
              <w:rPr>
                <w:noProof/>
                <w:webHidden/>
              </w:rPr>
            </w:r>
            <w:r w:rsidR="00A63F35">
              <w:rPr>
                <w:noProof/>
                <w:webHidden/>
              </w:rPr>
              <w:fldChar w:fldCharType="separate"/>
            </w:r>
            <w:r w:rsidR="009044D1">
              <w:rPr>
                <w:noProof/>
                <w:webHidden/>
              </w:rPr>
              <w:t>41</w:t>
            </w:r>
            <w:r w:rsidR="00A63F35">
              <w:rPr>
                <w:noProof/>
                <w:webHidden/>
              </w:rPr>
              <w:fldChar w:fldCharType="end"/>
            </w:r>
          </w:hyperlink>
        </w:p>
        <w:p w14:paraId="73603652" w14:textId="78BB0903" w:rsidR="00A63F35" w:rsidRDefault="00000000">
          <w:pPr>
            <w:pStyle w:val="TM2"/>
            <w:tabs>
              <w:tab w:val="left" w:pos="880"/>
              <w:tab w:val="right" w:leader="dot" w:pos="9060"/>
            </w:tabs>
            <w:rPr>
              <w:rFonts w:asciiTheme="minorHAnsi" w:eastAsiaTheme="minorEastAsia" w:hAnsiTheme="minorHAnsi"/>
              <w:noProof/>
              <w:lang w:eastAsia="fr-FR"/>
            </w:rPr>
          </w:pPr>
          <w:hyperlink w:anchor="_Toc78131597" w:history="1">
            <w:r w:rsidR="00A63F35" w:rsidRPr="00725021">
              <w:rPr>
                <w:rStyle w:val="Lienhypertexte"/>
                <w:noProof/>
              </w:rPr>
              <w:t>3.5.</w:t>
            </w:r>
            <w:r w:rsidR="00A63F35">
              <w:rPr>
                <w:rFonts w:asciiTheme="minorHAnsi" w:eastAsiaTheme="minorEastAsia" w:hAnsiTheme="minorHAnsi"/>
                <w:noProof/>
                <w:lang w:eastAsia="fr-FR"/>
              </w:rPr>
              <w:tab/>
            </w:r>
            <w:r w:rsidR="00A63F35" w:rsidRPr="00725021">
              <w:rPr>
                <w:rStyle w:val="Lienhypertexte"/>
                <w:noProof/>
              </w:rPr>
              <w:t>Enquête Gira Foodservice</w:t>
            </w:r>
            <w:r w:rsidR="00A63F35">
              <w:rPr>
                <w:noProof/>
                <w:webHidden/>
              </w:rPr>
              <w:tab/>
            </w:r>
            <w:r w:rsidR="00A63F35">
              <w:rPr>
                <w:noProof/>
                <w:webHidden/>
              </w:rPr>
              <w:fldChar w:fldCharType="begin"/>
            </w:r>
            <w:r w:rsidR="00A63F35">
              <w:rPr>
                <w:noProof/>
                <w:webHidden/>
              </w:rPr>
              <w:instrText xml:space="preserve"> PAGEREF _Toc78131597 \h </w:instrText>
            </w:r>
            <w:r w:rsidR="00A63F35">
              <w:rPr>
                <w:noProof/>
                <w:webHidden/>
              </w:rPr>
            </w:r>
            <w:r w:rsidR="00A63F35">
              <w:rPr>
                <w:noProof/>
                <w:webHidden/>
              </w:rPr>
              <w:fldChar w:fldCharType="separate"/>
            </w:r>
            <w:r w:rsidR="009044D1">
              <w:rPr>
                <w:noProof/>
                <w:webHidden/>
              </w:rPr>
              <w:t>42</w:t>
            </w:r>
            <w:r w:rsidR="00A63F35">
              <w:rPr>
                <w:noProof/>
                <w:webHidden/>
              </w:rPr>
              <w:fldChar w:fldCharType="end"/>
            </w:r>
          </w:hyperlink>
        </w:p>
        <w:p w14:paraId="4D10E631" w14:textId="713469B8" w:rsidR="00A63F35" w:rsidRDefault="00000000">
          <w:pPr>
            <w:pStyle w:val="TM3"/>
            <w:rPr>
              <w:rFonts w:asciiTheme="minorHAnsi" w:eastAsiaTheme="minorEastAsia" w:hAnsiTheme="minorHAnsi"/>
              <w:noProof/>
              <w:lang w:eastAsia="fr-FR"/>
            </w:rPr>
          </w:pPr>
          <w:hyperlink w:anchor="_Toc78131598" w:history="1">
            <w:r w:rsidR="00A63F35" w:rsidRPr="00725021">
              <w:rPr>
                <w:rStyle w:val="Lienhypertexte"/>
                <w:noProof/>
              </w:rPr>
              <w:t>3.5.1. Objectifs et méthode du panorama de la distribution hors domicile</w:t>
            </w:r>
            <w:r w:rsidR="00A63F35">
              <w:rPr>
                <w:noProof/>
                <w:webHidden/>
              </w:rPr>
              <w:tab/>
            </w:r>
            <w:r w:rsidR="00A63F35">
              <w:rPr>
                <w:noProof/>
                <w:webHidden/>
              </w:rPr>
              <w:fldChar w:fldCharType="begin"/>
            </w:r>
            <w:r w:rsidR="00A63F35">
              <w:rPr>
                <w:noProof/>
                <w:webHidden/>
              </w:rPr>
              <w:instrText xml:space="preserve"> PAGEREF _Toc78131598 \h </w:instrText>
            </w:r>
            <w:r w:rsidR="00A63F35">
              <w:rPr>
                <w:noProof/>
                <w:webHidden/>
              </w:rPr>
            </w:r>
            <w:r w:rsidR="00A63F35">
              <w:rPr>
                <w:noProof/>
                <w:webHidden/>
              </w:rPr>
              <w:fldChar w:fldCharType="separate"/>
            </w:r>
            <w:r w:rsidR="009044D1">
              <w:rPr>
                <w:noProof/>
                <w:webHidden/>
              </w:rPr>
              <w:t>43</w:t>
            </w:r>
            <w:r w:rsidR="00A63F35">
              <w:rPr>
                <w:noProof/>
                <w:webHidden/>
              </w:rPr>
              <w:fldChar w:fldCharType="end"/>
            </w:r>
          </w:hyperlink>
        </w:p>
        <w:p w14:paraId="1C5BD020" w14:textId="1F8C4C98" w:rsidR="00A63F35" w:rsidRDefault="00000000">
          <w:pPr>
            <w:pStyle w:val="TM3"/>
            <w:rPr>
              <w:rFonts w:asciiTheme="minorHAnsi" w:eastAsiaTheme="minorEastAsia" w:hAnsiTheme="minorHAnsi"/>
              <w:noProof/>
              <w:lang w:eastAsia="fr-FR"/>
            </w:rPr>
          </w:pPr>
          <w:hyperlink w:anchor="_Toc78131599" w:history="1">
            <w:r w:rsidR="00A63F35" w:rsidRPr="00725021">
              <w:rPr>
                <w:rStyle w:val="Lienhypertexte"/>
                <w:noProof/>
              </w:rPr>
              <w:t>3.5.2. Résultats</w:t>
            </w:r>
            <w:r w:rsidR="00A63F35">
              <w:rPr>
                <w:noProof/>
                <w:webHidden/>
              </w:rPr>
              <w:tab/>
            </w:r>
            <w:r w:rsidR="00A63F35">
              <w:rPr>
                <w:noProof/>
                <w:webHidden/>
              </w:rPr>
              <w:fldChar w:fldCharType="begin"/>
            </w:r>
            <w:r w:rsidR="00A63F35">
              <w:rPr>
                <w:noProof/>
                <w:webHidden/>
              </w:rPr>
              <w:instrText xml:space="preserve"> PAGEREF _Toc78131599 \h </w:instrText>
            </w:r>
            <w:r w:rsidR="00A63F35">
              <w:rPr>
                <w:noProof/>
                <w:webHidden/>
              </w:rPr>
            </w:r>
            <w:r w:rsidR="00A63F35">
              <w:rPr>
                <w:noProof/>
                <w:webHidden/>
              </w:rPr>
              <w:fldChar w:fldCharType="separate"/>
            </w:r>
            <w:r w:rsidR="009044D1">
              <w:rPr>
                <w:noProof/>
                <w:webHidden/>
              </w:rPr>
              <w:t>43</w:t>
            </w:r>
            <w:r w:rsidR="00A63F35">
              <w:rPr>
                <w:noProof/>
                <w:webHidden/>
              </w:rPr>
              <w:fldChar w:fldCharType="end"/>
            </w:r>
          </w:hyperlink>
        </w:p>
        <w:p w14:paraId="094C2BCD" w14:textId="06939439" w:rsidR="00A63F35" w:rsidRDefault="00000000">
          <w:pPr>
            <w:pStyle w:val="TM4"/>
            <w:rPr>
              <w:rFonts w:asciiTheme="minorHAnsi" w:eastAsiaTheme="minorEastAsia" w:hAnsiTheme="minorHAnsi"/>
              <w:noProof/>
              <w:lang w:eastAsia="fr-FR"/>
            </w:rPr>
          </w:pPr>
          <w:hyperlink w:anchor="_Toc78131600" w:history="1">
            <w:r w:rsidR="00A63F35" w:rsidRPr="00725021">
              <w:rPr>
                <w:rStyle w:val="Lienhypertexte"/>
                <w:noProof/>
              </w:rPr>
              <w:t>3.5.2.1. Les segments de marché couverts par les produits du porc en restauration hors domicile</w:t>
            </w:r>
            <w:r w:rsidR="00A63F35">
              <w:rPr>
                <w:noProof/>
                <w:webHidden/>
              </w:rPr>
              <w:tab/>
            </w:r>
            <w:r w:rsidR="00A63F35">
              <w:rPr>
                <w:noProof/>
                <w:webHidden/>
              </w:rPr>
              <w:fldChar w:fldCharType="begin"/>
            </w:r>
            <w:r w:rsidR="00A63F35">
              <w:rPr>
                <w:noProof/>
                <w:webHidden/>
              </w:rPr>
              <w:instrText xml:space="preserve"> PAGEREF _Toc78131600 \h </w:instrText>
            </w:r>
            <w:r w:rsidR="00A63F35">
              <w:rPr>
                <w:noProof/>
                <w:webHidden/>
              </w:rPr>
            </w:r>
            <w:r w:rsidR="00A63F35">
              <w:rPr>
                <w:noProof/>
                <w:webHidden/>
              </w:rPr>
              <w:fldChar w:fldCharType="separate"/>
            </w:r>
            <w:r w:rsidR="009044D1">
              <w:rPr>
                <w:noProof/>
                <w:webHidden/>
              </w:rPr>
              <w:t>43</w:t>
            </w:r>
            <w:r w:rsidR="00A63F35">
              <w:rPr>
                <w:noProof/>
                <w:webHidden/>
              </w:rPr>
              <w:fldChar w:fldCharType="end"/>
            </w:r>
          </w:hyperlink>
        </w:p>
        <w:p w14:paraId="4A391896" w14:textId="2AA2439E" w:rsidR="00A63F35" w:rsidRDefault="00000000">
          <w:pPr>
            <w:pStyle w:val="TM4"/>
            <w:rPr>
              <w:rFonts w:asciiTheme="minorHAnsi" w:eastAsiaTheme="minorEastAsia" w:hAnsiTheme="minorHAnsi"/>
              <w:noProof/>
              <w:lang w:eastAsia="fr-FR"/>
            </w:rPr>
          </w:pPr>
          <w:hyperlink w:anchor="_Toc78131601" w:history="1">
            <w:r w:rsidR="00A63F35" w:rsidRPr="00725021">
              <w:rPr>
                <w:rStyle w:val="Lienhypertexte"/>
                <w:noProof/>
              </w:rPr>
              <w:t>3.5.2.2. La charcuterie domine avec 73 % des produits du porc distribués en restauration hors domicile</w:t>
            </w:r>
            <w:r w:rsidR="00A63F35">
              <w:rPr>
                <w:noProof/>
                <w:webHidden/>
              </w:rPr>
              <w:tab/>
            </w:r>
            <w:r w:rsidR="00A63F35">
              <w:rPr>
                <w:noProof/>
                <w:webHidden/>
              </w:rPr>
              <w:fldChar w:fldCharType="begin"/>
            </w:r>
            <w:r w:rsidR="00A63F35">
              <w:rPr>
                <w:noProof/>
                <w:webHidden/>
              </w:rPr>
              <w:instrText xml:space="preserve"> PAGEREF _Toc78131601 \h </w:instrText>
            </w:r>
            <w:r w:rsidR="00A63F35">
              <w:rPr>
                <w:noProof/>
                <w:webHidden/>
              </w:rPr>
            </w:r>
            <w:r w:rsidR="00A63F35">
              <w:rPr>
                <w:noProof/>
                <w:webHidden/>
              </w:rPr>
              <w:fldChar w:fldCharType="separate"/>
            </w:r>
            <w:r w:rsidR="009044D1">
              <w:rPr>
                <w:noProof/>
                <w:webHidden/>
              </w:rPr>
              <w:t>45</w:t>
            </w:r>
            <w:r w:rsidR="00A63F35">
              <w:rPr>
                <w:noProof/>
                <w:webHidden/>
              </w:rPr>
              <w:fldChar w:fldCharType="end"/>
            </w:r>
          </w:hyperlink>
        </w:p>
        <w:p w14:paraId="0B71066A" w14:textId="1FC83EED" w:rsidR="00A63F35" w:rsidRDefault="00000000">
          <w:pPr>
            <w:pStyle w:val="TM4"/>
            <w:rPr>
              <w:rFonts w:asciiTheme="minorHAnsi" w:eastAsiaTheme="minorEastAsia" w:hAnsiTheme="minorHAnsi"/>
              <w:noProof/>
              <w:lang w:eastAsia="fr-FR"/>
            </w:rPr>
          </w:pPr>
          <w:hyperlink w:anchor="_Toc78131602" w:history="1">
            <w:r w:rsidR="00A63F35" w:rsidRPr="00725021">
              <w:rPr>
                <w:rStyle w:val="Lienhypertexte"/>
                <w:noProof/>
              </w:rPr>
              <w:t>3.5.2.3. Taille de marché des produits traiteurs en restauration hors domicile</w:t>
            </w:r>
            <w:r w:rsidR="00A63F35">
              <w:rPr>
                <w:noProof/>
                <w:webHidden/>
              </w:rPr>
              <w:tab/>
            </w:r>
            <w:r w:rsidR="00A63F35">
              <w:rPr>
                <w:noProof/>
                <w:webHidden/>
              </w:rPr>
              <w:fldChar w:fldCharType="begin"/>
            </w:r>
            <w:r w:rsidR="00A63F35">
              <w:rPr>
                <w:noProof/>
                <w:webHidden/>
              </w:rPr>
              <w:instrText xml:space="preserve"> PAGEREF _Toc78131602 \h </w:instrText>
            </w:r>
            <w:r w:rsidR="00A63F35">
              <w:rPr>
                <w:noProof/>
                <w:webHidden/>
              </w:rPr>
            </w:r>
            <w:r w:rsidR="00A63F35">
              <w:rPr>
                <w:noProof/>
                <w:webHidden/>
              </w:rPr>
              <w:fldChar w:fldCharType="separate"/>
            </w:r>
            <w:r w:rsidR="009044D1">
              <w:rPr>
                <w:noProof/>
                <w:webHidden/>
              </w:rPr>
              <w:t>45</w:t>
            </w:r>
            <w:r w:rsidR="00A63F35">
              <w:rPr>
                <w:noProof/>
                <w:webHidden/>
              </w:rPr>
              <w:fldChar w:fldCharType="end"/>
            </w:r>
          </w:hyperlink>
        </w:p>
        <w:p w14:paraId="0A0FD4C5" w14:textId="3C428F1E" w:rsidR="00A63F35" w:rsidRDefault="00000000">
          <w:pPr>
            <w:pStyle w:val="TM4"/>
            <w:rPr>
              <w:rFonts w:asciiTheme="minorHAnsi" w:eastAsiaTheme="minorEastAsia" w:hAnsiTheme="minorHAnsi"/>
              <w:noProof/>
              <w:lang w:eastAsia="fr-FR"/>
            </w:rPr>
          </w:pPr>
          <w:hyperlink w:anchor="_Toc78131603" w:history="1">
            <w:r w:rsidR="00A63F35" w:rsidRPr="00725021">
              <w:rPr>
                <w:rStyle w:val="Lienhypertexte"/>
                <w:noProof/>
              </w:rPr>
              <w:t>3.5.2.4. Les limites identifiées</w:t>
            </w:r>
            <w:r w:rsidR="00A63F35">
              <w:rPr>
                <w:noProof/>
                <w:webHidden/>
              </w:rPr>
              <w:tab/>
            </w:r>
            <w:r w:rsidR="00A63F35">
              <w:rPr>
                <w:noProof/>
                <w:webHidden/>
              </w:rPr>
              <w:fldChar w:fldCharType="begin"/>
            </w:r>
            <w:r w:rsidR="00A63F35">
              <w:rPr>
                <w:noProof/>
                <w:webHidden/>
              </w:rPr>
              <w:instrText xml:space="preserve"> PAGEREF _Toc78131603 \h </w:instrText>
            </w:r>
            <w:r w:rsidR="00A63F35">
              <w:rPr>
                <w:noProof/>
                <w:webHidden/>
              </w:rPr>
            </w:r>
            <w:r w:rsidR="00A63F35">
              <w:rPr>
                <w:noProof/>
                <w:webHidden/>
              </w:rPr>
              <w:fldChar w:fldCharType="separate"/>
            </w:r>
            <w:r w:rsidR="009044D1">
              <w:rPr>
                <w:noProof/>
                <w:webHidden/>
              </w:rPr>
              <w:t>46</w:t>
            </w:r>
            <w:r w:rsidR="00A63F35">
              <w:rPr>
                <w:noProof/>
                <w:webHidden/>
              </w:rPr>
              <w:fldChar w:fldCharType="end"/>
            </w:r>
          </w:hyperlink>
        </w:p>
        <w:p w14:paraId="1C624F41" w14:textId="35784649" w:rsidR="00A63F35" w:rsidRDefault="00000000">
          <w:pPr>
            <w:pStyle w:val="TM2"/>
            <w:tabs>
              <w:tab w:val="right" w:leader="dot" w:pos="9060"/>
            </w:tabs>
            <w:rPr>
              <w:rFonts w:asciiTheme="minorHAnsi" w:eastAsiaTheme="minorEastAsia" w:hAnsiTheme="minorHAnsi"/>
              <w:noProof/>
              <w:lang w:eastAsia="fr-FR"/>
            </w:rPr>
          </w:pPr>
          <w:hyperlink w:anchor="_Toc78131604" w:history="1">
            <w:r w:rsidR="00A63F35" w:rsidRPr="00725021">
              <w:rPr>
                <w:rStyle w:val="Lienhypertexte"/>
                <w:noProof/>
              </w:rPr>
              <w:t>3.6 Enquête SIQO et Bio</w:t>
            </w:r>
            <w:r w:rsidR="00A63F35">
              <w:rPr>
                <w:noProof/>
                <w:webHidden/>
              </w:rPr>
              <w:tab/>
            </w:r>
            <w:r w:rsidR="00A63F35">
              <w:rPr>
                <w:noProof/>
                <w:webHidden/>
              </w:rPr>
              <w:fldChar w:fldCharType="begin"/>
            </w:r>
            <w:r w:rsidR="00A63F35">
              <w:rPr>
                <w:noProof/>
                <w:webHidden/>
              </w:rPr>
              <w:instrText xml:space="preserve"> PAGEREF _Toc78131604 \h </w:instrText>
            </w:r>
            <w:r w:rsidR="00A63F35">
              <w:rPr>
                <w:noProof/>
                <w:webHidden/>
              </w:rPr>
            </w:r>
            <w:r w:rsidR="00A63F35">
              <w:rPr>
                <w:noProof/>
                <w:webHidden/>
              </w:rPr>
              <w:fldChar w:fldCharType="separate"/>
            </w:r>
            <w:r w:rsidR="009044D1">
              <w:rPr>
                <w:noProof/>
                <w:webHidden/>
              </w:rPr>
              <w:t>47</w:t>
            </w:r>
            <w:r w:rsidR="00A63F35">
              <w:rPr>
                <w:noProof/>
                <w:webHidden/>
              </w:rPr>
              <w:fldChar w:fldCharType="end"/>
            </w:r>
          </w:hyperlink>
        </w:p>
        <w:p w14:paraId="0287213F" w14:textId="44543923" w:rsidR="00A63F35" w:rsidRDefault="00000000">
          <w:pPr>
            <w:pStyle w:val="TM3"/>
            <w:rPr>
              <w:rFonts w:asciiTheme="minorHAnsi" w:eastAsiaTheme="minorEastAsia" w:hAnsiTheme="minorHAnsi"/>
              <w:noProof/>
              <w:lang w:eastAsia="fr-FR"/>
            </w:rPr>
          </w:pPr>
          <w:hyperlink w:anchor="_Toc78131605" w:history="1">
            <w:r w:rsidR="00A63F35" w:rsidRPr="00725021">
              <w:rPr>
                <w:rStyle w:val="Lienhypertexte"/>
                <w:noProof/>
              </w:rPr>
              <w:t>3.6.1. La production disponible en SIQO et leur destination par circuit et par produit</w:t>
            </w:r>
            <w:r w:rsidR="00A63F35">
              <w:rPr>
                <w:noProof/>
                <w:webHidden/>
              </w:rPr>
              <w:tab/>
            </w:r>
            <w:r w:rsidR="00A63F35">
              <w:rPr>
                <w:noProof/>
                <w:webHidden/>
              </w:rPr>
              <w:fldChar w:fldCharType="begin"/>
            </w:r>
            <w:r w:rsidR="00A63F35">
              <w:rPr>
                <w:noProof/>
                <w:webHidden/>
              </w:rPr>
              <w:instrText xml:space="preserve"> PAGEREF _Toc78131605 \h </w:instrText>
            </w:r>
            <w:r w:rsidR="00A63F35">
              <w:rPr>
                <w:noProof/>
                <w:webHidden/>
              </w:rPr>
            </w:r>
            <w:r w:rsidR="00A63F35">
              <w:rPr>
                <w:noProof/>
                <w:webHidden/>
              </w:rPr>
              <w:fldChar w:fldCharType="separate"/>
            </w:r>
            <w:r w:rsidR="009044D1">
              <w:rPr>
                <w:noProof/>
                <w:webHidden/>
              </w:rPr>
              <w:t>47</w:t>
            </w:r>
            <w:r w:rsidR="00A63F35">
              <w:rPr>
                <w:noProof/>
                <w:webHidden/>
              </w:rPr>
              <w:fldChar w:fldCharType="end"/>
            </w:r>
          </w:hyperlink>
        </w:p>
        <w:p w14:paraId="15131CF2" w14:textId="737A5C81" w:rsidR="00A63F35" w:rsidRDefault="00000000">
          <w:pPr>
            <w:pStyle w:val="TM3"/>
            <w:rPr>
              <w:rFonts w:asciiTheme="minorHAnsi" w:eastAsiaTheme="minorEastAsia" w:hAnsiTheme="minorHAnsi"/>
              <w:noProof/>
              <w:lang w:eastAsia="fr-FR"/>
            </w:rPr>
          </w:pPr>
          <w:hyperlink w:anchor="_Toc78131606" w:history="1">
            <w:r w:rsidR="00A63F35" w:rsidRPr="00725021">
              <w:rPr>
                <w:rStyle w:val="Lienhypertexte"/>
                <w:noProof/>
              </w:rPr>
              <w:t>3.6.2. La production disponible en Bio et leur destination par circuit et par produit</w:t>
            </w:r>
            <w:r w:rsidR="00A63F35">
              <w:rPr>
                <w:noProof/>
                <w:webHidden/>
              </w:rPr>
              <w:tab/>
            </w:r>
            <w:r w:rsidR="00A63F35">
              <w:rPr>
                <w:noProof/>
                <w:webHidden/>
              </w:rPr>
              <w:fldChar w:fldCharType="begin"/>
            </w:r>
            <w:r w:rsidR="00A63F35">
              <w:rPr>
                <w:noProof/>
                <w:webHidden/>
              </w:rPr>
              <w:instrText xml:space="preserve"> PAGEREF _Toc78131606 \h </w:instrText>
            </w:r>
            <w:r w:rsidR="00A63F35">
              <w:rPr>
                <w:noProof/>
                <w:webHidden/>
              </w:rPr>
            </w:r>
            <w:r w:rsidR="00A63F35">
              <w:rPr>
                <w:noProof/>
                <w:webHidden/>
              </w:rPr>
              <w:fldChar w:fldCharType="separate"/>
            </w:r>
            <w:r w:rsidR="009044D1">
              <w:rPr>
                <w:noProof/>
                <w:webHidden/>
              </w:rPr>
              <w:t>48</w:t>
            </w:r>
            <w:r w:rsidR="00A63F35">
              <w:rPr>
                <w:noProof/>
                <w:webHidden/>
              </w:rPr>
              <w:fldChar w:fldCharType="end"/>
            </w:r>
          </w:hyperlink>
        </w:p>
        <w:p w14:paraId="194A2618" w14:textId="55624598" w:rsidR="00A63F35" w:rsidRDefault="00000000">
          <w:pPr>
            <w:pStyle w:val="TM1"/>
            <w:tabs>
              <w:tab w:val="left" w:pos="440"/>
              <w:tab w:val="right" w:leader="dot" w:pos="9060"/>
            </w:tabs>
            <w:rPr>
              <w:rFonts w:asciiTheme="minorHAnsi" w:eastAsiaTheme="minorEastAsia" w:hAnsiTheme="minorHAnsi"/>
              <w:noProof/>
              <w:lang w:eastAsia="fr-FR"/>
            </w:rPr>
          </w:pPr>
          <w:hyperlink w:anchor="_Toc78131607" w:history="1">
            <w:r w:rsidR="00A63F35" w:rsidRPr="00725021">
              <w:rPr>
                <w:rStyle w:val="Lienhypertexte"/>
                <w:noProof/>
              </w:rPr>
              <w:t>4.</w:t>
            </w:r>
            <w:r w:rsidR="00A63F35">
              <w:rPr>
                <w:rFonts w:asciiTheme="minorHAnsi" w:eastAsiaTheme="minorEastAsia" w:hAnsiTheme="minorHAnsi"/>
                <w:noProof/>
                <w:lang w:eastAsia="fr-FR"/>
              </w:rPr>
              <w:tab/>
            </w:r>
            <w:r w:rsidR="00A63F35" w:rsidRPr="00725021">
              <w:rPr>
                <w:rStyle w:val="Lienhypertexte"/>
                <w:noProof/>
              </w:rPr>
              <w:t>Conclusion de première partie</w:t>
            </w:r>
            <w:r w:rsidR="00A63F35">
              <w:rPr>
                <w:noProof/>
                <w:webHidden/>
              </w:rPr>
              <w:tab/>
            </w:r>
            <w:r w:rsidR="00A63F35">
              <w:rPr>
                <w:noProof/>
                <w:webHidden/>
              </w:rPr>
              <w:fldChar w:fldCharType="begin"/>
            </w:r>
            <w:r w:rsidR="00A63F35">
              <w:rPr>
                <w:noProof/>
                <w:webHidden/>
              </w:rPr>
              <w:instrText xml:space="preserve"> PAGEREF _Toc78131607 \h </w:instrText>
            </w:r>
            <w:r w:rsidR="00A63F35">
              <w:rPr>
                <w:noProof/>
                <w:webHidden/>
              </w:rPr>
            </w:r>
            <w:r w:rsidR="00A63F35">
              <w:rPr>
                <w:noProof/>
                <w:webHidden/>
              </w:rPr>
              <w:fldChar w:fldCharType="separate"/>
            </w:r>
            <w:r w:rsidR="009044D1">
              <w:rPr>
                <w:noProof/>
                <w:webHidden/>
              </w:rPr>
              <w:t>49</w:t>
            </w:r>
            <w:r w:rsidR="00A63F35">
              <w:rPr>
                <w:noProof/>
                <w:webHidden/>
              </w:rPr>
              <w:fldChar w:fldCharType="end"/>
            </w:r>
          </w:hyperlink>
        </w:p>
        <w:p w14:paraId="4CA41759" w14:textId="05FE1C22" w:rsidR="00A63F35" w:rsidRDefault="00000000">
          <w:pPr>
            <w:pStyle w:val="TM2"/>
            <w:tabs>
              <w:tab w:val="right" w:leader="dot" w:pos="9060"/>
            </w:tabs>
            <w:rPr>
              <w:rFonts w:asciiTheme="minorHAnsi" w:eastAsiaTheme="minorEastAsia" w:hAnsiTheme="minorHAnsi"/>
              <w:noProof/>
              <w:lang w:eastAsia="fr-FR"/>
            </w:rPr>
          </w:pPr>
          <w:hyperlink w:anchor="_Toc78131608" w:history="1">
            <w:r w:rsidR="00A63F35" w:rsidRPr="00725021">
              <w:rPr>
                <w:rStyle w:val="Lienhypertexte"/>
                <w:noProof/>
              </w:rPr>
              <w:t>L’étude s’est attachée à couvrir les données nationales globales et les enquêtes réalisées sur des échantillons nationaux représentatifs de la population en référence aux données de consommation obtenues par bilan. L’approche de la consommation des produits du porc à l’épreuve de l’analyse des biais des différentes sources</w:t>
            </w:r>
            <w:r w:rsidR="00A63F35">
              <w:rPr>
                <w:noProof/>
                <w:webHidden/>
              </w:rPr>
              <w:tab/>
            </w:r>
            <w:r w:rsidR="00A63F35">
              <w:rPr>
                <w:noProof/>
                <w:webHidden/>
              </w:rPr>
              <w:fldChar w:fldCharType="begin"/>
            </w:r>
            <w:r w:rsidR="00A63F35">
              <w:rPr>
                <w:noProof/>
                <w:webHidden/>
              </w:rPr>
              <w:instrText xml:space="preserve"> PAGEREF _Toc78131608 \h </w:instrText>
            </w:r>
            <w:r w:rsidR="00A63F35">
              <w:rPr>
                <w:noProof/>
                <w:webHidden/>
              </w:rPr>
            </w:r>
            <w:r w:rsidR="00A63F35">
              <w:rPr>
                <w:noProof/>
                <w:webHidden/>
              </w:rPr>
              <w:fldChar w:fldCharType="separate"/>
            </w:r>
            <w:r w:rsidR="009044D1">
              <w:rPr>
                <w:noProof/>
                <w:webHidden/>
              </w:rPr>
              <w:t>49</w:t>
            </w:r>
            <w:r w:rsidR="00A63F35">
              <w:rPr>
                <w:noProof/>
                <w:webHidden/>
              </w:rPr>
              <w:fldChar w:fldCharType="end"/>
            </w:r>
          </w:hyperlink>
        </w:p>
        <w:p w14:paraId="4E2086C0" w14:textId="525461A1" w:rsidR="00A63F35" w:rsidRDefault="00000000">
          <w:pPr>
            <w:pStyle w:val="TM2"/>
            <w:tabs>
              <w:tab w:val="right" w:leader="dot" w:pos="9060"/>
            </w:tabs>
            <w:rPr>
              <w:rFonts w:asciiTheme="minorHAnsi" w:eastAsiaTheme="minorEastAsia" w:hAnsiTheme="minorHAnsi"/>
              <w:noProof/>
              <w:lang w:eastAsia="fr-FR"/>
            </w:rPr>
          </w:pPr>
          <w:hyperlink w:anchor="_Toc78131609" w:history="1">
            <w:r w:rsidR="00A63F35" w:rsidRPr="00725021">
              <w:rPr>
                <w:rStyle w:val="Lienhypertexte"/>
                <w:noProof/>
              </w:rPr>
              <w:t>4.2. Etat synthétique des connaissances du net disponible en volume des produits du porc</w:t>
            </w:r>
            <w:r w:rsidR="00A63F35">
              <w:rPr>
                <w:noProof/>
                <w:webHidden/>
              </w:rPr>
              <w:tab/>
            </w:r>
            <w:r w:rsidR="00A63F35">
              <w:rPr>
                <w:noProof/>
                <w:webHidden/>
              </w:rPr>
              <w:fldChar w:fldCharType="begin"/>
            </w:r>
            <w:r w:rsidR="00A63F35">
              <w:rPr>
                <w:noProof/>
                <w:webHidden/>
              </w:rPr>
              <w:instrText xml:space="preserve"> PAGEREF _Toc78131609 \h </w:instrText>
            </w:r>
            <w:r w:rsidR="00A63F35">
              <w:rPr>
                <w:noProof/>
                <w:webHidden/>
              </w:rPr>
            </w:r>
            <w:r w:rsidR="00A63F35">
              <w:rPr>
                <w:noProof/>
                <w:webHidden/>
              </w:rPr>
              <w:fldChar w:fldCharType="separate"/>
            </w:r>
            <w:r w:rsidR="009044D1">
              <w:rPr>
                <w:noProof/>
                <w:webHidden/>
              </w:rPr>
              <w:t>51</w:t>
            </w:r>
            <w:r w:rsidR="00A63F35">
              <w:rPr>
                <w:noProof/>
                <w:webHidden/>
              </w:rPr>
              <w:fldChar w:fldCharType="end"/>
            </w:r>
          </w:hyperlink>
        </w:p>
        <w:p w14:paraId="50DE5049" w14:textId="39920E8B" w:rsidR="00A63F35" w:rsidRDefault="00000000">
          <w:pPr>
            <w:pStyle w:val="TM1"/>
            <w:tabs>
              <w:tab w:val="right" w:leader="dot" w:pos="9060"/>
            </w:tabs>
            <w:rPr>
              <w:rFonts w:asciiTheme="minorHAnsi" w:eastAsiaTheme="minorEastAsia" w:hAnsiTheme="minorHAnsi"/>
              <w:noProof/>
              <w:lang w:eastAsia="fr-FR"/>
            </w:rPr>
          </w:pPr>
          <w:hyperlink w:anchor="_Toc78131610" w:history="1">
            <w:r w:rsidR="00A63F35" w:rsidRPr="00725021">
              <w:rPr>
                <w:rStyle w:val="Lienhypertexte"/>
                <w:noProof/>
              </w:rPr>
              <w:t>Partie 2 : Méthodologie de quantification des produits du porc</w:t>
            </w:r>
            <w:r w:rsidR="00A63F35">
              <w:rPr>
                <w:noProof/>
                <w:webHidden/>
              </w:rPr>
              <w:tab/>
            </w:r>
            <w:r w:rsidR="00A63F35">
              <w:rPr>
                <w:noProof/>
                <w:webHidden/>
              </w:rPr>
              <w:fldChar w:fldCharType="begin"/>
            </w:r>
            <w:r w:rsidR="00A63F35">
              <w:rPr>
                <w:noProof/>
                <w:webHidden/>
              </w:rPr>
              <w:instrText xml:space="preserve"> PAGEREF _Toc78131610 \h </w:instrText>
            </w:r>
            <w:r w:rsidR="00A63F35">
              <w:rPr>
                <w:noProof/>
                <w:webHidden/>
              </w:rPr>
            </w:r>
            <w:r w:rsidR="00A63F35">
              <w:rPr>
                <w:noProof/>
                <w:webHidden/>
              </w:rPr>
              <w:fldChar w:fldCharType="separate"/>
            </w:r>
            <w:r w:rsidR="009044D1">
              <w:rPr>
                <w:noProof/>
                <w:webHidden/>
              </w:rPr>
              <w:t>53</w:t>
            </w:r>
            <w:r w:rsidR="00A63F35">
              <w:rPr>
                <w:noProof/>
                <w:webHidden/>
              </w:rPr>
              <w:fldChar w:fldCharType="end"/>
            </w:r>
          </w:hyperlink>
        </w:p>
        <w:p w14:paraId="7BBAE6DE" w14:textId="0DC9FCDF" w:rsidR="00A63F35" w:rsidRDefault="00000000">
          <w:pPr>
            <w:pStyle w:val="TM1"/>
            <w:tabs>
              <w:tab w:val="left" w:pos="440"/>
              <w:tab w:val="right" w:leader="dot" w:pos="9060"/>
            </w:tabs>
            <w:rPr>
              <w:rFonts w:asciiTheme="minorHAnsi" w:eastAsiaTheme="minorEastAsia" w:hAnsiTheme="minorHAnsi"/>
              <w:noProof/>
              <w:lang w:eastAsia="fr-FR"/>
            </w:rPr>
          </w:pPr>
          <w:hyperlink w:anchor="_Toc78131611" w:history="1">
            <w:r w:rsidR="00A63F35" w:rsidRPr="00725021">
              <w:rPr>
                <w:rStyle w:val="Lienhypertexte"/>
                <w:noProof/>
                <w:lang w:eastAsia="fr-FR"/>
              </w:rPr>
              <w:t>1.</w:t>
            </w:r>
            <w:r w:rsidR="00A63F35">
              <w:rPr>
                <w:rFonts w:asciiTheme="minorHAnsi" w:eastAsiaTheme="minorEastAsia" w:hAnsiTheme="minorHAnsi"/>
                <w:noProof/>
                <w:lang w:eastAsia="fr-FR"/>
              </w:rPr>
              <w:tab/>
            </w:r>
            <w:r w:rsidR="00A63F35" w:rsidRPr="00725021">
              <w:rPr>
                <w:rStyle w:val="Lienhypertexte"/>
                <w:noProof/>
              </w:rPr>
              <w:t>Quantification</w:t>
            </w:r>
            <w:r w:rsidR="00A63F35" w:rsidRPr="00725021">
              <w:rPr>
                <w:rStyle w:val="Lienhypertexte"/>
                <w:rFonts w:eastAsia="Times New Roman"/>
                <w:noProof/>
                <w:lang w:eastAsia="fr-FR"/>
              </w:rPr>
              <w:t xml:space="preserve"> de la fraction disponible à la consommation humaine au stade de l’abattage</w:t>
            </w:r>
            <w:r w:rsidR="00A63F35">
              <w:rPr>
                <w:noProof/>
                <w:webHidden/>
              </w:rPr>
              <w:tab/>
            </w:r>
            <w:r w:rsidR="00A63F35">
              <w:rPr>
                <w:noProof/>
                <w:webHidden/>
              </w:rPr>
              <w:fldChar w:fldCharType="begin"/>
            </w:r>
            <w:r w:rsidR="00A63F35">
              <w:rPr>
                <w:noProof/>
                <w:webHidden/>
              </w:rPr>
              <w:instrText xml:space="preserve"> PAGEREF _Toc78131611 \h </w:instrText>
            </w:r>
            <w:r w:rsidR="00A63F35">
              <w:rPr>
                <w:noProof/>
                <w:webHidden/>
              </w:rPr>
            </w:r>
            <w:r w:rsidR="00A63F35">
              <w:rPr>
                <w:noProof/>
                <w:webHidden/>
              </w:rPr>
              <w:fldChar w:fldCharType="separate"/>
            </w:r>
            <w:r w:rsidR="009044D1">
              <w:rPr>
                <w:noProof/>
                <w:webHidden/>
              </w:rPr>
              <w:t>53</w:t>
            </w:r>
            <w:r w:rsidR="00A63F35">
              <w:rPr>
                <w:noProof/>
                <w:webHidden/>
              </w:rPr>
              <w:fldChar w:fldCharType="end"/>
            </w:r>
          </w:hyperlink>
        </w:p>
        <w:p w14:paraId="4C37D77F" w14:textId="0086F335"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12" w:history="1">
            <w:r w:rsidR="00A63F35" w:rsidRPr="00725021">
              <w:rPr>
                <w:rStyle w:val="Lienhypertexte"/>
                <w:noProof/>
              </w:rPr>
              <w:t>1.1.</w:t>
            </w:r>
            <w:r w:rsidR="00A63F35">
              <w:rPr>
                <w:rFonts w:asciiTheme="minorHAnsi" w:eastAsiaTheme="minorEastAsia" w:hAnsiTheme="minorHAnsi"/>
                <w:noProof/>
                <w:lang w:eastAsia="fr-FR"/>
              </w:rPr>
              <w:tab/>
            </w:r>
            <w:r w:rsidR="00A63F35" w:rsidRPr="00725021">
              <w:rPr>
                <w:rStyle w:val="Lienhypertexte"/>
                <w:noProof/>
              </w:rPr>
              <w:t>Les fractions « non comestible » et « indirectement comestible » : caractérisation, destination et quantification</w:t>
            </w:r>
            <w:r w:rsidR="00A63F35">
              <w:rPr>
                <w:noProof/>
                <w:webHidden/>
              </w:rPr>
              <w:tab/>
            </w:r>
            <w:r w:rsidR="00A63F35">
              <w:rPr>
                <w:noProof/>
                <w:webHidden/>
              </w:rPr>
              <w:fldChar w:fldCharType="begin"/>
            </w:r>
            <w:r w:rsidR="00A63F35">
              <w:rPr>
                <w:noProof/>
                <w:webHidden/>
              </w:rPr>
              <w:instrText xml:space="preserve"> PAGEREF _Toc78131612 \h </w:instrText>
            </w:r>
            <w:r w:rsidR="00A63F35">
              <w:rPr>
                <w:noProof/>
                <w:webHidden/>
              </w:rPr>
            </w:r>
            <w:r w:rsidR="00A63F35">
              <w:rPr>
                <w:noProof/>
                <w:webHidden/>
              </w:rPr>
              <w:fldChar w:fldCharType="separate"/>
            </w:r>
            <w:r w:rsidR="009044D1">
              <w:rPr>
                <w:noProof/>
                <w:webHidden/>
              </w:rPr>
              <w:t>54</w:t>
            </w:r>
            <w:r w:rsidR="00A63F35">
              <w:rPr>
                <w:noProof/>
                <w:webHidden/>
              </w:rPr>
              <w:fldChar w:fldCharType="end"/>
            </w:r>
          </w:hyperlink>
        </w:p>
        <w:p w14:paraId="1552FEED" w14:textId="7B53AE0C" w:rsidR="00A63F35" w:rsidRDefault="00000000">
          <w:pPr>
            <w:pStyle w:val="TM3"/>
            <w:rPr>
              <w:rFonts w:asciiTheme="minorHAnsi" w:eastAsiaTheme="minorEastAsia" w:hAnsiTheme="minorHAnsi"/>
              <w:noProof/>
              <w:lang w:eastAsia="fr-FR"/>
            </w:rPr>
          </w:pPr>
          <w:hyperlink w:anchor="_Toc78131613" w:history="1">
            <w:r w:rsidR="00A63F35" w:rsidRPr="00725021">
              <w:rPr>
                <w:rStyle w:val="Lienhypertexte"/>
                <w:noProof/>
              </w:rPr>
              <w:t>1.1.1. Identification des gisements de pertes et sous-produits</w:t>
            </w:r>
            <w:r w:rsidR="00A63F35">
              <w:rPr>
                <w:noProof/>
                <w:webHidden/>
              </w:rPr>
              <w:tab/>
            </w:r>
            <w:r w:rsidR="00A63F35">
              <w:rPr>
                <w:noProof/>
                <w:webHidden/>
              </w:rPr>
              <w:fldChar w:fldCharType="begin"/>
            </w:r>
            <w:r w:rsidR="00A63F35">
              <w:rPr>
                <w:noProof/>
                <w:webHidden/>
              </w:rPr>
              <w:instrText xml:space="preserve"> PAGEREF _Toc78131613 \h </w:instrText>
            </w:r>
            <w:r w:rsidR="00A63F35">
              <w:rPr>
                <w:noProof/>
                <w:webHidden/>
              </w:rPr>
            </w:r>
            <w:r w:rsidR="00A63F35">
              <w:rPr>
                <w:noProof/>
                <w:webHidden/>
              </w:rPr>
              <w:fldChar w:fldCharType="separate"/>
            </w:r>
            <w:r w:rsidR="009044D1">
              <w:rPr>
                <w:noProof/>
                <w:webHidden/>
              </w:rPr>
              <w:t>54</w:t>
            </w:r>
            <w:r w:rsidR="00A63F35">
              <w:rPr>
                <w:noProof/>
                <w:webHidden/>
              </w:rPr>
              <w:fldChar w:fldCharType="end"/>
            </w:r>
          </w:hyperlink>
        </w:p>
        <w:p w14:paraId="2C0A9122" w14:textId="23A0BCC9" w:rsidR="00A63F35" w:rsidRDefault="00000000">
          <w:pPr>
            <w:pStyle w:val="TM3"/>
            <w:rPr>
              <w:rFonts w:asciiTheme="minorHAnsi" w:eastAsiaTheme="minorEastAsia" w:hAnsiTheme="minorHAnsi"/>
              <w:noProof/>
              <w:lang w:eastAsia="fr-FR"/>
            </w:rPr>
          </w:pPr>
          <w:hyperlink w:anchor="_Toc78131614" w:history="1">
            <w:r w:rsidR="00A63F35" w:rsidRPr="00725021">
              <w:rPr>
                <w:rStyle w:val="Lienhypertexte"/>
                <w:noProof/>
              </w:rPr>
              <w:t>1.1.2. La fraction non comestible</w:t>
            </w:r>
            <w:r w:rsidR="00A63F35">
              <w:rPr>
                <w:noProof/>
                <w:webHidden/>
              </w:rPr>
              <w:tab/>
            </w:r>
            <w:r w:rsidR="00A63F35">
              <w:rPr>
                <w:noProof/>
                <w:webHidden/>
              </w:rPr>
              <w:fldChar w:fldCharType="begin"/>
            </w:r>
            <w:r w:rsidR="00A63F35">
              <w:rPr>
                <w:noProof/>
                <w:webHidden/>
              </w:rPr>
              <w:instrText xml:space="preserve"> PAGEREF _Toc78131614 \h </w:instrText>
            </w:r>
            <w:r w:rsidR="00A63F35">
              <w:rPr>
                <w:noProof/>
                <w:webHidden/>
              </w:rPr>
            </w:r>
            <w:r w:rsidR="00A63F35">
              <w:rPr>
                <w:noProof/>
                <w:webHidden/>
              </w:rPr>
              <w:fldChar w:fldCharType="separate"/>
            </w:r>
            <w:r w:rsidR="009044D1">
              <w:rPr>
                <w:noProof/>
                <w:webHidden/>
              </w:rPr>
              <w:t>54</w:t>
            </w:r>
            <w:r w:rsidR="00A63F35">
              <w:rPr>
                <w:noProof/>
                <w:webHidden/>
              </w:rPr>
              <w:fldChar w:fldCharType="end"/>
            </w:r>
          </w:hyperlink>
        </w:p>
        <w:p w14:paraId="2C6E8052" w14:textId="7BFFC622" w:rsidR="00A63F35" w:rsidRDefault="00000000">
          <w:pPr>
            <w:pStyle w:val="TM3"/>
            <w:rPr>
              <w:rFonts w:asciiTheme="minorHAnsi" w:eastAsiaTheme="minorEastAsia" w:hAnsiTheme="minorHAnsi"/>
              <w:noProof/>
              <w:lang w:eastAsia="fr-FR"/>
            </w:rPr>
          </w:pPr>
          <w:hyperlink w:anchor="_Toc78131615" w:history="1">
            <w:r w:rsidR="00A63F35" w:rsidRPr="00725021">
              <w:rPr>
                <w:rStyle w:val="Lienhypertexte"/>
                <w:noProof/>
              </w:rPr>
              <w:t>1.1.3. La fraction indirectement alimentaire</w:t>
            </w:r>
            <w:r w:rsidR="00A63F35">
              <w:rPr>
                <w:noProof/>
                <w:webHidden/>
              </w:rPr>
              <w:tab/>
            </w:r>
            <w:r w:rsidR="00A63F35">
              <w:rPr>
                <w:noProof/>
                <w:webHidden/>
              </w:rPr>
              <w:fldChar w:fldCharType="begin"/>
            </w:r>
            <w:r w:rsidR="00A63F35">
              <w:rPr>
                <w:noProof/>
                <w:webHidden/>
              </w:rPr>
              <w:instrText xml:space="preserve"> PAGEREF _Toc78131615 \h </w:instrText>
            </w:r>
            <w:r w:rsidR="00A63F35">
              <w:rPr>
                <w:noProof/>
                <w:webHidden/>
              </w:rPr>
            </w:r>
            <w:r w:rsidR="00A63F35">
              <w:rPr>
                <w:noProof/>
                <w:webHidden/>
              </w:rPr>
              <w:fldChar w:fldCharType="separate"/>
            </w:r>
            <w:r w:rsidR="009044D1">
              <w:rPr>
                <w:noProof/>
                <w:webHidden/>
              </w:rPr>
              <w:t>55</w:t>
            </w:r>
            <w:r w:rsidR="00A63F35">
              <w:rPr>
                <w:noProof/>
                <w:webHidden/>
              </w:rPr>
              <w:fldChar w:fldCharType="end"/>
            </w:r>
          </w:hyperlink>
        </w:p>
        <w:p w14:paraId="263DA1C2" w14:textId="44BDA1B7" w:rsidR="00A63F35" w:rsidRDefault="00000000">
          <w:pPr>
            <w:pStyle w:val="TM3"/>
            <w:rPr>
              <w:rFonts w:asciiTheme="minorHAnsi" w:eastAsiaTheme="minorEastAsia" w:hAnsiTheme="minorHAnsi"/>
              <w:noProof/>
              <w:lang w:eastAsia="fr-FR"/>
            </w:rPr>
          </w:pPr>
          <w:hyperlink w:anchor="_Toc78131616" w:history="1">
            <w:r w:rsidR="00A63F35" w:rsidRPr="00725021">
              <w:rPr>
                <w:rStyle w:val="Lienhypertexte"/>
                <w:noProof/>
              </w:rPr>
              <w:t>1.1.4 Composition massique des coproduits</w:t>
            </w:r>
            <w:r w:rsidR="00A63F35">
              <w:rPr>
                <w:noProof/>
                <w:webHidden/>
              </w:rPr>
              <w:tab/>
            </w:r>
            <w:r w:rsidR="00A63F35">
              <w:rPr>
                <w:noProof/>
                <w:webHidden/>
              </w:rPr>
              <w:fldChar w:fldCharType="begin"/>
            </w:r>
            <w:r w:rsidR="00A63F35">
              <w:rPr>
                <w:noProof/>
                <w:webHidden/>
              </w:rPr>
              <w:instrText xml:space="preserve"> PAGEREF _Toc78131616 \h </w:instrText>
            </w:r>
            <w:r w:rsidR="00A63F35">
              <w:rPr>
                <w:noProof/>
                <w:webHidden/>
              </w:rPr>
            </w:r>
            <w:r w:rsidR="00A63F35">
              <w:rPr>
                <w:noProof/>
                <w:webHidden/>
              </w:rPr>
              <w:fldChar w:fldCharType="separate"/>
            </w:r>
            <w:r w:rsidR="009044D1">
              <w:rPr>
                <w:noProof/>
                <w:webHidden/>
              </w:rPr>
              <w:t>56</w:t>
            </w:r>
            <w:r w:rsidR="00A63F35">
              <w:rPr>
                <w:noProof/>
                <w:webHidden/>
              </w:rPr>
              <w:fldChar w:fldCharType="end"/>
            </w:r>
          </w:hyperlink>
        </w:p>
        <w:p w14:paraId="25734C65" w14:textId="78965D4A" w:rsidR="00A63F35" w:rsidRDefault="00000000">
          <w:pPr>
            <w:pStyle w:val="TM2"/>
            <w:tabs>
              <w:tab w:val="right" w:leader="dot" w:pos="9060"/>
            </w:tabs>
            <w:rPr>
              <w:rFonts w:asciiTheme="minorHAnsi" w:eastAsiaTheme="minorEastAsia" w:hAnsiTheme="minorHAnsi"/>
              <w:noProof/>
              <w:lang w:eastAsia="fr-FR"/>
            </w:rPr>
          </w:pPr>
          <w:hyperlink w:anchor="_Toc78131617" w:history="1">
            <w:r w:rsidR="00A63F35" w:rsidRPr="00725021">
              <w:rPr>
                <w:rStyle w:val="Lienhypertexte"/>
                <w:noProof/>
              </w:rPr>
              <w:t>1.2. Composition massique de la carcasse et des abats issus de l’éviscération</w:t>
            </w:r>
            <w:r w:rsidR="00A63F35">
              <w:rPr>
                <w:noProof/>
                <w:webHidden/>
              </w:rPr>
              <w:tab/>
            </w:r>
            <w:r w:rsidR="00A63F35">
              <w:rPr>
                <w:noProof/>
                <w:webHidden/>
              </w:rPr>
              <w:fldChar w:fldCharType="begin"/>
            </w:r>
            <w:r w:rsidR="00A63F35">
              <w:rPr>
                <w:noProof/>
                <w:webHidden/>
              </w:rPr>
              <w:instrText xml:space="preserve"> PAGEREF _Toc78131617 \h </w:instrText>
            </w:r>
            <w:r w:rsidR="00A63F35">
              <w:rPr>
                <w:noProof/>
                <w:webHidden/>
              </w:rPr>
            </w:r>
            <w:r w:rsidR="00A63F35">
              <w:rPr>
                <w:noProof/>
                <w:webHidden/>
              </w:rPr>
              <w:fldChar w:fldCharType="separate"/>
            </w:r>
            <w:r w:rsidR="009044D1">
              <w:rPr>
                <w:noProof/>
                <w:webHidden/>
              </w:rPr>
              <w:t>57</w:t>
            </w:r>
            <w:r w:rsidR="00A63F35">
              <w:rPr>
                <w:noProof/>
                <w:webHidden/>
              </w:rPr>
              <w:fldChar w:fldCharType="end"/>
            </w:r>
          </w:hyperlink>
        </w:p>
        <w:p w14:paraId="53468C04" w14:textId="52212DFD" w:rsidR="00A63F35" w:rsidRDefault="00000000">
          <w:pPr>
            <w:pStyle w:val="TM3"/>
            <w:tabs>
              <w:tab w:val="left" w:pos="1320"/>
            </w:tabs>
            <w:rPr>
              <w:rFonts w:asciiTheme="minorHAnsi" w:eastAsiaTheme="minorEastAsia" w:hAnsiTheme="minorHAnsi"/>
              <w:noProof/>
              <w:lang w:eastAsia="fr-FR"/>
            </w:rPr>
          </w:pPr>
          <w:hyperlink w:anchor="_Toc78131618" w:history="1">
            <w:r w:rsidR="00A63F35" w:rsidRPr="00725021">
              <w:rPr>
                <w:rStyle w:val="Lienhypertexte"/>
                <w:noProof/>
              </w:rPr>
              <w:t>1.2.1.</w:t>
            </w:r>
            <w:r w:rsidR="00A63F35">
              <w:rPr>
                <w:rFonts w:asciiTheme="minorHAnsi" w:eastAsiaTheme="minorEastAsia" w:hAnsiTheme="minorHAnsi"/>
                <w:noProof/>
                <w:lang w:eastAsia="fr-FR"/>
              </w:rPr>
              <w:tab/>
            </w:r>
            <w:r w:rsidR="00A63F35" w:rsidRPr="00725021">
              <w:rPr>
                <w:rStyle w:val="Lienhypertexte"/>
                <w:noProof/>
              </w:rPr>
              <w:t>Composition massique de la carcasse</w:t>
            </w:r>
            <w:r w:rsidR="00A63F35">
              <w:rPr>
                <w:noProof/>
                <w:webHidden/>
              </w:rPr>
              <w:tab/>
            </w:r>
            <w:r w:rsidR="00A63F35">
              <w:rPr>
                <w:noProof/>
                <w:webHidden/>
              </w:rPr>
              <w:fldChar w:fldCharType="begin"/>
            </w:r>
            <w:r w:rsidR="00A63F35">
              <w:rPr>
                <w:noProof/>
                <w:webHidden/>
              </w:rPr>
              <w:instrText xml:space="preserve"> PAGEREF _Toc78131618 \h </w:instrText>
            </w:r>
            <w:r w:rsidR="00A63F35">
              <w:rPr>
                <w:noProof/>
                <w:webHidden/>
              </w:rPr>
            </w:r>
            <w:r w:rsidR="00A63F35">
              <w:rPr>
                <w:noProof/>
                <w:webHidden/>
              </w:rPr>
              <w:fldChar w:fldCharType="separate"/>
            </w:r>
            <w:r w:rsidR="009044D1">
              <w:rPr>
                <w:noProof/>
                <w:webHidden/>
              </w:rPr>
              <w:t>57</w:t>
            </w:r>
            <w:r w:rsidR="00A63F35">
              <w:rPr>
                <w:noProof/>
                <w:webHidden/>
              </w:rPr>
              <w:fldChar w:fldCharType="end"/>
            </w:r>
          </w:hyperlink>
        </w:p>
        <w:p w14:paraId="547660AD" w14:textId="0C691528" w:rsidR="00A63F35" w:rsidRDefault="00000000">
          <w:pPr>
            <w:pStyle w:val="TM3"/>
            <w:tabs>
              <w:tab w:val="left" w:pos="1320"/>
            </w:tabs>
            <w:rPr>
              <w:rFonts w:asciiTheme="minorHAnsi" w:eastAsiaTheme="minorEastAsia" w:hAnsiTheme="minorHAnsi"/>
              <w:noProof/>
              <w:lang w:eastAsia="fr-FR"/>
            </w:rPr>
          </w:pPr>
          <w:hyperlink w:anchor="_Toc78131619" w:history="1">
            <w:r w:rsidR="00A63F35" w:rsidRPr="00725021">
              <w:rPr>
                <w:rStyle w:val="Lienhypertexte"/>
                <w:noProof/>
              </w:rPr>
              <w:t>1.2.2.</w:t>
            </w:r>
            <w:r w:rsidR="00A63F35">
              <w:rPr>
                <w:rFonts w:asciiTheme="minorHAnsi" w:eastAsiaTheme="minorEastAsia" w:hAnsiTheme="minorHAnsi"/>
                <w:noProof/>
                <w:lang w:eastAsia="fr-FR"/>
              </w:rPr>
              <w:tab/>
            </w:r>
            <w:r w:rsidR="00A63F35" w:rsidRPr="00725021">
              <w:rPr>
                <w:rStyle w:val="Lienhypertexte"/>
                <w:noProof/>
              </w:rPr>
              <w:t>Composition massique des abats</w:t>
            </w:r>
            <w:r w:rsidR="00A63F35">
              <w:rPr>
                <w:noProof/>
                <w:webHidden/>
              </w:rPr>
              <w:tab/>
            </w:r>
            <w:r w:rsidR="00A63F35">
              <w:rPr>
                <w:noProof/>
                <w:webHidden/>
              </w:rPr>
              <w:fldChar w:fldCharType="begin"/>
            </w:r>
            <w:r w:rsidR="00A63F35">
              <w:rPr>
                <w:noProof/>
                <w:webHidden/>
              </w:rPr>
              <w:instrText xml:space="preserve"> PAGEREF _Toc78131619 \h </w:instrText>
            </w:r>
            <w:r w:rsidR="00A63F35">
              <w:rPr>
                <w:noProof/>
                <w:webHidden/>
              </w:rPr>
            </w:r>
            <w:r w:rsidR="00A63F35">
              <w:rPr>
                <w:noProof/>
                <w:webHidden/>
              </w:rPr>
              <w:fldChar w:fldCharType="separate"/>
            </w:r>
            <w:r w:rsidR="009044D1">
              <w:rPr>
                <w:noProof/>
                <w:webHidden/>
              </w:rPr>
              <w:t>58</w:t>
            </w:r>
            <w:r w:rsidR="00A63F35">
              <w:rPr>
                <w:noProof/>
                <w:webHidden/>
              </w:rPr>
              <w:fldChar w:fldCharType="end"/>
            </w:r>
          </w:hyperlink>
        </w:p>
        <w:p w14:paraId="5C67A3EA" w14:textId="04D1EA12"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20" w:history="1">
            <w:r w:rsidR="00A63F35" w:rsidRPr="00725021">
              <w:rPr>
                <w:rStyle w:val="Lienhypertexte"/>
                <w:noProof/>
              </w:rPr>
              <w:t>1.3.</w:t>
            </w:r>
            <w:r w:rsidR="00A63F35">
              <w:rPr>
                <w:rFonts w:asciiTheme="minorHAnsi" w:eastAsiaTheme="minorEastAsia" w:hAnsiTheme="minorHAnsi"/>
                <w:noProof/>
                <w:lang w:eastAsia="fr-FR"/>
              </w:rPr>
              <w:tab/>
            </w:r>
            <w:r w:rsidR="00A63F35" w:rsidRPr="00725021">
              <w:rPr>
                <w:rStyle w:val="Lienhypertexte"/>
                <w:noProof/>
              </w:rPr>
              <w:t>Estimation de la « fraction comestible » et des « équivalents en pièces primaires » net disponible sortie abattoir pour la consommation française</w:t>
            </w:r>
            <w:r w:rsidR="00A63F35">
              <w:rPr>
                <w:noProof/>
                <w:webHidden/>
              </w:rPr>
              <w:tab/>
            </w:r>
            <w:r w:rsidR="00A63F35">
              <w:rPr>
                <w:noProof/>
                <w:webHidden/>
              </w:rPr>
              <w:fldChar w:fldCharType="begin"/>
            </w:r>
            <w:r w:rsidR="00A63F35">
              <w:rPr>
                <w:noProof/>
                <w:webHidden/>
              </w:rPr>
              <w:instrText xml:space="preserve"> PAGEREF _Toc78131620 \h </w:instrText>
            </w:r>
            <w:r w:rsidR="00A63F35">
              <w:rPr>
                <w:noProof/>
                <w:webHidden/>
              </w:rPr>
            </w:r>
            <w:r w:rsidR="00A63F35">
              <w:rPr>
                <w:noProof/>
                <w:webHidden/>
              </w:rPr>
              <w:fldChar w:fldCharType="separate"/>
            </w:r>
            <w:r w:rsidR="009044D1">
              <w:rPr>
                <w:noProof/>
                <w:webHidden/>
              </w:rPr>
              <w:t>60</w:t>
            </w:r>
            <w:r w:rsidR="00A63F35">
              <w:rPr>
                <w:noProof/>
                <w:webHidden/>
              </w:rPr>
              <w:fldChar w:fldCharType="end"/>
            </w:r>
          </w:hyperlink>
        </w:p>
        <w:p w14:paraId="0F082466" w14:textId="52B84801"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21" w:history="1">
            <w:r w:rsidR="00A63F35" w:rsidRPr="00725021">
              <w:rPr>
                <w:rStyle w:val="Lienhypertexte"/>
                <w:noProof/>
              </w:rPr>
              <w:t>1.4.</w:t>
            </w:r>
            <w:r w:rsidR="00A63F35">
              <w:rPr>
                <w:rFonts w:asciiTheme="minorHAnsi" w:eastAsiaTheme="minorEastAsia" w:hAnsiTheme="minorHAnsi"/>
                <w:noProof/>
                <w:lang w:eastAsia="fr-FR"/>
              </w:rPr>
              <w:tab/>
            </w:r>
            <w:r w:rsidR="00A63F35" w:rsidRPr="00725021">
              <w:rPr>
                <w:rStyle w:val="Lienhypertexte"/>
                <w:noProof/>
              </w:rPr>
              <w:t>Estimation des rendements de transformation</w:t>
            </w:r>
            <w:r w:rsidR="00A63F35">
              <w:rPr>
                <w:noProof/>
                <w:webHidden/>
              </w:rPr>
              <w:tab/>
            </w:r>
            <w:r w:rsidR="00A63F35">
              <w:rPr>
                <w:noProof/>
                <w:webHidden/>
              </w:rPr>
              <w:fldChar w:fldCharType="begin"/>
            </w:r>
            <w:r w:rsidR="00A63F35">
              <w:rPr>
                <w:noProof/>
                <w:webHidden/>
              </w:rPr>
              <w:instrText xml:space="preserve"> PAGEREF _Toc78131621 \h </w:instrText>
            </w:r>
            <w:r w:rsidR="00A63F35">
              <w:rPr>
                <w:noProof/>
                <w:webHidden/>
              </w:rPr>
            </w:r>
            <w:r w:rsidR="00A63F35">
              <w:rPr>
                <w:noProof/>
                <w:webHidden/>
              </w:rPr>
              <w:fldChar w:fldCharType="separate"/>
            </w:r>
            <w:r w:rsidR="009044D1">
              <w:rPr>
                <w:noProof/>
                <w:webHidden/>
              </w:rPr>
              <w:t>61</w:t>
            </w:r>
            <w:r w:rsidR="00A63F35">
              <w:rPr>
                <w:noProof/>
                <w:webHidden/>
              </w:rPr>
              <w:fldChar w:fldCharType="end"/>
            </w:r>
          </w:hyperlink>
        </w:p>
        <w:p w14:paraId="46690F1B" w14:textId="469D48A9" w:rsidR="00A63F35" w:rsidRDefault="00000000">
          <w:pPr>
            <w:pStyle w:val="TM1"/>
            <w:tabs>
              <w:tab w:val="left" w:pos="440"/>
              <w:tab w:val="right" w:leader="dot" w:pos="9060"/>
            </w:tabs>
            <w:rPr>
              <w:rFonts w:asciiTheme="minorHAnsi" w:eastAsiaTheme="minorEastAsia" w:hAnsiTheme="minorHAnsi"/>
              <w:noProof/>
              <w:lang w:eastAsia="fr-FR"/>
            </w:rPr>
          </w:pPr>
          <w:hyperlink w:anchor="_Toc78131622" w:history="1">
            <w:r w:rsidR="00A63F35" w:rsidRPr="00725021">
              <w:rPr>
                <w:rStyle w:val="Lienhypertexte"/>
                <w:noProof/>
              </w:rPr>
              <w:t>2.</w:t>
            </w:r>
            <w:r w:rsidR="00A63F35">
              <w:rPr>
                <w:rFonts w:asciiTheme="minorHAnsi" w:eastAsiaTheme="minorEastAsia" w:hAnsiTheme="minorHAnsi"/>
                <w:noProof/>
                <w:lang w:eastAsia="fr-FR"/>
              </w:rPr>
              <w:tab/>
            </w:r>
            <w:r w:rsidR="00A63F35" w:rsidRPr="00725021">
              <w:rPr>
                <w:rStyle w:val="Lienhypertexte"/>
                <w:noProof/>
              </w:rPr>
              <w:t>Approche de la quantification des produits du porc valorisés comme ingrédients alimentaires</w:t>
            </w:r>
            <w:r w:rsidR="00A63F35">
              <w:rPr>
                <w:noProof/>
                <w:webHidden/>
              </w:rPr>
              <w:tab/>
            </w:r>
            <w:r w:rsidR="00A63F35">
              <w:rPr>
                <w:noProof/>
                <w:webHidden/>
              </w:rPr>
              <w:fldChar w:fldCharType="begin"/>
            </w:r>
            <w:r w:rsidR="00A63F35">
              <w:rPr>
                <w:noProof/>
                <w:webHidden/>
              </w:rPr>
              <w:instrText xml:space="preserve"> PAGEREF _Toc78131622 \h </w:instrText>
            </w:r>
            <w:r w:rsidR="00A63F35">
              <w:rPr>
                <w:noProof/>
                <w:webHidden/>
              </w:rPr>
            </w:r>
            <w:r w:rsidR="00A63F35">
              <w:rPr>
                <w:noProof/>
                <w:webHidden/>
              </w:rPr>
              <w:fldChar w:fldCharType="separate"/>
            </w:r>
            <w:r w:rsidR="009044D1">
              <w:rPr>
                <w:noProof/>
                <w:webHidden/>
              </w:rPr>
              <w:t>65</w:t>
            </w:r>
            <w:r w:rsidR="00A63F35">
              <w:rPr>
                <w:noProof/>
                <w:webHidden/>
              </w:rPr>
              <w:fldChar w:fldCharType="end"/>
            </w:r>
          </w:hyperlink>
        </w:p>
        <w:p w14:paraId="47756589" w14:textId="512BBF21" w:rsidR="00A63F35" w:rsidRDefault="00000000">
          <w:pPr>
            <w:pStyle w:val="TM2"/>
            <w:tabs>
              <w:tab w:val="right" w:leader="dot" w:pos="9060"/>
            </w:tabs>
            <w:rPr>
              <w:rFonts w:asciiTheme="minorHAnsi" w:eastAsiaTheme="minorEastAsia" w:hAnsiTheme="minorHAnsi"/>
              <w:noProof/>
              <w:lang w:eastAsia="fr-FR"/>
            </w:rPr>
          </w:pPr>
          <w:hyperlink w:anchor="_Toc78131623" w:history="1">
            <w:r w:rsidR="00A63F35" w:rsidRPr="00725021">
              <w:rPr>
                <w:rStyle w:val="Lienhypertexte"/>
                <w:noProof/>
              </w:rPr>
              <w:t>2.1. Part d’incorporation de porc dans les charcuteries autres que de porc</w:t>
            </w:r>
            <w:r w:rsidR="00A63F35">
              <w:rPr>
                <w:noProof/>
                <w:webHidden/>
              </w:rPr>
              <w:tab/>
            </w:r>
            <w:r w:rsidR="00A63F35">
              <w:rPr>
                <w:noProof/>
                <w:webHidden/>
              </w:rPr>
              <w:fldChar w:fldCharType="begin"/>
            </w:r>
            <w:r w:rsidR="00A63F35">
              <w:rPr>
                <w:noProof/>
                <w:webHidden/>
              </w:rPr>
              <w:instrText xml:space="preserve"> PAGEREF _Toc78131623 \h </w:instrText>
            </w:r>
            <w:r w:rsidR="00A63F35">
              <w:rPr>
                <w:noProof/>
                <w:webHidden/>
              </w:rPr>
            </w:r>
            <w:r w:rsidR="00A63F35">
              <w:rPr>
                <w:noProof/>
                <w:webHidden/>
              </w:rPr>
              <w:fldChar w:fldCharType="separate"/>
            </w:r>
            <w:r w:rsidR="009044D1">
              <w:rPr>
                <w:noProof/>
                <w:webHidden/>
              </w:rPr>
              <w:t>65</w:t>
            </w:r>
            <w:r w:rsidR="00A63F35">
              <w:rPr>
                <w:noProof/>
                <w:webHidden/>
              </w:rPr>
              <w:fldChar w:fldCharType="end"/>
            </w:r>
          </w:hyperlink>
        </w:p>
        <w:p w14:paraId="7DC513BB" w14:textId="7A08A6C3" w:rsidR="00A63F35" w:rsidRDefault="00000000">
          <w:pPr>
            <w:pStyle w:val="TM3"/>
            <w:rPr>
              <w:rFonts w:asciiTheme="minorHAnsi" w:eastAsiaTheme="minorEastAsia" w:hAnsiTheme="minorHAnsi"/>
              <w:noProof/>
              <w:lang w:eastAsia="fr-FR"/>
            </w:rPr>
          </w:pPr>
          <w:hyperlink w:anchor="_Toc78131624" w:history="1">
            <w:r w:rsidR="00A63F35" w:rsidRPr="00725021">
              <w:rPr>
                <w:rStyle w:val="Lienhypertexte"/>
                <w:noProof/>
              </w:rPr>
              <w:t>2.1.1. Méthode de travail</w:t>
            </w:r>
            <w:r w:rsidR="00A63F35">
              <w:rPr>
                <w:noProof/>
                <w:webHidden/>
              </w:rPr>
              <w:tab/>
            </w:r>
            <w:r w:rsidR="00A63F35">
              <w:rPr>
                <w:noProof/>
                <w:webHidden/>
              </w:rPr>
              <w:fldChar w:fldCharType="begin"/>
            </w:r>
            <w:r w:rsidR="00A63F35">
              <w:rPr>
                <w:noProof/>
                <w:webHidden/>
              </w:rPr>
              <w:instrText xml:space="preserve"> PAGEREF _Toc78131624 \h </w:instrText>
            </w:r>
            <w:r w:rsidR="00A63F35">
              <w:rPr>
                <w:noProof/>
                <w:webHidden/>
              </w:rPr>
            </w:r>
            <w:r w:rsidR="00A63F35">
              <w:rPr>
                <w:noProof/>
                <w:webHidden/>
              </w:rPr>
              <w:fldChar w:fldCharType="separate"/>
            </w:r>
            <w:r w:rsidR="009044D1">
              <w:rPr>
                <w:noProof/>
                <w:webHidden/>
              </w:rPr>
              <w:t>65</w:t>
            </w:r>
            <w:r w:rsidR="00A63F35">
              <w:rPr>
                <w:noProof/>
                <w:webHidden/>
              </w:rPr>
              <w:fldChar w:fldCharType="end"/>
            </w:r>
          </w:hyperlink>
        </w:p>
        <w:p w14:paraId="0C92DA68" w14:textId="080AADA9" w:rsidR="00A63F35" w:rsidRDefault="00000000">
          <w:pPr>
            <w:pStyle w:val="TM3"/>
            <w:rPr>
              <w:rFonts w:asciiTheme="minorHAnsi" w:eastAsiaTheme="minorEastAsia" w:hAnsiTheme="minorHAnsi"/>
              <w:noProof/>
              <w:lang w:eastAsia="fr-FR"/>
            </w:rPr>
          </w:pPr>
          <w:hyperlink w:anchor="_Toc78131625" w:history="1">
            <w:r w:rsidR="00A63F35" w:rsidRPr="00725021">
              <w:rPr>
                <w:rStyle w:val="Lienhypertexte"/>
                <w:noProof/>
              </w:rPr>
              <w:t>2.1.2. Evaluation de la part de porc dans les produits par typologie de produits</w:t>
            </w:r>
            <w:r w:rsidR="00A63F35">
              <w:rPr>
                <w:noProof/>
                <w:webHidden/>
              </w:rPr>
              <w:tab/>
            </w:r>
            <w:r w:rsidR="00A63F35">
              <w:rPr>
                <w:noProof/>
                <w:webHidden/>
              </w:rPr>
              <w:fldChar w:fldCharType="begin"/>
            </w:r>
            <w:r w:rsidR="00A63F35">
              <w:rPr>
                <w:noProof/>
                <w:webHidden/>
              </w:rPr>
              <w:instrText xml:space="preserve"> PAGEREF _Toc78131625 \h </w:instrText>
            </w:r>
            <w:r w:rsidR="00A63F35">
              <w:rPr>
                <w:noProof/>
                <w:webHidden/>
              </w:rPr>
            </w:r>
            <w:r w:rsidR="00A63F35">
              <w:rPr>
                <w:noProof/>
                <w:webHidden/>
              </w:rPr>
              <w:fldChar w:fldCharType="separate"/>
            </w:r>
            <w:r w:rsidR="009044D1">
              <w:rPr>
                <w:noProof/>
                <w:webHidden/>
              </w:rPr>
              <w:t>66</w:t>
            </w:r>
            <w:r w:rsidR="00A63F35">
              <w:rPr>
                <w:noProof/>
                <w:webHidden/>
              </w:rPr>
              <w:fldChar w:fldCharType="end"/>
            </w:r>
          </w:hyperlink>
        </w:p>
        <w:p w14:paraId="78D189CA" w14:textId="4774F39F"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26" w:history="1">
            <w:r w:rsidR="00A63F35" w:rsidRPr="00725021">
              <w:rPr>
                <w:rStyle w:val="Lienhypertexte"/>
                <w:noProof/>
              </w:rPr>
              <w:t>2.2.</w:t>
            </w:r>
            <w:r w:rsidR="00A63F35">
              <w:rPr>
                <w:rFonts w:asciiTheme="minorHAnsi" w:eastAsiaTheme="minorEastAsia" w:hAnsiTheme="minorHAnsi"/>
                <w:noProof/>
                <w:lang w:eastAsia="fr-FR"/>
              </w:rPr>
              <w:tab/>
            </w:r>
            <w:r w:rsidR="00A63F35" w:rsidRPr="00725021">
              <w:rPr>
                <w:rStyle w:val="Lienhypertexte"/>
                <w:noProof/>
              </w:rPr>
              <w:t>Part d’incorporation de porc dans les produits traiteurs frais</w:t>
            </w:r>
            <w:r w:rsidR="00A63F35">
              <w:rPr>
                <w:noProof/>
                <w:webHidden/>
              </w:rPr>
              <w:tab/>
            </w:r>
            <w:r w:rsidR="00A63F35">
              <w:rPr>
                <w:noProof/>
                <w:webHidden/>
              </w:rPr>
              <w:fldChar w:fldCharType="begin"/>
            </w:r>
            <w:r w:rsidR="00A63F35">
              <w:rPr>
                <w:noProof/>
                <w:webHidden/>
              </w:rPr>
              <w:instrText xml:space="preserve"> PAGEREF _Toc78131626 \h </w:instrText>
            </w:r>
            <w:r w:rsidR="00A63F35">
              <w:rPr>
                <w:noProof/>
                <w:webHidden/>
              </w:rPr>
            </w:r>
            <w:r w:rsidR="00A63F35">
              <w:rPr>
                <w:noProof/>
                <w:webHidden/>
              </w:rPr>
              <w:fldChar w:fldCharType="separate"/>
            </w:r>
            <w:r w:rsidR="009044D1">
              <w:rPr>
                <w:noProof/>
                <w:webHidden/>
              </w:rPr>
              <w:t>67</w:t>
            </w:r>
            <w:r w:rsidR="00A63F35">
              <w:rPr>
                <w:noProof/>
                <w:webHidden/>
              </w:rPr>
              <w:fldChar w:fldCharType="end"/>
            </w:r>
          </w:hyperlink>
        </w:p>
        <w:p w14:paraId="19A00B90" w14:textId="74F42319" w:rsidR="00A63F35" w:rsidRDefault="00000000">
          <w:pPr>
            <w:pStyle w:val="TM3"/>
            <w:tabs>
              <w:tab w:val="left" w:pos="1320"/>
            </w:tabs>
            <w:rPr>
              <w:rFonts w:asciiTheme="minorHAnsi" w:eastAsiaTheme="minorEastAsia" w:hAnsiTheme="minorHAnsi"/>
              <w:noProof/>
              <w:lang w:eastAsia="fr-FR"/>
            </w:rPr>
          </w:pPr>
          <w:hyperlink w:anchor="_Toc78131627" w:history="1">
            <w:r w:rsidR="00A63F35" w:rsidRPr="00725021">
              <w:rPr>
                <w:rStyle w:val="Lienhypertexte"/>
                <w:noProof/>
              </w:rPr>
              <w:t>2.2.1.</w:t>
            </w:r>
            <w:r w:rsidR="00A63F35">
              <w:rPr>
                <w:rFonts w:asciiTheme="minorHAnsi" w:eastAsiaTheme="minorEastAsia" w:hAnsiTheme="minorHAnsi"/>
                <w:noProof/>
                <w:lang w:eastAsia="fr-FR"/>
              </w:rPr>
              <w:tab/>
            </w:r>
            <w:r w:rsidR="00A63F35" w:rsidRPr="00725021">
              <w:rPr>
                <w:rStyle w:val="Lienhypertexte"/>
                <w:noProof/>
              </w:rPr>
              <w:t>Méthode de travail</w:t>
            </w:r>
            <w:r w:rsidR="00A63F35">
              <w:rPr>
                <w:noProof/>
                <w:webHidden/>
              </w:rPr>
              <w:tab/>
            </w:r>
            <w:r w:rsidR="00A63F35">
              <w:rPr>
                <w:noProof/>
                <w:webHidden/>
              </w:rPr>
              <w:fldChar w:fldCharType="begin"/>
            </w:r>
            <w:r w:rsidR="00A63F35">
              <w:rPr>
                <w:noProof/>
                <w:webHidden/>
              </w:rPr>
              <w:instrText xml:space="preserve"> PAGEREF _Toc78131627 \h </w:instrText>
            </w:r>
            <w:r w:rsidR="00A63F35">
              <w:rPr>
                <w:noProof/>
                <w:webHidden/>
              </w:rPr>
            </w:r>
            <w:r w:rsidR="00A63F35">
              <w:rPr>
                <w:noProof/>
                <w:webHidden/>
              </w:rPr>
              <w:fldChar w:fldCharType="separate"/>
            </w:r>
            <w:r w:rsidR="009044D1">
              <w:rPr>
                <w:noProof/>
                <w:webHidden/>
              </w:rPr>
              <w:t>67</w:t>
            </w:r>
            <w:r w:rsidR="00A63F35">
              <w:rPr>
                <w:noProof/>
                <w:webHidden/>
              </w:rPr>
              <w:fldChar w:fldCharType="end"/>
            </w:r>
          </w:hyperlink>
        </w:p>
        <w:p w14:paraId="2BE84C7C" w14:textId="768F1825" w:rsidR="00A63F35" w:rsidRDefault="00000000">
          <w:pPr>
            <w:pStyle w:val="TM3"/>
            <w:rPr>
              <w:rFonts w:asciiTheme="minorHAnsi" w:eastAsiaTheme="minorEastAsia" w:hAnsiTheme="minorHAnsi"/>
              <w:noProof/>
              <w:lang w:eastAsia="fr-FR"/>
            </w:rPr>
          </w:pPr>
          <w:hyperlink w:anchor="_Toc78131628" w:history="1">
            <w:r w:rsidR="00A63F35" w:rsidRPr="00725021">
              <w:rPr>
                <w:rStyle w:val="Lienhypertexte"/>
                <w:noProof/>
              </w:rPr>
              <w:t>2.2.2. Evaluation de la part de porc dans les produits par typologie de produits</w:t>
            </w:r>
            <w:r w:rsidR="00A63F35">
              <w:rPr>
                <w:noProof/>
                <w:webHidden/>
              </w:rPr>
              <w:tab/>
            </w:r>
            <w:r w:rsidR="00A63F35">
              <w:rPr>
                <w:noProof/>
                <w:webHidden/>
              </w:rPr>
              <w:fldChar w:fldCharType="begin"/>
            </w:r>
            <w:r w:rsidR="00A63F35">
              <w:rPr>
                <w:noProof/>
                <w:webHidden/>
              </w:rPr>
              <w:instrText xml:space="preserve"> PAGEREF _Toc78131628 \h </w:instrText>
            </w:r>
            <w:r w:rsidR="00A63F35">
              <w:rPr>
                <w:noProof/>
                <w:webHidden/>
              </w:rPr>
            </w:r>
            <w:r w:rsidR="00A63F35">
              <w:rPr>
                <w:noProof/>
                <w:webHidden/>
              </w:rPr>
              <w:fldChar w:fldCharType="separate"/>
            </w:r>
            <w:r w:rsidR="009044D1">
              <w:rPr>
                <w:noProof/>
                <w:webHidden/>
              </w:rPr>
              <w:t>69</w:t>
            </w:r>
            <w:r w:rsidR="00A63F35">
              <w:rPr>
                <w:noProof/>
                <w:webHidden/>
              </w:rPr>
              <w:fldChar w:fldCharType="end"/>
            </w:r>
          </w:hyperlink>
        </w:p>
        <w:p w14:paraId="09CAFB3B" w14:textId="4C975802" w:rsidR="00A63F35" w:rsidRDefault="00000000">
          <w:pPr>
            <w:pStyle w:val="TM4"/>
            <w:tabs>
              <w:tab w:val="left" w:pos="1760"/>
            </w:tabs>
            <w:rPr>
              <w:rFonts w:asciiTheme="minorHAnsi" w:eastAsiaTheme="minorEastAsia" w:hAnsiTheme="minorHAnsi"/>
              <w:noProof/>
              <w:lang w:eastAsia="fr-FR"/>
            </w:rPr>
          </w:pPr>
          <w:hyperlink w:anchor="_Toc78131629" w:history="1">
            <w:r w:rsidR="00A63F35" w:rsidRPr="00725021">
              <w:rPr>
                <w:rStyle w:val="Lienhypertexte"/>
                <w:noProof/>
              </w:rPr>
              <w:t>2.1.2.1.</w:t>
            </w:r>
            <w:r w:rsidR="00A63F35">
              <w:rPr>
                <w:rFonts w:asciiTheme="minorHAnsi" w:eastAsiaTheme="minorEastAsia" w:hAnsiTheme="minorHAnsi"/>
                <w:noProof/>
                <w:lang w:eastAsia="fr-FR"/>
              </w:rPr>
              <w:tab/>
            </w:r>
            <w:r w:rsidR="00A63F35" w:rsidRPr="00725021">
              <w:rPr>
                <w:rStyle w:val="Lienhypertexte"/>
                <w:noProof/>
              </w:rPr>
              <w:t>Charcuteries pâtissières et produits apparentés</w:t>
            </w:r>
            <w:r w:rsidR="00A63F35">
              <w:rPr>
                <w:noProof/>
                <w:webHidden/>
              </w:rPr>
              <w:tab/>
            </w:r>
            <w:r w:rsidR="00A63F35">
              <w:rPr>
                <w:noProof/>
                <w:webHidden/>
              </w:rPr>
              <w:fldChar w:fldCharType="begin"/>
            </w:r>
            <w:r w:rsidR="00A63F35">
              <w:rPr>
                <w:noProof/>
                <w:webHidden/>
              </w:rPr>
              <w:instrText xml:space="preserve"> PAGEREF _Toc78131629 \h </w:instrText>
            </w:r>
            <w:r w:rsidR="00A63F35">
              <w:rPr>
                <w:noProof/>
                <w:webHidden/>
              </w:rPr>
            </w:r>
            <w:r w:rsidR="00A63F35">
              <w:rPr>
                <w:noProof/>
                <w:webHidden/>
              </w:rPr>
              <w:fldChar w:fldCharType="separate"/>
            </w:r>
            <w:r w:rsidR="009044D1">
              <w:rPr>
                <w:noProof/>
                <w:webHidden/>
              </w:rPr>
              <w:t>69</w:t>
            </w:r>
            <w:r w:rsidR="00A63F35">
              <w:rPr>
                <w:noProof/>
                <w:webHidden/>
              </w:rPr>
              <w:fldChar w:fldCharType="end"/>
            </w:r>
          </w:hyperlink>
        </w:p>
        <w:p w14:paraId="4B14B32A" w14:textId="609E4148" w:rsidR="00A63F35" w:rsidRDefault="00000000">
          <w:pPr>
            <w:pStyle w:val="TM4"/>
            <w:tabs>
              <w:tab w:val="left" w:pos="1760"/>
            </w:tabs>
            <w:rPr>
              <w:rFonts w:asciiTheme="minorHAnsi" w:eastAsiaTheme="minorEastAsia" w:hAnsiTheme="minorHAnsi"/>
              <w:noProof/>
              <w:lang w:eastAsia="fr-FR"/>
            </w:rPr>
          </w:pPr>
          <w:hyperlink w:anchor="_Toc78131630" w:history="1">
            <w:r w:rsidR="00A63F35" w:rsidRPr="00725021">
              <w:rPr>
                <w:rStyle w:val="Lienhypertexte"/>
                <w:noProof/>
              </w:rPr>
              <w:t>2.1.2.2.</w:t>
            </w:r>
            <w:r w:rsidR="00A63F35">
              <w:rPr>
                <w:rFonts w:asciiTheme="minorHAnsi" w:eastAsiaTheme="minorEastAsia" w:hAnsiTheme="minorHAnsi"/>
                <w:noProof/>
                <w:lang w:eastAsia="fr-FR"/>
              </w:rPr>
              <w:tab/>
            </w:r>
            <w:r w:rsidR="00A63F35" w:rsidRPr="00725021">
              <w:rPr>
                <w:rStyle w:val="Lienhypertexte"/>
                <w:noProof/>
              </w:rPr>
              <w:t>Pizzas et quiches, tartes, tourtes et crêpes ou galettes</w:t>
            </w:r>
            <w:r w:rsidR="00A63F35">
              <w:rPr>
                <w:noProof/>
                <w:webHidden/>
              </w:rPr>
              <w:tab/>
            </w:r>
            <w:r w:rsidR="00A63F35">
              <w:rPr>
                <w:noProof/>
                <w:webHidden/>
              </w:rPr>
              <w:fldChar w:fldCharType="begin"/>
            </w:r>
            <w:r w:rsidR="00A63F35">
              <w:rPr>
                <w:noProof/>
                <w:webHidden/>
              </w:rPr>
              <w:instrText xml:space="preserve"> PAGEREF _Toc78131630 \h </w:instrText>
            </w:r>
            <w:r w:rsidR="00A63F35">
              <w:rPr>
                <w:noProof/>
                <w:webHidden/>
              </w:rPr>
            </w:r>
            <w:r w:rsidR="00A63F35">
              <w:rPr>
                <w:noProof/>
                <w:webHidden/>
              </w:rPr>
              <w:fldChar w:fldCharType="separate"/>
            </w:r>
            <w:r w:rsidR="009044D1">
              <w:rPr>
                <w:noProof/>
                <w:webHidden/>
              </w:rPr>
              <w:t>69</w:t>
            </w:r>
            <w:r w:rsidR="00A63F35">
              <w:rPr>
                <w:noProof/>
                <w:webHidden/>
              </w:rPr>
              <w:fldChar w:fldCharType="end"/>
            </w:r>
          </w:hyperlink>
        </w:p>
        <w:p w14:paraId="742A3CF4" w14:textId="6449C8DE" w:rsidR="00A63F35" w:rsidRDefault="00000000">
          <w:pPr>
            <w:pStyle w:val="TM4"/>
            <w:tabs>
              <w:tab w:val="left" w:pos="1760"/>
            </w:tabs>
            <w:rPr>
              <w:rFonts w:asciiTheme="minorHAnsi" w:eastAsiaTheme="minorEastAsia" w:hAnsiTheme="minorHAnsi"/>
              <w:noProof/>
              <w:lang w:eastAsia="fr-FR"/>
            </w:rPr>
          </w:pPr>
          <w:hyperlink w:anchor="_Toc78131631" w:history="1">
            <w:r w:rsidR="00A63F35" w:rsidRPr="00725021">
              <w:rPr>
                <w:rStyle w:val="Lienhypertexte"/>
                <w:noProof/>
              </w:rPr>
              <w:t>2.1.2.3.</w:t>
            </w:r>
            <w:r w:rsidR="00A63F35">
              <w:rPr>
                <w:rFonts w:asciiTheme="minorHAnsi" w:eastAsiaTheme="minorEastAsia" w:hAnsiTheme="minorHAnsi"/>
                <w:noProof/>
                <w:lang w:eastAsia="fr-FR"/>
              </w:rPr>
              <w:tab/>
            </w:r>
            <w:r w:rsidR="00A63F35" w:rsidRPr="00725021">
              <w:rPr>
                <w:rStyle w:val="Lienhypertexte"/>
                <w:noProof/>
              </w:rPr>
              <w:t>Plats cuisinés</w:t>
            </w:r>
            <w:r w:rsidR="00A63F35">
              <w:rPr>
                <w:noProof/>
                <w:webHidden/>
              </w:rPr>
              <w:tab/>
            </w:r>
            <w:r w:rsidR="00A63F35">
              <w:rPr>
                <w:noProof/>
                <w:webHidden/>
              </w:rPr>
              <w:fldChar w:fldCharType="begin"/>
            </w:r>
            <w:r w:rsidR="00A63F35">
              <w:rPr>
                <w:noProof/>
                <w:webHidden/>
              </w:rPr>
              <w:instrText xml:space="preserve"> PAGEREF _Toc78131631 \h </w:instrText>
            </w:r>
            <w:r w:rsidR="00A63F35">
              <w:rPr>
                <w:noProof/>
                <w:webHidden/>
              </w:rPr>
            </w:r>
            <w:r w:rsidR="00A63F35">
              <w:rPr>
                <w:noProof/>
                <w:webHidden/>
              </w:rPr>
              <w:fldChar w:fldCharType="separate"/>
            </w:r>
            <w:r w:rsidR="009044D1">
              <w:rPr>
                <w:noProof/>
                <w:webHidden/>
              </w:rPr>
              <w:t>70</w:t>
            </w:r>
            <w:r w:rsidR="00A63F35">
              <w:rPr>
                <w:noProof/>
                <w:webHidden/>
              </w:rPr>
              <w:fldChar w:fldCharType="end"/>
            </w:r>
          </w:hyperlink>
        </w:p>
        <w:p w14:paraId="13714FA9" w14:textId="6CDCECCE" w:rsidR="00A63F35" w:rsidRDefault="00000000">
          <w:pPr>
            <w:pStyle w:val="TM4"/>
            <w:tabs>
              <w:tab w:val="left" w:pos="1760"/>
            </w:tabs>
            <w:rPr>
              <w:rFonts w:asciiTheme="minorHAnsi" w:eastAsiaTheme="minorEastAsia" w:hAnsiTheme="minorHAnsi"/>
              <w:noProof/>
              <w:lang w:eastAsia="fr-FR"/>
            </w:rPr>
          </w:pPr>
          <w:hyperlink w:anchor="_Toc78131632" w:history="1">
            <w:r w:rsidR="00A63F35" w:rsidRPr="00725021">
              <w:rPr>
                <w:rStyle w:val="Lienhypertexte"/>
                <w:noProof/>
              </w:rPr>
              <w:t>2.1.2.4.</w:t>
            </w:r>
            <w:r w:rsidR="00A63F35">
              <w:rPr>
                <w:rFonts w:asciiTheme="minorHAnsi" w:eastAsiaTheme="minorEastAsia" w:hAnsiTheme="minorHAnsi"/>
                <w:noProof/>
                <w:lang w:eastAsia="fr-FR"/>
              </w:rPr>
              <w:tab/>
            </w:r>
            <w:r w:rsidR="00A63F35" w:rsidRPr="00725021">
              <w:rPr>
                <w:rStyle w:val="Lienhypertexte"/>
                <w:noProof/>
              </w:rPr>
              <w:t>Salades moins de 20% de porc et salades charcutières</w:t>
            </w:r>
            <w:r w:rsidR="00A63F35">
              <w:rPr>
                <w:noProof/>
                <w:webHidden/>
              </w:rPr>
              <w:tab/>
            </w:r>
            <w:r w:rsidR="00A63F35">
              <w:rPr>
                <w:noProof/>
                <w:webHidden/>
              </w:rPr>
              <w:fldChar w:fldCharType="begin"/>
            </w:r>
            <w:r w:rsidR="00A63F35">
              <w:rPr>
                <w:noProof/>
                <w:webHidden/>
              </w:rPr>
              <w:instrText xml:space="preserve"> PAGEREF _Toc78131632 \h </w:instrText>
            </w:r>
            <w:r w:rsidR="00A63F35">
              <w:rPr>
                <w:noProof/>
                <w:webHidden/>
              </w:rPr>
            </w:r>
            <w:r w:rsidR="00A63F35">
              <w:rPr>
                <w:noProof/>
                <w:webHidden/>
              </w:rPr>
              <w:fldChar w:fldCharType="separate"/>
            </w:r>
            <w:r w:rsidR="009044D1">
              <w:rPr>
                <w:noProof/>
                <w:webHidden/>
              </w:rPr>
              <w:t>70</w:t>
            </w:r>
            <w:r w:rsidR="00A63F35">
              <w:rPr>
                <w:noProof/>
                <w:webHidden/>
              </w:rPr>
              <w:fldChar w:fldCharType="end"/>
            </w:r>
          </w:hyperlink>
        </w:p>
        <w:p w14:paraId="7D09B2F9" w14:textId="5EA0F664" w:rsidR="00A63F35" w:rsidRDefault="00000000">
          <w:pPr>
            <w:pStyle w:val="TM4"/>
            <w:tabs>
              <w:tab w:val="left" w:pos="1760"/>
            </w:tabs>
            <w:rPr>
              <w:rFonts w:asciiTheme="minorHAnsi" w:eastAsiaTheme="minorEastAsia" w:hAnsiTheme="minorHAnsi"/>
              <w:noProof/>
              <w:lang w:eastAsia="fr-FR"/>
            </w:rPr>
          </w:pPr>
          <w:hyperlink w:anchor="_Toc78131633" w:history="1">
            <w:r w:rsidR="00A63F35" w:rsidRPr="00725021">
              <w:rPr>
                <w:rStyle w:val="Lienhypertexte"/>
                <w:noProof/>
              </w:rPr>
              <w:t>2.1.2.5.</w:t>
            </w:r>
            <w:r w:rsidR="00A63F35">
              <w:rPr>
                <w:rFonts w:asciiTheme="minorHAnsi" w:eastAsiaTheme="minorEastAsia" w:hAnsiTheme="minorHAnsi"/>
                <w:noProof/>
                <w:lang w:eastAsia="fr-FR"/>
              </w:rPr>
              <w:tab/>
            </w:r>
            <w:r w:rsidR="00A63F35" w:rsidRPr="00725021">
              <w:rPr>
                <w:rStyle w:val="Lienhypertexte"/>
                <w:noProof/>
              </w:rPr>
              <w:t>Autres produits : sandwiches industriels et pâtes cuisinées</w:t>
            </w:r>
            <w:r w:rsidR="00A63F35">
              <w:rPr>
                <w:noProof/>
                <w:webHidden/>
              </w:rPr>
              <w:tab/>
            </w:r>
            <w:r w:rsidR="00A63F35">
              <w:rPr>
                <w:noProof/>
                <w:webHidden/>
              </w:rPr>
              <w:fldChar w:fldCharType="begin"/>
            </w:r>
            <w:r w:rsidR="00A63F35">
              <w:rPr>
                <w:noProof/>
                <w:webHidden/>
              </w:rPr>
              <w:instrText xml:space="preserve"> PAGEREF _Toc78131633 \h </w:instrText>
            </w:r>
            <w:r w:rsidR="00A63F35">
              <w:rPr>
                <w:noProof/>
                <w:webHidden/>
              </w:rPr>
            </w:r>
            <w:r w:rsidR="00A63F35">
              <w:rPr>
                <w:noProof/>
                <w:webHidden/>
              </w:rPr>
              <w:fldChar w:fldCharType="separate"/>
            </w:r>
            <w:r w:rsidR="009044D1">
              <w:rPr>
                <w:noProof/>
                <w:webHidden/>
              </w:rPr>
              <w:t>71</w:t>
            </w:r>
            <w:r w:rsidR="00A63F35">
              <w:rPr>
                <w:noProof/>
                <w:webHidden/>
              </w:rPr>
              <w:fldChar w:fldCharType="end"/>
            </w:r>
          </w:hyperlink>
        </w:p>
        <w:p w14:paraId="7823FD94" w14:textId="11F534C3" w:rsidR="00A63F35" w:rsidRDefault="00000000">
          <w:pPr>
            <w:pStyle w:val="TM3"/>
            <w:rPr>
              <w:rFonts w:asciiTheme="minorHAnsi" w:eastAsiaTheme="minorEastAsia" w:hAnsiTheme="minorHAnsi"/>
              <w:noProof/>
              <w:lang w:eastAsia="fr-FR"/>
            </w:rPr>
          </w:pPr>
          <w:hyperlink w:anchor="_Toc78131634" w:history="1">
            <w:r w:rsidR="00A63F35" w:rsidRPr="00725021">
              <w:rPr>
                <w:rStyle w:val="Lienhypertexte"/>
                <w:noProof/>
              </w:rPr>
              <w:t>2.2.3. Approche de quantification des produits du porc dans l’univers du traiteur</w:t>
            </w:r>
            <w:r w:rsidR="00A63F35">
              <w:rPr>
                <w:noProof/>
                <w:webHidden/>
              </w:rPr>
              <w:tab/>
            </w:r>
            <w:r w:rsidR="00A63F35">
              <w:rPr>
                <w:noProof/>
                <w:webHidden/>
              </w:rPr>
              <w:fldChar w:fldCharType="begin"/>
            </w:r>
            <w:r w:rsidR="00A63F35">
              <w:rPr>
                <w:noProof/>
                <w:webHidden/>
              </w:rPr>
              <w:instrText xml:space="preserve"> PAGEREF _Toc78131634 \h </w:instrText>
            </w:r>
            <w:r w:rsidR="00A63F35">
              <w:rPr>
                <w:noProof/>
                <w:webHidden/>
              </w:rPr>
            </w:r>
            <w:r w:rsidR="00A63F35">
              <w:rPr>
                <w:noProof/>
                <w:webHidden/>
              </w:rPr>
              <w:fldChar w:fldCharType="separate"/>
            </w:r>
            <w:r w:rsidR="009044D1">
              <w:rPr>
                <w:noProof/>
                <w:webHidden/>
              </w:rPr>
              <w:t>71</w:t>
            </w:r>
            <w:r w:rsidR="00A63F35">
              <w:rPr>
                <w:noProof/>
                <w:webHidden/>
              </w:rPr>
              <w:fldChar w:fldCharType="end"/>
            </w:r>
          </w:hyperlink>
        </w:p>
        <w:p w14:paraId="17C4122D" w14:textId="6EA833F7" w:rsidR="00A63F35" w:rsidRDefault="00000000">
          <w:pPr>
            <w:pStyle w:val="TM3"/>
            <w:rPr>
              <w:rFonts w:asciiTheme="minorHAnsi" w:eastAsiaTheme="minorEastAsia" w:hAnsiTheme="minorHAnsi"/>
              <w:noProof/>
              <w:lang w:eastAsia="fr-FR"/>
            </w:rPr>
          </w:pPr>
          <w:hyperlink w:anchor="_Toc78131635" w:history="1">
            <w:r w:rsidR="00A63F35" w:rsidRPr="00725021">
              <w:rPr>
                <w:rStyle w:val="Lienhypertexte"/>
                <w:noProof/>
              </w:rPr>
              <w:t>2.2.4. Limites de l’analyse et estimation de la part d’auto-fabrication en produits traiteurs</w:t>
            </w:r>
            <w:r w:rsidR="00A63F35">
              <w:rPr>
                <w:noProof/>
                <w:webHidden/>
              </w:rPr>
              <w:tab/>
            </w:r>
            <w:r w:rsidR="00A63F35">
              <w:rPr>
                <w:noProof/>
                <w:webHidden/>
              </w:rPr>
              <w:fldChar w:fldCharType="begin"/>
            </w:r>
            <w:r w:rsidR="00A63F35">
              <w:rPr>
                <w:noProof/>
                <w:webHidden/>
              </w:rPr>
              <w:instrText xml:space="preserve"> PAGEREF _Toc78131635 \h </w:instrText>
            </w:r>
            <w:r w:rsidR="00A63F35">
              <w:rPr>
                <w:noProof/>
                <w:webHidden/>
              </w:rPr>
            </w:r>
            <w:r w:rsidR="00A63F35">
              <w:rPr>
                <w:noProof/>
                <w:webHidden/>
              </w:rPr>
              <w:fldChar w:fldCharType="separate"/>
            </w:r>
            <w:r w:rsidR="009044D1">
              <w:rPr>
                <w:noProof/>
                <w:webHidden/>
              </w:rPr>
              <w:t>72</w:t>
            </w:r>
            <w:r w:rsidR="00A63F35">
              <w:rPr>
                <w:noProof/>
                <w:webHidden/>
              </w:rPr>
              <w:fldChar w:fldCharType="end"/>
            </w:r>
          </w:hyperlink>
        </w:p>
        <w:p w14:paraId="57FA021E" w14:textId="559E34F9" w:rsidR="00A63F35" w:rsidRDefault="00000000">
          <w:pPr>
            <w:pStyle w:val="TM3"/>
            <w:rPr>
              <w:rFonts w:asciiTheme="minorHAnsi" w:eastAsiaTheme="minorEastAsia" w:hAnsiTheme="minorHAnsi"/>
              <w:noProof/>
              <w:lang w:eastAsia="fr-FR"/>
            </w:rPr>
          </w:pPr>
          <w:hyperlink w:anchor="_Toc78131636" w:history="1">
            <w:r w:rsidR="00A63F35" w:rsidRPr="00725021">
              <w:rPr>
                <w:rStyle w:val="Lienhypertexte"/>
                <w:noProof/>
              </w:rPr>
              <w:t>2.2.5. Validation des données et levée des incohérences par enquête auprès des professionnels</w:t>
            </w:r>
            <w:r w:rsidR="00A63F35">
              <w:rPr>
                <w:noProof/>
                <w:webHidden/>
              </w:rPr>
              <w:tab/>
            </w:r>
            <w:r w:rsidR="00A63F35">
              <w:rPr>
                <w:noProof/>
                <w:webHidden/>
              </w:rPr>
              <w:fldChar w:fldCharType="begin"/>
            </w:r>
            <w:r w:rsidR="00A63F35">
              <w:rPr>
                <w:noProof/>
                <w:webHidden/>
              </w:rPr>
              <w:instrText xml:space="preserve"> PAGEREF _Toc78131636 \h </w:instrText>
            </w:r>
            <w:r w:rsidR="00A63F35">
              <w:rPr>
                <w:noProof/>
                <w:webHidden/>
              </w:rPr>
            </w:r>
            <w:r w:rsidR="00A63F35">
              <w:rPr>
                <w:noProof/>
                <w:webHidden/>
              </w:rPr>
              <w:fldChar w:fldCharType="separate"/>
            </w:r>
            <w:r w:rsidR="009044D1">
              <w:rPr>
                <w:noProof/>
                <w:webHidden/>
              </w:rPr>
              <w:t>73</w:t>
            </w:r>
            <w:r w:rsidR="00A63F35">
              <w:rPr>
                <w:noProof/>
                <w:webHidden/>
              </w:rPr>
              <w:fldChar w:fldCharType="end"/>
            </w:r>
          </w:hyperlink>
        </w:p>
        <w:p w14:paraId="2D301476" w14:textId="4EB9F2C6" w:rsidR="00A63F35" w:rsidRDefault="00000000">
          <w:pPr>
            <w:pStyle w:val="TM1"/>
            <w:tabs>
              <w:tab w:val="left" w:pos="440"/>
              <w:tab w:val="right" w:leader="dot" w:pos="9060"/>
            </w:tabs>
            <w:rPr>
              <w:rFonts w:asciiTheme="minorHAnsi" w:eastAsiaTheme="minorEastAsia" w:hAnsiTheme="minorHAnsi"/>
              <w:noProof/>
              <w:lang w:eastAsia="fr-FR"/>
            </w:rPr>
          </w:pPr>
          <w:hyperlink w:anchor="_Toc78131637" w:history="1">
            <w:r w:rsidR="00A63F35" w:rsidRPr="00725021">
              <w:rPr>
                <w:rStyle w:val="Lienhypertexte"/>
                <w:noProof/>
              </w:rPr>
              <w:t>3.</w:t>
            </w:r>
            <w:r w:rsidR="00A63F35">
              <w:rPr>
                <w:rFonts w:asciiTheme="minorHAnsi" w:eastAsiaTheme="minorEastAsia" w:hAnsiTheme="minorHAnsi"/>
                <w:noProof/>
                <w:lang w:eastAsia="fr-FR"/>
              </w:rPr>
              <w:tab/>
            </w:r>
            <w:r w:rsidR="00A63F35" w:rsidRPr="00725021">
              <w:rPr>
                <w:rStyle w:val="Lienhypertexte"/>
                <w:noProof/>
              </w:rPr>
              <w:t>Enquête qualitative sur les flux de la filière porcine</w:t>
            </w:r>
            <w:r w:rsidR="00A63F35">
              <w:rPr>
                <w:noProof/>
                <w:webHidden/>
              </w:rPr>
              <w:tab/>
            </w:r>
            <w:r w:rsidR="00A63F35">
              <w:rPr>
                <w:noProof/>
                <w:webHidden/>
              </w:rPr>
              <w:fldChar w:fldCharType="begin"/>
            </w:r>
            <w:r w:rsidR="00A63F35">
              <w:rPr>
                <w:noProof/>
                <w:webHidden/>
              </w:rPr>
              <w:instrText xml:space="preserve"> PAGEREF _Toc78131637 \h </w:instrText>
            </w:r>
            <w:r w:rsidR="00A63F35">
              <w:rPr>
                <w:noProof/>
                <w:webHidden/>
              </w:rPr>
            </w:r>
            <w:r w:rsidR="00A63F35">
              <w:rPr>
                <w:noProof/>
                <w:webHidden/>
              </w:rPr>
              <w:fldChar w:fldCharType="separate"/>
            </w:r>
            <w:r w:rsidR="009044D1">
              <w:rPr>
                <w:noProof/>
                <w:webHidden/>
              </w:rPr>
              <w:t>74</w:t>
            </w:r>
            <w:r w:rsidR="00A63F35">
              <w:rPr>
                <w:noProof/>
                <w:webHidden/>
              </w:rPr>
              <w:fldChar w:fldCharType="end"/>
            </w:r>
          </w:hyperlink>
        </w:p>
        <w:p w14:paraId="288DCB5C" w14:textId="2DAE639A"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38" w:history="1">
            <w:r w:rsidR="00A63F35" w:rsidRPr="00725021">
              <w:rPr>
                <w:rStyle w:val="Lienhypertexte"/>
                <w:noProof/>
              </w:rPr>
              <w:t>3.1.</w:t>
            </w:r>
            <w:r w:rsidR="00A63F35">
              <w:rPr>
                <w:rFonts w:asciiTheme="minorHAnsi" w:eastAsiaTheme="minorEastAsia" w:hAnsiTheme="minorHAnsi"/>
                <w:noProof/>
                <w:lang w:eastAsia="fr-FR"/>
              </w:rPr>
              <w:tab/>
            </w:r>
            <w:r w:rsidR="00A63F35" w:rsidRPr="00725021">
              <w:rPr>
                <w:rStyle w:val="Lienhypertexte"/>
                <w:noProof/>
              </w:rPr>
              <w:t>Méthode et limites</w:t>
            </w:r>
            <w:r w:rsidR="00A63F35">
              <w:rPr>
                <w:noProof/>
                <w:webHidden/>
              </w:rPr>
              <w:tab/>
            </w:r>
            <w:r w:rsidR="00A63F35">
              <w:rPr>
                <w:noProof/>
                <w:webHidden/>
              </w:rPr>
              <w:fldChar w:fldCharType="begin"/>
            </w:r>
            <w:r w:rsidR="00A63F35">
              <w:rPr>
                <w:noProof/>
                <w:webHidden/>
              </w:rPr>
              <w:instrText xml:space="preserve"> PAGEREF _Toc78131638 \h </w:instrText>
            </w:r>
            <w:r w:rsidR="00A63F35">
              <w:rPr>
                <w:noProof/>
                <w:webHidden/>
              </w:rPr>
            </w:r>
            <w:r w:rsidR="00A63F35">
              <w:rPr>
                <w:noProof/>
                <w:webHidden/>
              </w:rPr>
              <w:fldChar w:fldCharType="separate"/>
            </w:r>
            <w:r w:rsidR="009044D1">
              <w:rPr>
                <w:noProof/>
                <w:webHidden/>
              </w:rPr>
              <w:t>74</w:t>
            </w:r>
            <w:r w:rsidR="00A63F35">
              <w:rPr>
                <w:noProof/>
                <w:webHidden/>
              </w:rPr>
              <w:fldChar w:fldCharType="end"/>
            </w:r>
          </w:hyperlink>
        </w:p>
        <w:p w14:paraId="62BF4FC0" w14:textId="69FEE2DE" w:rsidR="00A63F35" w:rsidRDefault="00000000">
          <w:pPr>
            <w:pStyle w:val="TM3"/>
            <w:tabs>
              <w:tab w:val="left" w:pos="1320"/>
            </w:tabs>
            <w:rPr>
              <w:rFonts w:asciiTheme="minorHAnsi" w:eastAsiaTheme="minorEastAsia" w:hAnsiTheme="minorHAnsi"/>
              <w:noProof/>
              <w:lang w:eastAsia="fr-FR"/>
            </w:rPr>
          </w:pPr>
          <w:hyperlink w:anchor="_Toc78131639" w:history="1">
            <w:r w:rsidR="00A63F35" w:rsidRPr="00725021">
              <w:rPr>
                <w:rStyle w:val="Lienhypertexte"/>
                <w:noProof/>
              </w:rPr>
              <w:t>3.1.1.</w:t>
            </w:r>
            <w:r w:rsidR="00A63F35">
              <w:rPr>
                <w:rFonts w:asciiTheme="minorHAnsi" w:eastAsiaTheme="minorEastAsia" w:hAnsiTheme="minorHAnsi"/>
                <w:noProof/>
                <w:lang w:eastAsia="fr-FR"/>
              </w:rPr>
              <w:tab/>
            </w:r>
            <w:r w:rsidR="00A63F35" w:rsidRPr="00725021">
              <w:rPr>
                <w:rStyle w:val="Lienhypertexte"/>
                <w:noProof/>
              </w:rPr>
              <w:t>Ciblage et structure de l’échantillon</w:t>
            </w:r>
            <w:r w:rsidR="00A63F35">
              <w:rPr>
                <w:noProof/>
                <w:webHidden/>
              </w:rPr>
              <w:tab/>
            </w:r>
            <w:r w:rsidR="00A63F35">
              <w:rPr>
                <w:noProof/>
                <w:webHidden/>
              </w:rPr>
              <w:fldChar w:fldCharType="begin"/>
            </w:r>
            <w:r w:rsidR="00A63F35">
              <w:rPr>
                <w:noProof/>
                <w:webHidden/>
              </w:rPr>
              <w:instrText xml:space="preserve"> PAGEREF _Toc78131639 \h </w:instrText>
            </w:r>
            <w:r w:rsidR="00A63F35">
              <w:rPr>
                <w:noProof/>
                <w:webHidden/>
              </w:rPr>
            </w:r>
            <w:r w:rsidR="00A63F35">
              <w:rPr>
                <w:noProof/>
                <w:webHidden/>
              </w:rPr>
              <w:fldChar w:fldCharType="separate"/>
            </w:r>
            <w:r w:rsidR="009044D1">
              <w:rPr>
                <w:noProof/>
                <w:webHidden/>
              </w:rPr>
              <w:t>74</w:t>
            </w:r>
            <w:r w:rsidR="00A63F35">
              <w:rPr>
                <w:noProof/>
                <w:webHidden/>
              </w:rPr>
              <w:fldChar w:fldCharType="end"/>
            </w:r>
          </w:hyperlink>
        </w:p>
        <w:p w14:paraId="606375F4" w14:textId="28A4F6FF" w:rsidR="00A63F35" w:rsidRDefault="00000000">
          <w:pPr>
            <w:pStyle w:val="TM3"/>
            <w:tabs>
              <w:tab w:val="left" w:pos="1320"/>
            </w:tabs>
            <w:rPr>
              <w:rFonts w:asciiTheme="minorHAnsi" w:eastAsiaTheme="minorEastAsia" w:hAnsiTheme="minorHAnsi"/>
              <w:noProof/>
              <w:lang w:eastAsia="fr-FR"/>
            </w:rPr>
          </w:pPr>
          <w:hyperlink w:anchor="_Toc78131640" w:history="1">
            <w:r w:rsidR="00A63F35" w:rsidRPr="00725021">
              <w:rPr>
                <w:rStyle w:val="Lienhypertexte"/>
                <w:noProof/>
              </w:rPr>
              <w:t>3.1.2.</w:t>
            </w:r>
            <w:r w:rsidR="00A63F35">
              <w:rPr>
                <w:rFonts w:asciiTheme="minorHAnsi" w:eastAsiaTheme="minorEastAsia" w:hAnsiTheme="minorHAnsi"/>
                <w:noProof/>
                <w:lang w:eastAsia="fr-FR"/>
              </w:rPr>
              <w:tab/>
            </w:r>
            <w:r w:rsidR="00A63F35" w:rsidRPr="00725021">
              <w:rPr>
                <w:rStyle w:val="Lienhypertexte"/>
                <w:noProof/>
              </w:rPr>
              <w:t>Objectifs</w:t>
            </w:r>
            <w:r w:rsidR="00A63F35">
              <w:rPr>
                <w:noProof/>
                <w:webHidden/>
              </w:rPr>
              <w:tab/>
            </w:r>
            <w:r w:rsidR="00A63F35">
              <w:rPr>
                <w:noProof/>
                <w:webHidden/>
              </w:rPr>
              <w:fldChar w:fldCharType="begin"/>
            </w:r>
            <w:r w:rsidR="00A63F35">
              <w:rPr>
                <w:noProof/>
                <w:webHidden/>
              </w:rPr>
              <w:instrText xml:space="preserve"> PAGEREF _Toc78131640 \h </w:instrText>
            </w:r>
            <w:r w:rsidR="00A63F35">
              <w:rPr>
                <w:noProof/>
                <w:webHidden/>
              </w:rPr>
            </w:r>
            <w:r w:rsidR="00A63F35">
              <w:rPr>
                <w:noProof/>
                <w:webHidden/>
              </w:rPr>
              <w:fldChar w:fldCharType="separate"/>
            </w:r>
            <w:r w:rsidR="009044D1">
              <w:rPr>
                <w:noProof/>
                <w:webHidden/>
              </w:rPr>
              <w:t>74</w:t>
            </w:r>
            <w:r w:rsidR="00A63F35">
              <w:rPr>
                <w:noProof/>
                <w:webHidden/>
              </w:rPr>
              <w:fldChar w:fldCharType="end"/>
            </w:r>
          </w:hyperlink>
        </w:p>
        <w:p w14:paraId="62B0FF7C" w14:textId="027241E7" w:rsidR="00A63F35" w:rsidRDefault="00000000">
          <w:pPr>
            <w:pStyle w:val="TM3"/>
            <w:tabs>
              <w:tab w:val="left" w:pos="1320"/>
            </w:tabs>
            <w:rPr>
              <w:rFonts w:asciiTheme="minorHAnsi" w:eastAsiaTheme="minorEastAsia" w:hAnsiTheme="minorHAnsi"/>
              <w:noProof/>
              <w:lang w:eastAsia="fr-FR"/>
            </w:rPr>
          </w:pPr>
          <w:hyperlink w:anchor="_Toc78131641" w:history="1">
            <w:r w:rsidR="00A63F35" w:rsidRPr="00725021">
              <w:rPr>
                <w:rStyle w:val="Lienhypertexte"/>
                <w:noProof/>
              </w:rPr>
              <w:t>3.1.3.</w:t>
            </w:r>
            <w:r w:rsidR="00A63F35">
              <w:rPr>
                <w:rFonts w:asciiTheme="minorHAnsi" w:eastAsiaTheme="minorEastAsia" w:hAnsiTheme="minorHAnsi"/>
                <w:noProof/>
                <w:lang w:eastAsia="fr-FR"/>
              </w:rPr>
              <w:tab/>
            </w:r>
            <w:r w:rsidR="00A63F35" w:rsidRPr="00725021">
              <w:rPr>
                <w:rStyle w:val="Lienhypertexte"/>
                <w:noProof/>
              </w:rPr>
              <w:t>Les limites</w:t>
            </w:r>
            <w:r w:rsidR="00A63F35">
              <w:rPr>
                <w:noProof/>
                <w:webHidden/>
              </w:rPr>
              <w:tab/>
            </w:r>
            <w:r w:rsidR="00A63F35">
              <w:rPr>
                <w:noProof/>
                <w:webHidden/>
              </w:rPr>
              <w:fldChar w:fldCharType="begin"/>
            </w:r>
            <w:r w:rsidR="00A63F35">
              <w:rPr>
                <w:noProof/>
                <w:webHidden/>
              </w:rPr>
              <w:instrText xml:space="preserve"> PAGEREF _Toc78131641 \h </w:instrText>
            </w:r>
            <w:r w:rsidR="00A63F35">
              <w:rPr>
                <w:noProof/>
                <w:webHidden/>
              </w:rPr>
            </w:r>
            <w:r w:rsidR="00A63F35">
              <w:rPr>
                <w:noProof/>
                <w:webHidden/>
              </w:rPr>
              <w:fldChar w:fldCharType="separate"/>
            </w:r>
            <w:r w:rsidR="009044D1">
              <w:rPr>
                <w:noProof/>
                <w:webHidden/>
              </w:rPr>
              <w:t>75</w:t>
            </w:r>
            <w:r w:rsidR="00A63F35">
              <w:rPr>
                <w:noProof/>
                <w:webHidden/>
              </w:rPr>
              <w:fldChar w:fldCharType="end"/>
            </w:r>
          </w:hyperlink>
        </w:p>
        <w:p w14:paraId="3B461CD3" w14:textId="016FBF61"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42" w:history="1">
            <w:r w:rsidR="00A63F35" w:rsidRPr="00725021">
              <w:rPr>
                <w:rStyle w:val="Lienhypertexte"/>
                <w:noProof/>
              </w:rPr>
              <w:t>3.2.</w:t>
            </w:r>
            <w:r w:rsidR="00A63F35">
              <w:rPr>
                <w:rFonts w:asciiTheme="minorHAnsi" w:eastAsiaTheme="minorEastAsia" w:hAnsiTheme="minorHAnsi"/>
                <w:noProof/>
                <w:lang w:eastAsia="fr-FR"/>
              </w:rPr>
              <w:tab/>
            </w:r>
            <w:r w:rsidR="00A63F35" w:rsidRPr="00725021">
              <w:rPr>
                <w:rStyle w:val="Lienhypertexte"/>
                <w:noProof/>
              </w:rPr>
              <w:t>Principaux résultats :</w:t>
            </w:r>
            <w:r w:rsidR="00A63F35">
              <w:rPr>
                <w:noProof/>
                <w:webHidden/>
              </w:rPr>
              <w:tab/>
            </w:r>
            <w:r w:rsidR="00A63F35">
              <w:rPr>
                <w:noProof/>
                <w:webHidden/>
              </w:rPr>
              <w:fldChar w:fldCharType="begin"/>
            </w:r>
            <w:r w:rsidR="00A63F35">
              <w:rPr>
                <w:noProof/>
                <w:webHidden/>
              </w:rPr>
              <w:instrText xml:space="preserve"> PAGEREF _Toc78131642 \h </w:instrText>
            </w:r>
            <w:r w:rsidR="00A63F35">
              <w:rPr>
                <w:noProof/>
                <w:webHidden/>
              </w:rPr>
            </w:r>
            <w:r w:rsidR="00A63F35">
              <w:rPr>
                <w:noProof/>
                <w:webHidden/>
              </w:rPr>
              <w:fldChar w:fldCharType="separate"/>
            </w:r>
            <w:r w:rsidR="009044D1">
              <w:rPr>
                <w:noProof/>
                <w:webHidden/>
              </w:rPr>
              <w:t>75</w:t>
            </w:r>
            <w:r w:rsidR="00A63F35">
              <w:rPr>
                <w:noProof/>
                <w:webHidden/>
              </w:rPr>
              <w:fldChar w:fldCharType="end"/>
            </w:r>
          </w:hyperlink>
        </w:p>
        <w:p w14:paraId="0BCCB042" w14:textId="1E7001A7" w:rsidR="00A63F35" w:rsidRDefault="00000000">
          <w:pPr>
            <w:pStyle w:val="TM3"/>
            <w:tabs>
              <w:tab w:val="left" w:pos="1320"/>
            </w:tabs>
            <w:rPr>
              <w:rFonts w:asciiTheme="minorHAnsi" w:eastAsiaTheme="minorEastAsia" w:hAnsiTheme="minorHAnsi"/>
              <w:noProof/>
              <w:lang w:eastAsia="fr-FR"/>
            </w:rPr>
          </w:pPr>
          <w:hyperlink w:anchor="_Toc78131643" w:history="1">
            <w:r w:rsidR="00A63F35" w:rsidRPr="00725021">
              <w:rPr>
                <w:rStyle w:val="Lienhypertexte"/>
                <w:noProof/>
              </w:rPr>
              <w:t>3.2.1.</w:t>
            </w:r>
            <w:r w:rsidR="00A63F35">
              <w:rPr>
                <w:rFonts w:asciiTheme="minorHAnsi" w:eastAsiaTheme="minorEastAsia" w:hAnsiTheme="minorHAnsi"/>
                <w:noProof/>
                <w:lang w:eastAsia="fr-FR"/>
              </w:rPr>
              <w:tab/>
            </w:r>
            <w:r w:rsidR="00A63F35" w:rsidRPr="00725021">
              <w:rPr>
                <w:rStyle w:val="Lienhypertexte"/>
                <w:noProof/>
              </w:rPr>
              <w:t>Consolidation des flux à chaque niveau de transformation de la filière</w:t>
            </w:r>
            <w:r w:rsidR="00A63F35">
              <w:rPr>
                <w:noProof/>
                <w:webHidden/>
              </w:rPr>
              <w:tab/>
            </w:r>
            <w:r w:rsidR="00A63F35">
              <w:rPr>
                <w:noProof/>
                <w:webHidden/>
              </w:rPr>
              <w:fldChar w:fldCharType="begin"/>
            </w:r>
            <w:r w:rsidR="00A63F35">
              <w:rPr>
                <w:noProof/>
                <w:webHidden/>
              </w:rPr>
              <w:instrText xml:space="preserve"> PAGEREF _Toc78131643 \h </w:instrText>
            </w:r>
            <w:r w:rsidR="00A63F35">
              <w:rPr>
                <w:noProof/>
                <w:webHidden/>
              </w:rPr>
            </w:r>
            <w:r w:rsidR="00A63F35">
              <w:rPr>
                <w:noProof/>
                <w:webHidden/>
              </w:rPr>
              <w:fldChar w:fldCharType="separate"/>
            </w:r>
            <w:r w:rsidR="009044D1">
              <w:rPr>
                <w:noProof/>
                <w:webHidden/>
              </w:rPr>
              <w:t>75</w:t>
            </w:r>
            <w:r w:rsidR="00A63F35">
              <w:rPr>
                <w:noProof/>
                <w:webHidden/>
              </w:rPr>
              <w:fldChar w:fldCharType="end"/>
            </w:r>
          </w:hyperlink>
        </w:p>
        <w:p w14:paraId="46929324" w14:textId="300050CD" w:rsidR="00A63F35" w:rsidRDefault="00000000">
          <w:pPr>
            <w:pStyle w:val="TM4"/>
            <w:tabs>
              <w:tab w:val="left" w:pos="1760"/>
            </w:tabs>
            <w:rPr>
              <w:rFonts w:asciiTheme="minorHAnsi" w:eastAsiaTheme="minorEastAsia" w:hAnsiTheme="minorHAnsi"/>
              <w:noProof/>
              <w:lang w:eastAsia="fr-FR"/>
            </w:rPr>
          </w:pPr>
          <w:hyperlink w:anchor="_Toc78131644" w:history="1">
            <w:r w:rsidR="00A63F35" w:rsidRPr="00725021">
              <w:rPr>
                <w:rStyle w:val="Lienhypertexte"/>
                <w:noProof/>
              </w:rPr>
              <w:t>3.2.1.1.</w:t>
            </w:r>
            <w:r w:rsidR="00A63F35">
              <w:rPr>
                <w:rFonts w:asciiTheme="minorHAnsi" w:eastAsiaTheme="minorEastAsia" w:hAnsiTheme="minorHAnsi"/>
                <w:noProof/>
                <w:lang w:eastAsia="fr-FR"/>
              </w:rPr>
              <w:tab/>
            </w:r>
            <w:r w:rsidR="00A63F35" w:rsidRPr="00725021">
              <w:rPr>
                <w:rStyle w:val="Lienhypertexte"/>
                <w:noProof/>
              </w:rPr>
              <w:t>Disponible en viande de porc brute, graisses et abats en sortie d’activité 10.11.Z (partie 1)</w:t>
            </w:r>
            <w:r w:rsidR="00A63F35">
              <w:rPr>
                <w:noProof/>
                <w:webHidden/>
              </w:rPr>
              <w:tab/>
            </w:r>
            <w:r w:rsidR="00A63F35">
              <w:rPr>
                <w:noProof/>
                <w:webHidden/>
              </w:rPr>
              <w:fldChar w:fldCharType="begin"/>
            </w:r>
            <w:r w:rsidR="00A63F35">
              <w:rPr>
                <w:noProof/>
                <w:webHidden/>
              </w:rPr>
              <w:instrText xml:space="preserve"> PAGEREF _Toc78131644 \h </w:instrText>
            </w:r>
            <w:r w:rsidR="00A63F35">
              <w:rPr>
                <w:noProof/>
                <w:webHidden/>
              </w:rPr>
            </w:r>
            <w:r w:rsidR="00A63F35">
              <w:rPr>
                <w:noProof/>
                <w:webHidden/>
              </w:rPr>
              <w:fldChar w:fldCharType="separate"/>
            </w:r>
            <w:r w:rsidR="009044D1">
              <w:rPr>
                <w:noProof/>
                <w:webHidden/>
              </w:rPr>
              <w:t>76</w:t>
            </w:r>
            <w:r w:rsidR="00A63F35">
              <w:rPr>
                <w:noProof/>
                <w:webHidden/>
              </w:rPr>
              <w:fldChar w:fldCharType="end"/>
            </w:r>
          </w:hyperlink>
        </w:p>
        <w:p w14:paraId="0023AAA4" w14:textId="010D32F0" w:rsidR="00A63F35" w:rsidRDefault="00000000">
          <w:pPr>
            <w:pStyle w:val="TM4"/>
            <w:tabs>
              <w:tab w:val="left" w:pos="1760"/>
            </w:tabs>
            <w:rPr>
              <w:rFonts w:asciiTheme="minorHAnsi" w:eastAsiaTheme="minorEastAsia" w:hAnsiTheme="minorHAnsi"/>
              <w:noProof/>
              <w:lang w:eastAsia="fr-FR"/>
            </w:rPr>
          </w:pPr>
          <w:hyperlink w:anchor="_Toc78131645" w:history="1">
            <w:r w:rsidR="00A63F35" w:rsidRPr="00725021">
              <w:rPr>
                <w:rStyle w:val="Lienhypertexte"/>
                <w:noProof/>
              </w:rPr>
              <w:t>3.2.1.2.</w:t>
            </w:r>
            <w:r w:rsidR="00A63F35">
              <w:rPr>
                <w:rFonts w:asciiTheme="minorHAnsi" w:eastAsiaTheme="minorEastAsia" w:hAnsiTheme="minorHAnsi"/>
                <w:noProof/>
                <w:lang w:eastAsia="fr-FR"/>
              </w:rPr>
              <w:tab/>
            </w:r>
            <w:r w:rsidR="00A63F35" w:rsidRPr="00725021">
              <w:rPr>
                <w:rStyle w:val="Lienhypertexte"/>
                <w:noProof/>
              </w:rPr>
              <w:t>Destinations de la viande de porc brute, des graisses et abats en sortie d’activité 10.11.Z (partie 1)</w:t>
            </w:r>
            <w:r w:rsidR="00A63F35">
              <w:rPr>
                <w:noProof/>
                <w:webHidden/>
              </w:rPr>
              <w:tab/>
            </w:r>
            <w:r w:rsidR="00A63F35">
              <w:rPr>
                <w:noProof/>
                <w:webHidden/>
              </w:rPr>
              <w:fldChar w:fldCharType="begin"/>
            </w:r>
            <w:r w:rsidR="00A63F35">
              <w:rPr>
                <w:noProof/>
                <w:webHidden/>
              </w:rPr>
              <w:instrText xml:space="preserve"> PAGEREF _Toc78131645 \h </w:instrText>
            </w:r>
            <w:r w:rsidR="00A63F35">
              <w:rPr>
                <w:noProof/>
                <w:webHidden/>
              </w:rPr>
            </w:r>
            <w:r w:rsidR="00A63F35">
              <w:rPr>
                <w:noProof/>
                <w:webHidden/>
              </w:rPr>
              <w:fldChar w:fldCharType="separate"/>
            </w:r>
            <w:r w:rsidR="009044D1">
              <w:rPr>
                <w:noProof/>
                <w:webHidden/>
              </w:rPr>
              <w:t>77</w:t>
            </w:r>
            <w:r w:rsidR="00A63F35">
              <w:rPr>
                <w:noProof/>
                <w:webHidden/>
              </w:rPr>
              <w:fldChar w:fldCharType="end"/>
            </w:r>
          </w:hyperlink>
        </w:p>
        <w:p w14:paraId="735611E5" w14:textId="3460792C" w:rsidR="00A63F35" w:rsidRDefault="00000000">
          <w:pPr>
            <w:pStyle w:val="TM4"/>
            <w:tabs>
              <w:tab w:val="left" w:pos="1760"/>
            </w:tabs>
            <w:rPr>
              <w:rFonts w:asciiTheme="minorHAnsi" w:eastAsiaTheme="minorEastAsia" w:hAnsiTheme="minorHAnsi"/>
              <w:noProof/>
              <w:lang w:eastAsia="fr-FR"/>
            </w:rPr>
          </w:pPr>
          <w:hyperlink w:anchor="_Toc78131646" w:history="1">
            <w:r w:rsidR="00A63F35" w:rsidRPr="00725021">
              <w:rPr>
                <w:rStyle w:val="Lienhypertexte"/>
                <w:noProof/>
              </w:rPr>
              <w:t>3.2.1.3.</w:t>
            </w:r>
            <w:r w:rsidR="00A63F35">
              <w:rPr>
                <w:rFonts w:asciiTheme="minorHAnsi" w:eastAsiaTheme="minorEastAsia" w:hAnsiTheme="minorHAnsi"/>
                <w:noProof/>
                <w:lang w:eastAsia="fr-FR"/>
              </w:rPr>
              <w:tab/>
            </w:r>
            <w:r w:rsidR="00A63F35" w:rsidRPr="00725021">
              <w:rPr>
                <w:rStyle w:val="Lienhypertexte"/>
                <w:noProof/>
              </w:rPr>
              <w:t>Disponible en produits transformés en sortie d’activité de transformation en charcuterie salaison 10.13.A (partie 2)</w:t>
            </w:r>
            <w:r w:rsidR="00A63F35">
              <w:rPr>
                <w:noProof/>
                <w:webHidden/>
              </w:rPr>
              <w:tab/>
            </w:r>
            <w:r w:rsidR="00A63F35">
              <w:rPr>
                <w:noProof/>
                <w:webHidden/>
              </w:rPr>
              <w:fldChar w:fldCharType="begin"/>
            </w:r>
            <w:r w:rsidR="00A63F35">
              <w:rPr>
                <w:noProof/>
                <w:webHidden/>
              </w:rPr>
              <w:instrText xml:space="preserve"> PAGEREF _Toc78131646 \h </w:instrText>
            </w:r>
            <w:r w:rsidR="00A63F35">
              <w:rPr>
                <w:noProof/>
                <w:webHidden/>
              </w:rPr>
            </w:r>
            <w:r w:rsidR="00A63F35">
              <w:rPr>
                <w:noProof/>
                <w:webHidden/>
              </w:rPr>
              <w:fldChar w:fldCharType="separate"/>
            </w:r>
            <w:r w:rsidR="009044D1">
              <w:rPr>
                <w:noProof/>
                <w:webHidden/>
              </w:rPr>
              <w:t>77</w:t>
            </w:r>
            <w:r w:rsidR="00A63F35">
              <w:rPr>
                <w:noProof/>
                <w:webHidden/>
              </w:rPr>
              <w:fldChar w:fldCharType="end"/>
            </w:r>
          </w:hyperlink>
        </w:p>
        <w:p w14:paraId="47F96080" w14:textId="5325D1F2" w:rsidR="00A63F35" w:rsidRDefault="00000000">
          <w:pPr>
            <w:pStyle w:val="TM4"/>
            <w:rPr>
              <w:rFonts w:asciiTheme="minorHAnsi" w:eastAsiaTheme="minorEastAsia" w:hAnsiTheme="minorHAnsi"/>
              <w:noProof/>
              <w:lang w:eastAsia="fr-FR"/>
            </w:rPr>
          </w:pPr>
          <w:hyperlink w:anchor="_Toc78131647" w:history="1">
            <w:r w:rsidR="00A63F35" w:rsidRPr="00725021">
              <w:rPr>
                <w:rStyle w:val="Lienhypertexte"/>
                <w:noProof/>
              </w:rPr>
              <w:t>3.2.1.4. Destination des produits transformés en sortie d’activité 10.13.A (partie 3)</w:t>
            </w:r>
            <w:r w:rsidR="00A63F35">
              <w:rPr>
                <w:noProof/>
                <w:webHidden/>
              </w:rPr>
              <w:tab/>
            </w:r>
            <w:r w:rsidR="00A63F35">
              <w:rPr>
                <w:noProof/>
                <w:webHidden/>
              </w:rPr>
              <w:fldChar w:fldCharType="begin"/>
            </w:r>
            <w:r w:rsidR="00A63F35">
              <w:rPr>
                <w:noProof/>
                <w:webHidden/>
              </w:rPr>
              <w:instrText xml:space="preserve"> PAGEREF _Toc78131647 \h </w:instrText>
            </w:r>
            <w:r w:rsidR="00A63F35">
              <w:rPr>
                <w:noProof/>
                <w:webHidden/>
              </w:rPr>
            </w:r>
            <w:r w:rsidR="00A63F35">
              <w:rPr>
                <w:noProof/>
                <w:webHidden/>
              </w:rPr>
              <w:fldChar w:fldCharType="separate"/>
            </w:r>
            <w:r w:rsidR="009044D1">
              <w:rPr>
                <w:noProof/>
                <w:webHidden/>
              </w:rPr>
              <w:t>78</w:t>
            </w:r>
            <w:r w:rsidR="00A63F35">
              <w:rPr>
                <w:noProof/>
                <w:webHidden/>
              </w:rPr>
              <w:fldChar w:fldCharType="end"/>
            </w:r>
          </w:hyperlink>
        </w:p>
        <w:p w14:paraId="44F7DC5A" w14:textId="1B790BDF" w:rsidR="00A63F35" w:rsidRDefault="00000000">
          <w:pPr>
            <w:pStyle w:val="TM4"/>
            <w:tabs>
              <w:tab w:val="left" w:pos="1760"/>
            </w:tabs>
            <w:rPr>
              <w:rFonts w:asciiTheme="minorHAnsi" w:eastAsiaTheme="minorEastAsia" w:hAnsiTheme="minorHAnsi"/>
              <w:noProof/>
              <w:lang w:eastAsia="fr-FR"/>
            </w:rPr>
          </w:pPr>
          <w:hyperlink w:anchor="_Toc78131648" w:history="1">
            <w:r w:rsidR="00A63F35" w:rsidRPr="00725021">
              <w:rPr>
                <w:rStyle w:val="Lienhypertexte"/>
                <w:noProof/>
              </w:rPr>
              <w:t>3.2.1.5.</w:t>
            </w:r>
            <w:r w:rsidR="00A63F35">
              <w:rPr>
                <w:rFonts w:asciiTheme="minorHAnsi" w:eastAsiaTheme="minorEastAsia" w:hAnsiTheme="minorHAnsi"/>
                <w:noProof/>
                <w:lang w:eastAsia="fr-FR"/>
              </w:rPr>
              <w:tab/>
            </w:r>
            <w:r w:rsidR="00A63F35" w:rsidRPr="00725021">
              <w:rPr>
                <w:rStyle w:val="Lienhypertexte"/>
                <w:noProof/>
              </w:rPr>
              <w:t>Destination par marché des produits transformés en sortie d’activité 10.11.Z et saucisserie (partie 3)</w:t>
            </w:r>
            <w:r w:rsidR="00A63F35">
              <w:rPr>
                <w:noProof/>
                <w:webHidden/>
              </w:rPr>
              <w:tab/>
            </w:r>
            <w:r w:rsidR="00A63F35">
              <w:rPr>
                <w:noProof/>
                <w:webHidden/>
              </w:rPr>
              <w:fldChar w:fldCharType="begin"/>
            </w:r>
            <w:r w:rsidR="00A63F35">
              <w:rPr>
                <w:noProof/>
                <w:webHidden/>
              </w:rPr>
              <w:instrText xml:space="preserve"> PAGEREF _Toc78131648 \h </w:instrText>
            </w:r>
            <w:r w:rsidR="00A63F35">
              <w:rPr>
                <w:noProof/>
                <w:webHidden/>
              </w:rPr>
            </w:r>
            <w:r w:rsidR="00A63F35">
              <w:rPr>
                <w:noProof/>
                <w:webHidden/>
              </w:rPr>
              <w:fldChar w:fldCharType="separate"/>
            </w:r>
            <w:r w:rsidR="009044D1">
              <w:rPr>
                <w:noProof/>
                <w:webHidden/>
              </w:rPr>
              <w:t>78</w:t>
            </w:r>
            <w:r w:rsidR="00A63F35">
              <w:rPr>
                <w:noProof/>
                <w:webHidden/>
              </w:rPr>
              <w:fldChar w:fldCharType="end"/>
            </w:r>
          </w:hyperlink>
        </w:p>
        <w:p w14:paraId="73CD37F7" w14:textId="4B9A6932" w:rsidR="00A63F35" w:rsidRDefault="00000000">
          <w:pPr>
            <w:pStyle w:val="TM3"/>
            <w:tabs>
              <w:tab w:val="left" w:pos="1320"/>
            </w:tabs>
            <w:rPr>
              <w:rFonts w:asciiTheme="minorHAnsi" w:eastAsiaTheme="minorEastAsia" w:hAnsiTheme="minorHAnsi"/>
              <w:noProof/>
              <w:lang w:eastAsia="fr-FR"/>
            </w:rPr>
          </w:pPr>
          <w:hyperlink w:anchor="_Toc78131649" w:history="1">
            <w:r w:rsidR="00A63F35" w:rsidRPr="00725021">
              <w:rPr>
                <w:rStyle w:val="Lienhypertexte"/>
                <w:noProof/>
              </w:rPr>
              <w:t>3.2.2.</w:t>
            </w:r>
            <w:r w:rsidR="00A63F35">
              <w:rPr>
                <w:rFonts w:asciiTheme="minorHAnsi" w:eastAsiaTheme="minorEastAsia" w:hAnsiTheme="minorHAnsi"/>
                <w:noProof/>
                <w:lang w:eastAsia="fr-FR"/>
              </w:rPr>
              <w:tab/>
            </w:r>
            <w:r w:rsidR="00A63F35" w:rsidRPr="00725021">
              <w:rPr>
                <w:rStyle w:val="Lienhypertexte"/>
                <w:noProof/>
              </w:rPr>
              <w:t>Caractérisation de l’offre en consommation à domicile</w:t>
            </w:r>
            <w:r w:rsidR="00A63F35">
              <w:rPr>
                <w:noProof/>
                <w:webHidden/>
              </w:rPr>
              <w:tab/>
            </w:r>
            <w:r w:rsidR="00A63F35">
              <w:rPr>
                <w:noProof/>
                <w:webHidden/>
              </w:rPr>
              <w:fldChar w:fldCharType="begin"/>
            </w:r>
            <w:r w:rsidR="00A63F35">
              <w:rPr>
                <w:noProof/>
                <w:webHidden/>
              </w:rPr>
              <w:instrText xml:space="preserve"> PAGEREF _Toc78131649 \h </w:instrText>
            </w:r>
            <w:r w:rsidR="00A63F35">
              <w:rPr>
                <w:noProof/>
                <w:webHidden/>
              </w:rPr>
            </w:r>
            <w:r w:rsidR="00A63F35">
              <w:rPr>
                <w:noProof/>
                <w:webHidden/>
              </w:rPr>
              <w:fldChar w:fldCharType="separate"/>
            </w:r>
            <w:r w:rsidR="009044D1">
              <w:rPr>
                <w:noProof/>
                <w:webHidden/>
              </w:rPr>
              <w:t>79</w:t>
            </w:r>
            <w:r w:rsidR="00A63F35">
              <w:rPr>
                <w:noProof/>
                <w:webHidden/>
              </w:rPr>
              <w:fldChar w:fldCharType="end"/>
            </w:r>
          </w:hyperlink>
        </w:p>
        <w:p w14:paraId="22E905AE" w14:textId="3346A7A1" w:rsidR="00A63F35" w:rsidRDefault="00000000">
          <w:pPr>
            <w:pStyle w:val="TM4"/>
            <w:tabs>
              <w:tab w:val="left" w:pos="1760"/>
            </w:tabs>
            <w:rPr>
              <w:rFonts w:asciiTheme="minorHAnsi" w:eastAsiaTheme="minorEastAsia" w:hAnsiTheme="minorHAnsi"/>
              <w:noProof/>
              <w:lang w:eastAsia="fr-FR"/>
            </w:rPr>
          </w:pPr>
          <w:hyperlink w:anchor="_Toc78131650" w:history="1">
            <w:r w:rsidR="00A63F35" w:rsidRPr="00725021">
              <w:rPr>
                <w:rStyle w:val="Lienhypertexte"/>
                <w:noProof/>
              </w:rPr>
              <w:t>3.2.2.1.</w:t>
            </w:r>
            <w:r w:rsidR="00A63F35">
              <w:rPr>
                <w:rFonts w:asciiTheme="minorHAnsi" w:eastAsiaTheme="minorEastAsia" w:hAnsiTheme="minorHAnsi"/>
                <w:noProof/>
                <w:lang w:eastAsia="fr-FR"/>
              </w:rPr>
              <w:tab/>
            </w:r>
            <w:r w:rsidR="00A63F35" w:rsidRPr="00725021">
              <w:rPr>
                <w:rStyle w:val="Lienhypertexte"/>
                <w:noProof/>
              </w:rPr>
              <w:t>Structure de l’offre en viande de porc entre UVCI et UVCM en grandes surfaces alimentaires</w:t>
            </w:r>
            <w:r w:rsidR="00A63F35">
              <w:rPr>
                <w:noProof/>
                <w:webHidden/>
              </w:rPr>
              <w:tab/>
            </w:r>
            <w:r w:rsidR="00A63F35">
              <w:rPr>
                <w:noProof/>
                <w:webHidden/>
              </w:rPr>
              <w:fldChar w:fldCharType="begin"/>
            </w:r>
            <w:r w:rsidR="00A63F35">
              <w:rPr>
                <w:noProof/>
                <w:webHidden/>
              </w:rPr>
              <w:instrText xml:space="preserve"> PAGEREF _Toc78131650 \h </w:instrText>
            </w:r>
            <w:r w:rsidR="00A63F35">
              <w:rPr>
                <w:noProof/>
                <w:webHidden/>
              </w:rPr>
            </w:r>
            <w:r w:rsidR="00A63F35">
              <w:rPr>
                <w:noProof/>
                <w:webHidden/>
              </w:rPr>
              <w:fldChar w:fldCharType="separate"/>
            </w:r>
            <w:r w:rsidR="009044D1">
              <w:rPr>
                <w:noProof/>
                <w:webHidden/>
              </w:rPr>
              <w:t>79</w:t>
            </w:r>
            <w:r w:rsidR="00A63F35">
              <w:rPr>
                <w:noProof/>
                <w:webHidden/>
              </w:rPr>
              <w:fldChar w:fldCharType="end"/>
            </w:r>
          </w:hyperlink>
        </w:p>
        <w:p w14:paraId="608B9CEE" w14:textId="379BB97D" w:rsidR="00A63F35" w:rsidRDefault="00000000">
          <w:pPr>
            <w:pStyle w:val="TM4"/>
            <w:tabs>
              <w:tab w:val="left" w:pos="1760"/>
            </w:tabs>
            <w:rPr>
              <w:rFonts w:asciiTheme="minorHAnsi" w:eastAsiaTheme="minorEastAsia" w:hAnsiTheme="minorHAnsi"/>
              <w:noProof/>
              <w:lang w:eastAsia="fr-FR"/>
            </w:rPr>
          </w:pPr>
          <w:hyperlink w:anchor="_Toc78131651" w:history="1">
            <w:r w:rsidR="00A63F35" w:rsidRPr="00725021">
              <w:rPr>
                <w:rStyle w:val="Lienhypertexte"/>
                <w:noProof/>
              </w:rPr>
              <w:t>3.2.2.2.</w:t>
            </w:r>
            <w:r w:rsidR="00A63F35">
              <w:rPr>
                <w:rFonts w:asciiTheme="minorHAnsi" w:eastAsiaTheme="minorEastAsia" w:hAnsiTheme="minorHAnsi"/>
                <w:noProof/>
                <w:lang w:eastAsia="fr-FR"/>
              </w:rPr>
              <w:tab/>
            </w:r>
            <w:r w:rsidR="00A63F35" w:rsidRPr="00725021">
              <w:rPr>
                <w:rStyle w:val="Lienhypertexte"/>
                <w:noProof/>
              </w:rPr>
              <w:t>Volume et caractérisation de l’offre importée sur les marchés à domicile</w:t>
            </w:r>
            <w:r w:rsidR="00A63F35">
              <w:rPr>
                <w:noProof/>
                <w:webHidden/>
              </w:rPr>
              <w:tab/>
            </w:r>
            <w:r w:rsidR="00A63F35">
              <w:rPr>
                <w:noProof/>
                <w:webHidden/>
              </w:rPr>
              <w:fldChar w:fldCharType="begin"/>
            </w:r>
            <w:r w:rsidR="00A63F35">
              <w:rPr>
                <w:noProof/>
                <w:webHidden/>
              </w:rPr>
              <w:instrText xml:space="preserve"> PAGEREF _Toc78131651 \h </w:instrText>
            </w:r>
            <w:r w:rsidR="00A63F35">
              <w:rPr>
                <w:noProof/>
                <w:webHidden/>
              </w:rPr>
            </w:r>
            <w:r w:rsidR="00A63F35">
              <w:rPr>
                <w:noProof/>
                <w:webHidden/>
              </w:rPr>
              <w:fldChar w:fldCharType="separate"/>
            </w:r>
            <w:r w:rsidR="009044D1">
              <w:rPr>
                <w:noProof/>
                <w:webHidden/>
              </w:rPr>
              <w:t>80</w:t>
            </w:r>
            <w:r w:rsidR="00A63F35">
              <w:rPr>
                <w:noProof/>
                <w:webHidden/>
              </w:rPr>
              <w:fldChar w:fldCharType="end"/>
            </w:r>
          </w:hyperlink>
        </w:p>
        <w:p w14:paraId="6710438E" w14:textId="3F0B9497" w:rsidR="00A63F35" w:rsidRDefault="00000000">
          <w:pPr>
            <w:pStyle w:val="TM3"/>
            <w:tabs>
              <w:tab w:val="left" w:pos="1320"/>
            </w:tabs>
            <w:rPr>
              <w:rFonts w:asciiTheme="minorHAnsi" w:eastAsiaTheme="minorEastAsia" w:hAnsiTheme="minorHAnsi"/>
              <w:noProof/>
              <w:lang w:eastAsia="fr-FR"/>
            </w:rPr>
          </w:pPr>
          <w:hyperlink w:anchor="_Toc78131652" w:history="1">
            <w:r w:rsidR="00A63F35" w:rsidRPr="00725021">
              <w:rPr>
                <w:rStyle w:val="Lienhypertexte"/>
                <w:noProof/>
              </w:rPr>
              <w:t>3.2.3.</w:t>
            </w:r>
            <w:r w:rsidR="00A63F35">
              <w:rPr>
                <w:rFonts w:asciiTheme="minorHAnsi" w:eastAsiaTheme="minorEastAsia" w:hAnsiTheme="minorHAnsi"/>
                <w:noProof/>
                <w:lang w:eastAsia="fr-FR"/>
              </w:rPr>
              <w:tab/>
            </w:r>
            <w:r w:rsidR="00A63F35" w:rsidRPr="00725021">
              <w:rPr>
                <w:rStyle w:val="Lienhypertexte"/>
                <w:noProof/>
              </w:rPr>
              <w:t>Approche de la part relative des signes de qualité</w:t>
            </w:r>
            <w:r w:rsidR="00A63F35">
              <w:rPr>
                <w:noProof/>
                <w:webHidden/>
              </w:rPr>
              <w:tab/>
            </w:r>
            <w:r w:rsidR="00A63F35">
              <w:rPr>
                <w:noProof/>
                <w:webHidden/>
              </w:rPr>
              <w:fldChar w:fldCharType="begin"/>
            </w:r>
            <w:r w:rsidR="00A63F35">
              <w:rPr>
                <w:noProof/>
                <w:webHidden/>
              </w:rPr>
              <w:instrText xml:space="preserve"> PAGEREF _Toc78131652 \h </w:instrText>
            </w:r>
            <w:r w:rsidR="00A63F35">
              <w:rPr>
                <w:noProof/>
                <w:webHidden/>
              </w:rPr>
            </w:r>
            <w:r w:rsidR="00A63F35">
              <w:rPr>
                <w:noProof/>
                <w:webHidden/>
              </w:rPr>
              <w:fldChar w:fldCharType="separate"/>
            </w:r>
            <w:r w:rsidR="009044D1">
              <w:rPr>
                <w:noProof/>
                <w:webHidden/>
              </w:rPr>
              <w:t>83</w:t>
            </w:r>
            <w:r w:rsidR="00A63F35">
              <w:rPr>
                <w:noProof/>
                <w:webHidden/>
              </w:rPr>
              <w:fldChar w:fldCharType="end"/>
            </w:r>
          </w:hyperlink>
        </w:p>
        <w:p w14:paraId="75FC8A68" w14:textId="432823CF" w:rsidR="00A63F35" w:rsidRDefault="00000000">
          <w:pPr>
            <w:pStyle w:val="TM3"/>
            <w:tabs>
              <w:tab w:val="left" w:pos="1320"/>
            </w:tabs>
            <w:rPr>
              <w:rFonts w:asciiTheme="minorHAnsi" w:eastAsiaTheme="minorEastAsia" w:hAnsiTheme="minorHAnsi"/>
              <w:noProof/>
              <w:lang w:eastAsia="fr-FR"/>
            </w:rPr>
          </w:pPr>
          <w:hyperlink w:anchor="_Toc78131653" w:history="1">
            <w:r w:rsidR="00A63F35" w:rsidRPr="00725021">
              <w:rPr>
                <w:rStyle w:val="Lienhypertexte"/>
                <w:noProof/>
              </w:rPr>
              <w:t>3.2.4.</w:t>
            </w:r>
            <w:r w:rsidR="00A63F35">
              <w:rPr>
                <w:rFonts w:asciiTheme="minorHAnsi" w:eastAsiaTheme="minorEastAsia" w:hAnsiTheme="minorHAnsi"/>
                <w:noProof/>
                <w:lang w:eastAsia="fr-FR"/>
              </w:rPr>
              <w:tab/>
            </w:r>
            <w:r w:rsidR="00A63F35" w:rsidRPr="00725021">
              <w:rPr>
                <w:rStyle w:val="Lienhypertexte"/>
                <w:noProof/>
              </w:rPr>
              <w:t>Caractérisation de l’offre des produits du porc sur les circuits de la restauration commerciale</w:t>
            </w:r>
            <w:r w:rsidR="00A63F35">
              <w:rPr>
                <w:noProof/>
                <w:webHidden/>
              </w:rPr>
              <w:tab/>
            </w:r>
            <w:r w:rsidR="00A63F35">
              <w:rPr>
                <w:noProof/>
                <w:webHidden/>
              </w:rPr>
              <w:fldChar w:fldCharType="begin"/>
            </w:r>
            <w:r w:rsidR="00A63F35">
              <w:rPr>
                <w:noProof/>
                <w:webHidden/>
              </w:rPr>
              <w:instrText xml:space="preserve"> PAGEREF _Toc78131653 \h </w:instrText>
            </w:r>
            <w:r w:rsidR="00A63F35">
              <w:rPr>
                <w:noProof/>
                <w:webHidden/>
              </w:rPr>
            </w:r>
            <w:r w:rsidR="00A63F35">
              <w:rPr>
                <w:noProof/>
                <w:webHidden/>
              </w:rPr>
              <w:fldChar w:fldCharType="separate"/>
            </w:r>
            <w:r w:rsidR="009044D1">
              <w:rPr>
                <w:noProof/>
                <w:webHidden/>
              </w:rPr>
              <w:t>84</w:t>
            </w:r>
            <w:r w:rsidR="00A63F35">
              <w:rPr>
                <w:noProof/>
                <w:webHidden/>
              </w:rPr>
              <w:fldChar w:fldCharType="end"/>
            </w:r>
          </w:hyperlink>
        </w:p>
        <w:p w14:paraId="7456A03A" w14:textId="163897AF" w:rsidR="00A63F35" w:rsidRDefault="00000000">
          <w:pPr>
            <w:pStyle w:val="TM4"/>
            <w:rPr>
              <w:rFonts w:asciiTheme="minorHAnsi" w:eastAsiaTheme="minorEastAsia" w:hAnsiTheme="minorHAnsi"/>
              <w:noProof/>
              <w:lang w:eastAsia="fr-FR"/>
            </w:rPr>
          </w:pPr>
          <w:hyperlink w:anchor="_Toc78131654" w:history="1">
            <w:r w:rsidR="00A63F35" w:rsidRPr="00725021">
              <w:rPr>
                <w:rStyle w:val="Lienhypertexte"/>
                <w:noProof/>
              </w:rPr>
              <w:t>3.2.4.1. Approche de quantification des segments de la restauration commerciale :</w:t>
            </w:r>
            <w:r w:rsidR="00A63F35">
              <w:rPr>
                <w:noProof/>
                <w:webHidden/>
              </w:rPr>
              <w:tab/>
            </w:r>
            <w:r w:rsidR="00A63F35">
              <w:rPr>
                <w:noProof/>
                <w:webHidden/>
              </w:rPr>
              <w:fldChar w:fldCharType="begin"/>
            </w:r>
            <w:r w:rsidR="00A63F35">
              <w:rPr>
                <w:noProof/>
                <w:webHidden/>
              </w:rPr>
              <w:instrText xml:space="preserve"> PAGEREF _Toc78131654 \h </w:instrText>
            </w:r>
            <w:r w:rsidR="00A63F35">
              <w:rPr>
                <w:noProof/>
                <w:webHidden/>
              </w:rPr>
            </w:r>
            <w:r w:rsidR="00A63F35">
              <w:rPr>
                <w:noProof/>
                <w:webHidden/>
              </w:rPr>
              <w:fldChar w:fldCharType="separate"/>
            </w:r>
            <w:r w:rsidR="009044D1">
              <w:rPr>
                <w:noProof/>
                <w:webHidden/>
              </w:rPr>
              <w:t>84</w:t>
            </w:r>
            <w:r w:rsidR="00A63F35">
              <w:rPr>
                <w:noProof/>
                <w:webHidden/>
              </w:rPr>
              <w:fldChar w:fldCharType="end"/>
            </w:r>
          </w:hyperlink>
        </w:p>
        <w:p w14:paraId="3A4DD95E" w14:textId="0A164AA8" w:rsidR="00A63F35" w:rsidRDefault="00000000">
          <w:pPr>
            <w:pStyle w:val="TM4"/>
            <w:rPr>
              <w:rFonts w:asciiTheme="minorHAnsi" w:eastAsiaTheme="minorEastAsia" w:hAnsiTheme="minorHAnsi"/>
              <w:noProof/>
              <w:lang w:eastAsia="fr-FR"/>
            </w:rPr>
          </w:pPr>
          <w:hyperlink w:anchor="_Toc78131655" w:history="1">
            <w:r w:rsidR="00A63F35" w:rsidRPr="00725021">
              <w:rPr>
                <w:rStyle w:val="Lienhypertexte"/>
                <w:noProof/>
              </w:rPr>
              <w:t>3.2.4.2. Origine des produits et signes de qualité</w:t>
            </w:r>
            <w:r w:rsidR="00A63F35">
              <w:rPr>
                <w:noProof/>
                <w:webHidden/>
              </w:rPr>
              <w:tab/>
            </w:r>
            <w:r w:rsidR="00A63F35">
              <w:rPr>
                <w:noProof/>
                <w:webHidden/>
              </w:rPr>
              <w:fldChar w:fldCharType="begin"/>
            </w:r>
            <w:r w:rsidR="00A63F35">
              <w:rPr>
                <w:noProof/>
                <w:webHidden/>
              </w:rPr>
              <w:instrText xml:space="preserve"> PAGEREF _Toc78131655 \h </w:instrText>
            </w:r>
            <w:r w:rsidR="00A63F35">
              <w:rPr>
                <w:noProof/>
                <w:webHidden/>
              </w:rPr>
            </w:r>
            <w:r w:rsidR="00A63F35">
              <w:rPr>
                <w:noProof/>
                <w:webHidden/>
              </w:rPr>
              <w:fldChar w:fldCharType="separate"/>
            </w:r>
            <w:r w:rsidR="009044D1">
              <w:rPr>
                <w:noProof/>
                <w:webHidden/>
              </w:rPr>
              <w:t>85</w:t>
            </w:r>
            <w:r w:rsidR="00A63F35">
              <w:rPr>
                <w:noProof/>
                <w:webHidden/>
              </w:rPr>
              <w:fldChar w:fldCharType="end"/>
            </w:r>
          </w:hyperlink>
        </w:p>
        <w:p w14:paraId="5798AE35" w14:textId="09D2EEB5" w:rsidR="00A63F35" w:rsidRDefault="00000000">
          <w:pPr>
            <w:pStyle w:val="TM3"/>
            <w:tabs>
              <w:tab w:val="left" w:pos="1320"/>
            </w:tabs>
            <w:rPr>
              <w:rFonts w:asciiTheme="minorHAnsi" w:eastAsiaTheme="minorEastAsia" w:hAnsiTheme="minorHAnsi"/>
              <w:noProof/>
              <w:lang w:eastAsia="fr-FR"/>
            </w:rPr>
          </w:pPr>
          <w:hyperlink w:anchor="_Toc78131656" w:history="1">
            <w:r w:rsidR="00A63F35" w:rsidRPr="00725021">
              <w:rPr>
                <w:rStyle w:val="Lienhypertexte"/>
                <w:noProof/>
              </w:rPr>
              <w:t>3.2.5.</w:t>
            </w:r>
            <w:r w:rsidR="00A63F35">
              <w:rPr>
                <w:rFonts w:asciiTheme="minorHAnsi" w:eastAsiaTheme="minorEastAsia" w:hAnsiTheme="minorHAnsi"/>
                <w:noProof/>
                <w:lang w:eastAsia="fr-FR"/>
              </w:rPr>
              <w:tab/>
            </w:r>
            <w:r w:rsidR="00A63F35" w:rsidRPr="00725021">
              <w:rPr>
                <w:rStyle w:val="Lienhypertexte"/>
                <w:noProof/>
              </w:rPr>
              <w:t>Caractérisation de l’offre des produits du porc sur les circuits de vente alternatifs</w:t>
            </w:r>
            <w:r w:rsidR="00A63F35">
              <w:rPr>
                <w:noProof/>
                <w:webHidden/>
              </w:rPr>
              <w:tab/>
            </w:r>
            <w:r w:rsidR="00A63F35">
              <w:rPr>
                <w:noProof/>
                <w:webHidden/>
              </w:rPr>
              <w:fldChar w:fldCharType="begin"/>
            </w:r>
            <w:r w:rsidR="00A63F35">
              <w:rPr>
                <w:noProof/>
                <w:webHidden/>
              </w:rPr>
              <w:instrText xml:space="preserve"> PAGEREF _Toc78131656 \h </w:instrText>
            </w:r>
            <w:r w:rsidR="00A63F35">
              <w:rPr>
                <w:noProof/>
                <w:webHidden/>
              </w:rPr>
            </w:r>
            <w:r w:rsidR="00A63F35">
              <w:rPr>
                <w:noProof/>
                <w:webHidden/>
              </w:rPr>
              <w:fldChar w:fldCharType="separate"/>
            </w:r>
            <w:r w:rsidR="009044D1">
              <w:rPr>
                <w:noProof/>
                <w:webHidden/>
              </w:rPr>
              <w:t>85</w:t>
            </w:r>
            <w:r w:rsidR="00A63F35">
              <w:rPr>
                <w:noProof/>
                <w:webHidden/>
              </w:rPr>
              <w:fldChar w:fldCharType="end"/>
            </w:r>
          </w:hyperlink>
        </w:p>
        <w:p w14:paraId="176016E6" w14:textId="2D777CFA" w:rsidR="00A63F35" w:rsidRDefault="00000000">
          <w:pPr>
            <w:pStyle w:val="TM1"/>
            <w:tabs>
              <w:tab w:val="left" w:pos="440"/>
              <w:tab w:val="right" w:leader="dot" w:pos="9060"/>
            </w:tabs>
            <w:rPr>
              <w:rFonts w:asciiTheme="minorHAnsi" w:eastAsiaTheme="minorEastAsia" w:hAnsiTheme="minorHAnsi"/>
              <w:noProof/>
              <w:lang w:eastAsia="fr-FR"/>
            </w:rPr>
          </w:pPr>
          <w:hyperlink w:anchor="_Toc78131657" w:history="1">
            <w:r w:rsidR="00A63F35" w:rsidRPr="00725021">
              <w:rPr>
                <w:rStyle w:val="Lienhypertexte"/>
                <w:noProof/>
              </w:rPr>
              <w:t>4.</w:t>
            </w:r>
            <w:r w:rsidR="00A63F35">
              <w:rPr>
                <w:rFonts w:asciiTheme="minorHAnsi" w:eastAsiaTheme="minorEastAsia" w:hAnsiTheme="minorHAnsi"/>
                <w:noProof/>
                <w:lang w:eastAsia="fr-FR"/>
              </w:rPr>
              <w:tab/>
            </w:r>
            <w:r w:rsidR="00A63F35" w:rsidRPr="00725021">
              <w:rPr>
                <w:rStyle w:val="Lienhypertexte"/>
                <w:noProof/>
              </w:rPr>
              <w:t>Enquête qualitative dédiée à la restauration collective</w:t>
            </w:r>
            <w:r w:rsidR="00A63F35">
              <w:rPr>
                <w:noProof/>
                <w:webHidden/>
              </w:rPr>
              <w:tab/>
            </w:r>
            <w:r w:rsidR="00A63F35">
              <w:rPr>
                <w:noProof/>
                <w:webHidden/>
              </w:rPr>
              <w:fldChar w:fldCharType="begin"/>
            </w:r>
            <w:r w:rsidR="00A63F35">
              <w:rPr>
                <w:noProof/>
                <w:webHidden/>
              </w:rPr>
              <w:instrText xml:space="preserve"> PAGEREF _Toc78131657 \h </w:instrText>
            </w:r>
            <w:r w:rsidR="00A63F35">
              <w:rPr>
                <w:noProof/>
                <w:webHidden/>
              </w:rPr>
            </w:r>
            <w:r w:rsidR="00A63F35">
              <w:rPr>
                <w:noProof/>
                <w:webHidden/>
              </w:rPr>
              <w:fldChar w:fldCharType="separate"/>
            </w:r>
            <w:r w:rsidR="009044D1">
              <w:rPr>
                <w:noProof/>
                <w:webHidden/>
              </w:rPr>
              <w:t>86</w:t>
            </w:r>
            <w:r w:rsidR="00A63F35">
              <w:rPr>
                <w:noProof/>
                <w:webHidden/>
              </w:rPr>
              <w:fldChar w:fldCharType="end"/>
            </w:r>
          </w:hyperlink>
        </w:p>
        <w:p w14:paraId="5C5B41C1" w14:textId="2818266A"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58" w:history="1">
            <w:r w:rsidR="00A63F35" w:rsidRPr="00725021">
              <w:rPr>
                <w:rStyle w:val="Lienhypertexte"/>
                <w:bCs/>
                <w:noProof/>
              </w:rPr>
              <w:t>4.1.</w:t>
            </w:r>
            <w:r w:rsidR="00A63F35">
              <w:rPr>
                <w:rFonts w:asciiTheme="minorHAnsi" w:eastAsiaTheme="minorEastAsia" w:hAnsiTheme="minorHAnsi"/>
                <w:noProof/>
                <w:lang w:eastAsia="fr-FR"/>
              </w:rPr>
              <w:tab/>
            </w:r>
            <w:r w:rsidR="00A63F35" w:rsidRPr="00725021">
              <w:rPr>
                <w:rStyle w:val="Lienhypertexte"/>
                <w:bCs/>
                <w:noProof/>
              </w:rPr>
              <w:t>Méthode et limites</w:t>
            </w:r>
            <w:r w:rsidR="00A63F35">
              <w:rPr>
                <w:noProof/>
                <w:webHidden/>
              </w:rPr>
              <w:tab/>
            </w:r>
            <w:r w:rsidR="00A63F35">
              <w:rPr>
                <w:noProof/>
                <w:webHidden/>
              </w:rPr>
              <w:fldChar w:fldCharType="begin"/>
            </w:r>
            <w:r w:rsidR="00A63F35">
              <w:rPr>
                <w:noProof/>
                <w:webHidden/>
              </w:rPr>
              <w:instrText xml:space="preserve"> PAGEREF _Toc78131658 \h </w:instrText>
            </w:r>
            <w:r w:rsidR="00A63F35">
              <w:rPr>
                <w:noProof/>
                <w:webHidden/>
              </w:rPr>
            </w:r>
            <w:r w:rsidR="00A63F35">
              <w:rPr>
                <w:noProof/>
                <w:webHidden/>
              </w:rPr>
              <w:fldChar w:fldCharType="separate"/>
            </w:r>
            <w:r w:rsidR="009044D1">
              <w:rPr>
                <w:noProof/>
                <w:webHidden/>
              </w:rPr>
              <w:t>86</w:t>
            </w:r>
            <w:r w:rsidR="00A63F35">
              <w:rPr>
                <w:noProof/>
                <w:webHidden/>
              </w:rPr>
              <w:fldChar w:fldCharType="end"/>
            </w:r>
          </w:hyperlink>
        </w:p>
        <w:p w14:paraId="33F67EE7" w14:textId="76688000" w:rsidR="00A63F35" w:rsidRDefault="00000000">
          <w:pPr>
            <w:pStyle w:val="TM3"/>
            <w:tabs>
              <w:tab w:val="left" w:pos="1320"/>
            </w:tabs>
            <w:rPr>
              <w:rFonts w:asciiTheme="minorHAnsi" w:eastAsiaTheme="minorEastAsia" w:hAnsiTheme="minorHAnsi"/>
              <w:noProof/>
              <w:lang w:eastAsia="fr-FR"/>
            </w:rPr>
          </w:pPr>
          <w:hyperlink w:anchor="_Toc78131659" w:history="1">
            <w:r w:rsidR="00A63F35" w:rsidRPr="00725021">
              <w:rPr>
                <w:rStyle w:val="Lienhypertexte"/>
                <w:noProof/>
              </w:rPr>
              <w:t>4.1.1.</w:t>
            </w:r>
            <w:r w:rsidR="00A63F35">
              <w:rPr>
                <w:rFonts w:asciiTheme="minorHAnsi" w:eastAsiaTheme="minorEastAsia" w:hAnsiTheme="minorHAnsi"/>
                <w:noProof/>
                <w:lang w:eastAsia="fr-FR"/>
              </w:rPr>
              <w:tab/>
            </w:r>
            <w:r w:rsidR="00A63F35" w:rsidRPr="00725021">
              <w:rPr>
                <w:rStyle w:val="Lienhypertexte"/>
                <w:noProof/>
              </w:rPr>
              <w:t>Ciblage et structure de l’échantillon</w:t>
            </w:r>
            <w:r w:rsidR="00A63F35">
              <w:rPr>
                <w:noProof/>
                <w:webHidden/>
              </w:rPr>
              <w:tab/>
            </w:r>
            <w:r w:rsidR="00A63F35">
              <w:rPr>
                <w:noProof/>
                <w:webHidden/>
              </w:rPr>
              <w:fldChar w:fldCharType="begin"/>
            </w:r>
            <w:r w:rsidR="00A63F35">
              <w:rPr>
                <w:noProof/>
                <w:webHidden/>
              </w:rPr>
              <w:instrText xml:space="preserve"> PAGEREF _Toc78131659 \h </w:instrText>
            </w:r>
            <w:r w:rsidR="00A63F35">
              <w:rPr>
                <w:noProof/>
                <w:webHidden/>
              </w:rPr>
            </w:r>
            <w:r w:rsidR="00A63F35">
              <w:rPr>
                <w:noProof/>
                <w:webHidden/>
              </w:rPr>
              <w:fldChar w:fldCharType="separate"/>
            </w:r>
            <w:r w:rsidR="009044D1">
              <w:rPr>
                <w:noProof/>
                <w:webHidden/>
              </w:rPr>
              <w:t>86</w:t>
            </w:r>
            <w:r w:rsidR="00A63F35">
              <w:rPr>
                <w:noProof/>
                <w:webHidden/>
              </w:rPr>
              <w:fldChar w:fldCharType="end"/>
            </w:r>
          </w:hyperlink>
        </w:p>
        <w:p w14:paraId="126F2C14" w14:textId="7C6593E6" w:rsidR="00A63F35" w:rsidRDefault="00000000">
          <w:pPr>
            <w:pStyle w:val="TM3"/>
            <w:tabs>
              <w:tab w:val="left" w:pos="1320"/>
            </w:tabs>
            <w:rPr>
              <w:rFonts w:asciiTheme="minorHAnsi" w:eastAsiaTheme="minorEastAsia" w:hAnsiTheme="minorHAnsi"/>
              <w:noProof/>
              <w:lang w:eastAsia="fr-FR"/>
            </w:rPr>
          </w:pPr>
          <w:hyperlink w:anchor="_Toc78131660" w:history="1">
            <w:r w:rsidR="00A63F35" w:rsidRPr="00725021">
              <w:rPr>
                <w:rStyle w:val="Lienhypertexte"/>
                <w:noProof/>
              </w:rPr>
              <w:t>4.1.2.</w:t>
            </w:r>
            <w:r w:rsidR="00A63F35">
              <w:rPr>
                <w:rFonts w:asciiTheme="minorHAnsi" w:eastAsiaTheme="minorEastAsia" w:hAnsiTheme="minorHAnsi"/>
                <w:noProof/>
                <w:lang w:eastAsia="fr-FR"/>
              </w:rPr>
              <w:tab/>
            </w:r>
            <w:r w:rsidR="00A63F35" w:rsidRPr="00725021">
              <w:rPr>
                <w:rStyle w:val="Lienhypertexte"/>
                <w:noProof/>
              </w:rPr>
              <w:t>Objectifs</w:t>
            </w:r>
            <w:r w:rsidR="00A63F35">
              <w:rPr>
                <w:noProof/>
                <w:webHidden/>
              </w:rPr>
              <w:tab/>
            </w:r>
            <w:r w:rsidR="00A63F35">
              <w:rPr>
                <w:noProof/>
                <w:webHidden/>
              </w:rPr>
              <w:fldChar w:fldCharType="begin"/>
            </w:r>
            <w:r w:rsidR="00A63F35">
              <w:rPr>
                <w:noProof/>
                <w:webHidden/>
              </w:rPr>
              <w:instrText xml:space="preserve"> PAGEREF _Toc78131660 \h </w:instrText>
            </w:r>
            <w:r w:rsidR="00A63F35">
              <w:rPr>
                <w:noProof/>
                <w:webHidden/>
              </w:rPr>
            </w:r>
            <w:r w:rsidR="00A63F35">
              <w:rPr>
                <w:noProof/>
                <w:webHidden/>
              </w:rPr>
              <w:fldChar w:fldCharType="separate"/>
            </w:r>
            <w:r w:rsidR="009044D1">
              <w:rPr>
                <w:noProof/>
                <w:webHidden/>
              </w:rPr>
              <w:t>87</w:t>
            </w:r>
            <w:r w:rsidR="00A63F35">
              <w:rPr>
                <w:noProof/>
                <w:webHidden/>
              </w:rPr>
              <w:fldChar w:fldCharType="end"/>
            </w:r>
          </w:hyperlink>
        </w:p>
        <w:p w14:paraId="4DFAABAB" w14:textId="6AB1EED0" w:rsidR="00A63F35" w:rsidRDefault="00000000">
          <w:pPr>
            <w:pStyle w:val="TM3"/>
            <w:tabs>
              <w:tab w:val="left" w:pos="1320"/>
            </w:tabs>
            <w:rPr>
              <w:rFonts w:asciiTheme="minorHAnsi" w:eastAsiaTheme="minorEastAsia" w:hAnsiTheme="minorHAnsi"/>
              <w:noProof/>
              <w:lang w:eastAsia="fr-FR"/>
            </w:rPr>
          </w:pPr>
          <w:hyperlink w:anchor="_Toc78131661" w:history="1">
            <w:r w:rsidR="00A63F35" w:rsidRPr="00725021">
              <w:rPr>
                <w:rStyle w:val="Lienhypertexte"/>
                <w:noProof/>
              </w:rPr>
              <w:t>4.1.3.</w:t>
            </w:r>
            <w:r w:rsidR="00A63F35">
              <w:rPr>
                <w:rFonts w:asciiTheme="minorHAnsi" w:eastAsiaTheme="minorEastAsia" w:hAnsiTheme="minorHAnsi"/>
                <w:noProof/>
                <w:lang w:eastAsia="fr-FR"/>
              </w:rPr>
              <w:tab/>
            </w:r>
            <w:r w:rsidR="00A63F35" w:rsidRPr="00725021">
              <w:rPr>
                <w:rStyle w:val="Lienhypertexte"/>
                <w:noProof/>
              </w:rPr>
              <w:t>Limites</w:t>
            </w:r>
            <w:r w:rsidR="00A63F35">
              <w:rPr>
                <w:noProof/>
                <w:webHidden/>
              </w:rPr>
              <w:tab/>
            </w:r>
            <w:r w:rsidR="00A63F35">
              <w:rPr>
                <w:noProof/>
                <w:webHidden/>
              </w:rPr>
              <w:fldChar w:fldCharType="begin"/>
            </w:r>
            <w:r w:rsidR="00A63F35">
              <w:rPr>
                <w:noProof/>
                <w:webHidden/>
              </w:rPr>
              <w:instrText xml:space="preserve"> PAGEREF _Toc78131661 \h </w:instrText>
            </w:r>
            <w:r w:rsidR="00A63F35">
              <w:rPr>
                <w:noProof/>
                <w:webHidden/>
              </w:rPr>
            </w:r>
            <w:r w:rsidR="00A63F35">
              <w:rPr>
                <w:noProof/>
                <w:webHidden/>
              </w:rPr>
              <w:fldChar w:fldCharType="separate"/>
            </w:r>
            <w:r w:rsidR="009044D1">
              <w:rPr>
                <w:noProof/>
                <w:webHidden/>
              </w:rPr>
              <w:t>87</w:t>
            </w:r>
            <w:r w:rsidR="00A63F35">
              <w:rPr>
                <w:noProof/>
                <w:webHidden/>
              </w:rPr>
              <w:fldChar w:fldCharType="end"/>
            </w:r>
          </w:hyperlink>
        </w:p>
        <w:p w14:paraId="2498A600" w14:textId="18B44F7A"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62" w:history="1">
            <w:r w:rsidR="00A63F35" w:rsidRPr="00725021">
              <w:rPr>
                <w:rStyle w:val="Lienhypertexte"/>
                <w:noProof/>
              </w:rPr>
              <w:t>4.2.</w:t>
            </w:r>
            <w:r w:rsidR="00A63F35">
              <w:rPr>
                <w:rFonts w:asciiTheme="minorHAnsi" w:eastAsiaTheme="minorEastAsia" w:hAnsiTheme="minorHAnsi"/>
                <w:noProof/>
                <w:lang w:eastAsia="fr-FR"/>
              </w:rPr>
              <w:tab/>
            </w:r>
            <w:r w:rsidR="00A63F35" w:rsidRPr="00725021">
              <w:rPr>
                <w:rStyle w:val="Lienhypertexte"/>
                <w:noProof/>
              </w:rPr>
              <w:t>Résultats</w:t>
            </w:r>
            <w:r w:rsidR="00A63F35">
              <w:rPr>
                <w:noProof/>
                <w:webHidden/>
              </w:rPr>
              <w:tab/>
            </w:r>
            <w:r w:rsidR="00A63F35">
              <w:rPr>
                <w:noProof/>
                <w:webHidden/>
              </w:rPr>
              <w:fldChar w:fldCharType="begin"/>
            </w:r>
            <w:r w:rsidR="00A63F35">
              <w:rPr>
                <w:noProof/>
                <w:webHidden/>
              </w:rPr>
              <w:instrText xml:space="preserve"> PAGEREF _Toc78131662 \h </w:instrText>
            </w:r>
            <w:r w:rsidR="00A63F35">
              <w:rPr>
                <w:noProof/>
                <w:webHidden/>
              </w:rPr>
            </w:r>
            <w:r w:rsidR="00A63F35">
              <w:rPr>
                <w:noProof/>
                <w:webHidden/>
              </w:rPr>
              <w:fldChar w:fldCharType="separate"/>
            </w:r>
            <w:r w:rsidR="009044D1">
              <w:rPr>
                <w:noProof/>
                <w:webHidden/>
              </w:rPr>
              <w:t>88</w:t>
            </w:r>
            <w:r w:rsidR="00A63F35">
              <w:rPr>
                <w:noProof/>
                <w:webHidden/>
              </w:rPr>
              <w:fldChar w:fldCharType="end"/>
            </w:r>
          </w:hyperlink>
        </w:p>
        <w:p w14:paraId="0F25108A" w14:textId="1784DC98" w:rsidR="00A63F35" w:rsidRDefault="00000000">
          <w:pPr>
            <w:pStyle w:val="TM3"/>
            <w:tabs>
              <w:tab w:val="left" w:pos="1320"/>
            </w:tabs>
            <w:rPr>
              <w:rFonts w:asciiTheme="minorHAnsi" w:eastAsiaTheme="minorEastAsia" w:hAnsiTheme="minorHAnsi"/>
              <w:noProof/>
              <w:lang w:eastAsia="fr-FR"/>
            </w:rPr>
          </w:pPr>
          <w:hyperlink w:anchor="_Toc78131663" w:history="1">
            <w:r w:rsidR="00A63F35" w:rsidRPr="00725021">
              <w:rPr>
                <w:rStyle w:val="Lienhypertexte"/>
                <w:noProof/>
              </w:rPr>
              <w:t>4.2.1.</w:t>
            </w:r>
            <w:r w:rsidR="00A63F35">
              <w:rPr>
                <w:rFonts w:asciiTheme="minorHAnsi" w:eastAsiaTheme="minorEastAsia" w:hAnsiTheme="minorHAnsi"/>
                <w:noProof/>
                <w:lang w:eastAsia="fr-FR"/>
              </w:rPr>
              <w:tab/>
            </w:r>
            <w:r w:rsidR="00A63F35" w:rsidRPr="00725021">
              <w:rPr>
                <w:rStyle w:val="Lienhypertexte"/>
                <w:noProof/>
              </w:rPr>
              <w:t>Quantification des segments de la restauration collective :</w:t>
            </w:r>
            <w:r w:rsidR="00A63F35">
              <w:rPr>
                <w:noProof/>
                <w:webHidden/>
              </w:rPr>
              <w:tab/>
            </w:r>
            <w:r w:rsidR="00A63F35">
              <w:rPr>
                <w:noProof/>
                <w:webHidden/>
              </w:rPr>
              <w:fldChar w:fldCharType="begin"/>
            </w:r>
            <w:r w:rsidR="00A63F35">
              <w:rPr>
                <w:noProof/>
                <w:webHidden/>
              </w:rPr>
              <w:instrText xml:space="preserve"> PAGEREF _Toc78131663 \h </w:instrText>
            </w:r>
            <w:r w:rsidR="00A63F35">
              <w:rPr>
                <w:noProof/>
                <w:webHidden/>
              </w:rPr>
            </w:r>
            <w:r w:rsidR="00A63F35">
              <w:rPr>
                <w:noProof/>
                <w:webHidden/>
              </w:rPr>
              <w:fldChar w:fldCharType="separate"/>
            </w:r>
            <w:r w:rsidR="009044D1">
              <w:rPr>
                <w:noProof/>
                <w:webHidden/>
              </w:rPr>
              <w:t>88</w:t>
            </w:r>
            <w:r w:rsidR="00A63F35">
              <w:rPr>
                <w:noProof/>
                <w:webHidden/>
              </w:rPr>
              <w:fldChar w:fldCharType="end"/>
            </w:r>
          </w:hyperlink>
        </w:p>
        <w:p w14:paraId="1BF83D00" w14:textId="1F4B079E" w:rsidR="00A63F35" w:rsidRDefault="00000000">
          <w:pPr>
            <w:pStyle w:val="TM3"/>
            <w:tabs>
              <w:tab w:val="left" w:pos="1320"/>
            </w:tabs>
            <w:rPr>
              <w:rFonts w:asciiTheme="minorHAnsi" w:eastAsiaTheme="minorEastAsia" w:hAnsiTheme="minorHAnsi"/>
              <w:noProof/>
              <w:lang w:eastAsia="fr-FR"/>
            </w:rPr>
          </w:pPr>
          <w:hyperlink w:anchor="_Toc78131664" w:history="1">
            <w:r w:rsidR="00A63F35" w:rsidRPr="00725021">
              <w:rPr>
                <w:rStyle w:val="Lienhypertexte"/>
                <w:noProof/>
              </w:rPr>
              <w:t>4.2.2.</w:t>
            </w:r>
            <w:r w:rsidR="00A63F35">
              <w:rPr>
                <w:rFonts w:asciiTheme="minorHAnsi" w:eastAsiaTheme="minorEastAsia" w:hAnsiTheme="minorHAnsi"/>
                <w:noProof/>
                <w:lang w:eastAsia="fr-FR"/>
              </w:rPr>
              <w:tab/>
            </w:r>
            <w:r w:rsidR="00A63F35" w:rsidRPr="00725021">
              <w:rPr>
                <w:rStyle w:val="Lienhypertexte"/>
                <w:noProof/>
              </w:rPr>
              <w:t>Eléments de contexte et faits marquants par segment de marché :</w:t>
            </w:r>
            <w:r w:rsidR="00A63F35">
              <w:rPr>
                <w:noProof/>
                <w:webHidden/>
              </w:rPr>
              <w:tab/>
            </w:r>
            <w:r w:rsidR="00A63F35">
              <w:rPr>
                <w:noProof/>
                <w:webHidden/>
              </w:rPr>
              <w:fldChar w:fldCharType="begin"/>
            </w:r>
            <w:r w:rsidR="00A63F35">
              <w:rPr>
                <w:noProof/>
                <w:webHidden/>
              </w:rPr>
              <w:instrText xml:space="preserve"> PAGEREF _Toc78131664 \h </w:instrText>
            </w:r>
            <w:r w:rsidR="00A63F35">
              <w:rPr>
                <w:noProof/>
                <w:webHidden/>
              </w:rPr>
            </w:r>
            <w:r w:rsidR="00A63F35">
              <w:rPr>
                <w:noProof/>
                <w:webHidden/>
              </w:rPr>
              <w:fldChar w:fldCharType="separate"/>
            </w:r>
            <w:r w:rsidR="009044D1">
              <w:rPr>
                <w:noProof/>
                <w:webHidden/>
              </w:rPr>
              <w:t>90</w:t>
            </w:r>
            <w:r w:rsidR="00A63F35">
              <w:rPr>
                <w:noProof/>
                <w:webHidden/>
              </w:rPr>
              <w:fldChar w:fldCharType="end"/>
            </w:r>
          </w:hyperlink>
        </w:p>
        <w:p w14:paraId="1D48EBB0" w14:textId="04B228F5" w:rsidR="00A63F35" w:rsidRDefault="00000000">
          <w:pPr>
            <w:pStyle w:val="TM4"/>
            <w:tabs>
              <w:tab w:val="left" w:pos="1760"/>
            </w:tabs>
            <w:rPr>
              <w:rFonts w:asciiTheme="minorHAnsi" w:eastAsiaTheme="minorEastAsia" w:hAnsiTheme="minorHAnsi"/>
              <w:noProof/>
              <w:lang w:eastAsia="fr-FR"/>
            </w:rPr>
          </w:pPr>
          <w:hyperlink w:anchor="_Toc78131665" w:history="1">
            <w:r w:rsidR="00A63F35" w:rsidRPr="00725021">
              <w:rPr>
                <w:rStyle w:val="Lienhypertexte"/>
                <w:noProof/>
              </w:rPr>
              <w:t>4.2.2.1.</w:t>
            </w:r>
            <w:r w:rsidR="00A63F35">
              <w:rPr>
                <w:rFonts w:asciiTheme="minorHAnsi" w:eastAsiaTheme="minorEastAsia" w:hAnsiTheme="minorHAnsi"/>
                <w:noProof/>
                <w:lang w:eastAsia="fr-FR"/>
              </w:rPr>
              <w:tab/>
            </w:r>
            <w:r w:rsidR="00A63F35" w:rsidRPr="00725021">
              <w:rPr>
                <w:rStyle w:val="Lienhypertexte"/>
                <w:noProof/>
              </w:rPr>
              <w:t>Segment de l’enseignement</w:t>
            </w:r>
            <w:r w:rsidR="00A63F35">
              <w:rPr>
                <w:noProof/>
                <w:webHidden/>
              </w:rPr>
              <w:tab/>
            </w:r>
            <w:r w:rsidR="00A63F35">
              <w:rPr>
                <w:noProof/>
                <w:webHidden/>
              </w:rPr>
              <w:fldChar w:fldCharType="begin"/>
            </w:r>
            <w:r w:rsidR="00A63F35">
              <w:rPr>
                <w:noProof/>
                <w:webHidden/>
              </w:rPr>
              <w:instrText xml:space="preserve"> PAGEREF _Toc78131665 \h </w:instrText>
            </w:r>
            <w:r w:rsidR="00A63F35">
              <w:rPr>
                <w:noProof/>
                <w:webHidden/>
              </w:rPr>
            </w:r>
            <w:r w:rsidR="00A63F35">
              <w:rPr>
                <w:noProof/>
                <w:webHidden/>
              </w:rPr>
              <w:fldChar w:fldCharType="separate"/>
            </w:r>
            <w:r w:rsidR="009044D1">
              <w:rPr>
                <w:noProof/>
                <w:webHidden/>
              </w:rPr>
              <w:t>90</w:t>
            </w:r>
            <w:r w:rsidR="00A63F35">
              <w:rPr>
                <w:noProof/>
                <w:webHidden/>
              </w:rPr>
              <w:fldChar w:fldCharType="end"/>
            </w:r>
          </w:hyperlink>
        </w:p>
        <w:p w14:paraId="11868BBE" w14:textId="1F69AF57" w:rsidR="00A63F35" w:rsidRDefault="00000000">
          <w:pPr>
            <w:pStyle w:val="TM4"/>
            <w:tabs>
              <w:tab w:val="left" w:pos="1760"/>
            </w:tabs>
            <w:rPr>
              <w:rFonts w:asciiTheme="minorHAnsi" w:eastAsiaTheme="minorEastAsia" w:hAnsiTheme="minorHAnsi"/>
              <w:noProof/>
              <w:lang w:eastAsia="fr-FR"/>
            </w:rPr>
          </w:pPr>
          <w:hyperlink w:anchor="_Toc78131666" w:history="1">
            <w:r w:rsidR="00A63F35" w:rsidRPr="00725021">
              <w:rPr>
                <w:rStyle w:val="Lienhypertexte"/>
                <w:noProof/>
              </w:rPr>
              <w:t>4.2.2.2.</w:t>
            </w:r>
            <w:r w:rsidR="00A63F35">
              <w:rPr>
                <w:rFonts w:asciiTheme="minorHAnsi" w:eastAsiaTheme="minorEastAsia" w:hAnsiTheme="minorHAnsi"/>
                <w:noProof/>
                <w:lang w:eastAsia="fr-FR"/>
              </w:rPr>
              <w:tab/>
            </w:r>
            <w:r w:rsidR="00A63F35" w:rsidRPr="00725021">
              <w:rPr>
                <w:rStyle w:val="Lienhypertexte"/>
                <w:noProof/>
              </w:rPr>
              <w:t>Segment du médico-social</w:t>
            </w:r>
            <w:r w:rsidR="00A63F35">
              <w:rPr>
                <w:noProof/>
                <w:webHidden/>
              </w:rPr>
              <w:tab/>
            </w:r>
            <w:r w:rsidR="00A63F35">
              <w:rPr>
                <w:noProof/>
                <w:webHidden/>
              </w:rPr>
              <w:fldChar w:fldCharType="begin"/>
            </w:r>
            <w:r w:rsidR="00A63F35">
              <w:rPr>
                <w:noProof/>
                <w:webHidden/>
              </w:rPr>
              <w:instrText xml:space="preserve"> PAGEREF _Toc78131666 \h </w:instrText>
            </w:r>
            <w:r w:rsidR="00A63F35">
              <w:rPr>
                <w:noProof/>
                <w:webHidden/>
              </w:rPr>
            </w:r>
            <w:r w:rsidR="00A63F35">
              <w:rPr>
                <w:noProof/>
                <w:webHidden/>
              </w:rPr>
              <w:fldChar w:fldCharType="separate"/>
            </w:r>
            <w:r w:rsidR="009044D1">
              <w:rPr>
                <w:noProof/>
                <w:webHidden/>
              </w:rPr>
              <w:t>91</w:t>
            </w:r>
            <w:r w:rsidR="00A63F35">
              <w:rPr>
                <w:noProof/>
                <w:webHidden/>
              </w:rPr>
              <w:fldChar w:fldCharType="end"/>
            </w:r>
          </w:hyperlink>
        </w:p>
        <w:p w14:paraId="71ABB277" w14:textId="1BA34DC6" w:rsidR="00A63F35" w:rsidRDefault="00000000">
          <w:pPr>
            <w:pStyle w:val="TM4"/>
            <w:tabs>
              <w:tab w:val="left" w:pos="1760"/>
            </w:tabs>
            <w:rPr>
              <w:rFonts w:asciiTheme="minorHAnsi" w:eastAsiaTheme="minorEastAsia" w:hAnsiTheme="minorHAnsi"/>
              <w:noProof/>
              <w:lang w:eastAsia="fr-FR"/>
            </w:rPr>
          </w:pPr>
          <w:hyperlink w:anchor="_Toc78131667" w:history="1">
            <w:r w:rsidR="00A63F35" w:rsidRPr="00725021">
              <w:rPr>
                <w:rStyle w:val="Lienhypertexte"/>
                <w:noProof/>
              </w:rPr>
              <w:t>4.2.2.3.</w:t>
            </w:r>
            <w:r w:rsidR="00A63F35">
              <w:rPr>
                <w:rFonts w:asciiTheme="minorHAnsi" w:eastAsiaTheme="minorEastAsia" w:hAnsiTheme="minorHAnsi"/>
                <w:noProof/>
                <w:lang w:eastAsia="fr-FR"/>
              </w:rPr>
              <w:tab/>
            </w:r>
            <w:r w:rsidR="00A63F35" w:rsidRPr="00725021">
              <w:rPr>
                <w:rStyle w:val="Lienhypertexte"/>
                <w:noProof/>
              </w:rPr>
              <w:t>Segment du travail</w:t>
            </w:r>
            <w:r w:rsidR="00A63F35">
              <w:rPr>
                <w:noProof/>
                <w:webHidden/>
              </w:rPr>
              <w:tab/>
            </w:r>
            <w:r w:rsidR="00A63F35">
              <w:rPr>
                <w:noProof/>
                <w:webHidden/>
              </w:rPr>
              <w:fldChar w:fldCharType="begin"/>
            </w:r>
            <w:r w:rsidR="00A63F35">
              <w:rPr>
                <w:noProof/>
                <w:webHidden/>
              </w:rPr>
              <w:instrText xml:space="preserve"> PAGEREF _Toc78131667 \h </w:instrText>
            </w:r>
            <w:r w:rsidR="00A63F35">
              <w:rPr>
                <w:noProof/>
                <w:webHidden/>
              </w:rPr>
            </w:r>
            <w:r w:rsidR="00A63F35">
              <w:rPr>
                <w:noProof/>
                <w:webHidden/>
              </w:rPr>
              <w:fldChar w:fldCharType="separate"/>
            </w:r>
            <w:r w:rsidR="009044D1">
              <w:rPr>
                <w:noProof/>
                <w:webHidden/>
              </w:rPr>
              <w:t>91</w:t>
            </w:r>
            <w:r w:rsidR="00A63F35">
              <w:rPr>
                <w:noProof/>
                <w:webHidden/>
              </w:rPr>
              <w:fldChar w:fldCharType="end"/>
            </w:r>
          </w:hyperlink>
        </w:p>
        <w:p w14:paraId="62EA7325" w14:textId="6F9A7E84" w:rsidR="00A63F35" w:rsidRDefault="00000000">
          <w:pPr>
            <w:pStyle w:val="TM3"/>
            <w:tabs>
              <w:tab w:val="left" w:pos="1320"/>
            </w:tabs>
            <w:rPr>
              <w:rFonts w:asciiTheme="minorHAnsi" w:eastAsiaTheme="minorEastAsia" w:hAnsiTheme="minorHAnsi"/>
              <w:noProof/>
              <w:lang w:eastAsia="fr-FR"/>
            </w:rPr>
          </w:pPr>
          <w:hyperlink w:anchor="_Toc78131668" w:history="1">
            <w:r w:rsidR="00A63F35" w:rsidRPr="00725021">
              <w:rPr>
                <w:rStyle w:val="Lienhypertexte"/>
                <w:noProof/>
              </w:rPr>
              <w:t>4.2.3.</w:t>
            </w:r>
            <w:r w:rsidR="00A63F35">
              <w:rPr>
                <w:rFonts w:asciiTheme="minorHAnsi" w:eastAsiaTheme="minorEastAsia" w:hAnsiTheme="minorHAnsi"/>
                <w:noProof/>
                <w:lang w:eastAsia="fr-FR"/>
              </w:rPr>
              <w:tab/>
            </w:r>
            <w:r w:rsidR="00A63F35" w:rsidRPr="00725021">
              <w:rPr>
                <w:rStyle w:val="Lienhypertexte"/>
                <w:noProof/>
              </w:rPr>
              <w:t>Approche de la part d’importation et des produits surgelés</w:t>
            </w:r>
            <w:r w:rsidR="00A63F35">
              <w:rPr>
                <w:noProof/>
                <w:webHidden/>
              </w:rPr>
              <w:tab/>
            </w:r>
            <w:r w:rsidR="00A63F35">
              <w:rPr>
                <w:noProof/>
                <w:webHidden/>
              </w:rPr>
              <w:fldChar w:fldCharType="begin"/>
            </w:r>
            <w:r w:rsidR="00A63F35">
              <w:rPr>
                <w:noProof/>
                <w:webHidden/>
              </w:rPr>
              <w:instrText xml:space="preserve"> PAGEREF _Toc78131668 \h </w:instrText>
            </w:r>
            <w:r w:rsidR="00A63F35">
              <w:rPr>
                <w:noProof/>
                <w:webHidden/>
              </w:rPr>
            </w:r>
            <w:r w:rsidR="00A63F35">
              <w:rPr>
                <w:noProof/>
                <w:webHidden/>
              </w:rPr>
              <w:fldChar w:fldCharType="separate"/>
            </w:r>
            <w:r w:rsidR="009044D1">
              <w:rPr>
                <w:noProof/>
                <w:webHidden/>
              </w:rPr>
              <w:t>92</w:t>
            </w:r>
            <w:r w:rsidR="00A63F35">
              <w:rPr>
                <w:noProof/>
                <w:webHidden/>
              </w:rPr>
              <w:fldChar w:fldCharType="end"/>
            </w:r>
          </w:hyperlink>
        </w:p>
        <w:p w14:paraId="57502C48" w14:textId="52D46D03" w:rsidR="00A63F35" w:rsidRDefault="00000000">
          <w:pPr>
            <w:pStyle w:val="TM3"/>
            <w:tabs>
              <w:tab w:val="left" w:pos="1320"/>
            </w:tabs>
            <w:rPr>
              <w:rFonts w:asciiTheme="minorHAnsi" w:eastAsiaTheme="minorEastAsia" w:hAnsiTheme="minorHAnsi"/>
              <w:noProof/>
              <w:lang w:eastAsia="fr-FR"/>
            </w:rPr>
          </w:pPr>
          <w:hyperlink w:anchor="_Toc78131669" w:history="1">
            <w:r w:rsidR="00A63F35" w:rsidRPr="00725021">
              <w:rPr>
                <w:rStyle w:val="Lienhypertexte"/>
                <w:noProof/>
              </w:rPr>
              <w:t>4.2.4.</w:t>
            </w:r>
            <w:r w:rsidR="00A63F35">
              <w:rPr>
                <w:rFonts w:asciiTheme="minorHAnsi" w:eastAsiaTheme="minorEastAsia" w:hAnsiTheme="minorHAnsi"/>
                <w:noProof/>
                <w:lang w:eastAsia="fr-FR"/>
              </w:rPr>
              <w:tab/>
            </w:r>
            <w:r w:rsidR="00A63F35" w:rsidRPr="00725021">
              <w:rPr>
                <w:rStyle w:val="Lienhypertexte"/>
                <w:b/>
                <w:noProof/>
              </w:rPr>
              <w:t>Estimation de la part des produits sous signe de qualité</w:t>
            </w:r>
            <w:r w:rsidR="00A63F35">
              <w:rPr>
                <w:noProof/>
                <w:webHidden/>
              </w:rPr>
              <w:tab/>
            </w:r>
            <w:r w:rsidR="00A63F35">
              <w:rPr>
                <w:noProof/>
                <w:webHidden/>
              </w:rPr>
              <w:fldChar w:fldCharType="begin"/>
            </w:r>
            <w:r w:rsidR="00A63F35">
              <w:rPr>
                <w:noProof/>
                <w:webHidden/>
              </w:rPr>
              <w:instrText xml:space="preserve"> PAGEREF _Toc78131669 \h </w:instrText>
            </w:r>
            <w:r w:rsidR="00A63F35">
              <w:rPr>
                <w:noProof/>
                <w:webHidden/>
              </w:rPr>
            </w:r>
            <w:r w:rsidR="00A63F35">
              <w:rPr>
                <w:noProof/>
                <w:webHidden/>
              </w:rPr>
              <w:fldChar w:fldCharType="separate"/>
            </w:r>
            <w:r w:rsidR="009044D1">
              <w:rPr>
                <w:noProof/>
                <w:webHidden/>
              </w:rPr>
              <w:t>92</w:t>
            </w:r>
            <w:r w:rsidR="00A63F35">
              <w:rPr>
                <w:noProof/>
                <w:webHidden/>
              </w:rPr>
              <w:fldChar w:fldCharType="end"/>
            </w:r>
          </w:hyperlink>
        </w:p>
        <w:p w14:paraId="39BF97D4" w14:textId="4F1B204B" w:rsidR="00A63F35" w:rsidRDefault="00000000">
          <w:pPr>
            <w:pStyle w:val="TM1"/>
            <w:tabs>
              <w:tab w:val="left" w:pos="440"/>
              <w:tab w:val="right" w:leader="dot" w:pos="9060"/>
            </w:tabs>
            <w:rPr>
              <w:rFonts w:asciiTheme="minorHAnsi" w:eastAsiaTheme="minorEastAsia" w:hAnsiTheme="minorHAnsi"/>
              <w:noProof/>
              <w:lang w:eastAsia="fr-FR"/>
            </w:rPr>
          </w:pPr>
          <w:hyperlink w:anchor="_Toc78131670" w:history="1">
            <w:r w:rsidR="00A63F35" w:rsidRPr="00725021">
              <w:rPr>
                <w:rStyle w:val="Lienhypertexte"/>
                <w:noProof/>
                <w:lang w:val="en-US"/>
              </w:rPr>
              <w:t>5.</w:t>
            </w:r>
            <w:r w:rsidR="00A63F35">
              <w:rPr>
                <w:rFonts w:asciiTheme="minorHAnsi" w:eastAsiaTheme="minorEastAsia" w:hAnsiTheme="minorHAnsi"/>
                <w:noProof/>
                <w:lang w:eastAsia="fr-FR"/>
              </w:rPr>
              <w:tab/>
            </w:r>
            <w:r w:rsidR="00A63F35" w:rsidRPr="00725021">
              <w:rPr>
                <w:rStyle w:val="Lienhypertexte"/>
                <w:noProof/>
                <w:lang w:val="en-US"/>
              </w:rPr>
              <w:t>Conclusion</w:t>
            </w:r>
            <w:r w:rsidR="00A63F35">
              <w:rPr>
                <w:noProof/>
                <w:webHidden/>
              </w:rPr>
              <w:tab/>
            </w:r>
            <w:r w:rsidR="00A63F35">
              <w:rPr>
                <w:noProof/>
                <w:webHidden/>
              </w:rPr>
              <w:fldChar w:fldCharType="begin"/>
            </w:r>
            <w:r w:rsidR="00A63F35">
              <w:rPr>
                <w:noProof/>
                <w:webHidden/>
              </w:rPr>
              <w:instrText xml:space="preserve"> PAGEREF _Toc78131670 \h </w:instrText>
            </w:r>
            <w:r w:rsidR="00A63F35">
              <w:rPr>
                <w:noProof/>
                <w:webHidden/>
              </w:rPr>
            </w:r>
            <w:r w:rsidR="00A63F35">
              <w:rPr>
                <w:noProof/>
                <w:webHidden/>
              </w:rPr>
              <w:fldChar w:fldCharType="separate"/>
            </w:r>
            <w:r w:rsidR="009044D1">
              <w:rPr>
                <w:noProof/>
                <w:webHidden/>
              </w:rPr>
              <w:t>93</w:t>
            </w:r>
            <w:r w:rsidR="00A63F35">
              <w:rPr>
                <w:noProof/>
                <w:webHidden/>
              </w:rPr>
              <w:fldChar w:fldCharType="end"/>
            </w:r>
          </w:hyperlink>
        </w:p>
        <w:p w14:paraId="06307969" w14:textId="2AA26F36" w:rsidR="00A63F35" w:rsidRDefault="00000000">
          <w:pPr>
            <w:pStyle w:val="TM1"/>
            <w:tabs>
              <w:tab w:val="right" w:leader="dot" w:pos="9060"/>
            </w:tabs>
            <w:rPr>
              <w:rFonts w:asciiTheme="minorHAnsi" w:eastAsiaTheme="minorEastAsia" w:hAnsiTheme="minorHAnsi"/>
              <w:noProof/>
              <w:lang w:eastAsia="fr-FR"/>
            </w:rPr>
          </w:pPr>
          <w:hyperlink w:anchor="_Toc78131671" w:history="1">
            <w:r w:rsidR="00A63F35" w:rsidRPr="00725021">
              <w:rPr>
                <w:rStyle w:val="Lienhypertexte"/>
                <w:noProof/>
              </w:rPr>
              <w:t>Partie 3 : Première approche de cartographie des pièces primaires selon la méthode des flux de substance (SFA) au sein de la filière porcine.</w:t>
            </w:r>
            <w:r w:rsidR="00A63F35">
              <w:rPr>
                <w:noProof/>
                <w:webHidden/>
              </w:rPr>
              <w:tab/>
            </w:r>
            <w:r w:rsidR="00A63F35">
              <w:rPr>
                <w:noProof/>
                <w:webHidden/>
              </w:rPr>
              <w:fldChar w:fldCharType="begin"/>
            </w:r>
            <w:r w:rsidR="00A63F35">
              <w:rPr>
                <w:noProof/>
                <w:webHidden/>
              </w:rPr>
              <w:instrText xml:space="preserve"> PAGEREF _Toc78131671 \h </w:instrText>
            </w:r>
            <w:r w:rsidR="00A63F35">
              <w:rPr>
                <w:noProof/>
                <w:webHidden/>
              </w:rPr>
            </w:r>
            <w:r w:rsidR="00A63F35">
              <w:rPr>
                <w:noProof/>
                <w:webHidden/>
              </w:rPr>
              <w:fldChar w:fldCharType="separate"/>
            </w:r>
            <w:r w:rsidR="009044D1">
              <w:rPr>
                <w:noProof/>
                <w:webHidden/>
              </w:rPr>
              <w:t>95</w:t>
            </w:r>
            <w:r w:rsidR="00A63F35">
              <w:rPr>
                <w:noProof/>
                <w:webHidden/>
              </w:rPr>
              <w:fldChar w:fldCharType="end"/>
            </w:r>
          </w:hyperlink>
        </w:p>
        <w:p w14:paraId="0CAE5903" w14:textId="7C990500" w:rsidR="00A63F35" w:rsidRDefault="00000000">
          <w:pPr>
            <w:pStyle w:val="TM1"/>
            <w:tabs>
              <w:tab w:val="left" w:pos="440"/>
              <w:tab w:val="right" w:leader="dot" w:pos="9060"/>
            </w:tabs>
            <w:rPr>
              <w:rFonts w:asciiTheme="minorHAnsi" w:eastAsiaTheme="minorEastAsia" w:hAnsiTheme="minorHAnsi"/>
              <w:noProof/>
              <w:lang w:eastAsia="fr-FR"/>
            </w:rPr>
          </w:pPr>
          <w:hyperlink w:anchor="_Toc78131672" w:history="1">
            <w:r w:rsidR="00A63F35" w:rsidRPr="00725021">
              <w:rPr>
                <w:rStyle w:val="Lienhypertexte"/>
                <w:noProof/>
              </w:rPr>
              <w:t>1.</w:t>
            </w:r>
            <w:r w:rsidR="00A63F35">
              <w:rPr>
                <w:rFonts w:asciiTheme="minorHAnsi" w:eastAsiaTheme="minorEastAsia" w:hAnsiTheme="minorHAnsi"/>
                <w:noProof/>
                <w:lang w:eastAsia="fr-FR"/>
              </w:rPr>
              <w:tab/>
            </w:r>
            <w:r w:rsidR="00A63F35" w:rsidRPr="00725021">
              <w:rPr>
                <w:rStyle w:val="Lienhypertexte"/>
                <w:noProof/>
              </w:rPr>
              <w:t>Eléments généraux de l’analyse de flux de matière ou de substance</w:t>
            </w:r>
            <w:r w:rsidR="00A63F35">
              <w:rPr>
                <w:noProof/>
                <w:webHidden/>
              </w:rPr>
              <w:tab/>
            </w:r>
            <w:r w:rsidR="00A63F35">
              <w:rPr>
                <w:noProof/>
                <w:webHidden/>
              </w:rPr>
              <w:fldChar w:fldCharType="begin"/>
            </w:r>
            <w:r w:rsidR="00A63F35">
              <w:rPr>
                <w:noProof/>
                <w:webHidden/>
              </w:rPr>
              <w:instrText xml:space="preserve"> PAGEREF _Toc78131672 \h </w:instrText>
            </w:r>
            <w:r w:rsidR="00A63F35">
              <w:rPr>
                <w:noProof/>
                <w:webHidden/>
              </w:rPr>
            </w:r>
            <w:r w:rsidR="00A63F35">
              <w:rPr>
                <w:noProof/>
                <w:webHidden/>
              </w:rPr>
              <w:fldChar w:fldCharType="separate"/>
            </w:r>
            <w:r w:rsidR="009044D1">
              <w:rPr>
                <w:noProof/>
                <w:webHidden/>
              </w:rPr>
              <w:t>95</w:t>
            </w:r>
            <w:r w:rsidR="00A63F35">
              <w:rPr>
                <w:noProof/>
                <w:webHidden/>
              </w:rPr>
              <w:fldChar w:fldCharType="end"/>
            </w:r>
          </w:hyperlink>
        </w:p>
        <w:p w14:paraId="17996D7B" w14:textId="04A3A9DB"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73" w:history="1">
            <w:r w:rsidR="00A63F35" w:rsidRPr="00725021">
              <w:rPr>
                <w:rStyle w:val="Lienhypertexte"/>
                <w:noProof/>
              </w:rPr>
              <w:t>1.1.</w:t>
            </w:r>
            <w:r w:rsidR="00A63F35">
              <w:rPr>
                <w:rFonts w:asciiTheme="minorHAnsi" w:eastAsiaTheme="minorEastAsia" w:hAnsiTheme="minorHAnsi"/>
                <w:noProof/>
                <w:lang w:eastAsia="fr-FR"/>
              </w:rPr>
              <w:tab/>
            </w:r>
            <w:r w:rsidR="00A63F35" w:rsidRPr="00725021">
              <w:rPr>
                <w:rStyle w:val="Lienhypertexte"/>
                <w:noProof/>
              </w:rPr>
              <w:t>Les grands principes</w:t>
            </w:r>
            <w:r w:rsidR="00A63F35">
              <w:rPr>
                <w:noProof/>
                <w:webHidden/>
              </w:rPr>
              <w:tab/>
            </w:r>
            <w:r w:rsidR="00A63F35">
              <w:rPr>
                <w:noProof/>
                <w:webHidden/>
              </w:rPr>
              <w:fldChar w:fldCharType="begin"/>
            </w:r>
            <w:r w:rsidR="00A63F35">
              <w:rPr>
                <w:noProof/>
                <w:webHidden/>
              </w:rPr>
              <w:instrText xml:space="preserve"> PAGEREF _Toc78131673 \h </w:instrText>
            </w:r>
            <w:r w:rsidR="00A63F35">
              <w:rPr>
                <w:noProof/>
                <w:webHidden/>
              </w:rPr>
            </w:r>
            <w:r w:rsidR="00A63F35">
              <w:rPr>
                <w:noProof/>
                <w:webHidden/>
              </w:rPr>
              <w:fldChar w:fldCharType="separate"/>
            </w:r>
            <w:r w:rsidR="009044D1">
              <w:rPr>
                <w:noProof/>
                <w:webHidden/>
              </w:rPr>
              <w:t>95</w:t>
            </w:r>
            <w:r w:rsidR="00A63F35">
              <w:rPr>
                <w:noProof/>
                <w:webHidden/>
              </w:rPr>
              <w:fldChar w:fldCharType="end"/>
            </w:r>
          </w:hyperlink>
        </w:p>
        <w:p w14:paraId="7409D3A8" w14:textId="6E89D252"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74" w:history="1">
            <w:r w:rsidR="00A63F35" w:rsidRPr="00725021">
              <w:rPr>
                <w:rStyle w:val="Lienhypertexte"/>
                <w:noProof/>
              </w:rPr>
              <w:t>1.2.</w:t>
            </w:r>
            <w:r w:rsidR="00A63F35">
              <w:rPr>
                <w:rFonts w:asciiTheme="minorHAnsi" w:eastAsiaTheme="minorEastAsia" w:hAnsiTheme="minorHAnsi"/>
                <w:noProof/>
                <w:lang w:eastAsia="fr-FR"/>
              </w:rPr>
              <w:tab/>
            </w:r>
            <w:r w:rsidR="00A63F35" w:rsidRPr="00725021">
              <w:rPr>
                <w:rStyle w:val="Lienhypertexte"/>
                <w:noProof/>
              </w:rPr>
              <w:t>D’un modèle linéaire à un modèle circulaire pour analyser la filière</w:t>
            </w:r>
            <w:r w:rsidR="00A63F35">
              <w:rPr>
                <w:noProof/>
                <w:webHidden/>
              </w:rPr>
              <w:tab/>
            </w:r>
            <w:r w:rsidR="00A63F35">
              <w:rPr>
                <w:noProof/>
                <w:webHidden/>
              </w:rPr>
              <w:fldChar w:fldCharType="begin"/>
            </w:r>
            <w:r w:rsidR="00A63F35">
              <w:rPr>
                <w:noProof/>
                <w:webHidden/>
              </w:rPr>
              <w:instrText xml:space="preserve"> PAGEREF _Toc78131674 \h </w:instrText>
            </w:r>
            <w:r w:rsidR="00A63F35">
              <w:rPr>
                <w:noProof/>
                <w:webHidden/>
              </w:rPr>
            </w:r>
            <w:r w:rsidR="00A63F35">
              <w:rPr>
                <w:noProof/>
                <w:webHidden/>
              </w:rPr>
              <w:fldChar w:fldCharType="separate"/>
            </w:r>
            <w:r w:rsidR="009044D1">
              <w:rPr>
                <w:noProof/>
                <w:webHidden/>
              </w:rPr>
              <w:t>96</w:t>
            </w:r>
            <w:r w:rsidR="00A63F35">
              <w:rPr>
                <w:noProof/>
                <w:webHidden/>
              </w:rPr>
              <w:fldChar w:fldCharType="end"/>
            </w:r>
          </w:hyperlink>
        </w:p>
        <w:p w14:paraId="3809DB47" w14:textId="6053F51D"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75" w:history="1">
            <w:r w:rsidR="00A63F35" w:rsidRPr="00725021">
              <w:rPr>
                <w:rStyle w:val="Lienhypertexte"/>
                <w:noProof/>
              </w:rPr>
              <w:t>1.3.</w:t>
            </w:r>
            <w:r w:rsidR="00A63F35">
              <w:rPr>
                <w:rFonts w:asciiTheme="minorHAnsi" w:eastAsiaTheme="minorEastAsia" w:hAnsiTheme="minorHAnsi"/>
                <w:noProof/>
                <w:lang w:eastAsia="fr-FR"/>
              </w:rPr>
              <w:tab/>
            </w:r>
            <w:r w:rsidR="00A63F35" w:rsidRPr="00725021">
              <w:rPr>
                <w:rStyle w:val="Lienhypertexte"/>
                <w:noProof/>
              </w:rPr>
              <w:t>L’écosystème retenu dans le cadre de l’étude</w:t>
            </w:r>
            <w:r w:rsidR="00A63F35">
              <w:rPr>
                <w:noProof/>
                <w:webHidden/>
              </w:rPr>
              <w:tab/>
            </w:r>
            <w:r w:rsidR="00A63F35">
              <w:rPr>
                <w:noProof/>
                <w:webHidden/>
              </w:rPr>
              <w:fldChar w:fldCharType="begin"/>
            </w:r>
            <w:r w:rsidR="00A63F35">
              <w:rPr>
                <w:noProof/>
                <w:webHidden/>
              </w:rPr>
              <w:instrText xml:space="preserve"> PAGEREF _Toc78131675 \h </w:instrText>
            </w:r>
            <w:r w:rsidR="00A63F35">
              <w:rPr>
                <w:noProof/>
                <w:webHidden/>
              </w:rPr>
            </w:r>
            <w:r w:rsidR="00A63F35">
              <w:rPr>
                <w:noProof/>
                <w:webHidden/>
              </w:rPr>
              <w:fldChar w:fldCharType="separate"/>
            </w:r>
            <w:r w:rsidR="009044D1">
              <w:rPr>
                <w:noProof/>
                <w:webHidden/>
              </w:rPr>
              <w:t>97</w:t>
            </w:r>
            <w:r w:rsidR="00A63F35">
              <w:rPr>
                <w:noProof/>
                <w:webHidden/>
              </w:rPr>
              <w:fldChar w:fldCharType="end"/>
            </w:r>
          </w:hyperlink>
        </w:p>
        <w:p w14:paraId="6D2E0762" w14:textId="2F75FD5B" w:rsidR="00A63F35" w:rsidRDefault="00000000">
          <w:pPr>
            <w:pStyle w:val="TM3"/>
            <w:tabs>
              <w:tab w:val="left" w:pos="1320"/>
            </w:tabs>
            <w:rPr>
              <w:rFonts w:asciiTheme="minorHAnsi" w:eastAsiaTheme="minorEastAsia" w:hAnsiTheme="minorHAnsi"/>
              <w:noProof/>
              <w:lang w:eastAsia="fr-FR"/>
            </w:rPr>
          </w:pPr>
          <w:hyperlink w:anchor="_Toc78131676" w:history="1">
            <w:r w:rsidR="00A63F35" w:rsidRPr="00725021">
              <w:rPr>
                <w:rStyle w:val="Lienhypertexte"/>
                <w:noProof/>
              </w:rPr>
              <w:t>1.3.1.</w:t>
            </w:r>
            <w:r w:rsidR="00A63F35">
              <w:rPr>
                <w:rFonts w:asciiTheme="minorHAnsi" w:eastAsiaTheme="minorEastAsia" w:hAnsiTheme="minorHAnsi"/>
                <w:noProof/>
                <w:lang w:eastAsia="fr-FR"/>
              </w:rPr>
              <w:tab/>
            </w:r>
            <w:r w:rsidR="00A63F35" w:rsidRPr="00725021">
              <w:rPr>
                <w:rStyle w:val="Lienhypertexte"/>
                <w:noProof/>
              </w:rPr>
              <w:t>Les produits</w:t>
            </w:r>
            <w:r w:rsidR="00A63F35">
              <w:rPr>
                <w:noProof/>
                <w:webHidden/>
              </w:rPr>
              <w:tab/>
            </w:r>
            <w:r w:rsidR="00A63F35">
              <w:rPr>
                <w:noProof/>
                <w:webHidden/>
              </w:rPr>
              <w:fldChar w:fldCharType="begin"/>
            </w:r>
            <w:r w:rsidR="00A63F35">
              <w:rPr>
                <w:noProof/>
                <w:webHidden/>
              </w:rPr>
              <w:instrText xml:space="preserve"> PAGEREF _Toc78131676 \h </w:instrText>
            </w:r>
            <w:r w:rsidR="00A63F35">
              <w:rPr>
                <w:noProof/>
                <w:webHidden/>
              </w:rPr>
            </w:r>
            <w:r w:rsidR="00A63F35">
              <w:rPr>
                <w:noProof/>
                <w:webHidden/>
              </w:rPr>
              <w:fldChar w:fldCharType="separate"/>
            </w:r>
            <w:r w:rsidR="009044D1">
              <w:rPr>
                <w:noProof/>
                <w:webHidden/>
              </w:rPr>
              <w:t>97</w:t>
            </w:r>
            <w:r w:rsidR="00A63F35">
              <w:rPr>
                <w:noProof/>
                <w:webHidden/>
              </w:rPr>
              <w:fldChar w:fldCharType="end"/>
            </w:r>
          </w:hyperlink>
        </w:p>
        <w:p w14:paraId="19DE3D94" w14:textId="3E9E09E0" w:rsidR="00A63F35" w:rsidRDefault="00000000">
          <w:pPr>
            <w:pStyle w:val="TM1"/>
            <w:tabs>
              <w:tab w:val="right" w:leader="dot" w:pos="9060"/>
            </w:tabs>
            <w:rPr>
              <w:rFonts w:asciiTheme="minorHAnsi" w:eastAsiaTheme="minorEastAsia" w:hAnsiTheme="minorHAnsi"/>
              <w:noProof/>
              <w:lang w:eastAsia="fr-FR"/>
            </w:rPr>
          </w:pPr>
          <w:hyperlink w:anchor="_Toc78131677" w:history="1">
            <w:r w:rsidR="00A63F35" w:rsidRPr="00725021">
              <w:rPr>
                <w:rStyle w:val="Lienhypertexte"/>
                <w:noProof/>
              </w:rPr>
              <w:t>2. Vers un rapprochement des données</w:t>
            </w:r>
            <w:r w:rsidR="00A63F35">
              <w:rPr>
                <w:noProof/>
                <w:webHidden/>
              </w:rPr>
              <w:tab/>
            </w:r>
            <w:r w:rsidR="00A63F35">
              <w:rPr>
                <w:noProof/>
                <w:webHidden/>
              </w:rPr>
              <w:fldChar w:fldCharType="begin"/>
            </w:r>
            <w:r w:rsidR="00A63F35">
              <w:rPr>
                <w:noProof/>
                <w:webHidden/>
              </w:rPr>
              <w:instrText xml:space="preserve"> PAGEREF _Toc78131677 \h </w:instrText>
            </w:r>
            <w:r w:rsidR="00A63F35">
              <w:rPr>
                <w:noProof/>
                <w:webHidden/>
              </w:rPr>
            </w:r>
            <w:r w:rsidR="00A63F35">
              <w:rPr>
                <w:noProof/>
                <w:webHidden/>
              </w:rPr>
              <w:fldChar w:fldCharType="separate"/>
            </w:r>
            <w:r w:rsidR="009044D1">
              <w:rPr>
                <w:noProof/>
                <w:webHidden/>
              </w:rPr>
              <w:t>101</w:t>
            </w:r>
            <w:r w:rsidR="00A63F35">
              <w:rPr>
                <w:noProof/>
                <w:webHidden/>
              </w:rPr>
              <w:fldChar w:fldCharType="end"/>
            </w:r>
          </w:hyperlink>
        </w:p>
        <w:p w14:paraId="7DED1DB8" w14:textId="4723D16C" w:rsidR="00A63F35" w:rsidRDefault="00000000">
          <w:pPr>
            <w:pStyle w:val="TM2"/>
            <w:tabs>
              <w:tab w:val="right" w:leader="dot" w:pos="9060"/>
            </w:tabs>
            <w:rPr>
              <w:rFonts w:asciiTheme="minorHAnsi" w:eastAsiaTheme="minorEastAsia" w:hAnsiTheme="minorHAnsi"/>
              <w:noProof/>
              <w:lang w:eastAsia="fr-FR"/>
            </w:rPr>
          </w:pPr>
          <w:hyperlink w:anchor="_Toc78131678" w:history="1">
            <w:r w:rsidR="00A63F35" w:rsidRPr="00725021">
              <w:rPr>
                <w:rStyle w:val="Lienhypertexte"/>
                <w:noProof/>
              </w:rPr>
              <w:t>2.1 Matrice Emploi / Ressource</w:t>
            </w:r>
            <w:r w:rsidR="00A63F35">
              <w:rPr>
                <w:noProof/>
                <w:webHidden/>
              </w:rPr>
              <w:tab/>
            </w:r>
            <w:r w:rsidR="00A63F35">
              <w:rPr>
                <w:noProof/>
                <w:webHidden/>
              </w:rPr>
              <w:fldChar w:fldCharType="begin"/>
            </w:r>
            <w:r w:rsidR="00A63F35">
              <w:rPr>
                <w:noProof/>
                <w:webHidden/>
              </w:rPr>
              <w:instrText xml:space="preserve"> PAGEREF _Toc78131678 \h </w:instrText>
            </w:r>
            <w:r w:rsidR="00A63F35">
              <w:rPr>
                <w:noProof/>
                <w:webHidden/>
              </w:rPr>
            </w:r>
            <w:r w:rsidR="00A63F35">
              <w:rPr>
                <w:noProof/>
                <w:webHidden/>
              </w:rPr>
              <w:fldChar w:fldCharType="separate"/>
            </w:r>
            <w:r w:rsidR="009044D1">
              <w:rPr>
                <w:noProof/>
                <w:webHidden/>
              </w:rPr>
              <w:t>101</w:t>
            </w:r>
            <w:r w:rsidR="00A63F35">
              <w:rPr>
                <w:noProof/>
                <w:webHidden/>
              </w:rPr>
              <w:fldChar w:fldCharType="end"/>
            </w:r>
          </w:hyperlink>
        </w:p>
        <w:p w14:paraId="0C9A1C93" w14:textId="7A979EDB" w:rsidR="00A63F35" w:rsidRDefault="00000000">
          <w:pPr>
            <w:pStyle w:val="TM3"/>
            <w:rPr>
              <w:rFonts w:asciiTheme="minorHAnsi" w:eastAsiaTheme="minorEastAsia" w:hAnsiTheme="minorHAnsi"/>
              <w:noProof/>
              <w:lang w:eastAsia="fr-FR"/>
            </w:rPr>
          </w:pPr>
          <w:hyperlink w:anchor="_Toc78131679" w:history="1">
            <w:r w:rsidR="00A63F35" w:rsidRPr="00725021">
              <w:rPr>
                <w:rStyle w:val="Lienhypertexte"/>
                <w:noProof/>
              </w:rPr>
              <w:t>2.1.1. Principe des tableaux Emploi-Ressources</w:t>
            </w:r>
            <w:r w:rsidR="00A63F35">
              <w:rPr>
                <w:noProof/>
                <w:webHidden/>
              </w:rPr>
              <w:tab/>
            </w:r>
            <w:r w:rsidR="00A63F35">
              <w:rPr>
                <w:noProof/>
                <w:webHidden/>
              </w:rPr>
              <w:fldChar w:fldCharType="begin"/>
            </w:r>
            <w:r w:rsidR="00A63F35">
              <w:rPr>
                <w:noProof/>
                <w:webHidden/>
              </w:rPr>
              <w:instrText xml:space="preserve"> PAGEREF _Toc78131679 \h </w:instrText>
            </w:r>
            <w:r w:rsidR="00A63F35">
              <w:rPr>
                <w:noProof/>
                <w:webHidden/>
              </w:rPr>
            </w:r>
            <w:r w:rsidR="00A63F35">
              <w:rPr>
                <w:noProof/>
                <w:webHidden/>
              </w:rPr>
              <w:fldChar w:fldCharType="separate"/>
            </w:r>
            <w:r w:rsidR="009044D1">
              <w:rPr>
                <w:noProof/>
                <w:webHidden/>
              </w:rPr>
              <w:t>101</w:t>
            </w:r>
            <w:r w:rsidR="00A63F35">
              <w:rPr>
                <w:noProof/>
                <w:webHidden/>
              </w:rPr>
              <w:fldChar w:fldCharType="end"/>
            </w:r>
          </w:hyperlink>
        </w:p>
        <w:p w14:paraId="0F46E947" w14:textId="4C5E4156" w:rsidR="00A63F35" w:rsidRDefault="00000000">
          <w:pPr>
            <w:pStyle w:val="TM3"/>
            <w:rPr>
              <w:rFonts w:asciiTheme="minorHAnsi" w:eastAsiaTheme="minorEastAsia" w:hAnsiTheme="minorHAnsi"/>
              <w:noProof/>
              <w:lang w:eastAsia="fr-FR"/>
            </w:rPr>
          </w:pPr>
          <w:hyperlink w:anchor="_Toc78131680" w:history="1">
            <w:r w:rsidR="00A63F35" w:rsidRPr="00725021">
              <w:rPr>
                <w:rStyle w:val="Lienhypertexte"/>
                <w:noProof/>
              </w:rPr>
              <w:t>2.1.2. Evaluation des incertitudes</w:t>
            </w:r>
            <w:r w:rsidR="00A63F35">
              <w:rPr>
                <w:noProof/>
                <w:webHidden/>
              </w:rPr>
              <w:tab/>
            </w:r>
            <w:r w:rsidR="00A63F35">
              <w:rPr>
                <w:noProof/>
                <w:webHidden/>
              </w:rPr>
              <w:fldChar w:fldCharType="begin"/>
            </w:r>
            <w:r w:rsidR="00A63F35">
              <w:rPr>
                <w:noProof/>
                <w:webHidden/>
              </w:rPr>
              <w:instrText xml:space="preserve"> PAGEREF _Toc78131680 \h </w:instrText>
            </w:r>
            <w:r w:rsidR="00A63F35">
              <w:rPr>
                <w:noProof/>
                <w:webHidden/>
              </w:rPr>
            </w:r>
            <w:r w:rsidR="00A63F35">
              <w:rPr>
                <w:noProof/>
                <w:webHidden/>
              </w:rPr>
              <w:fldChar w:fldCharType="separate"/>
            </w:r>
            <w:r w:rsidR="009044D1">
              <w:rPr>
                <w:noProof/>
                <w:webHidden/>
              </w:rPr>
              <w:t>103</w:t>
            </w:r>
            <w:r w:rsidR="00A63F35">
              <w:rPr>
                <w:noProof/>
                <w:webHidden/>
              </w:rPr>
              <w:fldChar w:fldCharType="end"/>
            </w:r>
          </w:hyperlink>
        </w:p>
        <w:p w14:paraId="2E701346" w14:textId="436A540B" w:rsidR="00A63F35" w:rsidRDefault="00000000">
          <w:pPr>
            <w:pStyle w:val="TM3"/>
            <w:rPr>
              <w:rFonts w:asciiTheme="minorHAnsi" w:eastAsiaTheme="minorEastAsia" w:hAnsiTheme="minorHAnsi"/>
              <w:noProof/>
              <w:lang w:eastAsia="fr-FR"/>
            </w:rPr>
          </w:pPr>
          <w:hyperlink w:anchor="_Toc78131681" w:history="1">
            <w:r w:rsidR="00A63F35" w:rsidRPr="00725021">
              <w:rPr>
                <w:rStyle w:val="Lienhypertexte"/>
                <w:noProof/>
              </w:rPr>
              <w:t>2.1.3. Diagrammes de Sankey</w:t>
            </w:r>
            <w:r w:rsidR="00A63F35">
              <w:rPr>
                <w:noProof/>
                <w:webHidden/>
              </w:rPr>
              <w:tab/>
            </w:r>
            <w:r w:rsidR="00A63F35">
              <w:rPr>
                <w:noProof/>
                <w:webHidden/>
              </w:rPr>
              <w:fldChar w:fldCharType="begin"/>
            </w:r>
            <w:r w:rsidR="00A63F35">
              <w:rPr>
                <w:noProof/>
                <w:webHidden/>
              </w:rPr>
              <w:instrText xml:space="preserve"> PAGEREF _Toc78131681 \h </w:instrText>
            </w:r>
            <w:r w:rsidR="00A63F35">
              <w:rPr>
                <w:noProof/>
                <w:webHidden/>
              </w:rPr>
            </w:r>
            <w:r w:rsidR="00A63F35">
              <w:rPr>
                <w:noProof/>
                <w:webHidden/>
              </w:rPr>
              <w:fldChar w:fldCharType="separate"/>
            </w:r>
            <w:r w:rsidR="009044D1">
              <w:rPr>
                <w:noProof/>
                <w:webHidden/>
              </w:rPr>
              <w:t>103</w:t>
            </w:r>
            <w:r w:rsidR="00A63F35">
              <w:rPr>
                <w:noProof/>
                <w:webHidden/>
              </w:rPr>
              <w:fldChar w:fldCharType="end"/>
            </w:r>
          </w:hyperlink>
        </w:p>
        <w:p w14:paraId="1CA02D0A" w14:textId="1B6EBB4A"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82" w:history="1">
            <w:r w:rsidR="00A63F35" w:rsidRPr="00725021">
              <w:rPr>
                <w:rStyle w:val="Lienhypertexte"/>
                <w:noProof/>
              </w:rPr>
              <w:t>2.2.</w:t>
            </w:r>
            <w:r w:rsidR="00A63F35">
              <w:rPr>
                <w:rFonts w:asciiTheme="minorHAnsi" w:eastAsiaTheme="minorEastAsia" w:hAnsiTheme="minorHAnsi"/>
                <w:noProof/>
                <w:lang w:eastAsia="fr-FR"/>
              </w:rPr>
              <w:tab/>
            </w:r>
            <w:r w:rsidR="00A63F35" w:rsidRPr="00725021">
              <w:rPr>
                <w:rStyle w:val="Lienhypertexte"/>
                <w:noProof/>
              </w:rPr>
              <w:t>Analyse des flux à partir de la pièce primaire de jambon :</w:t>
            </w:r>
            <w:r w:rsidR="00A63F35">
              <w:rPr>
                <w:noProof/>
                <w:webHidden/>
              </w:rPr>
              <w:tab/>
            </w:r>
            <w:r w:rsidR="00A63F35">
              <w:rPr>
                <w:noProof/>
                <w:webHidden/>
              </w:rPr>
              <w:fldChar w:fldCharType="begin"/>
            </w:r>
            <w:r w:rsidR="00A63F35">
              <w:rPr>
                <w:noProof/>
                <w:webHidden/>
              </w:rPr>
              <w:instrText xml:space="preserve"> PAGEREF _Toc78131682 \h </w:instrText>
            </w:r>
            <w:r w:rsidR="00A63F35">
              <w:rPr>
                <w:noProof/>
                <w:webHidden/>
              </w:rPr>
            </w:r>
            <w:r w:rsidR="00A63F35">
              <w:rPr>
                <w:noProof/>
                <w:webHidden/>
              </w:rPr>
              <w:fldChar w:fldCharType="separate"/>
            </w:r>
            <w:r w:rsidR="009044D1">
              <w:rPr>
                <w:noProof/>
                <w:webHidden/>
              </w:rPr>
              <w:t>103</w:t>
            </w:r>
            <w:r w:rsidR="00A63F35">
              <w:rPr>
                <w:noProof/>
                <w:webHidden/>
              </w:rPr>
              <w:fldChar w:fldCharType="end"/>
            </w:r>
          </w:hyperlink>
        </w:p>
        <w:p w14:paraId="47EC8C7C" w14:textId="225D9007" w:rsidR="00A63F35" w:rsidRDefault="00000000">
          <w:pPr>
            <w:pStyle w:val="TM3"/>
            <w:rPr>
              <w:rFonts w:asciiTheme="minorHAnsi" w:eastAsiaTheme="minorEastAsia" w:hAnsiTheme="minorHAnsi"/>
              <w:noProof/>
              <w:lang w:eastAsia="fr-FR"/>
            </w:rPr>
          </w:pPr>
          <w:hyperlink w:anchor="_Toc78131683" w:history="1">
            <w:r w:rsidR="00A63F35" w:rsidRPr="00725021">
              <w:rPr>
                <w:rStyle w:val="Lienhypertexte"/>
                <w:noProof/>
              </w:rPr>
              <w:t>2.2.1. Destination des pièces issues de la carcasse en équivalent pièces primaires</w:t>
            </w:r>
            <w:r w:rsidR="00A63F35">
              <w:rPr>
                <w:noProof/>
                <w:webHidden/>
              </w:rPr>
              <w:tab/>
            </w:r>
            <w:r w:rsidR="00A63F35">
              <w:rPr>
                <w:noProof/>
                <w:webHidden/>
              </w:rPr>
              <w:fldChar w:fldCharType="begin"/>
            </w:r>
            <w:r w:rsidR="00A63F35">
              <w:rPr>
                <w:noProof/>
                <w:webHidden/>
              </w:rPr>
              <w:instrText xml:space="preserve"> PAGEREF _Toc78131683 \h </w:instrText>
            </w:r>
            <w:r w:rsidR="00A63F35">
              <w:rPr>
                <w:noProof/>
                <w:webHidden/>
              </w:rPr>
            </w:r>
            <w:r w:rsidR="00A63F35">
              <w:rPr>
                <w:noProof/>
                <w:webHidden/>
              </w:rPr>
              <w:fldChar w:fldCharType="separate"/>
            </w:r>
            <w:r w:rsidR="009044D1">
              <w:rPr>
                <w:noProof/>
                <w:webHidden/>
              </w:rPr>
              <w:t>103</w:t>
            </w:r>
            <w:r w:rsidR="00A63F35">
              <w:rPr>
                <w:noProof/>
                <w:webHidden/>
              </w:rPr>
              <w:fldChar w:fldCharType="end"/>
            </w:r>
          </w:hyperlink>
        </w:p>
        <w:p w14:paraId="58D63F32" w14:textId="7D67E6B5" w:rsidR="00A63F35" w:rsidRDefault="00000000">
          <w:pPr>
            <w:pStyle w:val="TM3"/>
            <w:rPr>
              <w:rFonts w:asciiTheme="minorHAnsi" w:eastAsiaTheme="minorEastAsia" w:hAnsiTheme="minorHAnsi"/>
              <w:noProof/>
              <w:lang w:eastAsia="fr-FR"/>
            </w:rPr>
          </w:pPr>
          <w:hyperlink w:anchor="_Toc78131684" w:history="1">
            <w:r w:rsidR="00A63F35" w:rsidRPr="00725021">
              <w:rPr>
                <w:rStyle w:val="Lienhypertexte"/>
                <w:noProof/>
              </w:rPr>
              <w:t>2.2.2. Destination pièces parées, muscles parés (eq. pièces secondaires)</w:t>
            </w:r>
            <w:r w:rsidR="00A63F35">
              <w:rPr>
                <w:noProof/>
                <w:webHidden/>
              </w:rPr>
              <w:tab/>
            </w:r>
            <w:r w:rsidR="00A63F35">
              <w:rPr>
                <w:noProof/>
                <w:webHidden/>
              </w:rPr>
              <w:fldChar w:fldCharType="begin"/>
            </w:r>
            <w:r w:rsidR="00A63F35">
              <w:rPr>
                <w:noProof/>
                <w:webHidden/>
              </w:rPr>
              <w:instrText xml:space="preserve"> PAGEREF _Toc78131684 \h </w:instrText>
            </w:r>
            <w:r w:rsidR="00A63F35">
              <w:rPr>
                <w:noProof/>
                <w:webHidden/>
              </w:rPr>
            </w:r>
            <w:r w:rsidR="00A63F35">
              <w:rPr>
                <w:noProof/>
                <w:webHidden/>
              </w:rPr>
              <w:fldChar w:fldCharType="separate"/>
            </w:r>
            <w:r w:rsidR="009044D1">
              <w:rPr>
                <w:noProof/>
                <w:webHidden/>
              </w:rPr>
              <w:t>104</w:t>
            </w:r>
            <w:r w:rsidR="00A63F35">
              <w:rPr>
                <w:noProof/>
                <w:webHidden/>
              </w:rPr>
              <w:fldChar w:fldCharType="end"/>
            </w:r>
          </w:hyperlink>
        </w:p>
        <w:p w14:paraId="2E434C50" w14:textId="700CD07B" w:rsidR="00A63F35" w:rsidRDefault="00000000">
          <w:pPr>
            <w:pStyle w:val="TM3"/>
            <w:rPr>
              <w:rFonts w:asciiTheme="minorHAnsi" w:eastAsiaTheme="minorEastAsia" w:hAnsiTheme="minorHAnsi"/>
              <w:noProof/>
              <w:lang w:eastAsia="fr-FR"/>
            </w:rPr>
          </w:pPr>
          <w:hyperlink w:anchor="_Toc78131685" w:history="1">
            <w:r w:rsidR="00A63F35" w:rsidRPr="00725021">
              <w:rPr>
                <w:rStyle w:val="Lienhypertexte"/>
                <w:noProof/>
              </w:rPr>
              <w:t>2.2.3. Destination</w:t>
            </w:r>
            <w:r w:rsidR="00A63F35" w:rsidRPr="00725021">
              <w:rPr>
                <w:rStyle w:val="Lienhypertexte"/>
                <w:noProof/>
                <w:lang w:val="fr-CA"/>
              </w:rPr>
              <w:t xml:space="preserve"> </w:t>
            </w:r>
            <w:r w:rsidR="00A63F35" w:rsidRPr="00725021">
              <w:rPr>
                <w:rStyle w:val="Lienhypertexte"/>
                <w:noProof/>
              </w:rPr>
              <w:t>des pièces parées vers la viande fraîche ou la salaison cuite ou sèche</w:t>
            </w:r>
            <w:r w:rsidR="00A63F35">
              <w:rPr>
                <w:noProof/>
                <w:webHidden/>
              </w:rPr>
              <w:tab/>
            </w:r>
            <w:r w:rsidR="00A63F35">
              <w:rPr>
                <w:noProof/>
                <w:webHidden/>
              </w:rPr>
              <w:fldChar w:fldCharType="begin"/>
            </w:r>
            <w:r w:rsidR="00A63F35">
              <w:rPr>
                <w:noProof/>
                <w:webHidden/>
              </w:rPr>
              <w:instrText xml:space="preserve"> PAGEREF _Toc78131685 \h </w:instrText>
            </w:r>
            <w:r w:rsidR="00A63F35">
              <w:rPr>
                <w:noProof/>
                <w:webHidden/>
              </w:rPr>
            </w:r>
            <w:r w:rsidR="00A63F35">
              <w:rPr>
                <w:noProof/>
                <w:webHidden/>
              </w:rPr>
              <w:fldChar w:fldCharType="separate"/>
            </w:r>
            <w:r w:rsidR="009044D1">
              <w:rPr>
                <w:noProof/>
                <w:webHidden/>
              </w:rPr>
              <w:t>105</w:t>
            </w:r>
            <w:r w:rsidR="00A63F35">
              <w:rPr>
                <w:noProof/>
                <w:webHidden/>
              </w:rPr>
              <w:fldChar w:fldCharType="end"/>
            </w:r>
          </w:hyperlink>
        </w:p>
        <w:p w14:paraId="66D36929" w14:textId="5EBEE9D0" w:rsidR="00A63F35" w:rsidRDefault="00000000">
          <w:pPr>
            <w:pStyle w:val="TM3"/>
            <w:rPr>
              <w:rFonts w:asciiTheme="minorHAnsi" w:eastAsiaTheme="minorEastAsia" w:hAnsiTheme="minorHAnsi"/>
              <w:noProof/>
              <w:lang w:eastAsia="fr-FR"/>
            </w:rPr>
          </w:pPr>
          <w:hyperlink w:anchor="_Toc78131686" w:history="1">
            <w:r w:rsidR="00A63F35" w:rsidRPr="00725021">
              <w:rPr>
                <w:rStyle w:val="Lienhypertexte"/>
                <w:noProof/>
              </w:rPr>
              <w:t>2.2.4. Destination des pièces traitées en salaison cuite ou sèche</w:t>
            </w:r>
            <w:r w:rsidR="00A63F35">
              <w:rPr>
                <w:noProof/>
                <w:webHidden/>
              </w:rPr>
              <w:tab/>
            </w:r>
            <w:r w:rsidR="00A63F35">
              <w:rPr>
                <w:noProof/>
                <w:webHidden/>
              </w:rPr>
              <w:fldChar w:fldCharType="begin"/>
            </w:r>
            <w:r w:rsidR="00A63F35">
              <w:rPr>
                <w:noProof/>
                <w:webHidden/>
              </w:rPr>
              <w:instrText xml:space="preserve"> PAGEREF _Toc78131686 \h </w:instrText>
            </w:r>
            <w:r w:rsidR="00A63F35">
              <w:rPr>
                <w:noProof/>
                <w:webHidden/>
              </w:rPr>
            </w:r>
            <w:r w:rsidR="00A63F35">
              <w:rPr>
                <w:noProof/>
                <w:webHidden/>
              </w:rPr>
              <w:fldChar w:fldCharType="separate"/>
            </w:r>
            <w:r w:rsidR="009044D1">
              <w:rPr>
                <w:noProof/>
                <w:webHidden/>
              </w:rPr>
              <w:t>106</w:t>
            </w:r>
            <w:r w:rsidR="00A63F35">
              <w:rPr>
                <w:noProof/>
                <w:webHidden/>
              </w:rPr>
              <w:fldChar w:fldCharType="end"/>
            </w:r>
          </w:hyperlink>
        </w:p>
        <w:p w14:paraId="57762A67" w14:textId="0D1BF2F3" w:rsidR="00A63F35" w:rsidRDefault="00000000">
          <w:pPr>
            <w:pStyle w:val="TM3"/>
            <w:rPr>
              <w:rFonts w:asciiTheme="minorHAnsi" w:eastAsiaTheme="minorEastAsia" w:hAnsiTheme="minorHAnsi"/>
              <w:noProof/>
              <w:lang w:eastAsia="fr-FR"/>
            </w:rPr>
          </w:pPr>
          <w:hyperlink w:anchor="_Toc78131687" w:history="1">
            <w:r w:rsidR="00A63F35" w:rsidRPr="00725021">
              <w:rPr>
                <w:rStyle w:val="Lienhypertexte"/>
                <w:noProof/>
              </w:rPr>
              <w:t>2.2.5. Représentation des flux en jambon au travers du diagramme de Sankey</w:t>
            </w:r>
            <w:r w:rsidR="00A63F35">
              <w:rPr>
                <w:noProof/>
                <w:webHidden/>
              </w:rPr>
              <w:tab/>
            </w:r>
            <w:r w:rsidR="00A63F35">
              <w:rPr>
                <w:noProof/>
                <w:webHidden/>
              </w:rPr>
              <w:fldChar w:fldCharType="begin"/>
            </w:r>
            <w:r w:rsidR="00A63F35">
              <w:rPr>
                <w:noProof/>
                <w:webHidden/>
              </w:rPr>
              <w:instrText xml:space="preserve"> PAGEREF _Toc78131687 \h </w:instrText>
            </w:r>
            <w:r w:rsidR="00A63F35">
              <w:rPr>
                <w:noProof/>
                <w:webHidden/>
              </w:rPr>
            </w:r>
            <w:r w:rsidR="00A63F35">
              <w:rPr>
                <w:noProof/>
                <w:webHidden/>
              </w:rPr>
              <w:fldChar w:fldCharType="separate"/>
            </w:r>
            <w:r w:rsidR="009044D1">
              <w:rPr>
                <w:noProof/>
                <w:webHidden/>
              </w:rPr>
              <w:t>107</w:t>
            </w:r>
            <w:r w:rsidR="00A63F35">
              <w:rPr>
                <w:noProof/>
                <w:webHidden/>
              </w:rPr>
              <w:fldChar w:fldCharType="end"/>
            </w:r>
          </w:hyperlink>
        </w:p>
        <w:p w14:paraId="6B458975" w14:textId="08727C4F" w:rsidR="00A63F35" w:rsidRDefault="00000000">
          <w:pPr>
            <w:pStyle w:val="TM2"/>
            <w:tabs>
              <w:tab w:val="left" w:pos="880"/>
              <w:tab w:val="right" w:leader="dot" w:pos="9060"/>
            </w:tabs>
            <w:rPr>
              <w:rFonts w:asciiTheme="minorHAnsi" w:eastAsiaTheme="minorEastAsia" w:hAnsiTheme="minorHAnsi"/>
              <w:noProof/>
              <w:lang w:eastAsia="fr-FR"/>
            </w:rPr>
          </w:pPr>
          <w:hyperlink w:anchor="_Toc78131688" w:history="1">
            <w:r w:rsidR="00A63F35" w:rsidRPr="00725021">
              <w:rPr>
                <w:rStyle w:val="Lienhypertexte"/>
                <w:noProof/>
              </w:rPr>
              <w:t>2.3.</w:t>
            </w:r>
            <w:r w:rsidR="00A63F35">
              <w:rPr>
                <w:rFonts w:asciiTheme="minorHAnsi" w:eastAsiaTheme="minorEastAsia" w:hAnsiTheme="minorHAnsi"/>
                <w:noProof/>
                <w:lang w:eastAsia="fr-FR"/>
              </w:rPr>
              <w:tab/>
            </w:r>
            <w:r w:rsidR="00A63F35" w:rsidRPr="00725021">
              <w:rPr>
                <w:rStyle w:val="Lienhypertexte"/>
                <w:noProof/>
              </w:rPr>
              <w:t>Analyse des flux à partir de la pièce primaire d’épaule</w:t>
            </w:r>
            <w:r w:rsidR="00A63F35">
              <w:rPr>
                <w:noProof/>
                <w:webHidden/>
              </w:rPr>
              <w:tab/>
            </w:r>
            <w:r w:rsidR="00A63F35">
              <w:rPr>
                <w:noProof/>
                <w:webHidden/>
              </w:rPr>
              <w:fldChar w:fldCharType="begin"/>
            </w:r>
            <w:r w:rsidR="00A63F35">
              <w:rPr>
                <w:noProof/>
                <w:webHidden/>
              </w:rPr>
              <w:instrText xml:space="preserve"> PAGEREF _Toc78131688 \h </w:instrText>
            </w:r>
            <w:r w:rsidR="00A63F35">
              <w:rPr>
                <w:noProof/>
                <w:webHidden/>
              </w:rPr>
            </w:r>
            <w:r w:rsidR="00A63F35">
              <w:rPr>
                <w:noProof/>
                <w:webHidden/>
              </w:rPr>
              <w:fldChar w:fldCharType="separate"/>
            </w:r>
            <w:r w:rsidR="009044D1">
              <w:rPr>
                <w:noProof/>
                <w:webHidden/>
              </w:rPr>
              <w:t>109</w:t>
            </w:r>
            <w:r w:rsidR="00A63F35">
              <w:rPr>
                <w:noProof/>
                <w:webHidden/>
              </w:rPr>
              <w:fldChar w:fldCharType="end"/>
            </w:r>
          </w:hyperlink>
        </w:p>
        <w:p w14:paraId="65B737C0" w14:textId="07BE959D" w:rsidR="00A63F35" w:rsidRDefault="00000000">
          <w:pPr>
            <w:pStyle w:val="TM3"/>
            <w:rPr>
              <w:rFonts w:asciiTheme="minorHAnsi" w:eastAsiaTheme="minorEastAsia" w:hAnsiTheme="minorHAnsi"/>
              <w:noProof/>
              <w:lang w:eastAsia="fr-FR"/>
            </w:rPr>
          </w:pPr>
          <w:hyperlink w:anchor="_Toc78131689" w:history="1">
            <w:r w:rsidR="00A63F35" w:rsidRPr="00725021">
              <w:rPr>
                <w:rStyle w:val="Lienhypertexte"/>
                <w:noProof/>
              </w:rPr>
              <w:t>2.3.1. Destination des pièces issues de la carcasse en équivalent pièces primaires</w:t>
            </w:r>
            <w:r w:rsidR="00A63F35">
              <w:rPr>
                <w:noProof/>
                <w:webHidden/>
              </w:rPr>
              <w:tab/>
            </w:r>
            <w:r w:rsidR="00A63F35">
              <w:rPr>
                <w:noProof/>
                <w:webHidden/>
              </w:rPr>
              <w:fldChar w:fldCharType="begin"/>
            </w:r>
            <w:r w:rsidR="00A63F35">
              <w:rPr>
                <w:noProof/>
                <w:webHidden/>
              </w:rPr>
              <w:instrText xml:space="preserve"> PAGEREF _Toc78131689 \h </w:instrText>
            </w:r>
            <w:r w:rsidR="00A63F35">
              <w:rPr>
                <w:noProof/>
                <w:webHidden/>
              </w:rPr>
            </w:r>
            <w:r w:rsidR="00A63F35">
              <w:rPr>
                <w:noProof/>
                <w:webHidden/>
              </w:rPr>
              <w:fldChar w:fldCharType="separate"/>
            </w:r>
            <w:r w:rsidR="009044D1">
              <w:rPr>
                <w:noProof/>
                <w:webHidden/>
              </w:rPr>
              <w:t>109</w:t>
            </w:r>
            <w:r w:rsidR="00A63F35">
              <w:rPr>
                <w:noProof/>
                <w:webHidden/>
              </w:rPr>
              <w:fldChar w:fldCharType="end"/>
            </w:r>
          </w:hyperlink>
        </w:p>
        <w:p w14:paraId="40E2B078" w14:textId="5B4748B9" w:rsidR="00A63F35" w:rsidRDefault="00000000">
          <w:pPr>
            <w:pStyle w:val="TM3"/>
            <w:rPr>
              <w:rFonts w:asciiTheme="minorHAnsi" w:eastAsiaTheme="minorEastAsia" w:hAnsiTheme="minorHAnsi"/>
              <w:noProof/>
              <w:lang w:eastAsia="fr-FR"/>
            </w:rPr>
          </w:pPr>
          <w:hyperlink w:anchor="_Toc78131690" w:history="1">
            <w:r w:rsidR="00A63F35" w:rsidRPr="00725021">
              <w:rPr>
                <w:rStyle w:val="Lienhypertexte"/>
                <w:noProof/>
              </w:rPr>
              <w:t>2.3.2. Destination des pièces parées, muscles parés (eq. pièces secondaires)</w:t>
            </w:r>
            <w:r w:rsidR="00A63F35">
              <w:rPr>
                <w:noProof/>
                <w:webHidden/>
              </w:rPr>
              <w:tab/>
            </w:r>
            <w:r w:rsidR="00A63F35">
              <w:rPr>
                <w:noProof/>
                <w:webHidden/>
              </w:rPr>
              <w:fldChar w:fldCharType="begin"/>
            </w:r>
            <w:r w:rsidR="00A63F35">
              <w:rPr>
                <w:noProof/>
                <w:webHidden/>
              </w:rPr>
              <w:instrText xml:space="preserve"> PAGEREF _Toc78131690 \h </w:instrText>
            </w:r>
            <w:r w:rsidR="00A63F35">
              <w:rPr>
                <w:noProof/>
                <w:webHidden/>
              </w:rPr>
            </w:r>
            <w:r w:rsidR="00A63F35">
              <w:rPr>
                <w:noProof/>
                <w:webHidden/>
              </w:rPr>
              <w:fldChar w:fldCharType="separate"/>
            </w:r>
            <w:r w:rsidR="009044D1">
              <w:rPr>
                <w:noProof/>
                <w:webHidden/>
              </w:rPr>
              <w:t>109</w:t>
            </w:r>
            <w:r w:rsidR="00A63F35">
              <w:rPr>
                <w:noProof/>
                <w:webHidden/>
              </w:rPr>
              <w:fldChar w:fldCharType="end"/>
            </w:r>
          </w:hyperlink>
        </w:p>
        <w:p w14:paraId="5398BEC3" w14:textId="7F3F6F2B" w:rsidR="00A63F35" w:rsidRDefault="00000000">
          <w:pPr>
            <w:pStyle w:val="TM3"/>
            <w:rPr>
              <w:rFonts w:asciiTheme="minorHAnsi" w:eastAsiaTheme="minorEastAsia" w:hAnsiTheme="minorHAnsi"/>
              <w:noProof/>
              <w:lang w:eastAsia="fr-FR"/>
            </w:rPr>
          </w:pPr>
          <w:hyperlink w:anchor="_Toc78131691" w:history="1">
            <w:r w:rsidR="00A63F35" w:rsidRPr="00725021">
              <w:rPr>
                <w:rStyle w:val="Lienhypertexte"/>
                <w:noProof/>
              </w:rPr>
              <w:t>2.3.3. Destination pièces saumurées, salées, séchées ou pièces crues</w:t>
            </w:r>
            <w:r w:rsidR="00A63F35">
              <w:rPr>
                <w:noProof/>
                <w:webHidden/>
              </w:rPr>
              <w:tab/>
            </w:r>
            <w:r w:rsidR="00A63F35">
              <w:rPr>
                <w:noProof/>
                <w:webHidden/>
              </w:rPr>
              <w:fldChar w:fldCharType="begin"/>
            </w:r>
            <w:r w:rsidR="00A63F35">
              <w:rPr>
                <w:noProof/>
                <w:webHidden/>
              </w:rPr>
              <w:instrText xml:space="preserve"> PAGEREF _Toc78131691 \h </w:instrText>
            </w:r>
            <w:r w:rsidR="00A63F35">
              <w:rPr>
                <w:noProof/>
                <w:webHidden/>
              </w:rPr>
            </w:r>
            <w:r w:rsidR="00A63F35">
              <w:rPr>
                <w:noProof/>
                <w:webHidden/>
              </w:rPr>
              <w:fldChar w:fldCharType="separate"/>
            </w:r>
            <w:r w:rsidR="009044D1">
              <w:rPr>
                <w:noProof/>
                <w:webHidden/>
              </w:rPr>
              <w:t>110</w:t>
            </w:r>
            <w:r w:rsidR="00A63F35">
              <w:rPr>
                <w:noProof/>
                <w:webHidden/>
              </w:rPr>
              <w:fldChar w:fldCharType="end"/>
            </w:r>
          </w:hyperlink>
        </w:p>
        <w:p w14:paraId="25DB3082" w14:textId="625AEA0A" w:rsidR="00A63F35" w:rsidRDefault="00000000">
          <w:pPr>
            <w:pStyle w:val="TM3"/>
            <w:rPr>
              <w:rFonts w:asciiTheme="minorHAnsi" w:eastAsiaTheme="minorEastAsia" w:hAnsiTheme="minorHAnsi"/>
              <w:noProof/>
              <w:lang w:eastAsia="fr-FR"/>
            </w:rPr>
          </w:pPr>
          <w:hyperlink w:anchor="_Toc78131692" w:history="1">
            <w:r w:rsidR="00A63F35" w:rsidRPr="00725021">
              <w:rPr>
                <w:rStyle w:val="Lienhypertexte"/>
                <w:noProof/>
              </w:rPr>
              <w:t>2.3.4. Destination des pièces traitées en salaison cuite ou séchée</w:t>
            </w:r>
            <w:r w:rsidR="00A63F35">
              <w:rPr>
                <w:noProof/>
                <w:webHidden/>
              </w:rPr>
              <w:tab/>
            </w:r>
            <w:r w:rsidR="00A63F35">
              <w:rPr>
                <w:noProof/>
                <w:webHidden/>
              </w:rPr>
              <w:fldChar w:fldCharType="begin"/>
            </w:r>
            <w:r w:rsidR="00A63F35">
              <w:rPr>
                <w:noProof/>
                <w:webHidden/>
              </w:rPr>
              <w:instrText xml:space="preserve"> PAGEREF _Toc78131692 \h </w:instrText>
            </w:r>
            <w:r w:rsidR="00A63F35">
              <w:rPr>
                <w:noProof/>
                <w:webHidden/>
              </w:rPr>
            </w:r>
            <w:r w:rsidR="00A63F35">
              <w:rPr>
                <w:noProof/>
                <w:webHidden/>
              </w:rPr>
              <w:fldChar w:fldCharType="separate"/>
            </w:r>
            <w:r w:rsidR="009044D1">
              <w:rPr>
                <w:noProof/>
                <w:webHidden/>
              </w:rPr>
              <w:t>111</w:t>
            </w:r>
            <w:r w:rsidR="00A63F35">
              <w:rPr>
                <w:noProof/>
                <w:webHidden/>
              </w:rPr>
              <w:fldChar w:fldCharType="end"/>
            </w:r>
          </w:hyperlink>
        </w:p>
        <w:p w14:paraId="64E0B3C1" w14:textId="1C30E94E" w:rsidR="00A63F35" w:rsidRDefault="00000000">
          <w:pPr>
            <w:pStyle w:val="TM3"/>
            <w:rPr>
              <w:rFonts w:asciiTheme="minorHAnsi" w:eastAsiaTheme="minorEastAsia" w:hAnsiTheme="minorHAnsi"/>
              <w:noProof/>
              <w:lang w:eastAsia="fr-FR"/>
            </w:rPr>
          </w:pPr>
          <w:hyperlink w:anchor="_Toc78131693" w:history="1">
            <w:r w:rsidR="00A63F35" w:rsidRPr="00725021">
              <w:rPr>
                <w:rStyle w:val="Lienhypertexte"/>
                <w:noProof/>
              </w:rPr>
              <w:t>2.3.5. Représentation des flux d’épaule au travers du diagramme de Sankey</w:t>
            </w:r>
            <w:r w:rsidR="00A63F35">
              <w:rPr>
                <w:noProof/>
                <w:webHidden/>
              </w:rPr>
              <w:tab/>
            </w:r>
            <w:r w:rsidR="00A63F35">
              <w:rPr>
                <w:noProof/>
                <w:webHidden/>
              </w:rPr>
              <w:fldChar w:fldCharType="begin"/>
            </w:r>
            <w:r w:rsidR="00A63F35">
              <w:rPr>
                <w:noProof/>
                <w:webHidden/>
              </w:rPr>
              <w:instrText xml:space="preserve"> PAGEREF _Toc78131693 \h </w:instrText>
            </w:r>
            <w:r w:rsidR="00A63F35">
              <w:rPr>
                <w:noProof/>
                <w:webHidden/>
              </w:rPr>
            </w:r>
            <w:r w:rsidR="00A63F35">
              <w:rPr>
                <w:noProof/>
                <w:webHidden/>
              </w:rPr>
              <w:fldChar w:fldCharType="separate"/>
            </w:r>
            <w:r w:rsidR="009044D1">
              <w:rPr>
                <w:noProof/>
                <w:webHidden/>
              </w:rPr>
              <w:t>112</w:t>
            </w:r>
            <w:r w:rsidR="00A63F35">
              <w:rPr>
                <w:noProof/>
                <w:webHidden/>
              </w:rPr>
              <w:fldChar w:fldCharType="end"/>
            </w:r>
          </w:hyperlink>
        </w:p>
        <w:p w14:paraId="1B5CECB9" w14:textId="01C3D62C" w:rsidR="00A63F35" w:rsidRDefault="00000000">
          <w:pPr>
            <w:pStyle w:val="TM2"/>
            <w:tabs>
              <w:tab w:val="right" w:leader="dot" w:pos="9060"/>
            </w:tabs>
            <w:rPr>
              <w:rFonts w:asciiTheme="minorHAnsi" w:eastAsiaTheme="minorEastAsia" w:hAnsiTheme="minorHAnsi"/>
              <w:noProof/>
              <w:lang w:eastAsia="fr-FR"/>
            </w:rPr>
          </w:pPr>
          <w:hyperlink w:anchor="_Toc78131694" w:history="1">
            <w:r w:rsidR="00A63F35" w:rsidRPr="00725021">
              <w:rPr>
                <w:rStyle w:val="Lienhypertexte"/>
                <w:noProof/>
              </w:rPr>
              <w:t>2.4. Analyse des flux de la poitrine</w:t>
            </w:r>
            <w:r w:rsidR="00A63F35">
              <w:rPr>
                <w:noProof/>
                <w:webHidden/>
              </w:rPr>
              <w:tab/>
            </w:r>
            <w:r w:rsidR="00A63F35">
              <w:rPr>
                <w:noProof/>
                <w:webHidden/>
              </w:rPr>
              <w:fldChar w:fldCharType="begin"/>
            </w:r>
            <w:r w:rsidR="00A63F35">
              <w:rPr>
                <w:noProof/>
                <w:webHidden/>
              </w:rPr>
              <w:instrText xml:space="preserve"> PAGEREF _Toc78131694 \h </w:instrText>
            </w:r>
            <w:r w:rsidR="00A63F35">
              <w:rPr>
                <w:noProof/>
                <w:webHidden/>
              </w:rPr>
            </w:r>
            <w:r w:rsidR="00A63F35">
              <w:rPr>
                <w:noProof/>
                <w:webHidden/>
              </w:rPr>
              <w:fldChar w:fldCharType="separate"/>
            </w:r>
            <w:r w:rsidR="009044D1">
              <w:rPr>
                <w:noProof/>
                <w:webHidden/>
              </w:rPr>
              <w:t>114</w:t>
            </w:r>
            <w:r w:rsidR="00A63F35">
              <w:rPr>
                <w:noProof/>
                <w:webHidden/>
              </w:rPr>
              <w:fldChar w:fldCharType="end"/>
            </w:r>
          </w:hyperlink>
        </w:p>
        <w:p w14:paraId="56F2477A" w14:textId="698AE066" w:rsidR="00A63F35" w:rsidRDefault="00000000">
          <w:pPr>
            <w:pStyle w:val="TM3"/>
            <w:rPr>
              <w:rFonts w:asciiTheme="minorHAnsi" w:eastAsiaTheme="minorEastAsia" w:hAnsiTheme="minorHAnsi"/>
              <w:noProof/>
              <w:lang w:eastAsia="fr-FR"/>
            </w:rPr>
          </w:pPr>
          <w:hyperlink w:anchor="_Toc78131695" w:history="1">
            <w:r w:rsidR="00A63F35" w:rsidRPr="00725021">
              <w:rPr>
                <w:rStyle w:val="Lienhypertexte"/>
                <w:noProof/>
              </w:rPr>
              <w:t>2.4.1. Destination des pièces issues de la carcasse en poitrine équivalent pièce primaire</w:t>
            </w:r>
            <w:r w:rsidR="00A63F35">
              <w:rPr>
                <w:noProof/>
                <w:webHidden/>
              </w:rPr>
              <w:tab/>
            </w:r>
            <w:r w:rsidR="00A63F35">
              <w:rPr>
                <w:noProof/>
                <w:webHidden/>
              </w:rPr>
              <w:fldChar w:fldCharType="begin"/>
            </w:r>
            <w:r w:rsidR="00A63F35">
              <w:rPr>
                <w:noProof/>
                <w:webHidden/>
              </w:rPr>
              <w:instrText xml:space="preserve"> PAGEREF _Toc78131695 \h </w:instrText>
            </w:r>
            <w:r w:rsidR="00A63F35">
              <w:rPr>
                <w:noProof/>
                <w:webHidden/>
              </w:rPr>
            </w:r>
            <w:r w:rsidR="00A63F35">
              <w:rPr>
                <w:noProof/>
                <w:webHidden/>
              </w:rPr>
              <w:fldChar w:fldCharType="separate"/>
            </w:r>
            <w:r w:rsidR="009044D1">
              <w:rPr>
                <w:noProof/>
                <w:webHidden/>
              </w:rPr>
              <w:t>114</w:t>
            </w:r>
            <w:r w:rsidR="00A63F35">
              <w:rPr>
                <w:noProof/>
                <w:webHidden/>
              </w:rPr>
              <w:fldChar w:fldCharType="end"/>
            </w:r>
          </w:hyperlink>
        </w:p>
        <w:p w14:paraId="27ACFE18" w14:textId="03297640" w:rsidR="00A63F35" w:rsidRDefault="00000000">
          <w:pPr>
            <w:pStyle w:val="TM3"/>
            <w:rPr>
              <w:rFonts w:asciiTheme="minorHAnsi" w:eastAsiaTheme="minorEastAsia" w:hAnsiTheme="minorHAnsi"/>
              <w:noProof/>
              <w:lang w:eastAsia="fr-FR"/>
            </w:rPr>
          </w:pPr>
          <w:hyperlink w:anchor="_Toc78131696" w:history="1">
            <w:r w:rsidR="00A63F35" w:rsidRPr="00725021">
              <w:rPr>
                <w:rStyle w:val="Lienhypertexte"/>
                <w:noProof/>
              </w:rPr>
              <w:t>2.4.2. Destination des pièces parées, muscles parés (équivalent pièces secondaires)</w:t>
            </w:r>
            <w:r w:rsidR="00A63F35">
              <w:rPr>
                <w:noProof/>
                <w:webHidden/>
              </w:rPr>
              <w:tab/>
            </w:r>
            <w:r w:rsidR="00A63F35">
              <w:rPr>
                <w:noProof/>
                <w:webHidden/>
              </w:rPr>
              <w:fldChar w:fldCharType="begin"/>
            </w:r>
            <w:r w:rsidR="00A63F35">
              <w:rPr>
                <w:noProof/>
                <w:webHidden/>
              </w:rPr>
              <w:instrText xml:space="preserve"> PAGEREF _Toc78131696 \h </w:instrText>
            </w:r>
            <w:r w:rsidR="00A63F35">
              <w:rPr>
                <w:noProof/>
                <w:webHidden/>
              </w:rPr>
            </w:r>
            <w:r w:rsidR="00A63F35">
              <w:rPr>
                <w:noProof/>
                <w:webHidden/>
              </w:rPr>
              <w:fldChar w:fldCharType="separate"/>
            </w:r>
            <w:r w:rsidR="009044D1">
              <w:rPr>
                <w:noProof/>
                <w:webHidden/>
              </w:rPr>
              <w:t>114</w:t>
            </w:r>
            <w:r w:rsidR="00A63F35">
              <w:rPr>
                <w:noProof/>
                <w:webHidden/>
              </w:rPr>
              <w:fldChar w:fldCharType="end"/>
            </w:r>
          </w:hyperlink>
        </w:p>
        <w:p w14:paraId="329CB257" w14:textId="6F899FAC" w:rsidR="00A63F35" w:rsidRDefault="00000000">
          <w:pPr>
            <w:pStyle w:val="TM3"/>
            <w:rPr>
              <w:rFonts w:asciiTheme="minorHAnsi" w:eastAsiaTheme="minorEastAsia" w:hAnsiTheme="minorHAnsi"/>
              <w:noProof/>
              <w:lang w:eastAsia="fr-FR"/>
            </w:rPr>
          </w:pPr>
          <w:hyperlink w:anchor="_Toc78131697" w:history="1">
            <w:r w:rsidR="00A63F35" w:rsidRPr="00725021">
              <w:rPr>
                <w:rStyle w:val="Lienhypertexte"/>
                <w:noProof/>
              </w:rPr>
              <w:t>2.4.3. Destination pièces saumurées, salées, séchées ou pièces crues</w:t>
            </w:r>
            <w:r w:rsidR="00A63F35">
              <w:rPr>
                <w:noProof/>
                <w:webHidden/>
              </w:rPr>
              <w:tab/>
            </w:r>
            <w:r w:rsidR="00A63F35">
              <w:rPr>
                <w:noProof/>
                <w:webHidden/>
              </w:rPr>
              <w:fldChar w:fldCharType="begin"/>
            </w:r>
            <w:r w:rsidR="00A63F35">
              <w:rPr>
                <w:noProof/>
                <w:webHidden/>
              </w:rPr>
              <w:instrText xml:space="preserve"> PAGEREF _Toc78131697 \h </w:instrText>
            </w:r>
            <w:r w:rsidR="00A63F35">
              <w:rPr>
                <w:noProof/>
                <w:webHidden/>
              </w:rPr>
            </w:r>
            <w:r w:rsidR="00A63F35">
              <w:rPr>
                <w:noProof/>
                <w:webHidden/>
              </w:rPr>
              <w:fldChar w:fldCharType="separate"/>
            </w:r>
            <w:r w:rsidR="009044D1">
              <w:rPr>
                <w:noProof/>
                <w:webHidden/>
              </w:rPr>
              <w:t>115</w:t>
            </w:r>
            <w:r w:rsidR="00A63F35">
              <w:rPr>
                <w:noProof/>
                <w:webHidden/>
              </w:rPr>
              <w:fldChar w:fldCharType="end"/>
            </w:r>
          </w:hyperlink>
        </w:p>
        <w:p w14:paraId="4072825B" w14:textId="4E3E6D11" w:rsidR="00A63F35" w:rsidRDefault="00000000">
          <w:pPr>
            <w:pStyle w:val="TM3"/>
            <w:rPr>
              <w:rFonts w:asciiTheme="minorHAnsi" w:eastAsiaTheme="minorEastAsia" w:hAnsiTheme="minorHAnsi"/>
              <w:noProof/>
              <w:lang w:eastAsia="fr-FR"/>
            </w:rPr>
          </w:pPr>
          <w:hyperlink w:anchor="_Toc78131698" w:history="1">
            <w:r w:rsidR="00A63F35" w:rsidRPr="00725021">
              <w:rPr>
                <w:rStyle w:val="Lienhypertexte"/>
                <w:noProof/>
              </w:rPr>
              <w:t>2.4.4. Destination des produits finis après raidissage, tranchage, cuisson</w:t>
            </w:r>
            <w:r w:rsidR="00A63F35">
              <w:rPr>
                <w:noProof/>
                <w:webHidden/>
              </w:rPr>
              <w:tab/>
            </w:r>
            <w:r w:rsidR="00A63F35">
              <w:rPr>
                <w:noProof/>
                <w:webHidden/>
              </w:rPr>
              <w:fldChar w:fldCharType="begin"/>
            </w:r>
            <w:r w:rsidR="00A63F35">
              <w:rPr>
                <w:noProof/>
                <w:webHidden/>
              </w:rPr>
              <w:instrText xml:space="preserve"> PAGEREF _Toc78131698 \h </w:instrText>
            </w:r>
            <w:r w:rsidR="00A63F35">
              <w:rPr>
                <w:noProof/>
                <w:webHidden/>
              </w:rPr>
            </w:r>
            <w:r w:rsidR="00A63F35">
              <w:rPr>
                <w:noProof/>
                <w:webHidden/>
              </w:rPr>
              <w:fldChar w:fldCharType="separate"/>
            </w:r>
            <w:r w:rsidR="009044D1">
              <w:rPr>
                <w:noProof/>
                <w:webHidden/>
              </w:rPr>
              <w:t>115</w:t>
            </w:r>
            <w:r w:rsidR="00A63F35">
              <w:rPr>
                <w:noProof/>
                <w:webHidden/>
              </w:rPr>
              <w:fldChar w:fldCharType="end"/>
            </w:r>
          </w:hyperlink>
        </w:p>
        <w:p w14:paraId="03FFB33B" w14:textId="2BC11F0E" w:rsidR="00A63F35" w:rsidRDefault="00000000">
          <w:pPr>
            <w:pStyle w:val="TM3"/>
            <w:rPr>
              <w:rFonts w:asciiTheme="minorHAnsi" w:eastAsiaTheme="minorEastAsia" w:hAnsiTheme="minorHAnsi"/>
              <w:noProof/>
              <w:lang w:eastAsia="fr-FR"/>
            </w:rPr>
          </w:pPr>
          <w:hyperlink w:anchor="_Toc78131699" w:history="1">
            <w:r w:rsidR="00A63F35" w:rsidRPr="00725021">
              <w:rPr>
                <w:rStyle w:val="Lienhypertexte"/>
                <w:noProof/>
              </w:rPr>
              <w:t>2.4.5. Représentation des flux de poitrine au travers du diagramme de Sankey</w:t>
            </w:r>
            <w:r w:rsidR="00A63F35">
              <w:rPr>
                <w:noProof/>
                <w:webHidden/>
              </w:rPr>
              <w:tab/>
            </w:r>
            <w:r w:rsidR="00A63F35">
              <w:rPr>
                <w:noProof/>
                <w:webHidden/>
              </w:rPr>
              <w:fldChar w:fldCharType="begin"/>
            </w:r>
            <w:r w:rsidR="00A63F35">
              <w:rPr>
                <w:noProof/>
                <w:webHidden/>
              </w:rPr>
              <w:instrText xml:space="preserve"> PAGEREF _Toc78131699 \h </w:instrText>
            </w:r>
            <w:r w:rsidR="00A63F35">
              <w:rPr>
                <w:noProof/>
                <w:webHidden/>
              </w:rPr>
            </w:r>
            <w:r w:rsidR="00A63F35">
              <w:rPr>
                <w:noProof/>
                <w:webHidden/>
              </w:rPr>
              <w:fldChar w:fldCharType="separate"/>
            </w:r>
            <w:r w:rsidR="009044D1">
              <w:rPr>
                <w:noProof/>
                <w:webHidden/>
              </w:rPr>
              <w:t>116</w:t>
            </w:r>
            <w:r w:rsidR="00A63F35">
              <w:rPr>
                <w:noProof/>
                <w:webHidden/>
              </w:rPr>
              <w:fldChar w:fldCharType="end"/>
            </w:r>
          </w:hyperlink>
        </w:p>
        <w:p w14:paraId="038B8D91" w14:textId="5C3B240C" w:rsidR="00A63F35" w:rsidRDefault="00000000">
          <w:pPr>
            <w:pStyle w:val="TM2"/>
            <w:tabs>
              <w:tab w:val="right" w:leader="dot" w:pos="9060"/>
            </w:tabs>
            <w:rPr>
              <w:rFonts w:asciiTheme="minorHAnsi" w:eastAsiaTheme="minorEastAsia" w:hAnsiTheme="minorHAnsi"/>
              <w:noProof/>
              <w:lang w:eastAsia="fr-FR"/>
            </w:rPr>
          </w:pPr>
          <w:hyperlink w:anchor="_Toc78131700" w:history="1">
            <w:r w:rsidR="00A63F35" w:rsidRPr="00725021">
              <w:rPr>
                <w:rStyle w:val="Lienhypertexte"/>
                <w:noProof/>
              </w:rPr>
              <w:t>2.5. Analyse des flux à partir de la longe comme pièce primaire</w:t>
            </w:r>
            <w:r w:rsidR="00A63F35">
              <w:rPr>
                <w:noProof/>
                <w:webHidden/>
              </w:rPr>
              <w:tab/>
            </w:r>
            <w:r w:rsidR="00A63F35">
              <w:rPr>
                <w:noProof/>
                <w:webHidden/>
              </w:rPr>
              <w:fldChar w:fldCharType="begin"/>
            </w:r>
            <w:r w:rsidR="00A63F35">
              <w:rPr>
                <w:noProof/>
                <w:webHidden/>
              </w:rPr>
              <w:instrText xml:space="preserve"> PAGEREF _Toc78131700 \h </w:instrText>
            </w:r>
            <w:r w:rsidR="00A63F35">
              <w:rPr>
                <w:noProof/>
                <w:webHidden/>
              </w:rPr>
            </w:r>
            <w:r w:rsidR="00A63F35">
              <w:rPr>
                <w:noProof/>
                <w:webHidden/>
              </w:rPr>
              <w:fldChar w:fldCharType="separate"/>
            </w:r>
            <w:r w:rsidR="009044D1">
              <w:rPr>
                <w:noProof/>
                <w:webHidden/>
              </w:rPr>
              <w:t>118</w:t>
            </w:r>
            <w:r w:rsidR="00A63F35">
              <w:rPr>
                <w:noProof/>
                <w:webHidden/>
              </w:rPr>
              <w:fldChar w:fldCharType="end"/>
            </w:r>
          </w:hyperlink>
        </w:p>
        <w:p w14:paraId="1BC2B0D2" w14:textId="7D5F946B" w:rsidR="00A63F35" w:rsidRDefault="00000000">
          <w:pPr>
            <w:pStyle w:val="TM3"/>
            <w:rPr>
              <w:rFonts w:asciiTheme="minorHAnsi" w:eastAsiaTheme="minorEastAsia" w:hAnsiTheme="minorHAnsi"/>
              <w:noProof/>
              <w:lang w:eastAsia="fr-FR"/>
            </w:rPr>
          </w:pPr>
          <w:hyperlink w:anchor="_Toc78131701" w:history="1">
            <w:r w:rsidR="00A63F35" w:rsidRPr="00725021">
              <w:rPr>
                <w:rStyle w:val="Lienhypertexte"/>
                <w:noProof/>
              </w:rPr>
              <w:t>2.5.1. Disponible de départ en équivalent pièces primaires</w:t>
            </w:r>
            <w:r w:rsidR="00A63F35">
              <w:rPr>
                <w:noProof/>
                <w:webHidden/>
              </w:rPr>
              <w:tab/>
            </w:r>
            <w:r w:rsidR="00A63F35">
              <w:rPr>
                <w:noProof/>
                <w:webHidden/>
              </w:rPr>
              <w:fldChar w:fldCharType="begin"/>
            </w:r>
            <w:r w:rsidR="00A63F35">
              <w:rPr>
                <w:noProof/>
                <w:webHidden/>
              </w:rPr>
              <w:instrText xml:space="preserve"> PAGEREF _Toc78131701 \h </w:instrText>
            </w:r>
            <w:r w:rsidR="00A63F35">
              <w:rPr>
                <w:noProof/>
                <w:webHidden/>
              </w:rPr>
            </w:r>
            <w:r w:rsidR="00A63F35">
              <w:rPr>
                <w:noProof/>
                <w:webHidden/>
              </w:rPr>
              <w:fldChar w:fldCharType="separate"/>
            </w:r>
            <w:r w:rsidR="009044D1">
              <w:rPr>
                <w:noProof/>
                <w:webHidden/>
              </w:rPr>
              <w:t>118</w:t>
            </w:r>
            <w:r w:rsidR="00A63F35">
              <w:rPr>
                <w:noProof/>
                <w:webHidden/>
              </w:rPr>
              <w:fldChar w:fldCharType="end"/>
            </w:r>
          </w:hyperlink>
        </w:p>
        <w:p w14:paraId="17062429" w14:textId="18939B41" w:rsidR="00A63F35" w:rsidRDefault="00000000">
          <w:pPr>
            <w:pStyle w:val="TM3"/>
            <w:rPr>
              <w:rFonts w:asciiTheme="minorHAnsi" w:eastAsiaTheme="minorEastAsia" w:hAnsiTheme="minorHAnsi"/>
              <w:noProof/>
              <w:lang w:eastAsia="fr-FR"/>
            </w:rPr>
          </w:pPr>
          <w:hyperlink w:anchor="_Toc78131702" w:history="1">
            <w:r w:rsidR="00A63F35" w:rsidRPr="00725021">
              <w:rPr>
                <w:rStyle w:val="Lienhypertexte"/>
                <w:noProof/>
              </w:rPr>
              <w:t>2.5.2. Destination en pièces et muscles parés (eq. pièces secondaires)</w:t>
            </w:r>
            <w:r w:rsidR="00A63F35">
              <w:rPr>
                <w:noProof/>
                <w:webHidden/>
              </w:rPr>
              <w:tab/>
            </w:r>
            <w:r w:rsidR="00A63F35">
              <w:rPr>
                <w:noProof/>
                <w:webHidden/>
              </w:rPr>
              <w:fldChar w:fldCharType="begin"/>
            </w:r>
            <w:r w:rsidR="00A63F35">
              <w:rPr>
                <w:noProof/>
                <w:webHidden/>
              </w:rPr>
              <w:instrText xml:space="preserve"> PAGEREF _Toc78131702 \h </w:instrText>
            </w:r>
            <w:r w:rsidR="00A63F35">
              <w:rPr>
                <w:noProof/>
                <w:webHidden/>
              </w:rPr>
            </w:r>
            <w:r w:rsidR="00A63F35">
              <w:rPr>
                <w:noProof/>
                <w:webHidden/>
              </w:rPr>
              <w:fldChar w:fldCharType="separate"/>
            </w:r>
            <w:r w:rsidR="009044D1">
              <w:rPr>
                <w:noProof/>
                <w:webHidden/>
              </w:rPr>
              <w:t>118</w:t>
            </w:r>
            <w:r w:rsidR="00A63F35">
              <w:rPr>
                <w:noProof/>
                <w:webHidden/>
              </w:rPr>
              <w:fldChar w:fldCharType="end"/>
            </w:r>
          </w:hyperlink>
        </w:p>
        <w:p w14:paraId="61A5F164" w14:textId="2F878627" w:rsidR="00A63F35" w:rsidRDefault="00000000">
          <w:pPr>
            <w:pStyle w:val="TM3"/>
            <w:rPr>
              <w:rFonts w:asciiTheme="minorHAnsi" w:eastAsiaTheme="minorEastAsia" w:hAnsiTheme="minorHAnsi"/>
              <w:noProof/>
              <w:lang w:eastAsia="fr-FR"/>
            </w:rPr>
          </w:pPr>
          <w:hyperlink w:anchor="_Toc78131703" w:history="1">
            <w:r w:rsidR="00A63F35" w:rsidRPr="00725021">
              <w:rPr>
                <w:rStyle w:val="Lienhypertexte"/>
                <w:noProof/>
              </w:rPr>
              <w:t>2.5.3. Destination des pièces saumurées, salées, séchées ou pièces crues</w:t>
            </w:r>
            <w:r w:rsidR="00A63F35">
              <w:rPr>
                <w:noProof/>
                <w:webHidden/>
              </w:rPr>
              <w:tab/>
            </w:r>
            <w:r w:rsidR="00A63F35">
              <w:rPr>
                <w:noProof/>
                <w:webHidden/>
              </w:rPr>
              <w:fldChar w:fldCharType="begin"/>
            </w:r>
            <w:r w:rsidR="00A63F35">
              <w:rPr>
                <w:noProof/>
                <w:webHidden/>
              </w:rPr>
              <w:instrText xml:space="preserve"> PAGEREF _Toc78131703 \h </w:instrText>
            </w:r>
            <w:r w:rsidR="00A63F35">
              <w:rPr>
                <w:noProof/>
                <w:webHidden/>
              </w:rPr>
            </w:r>
            <w:r w:rsidR="00A63F35">
              <w:rPr>
                <w:noProof/>
                <w:webHidden/>
              </w:rPr>
              <w:fldChar w:fldCharType="separate"/>
            </w:r>
            <w:r w:rsidR="009044D1">
              <w:rPr>
                <w:noProof/>
                <w:webHidden/>
              </w:rPr>
              <w:t>119</w:t>
            </w:r>
            <w:r w:rsidR="00A63F35">
              <w:rPr>
                <w:noProof/>
                <w:webHidden/>
              </w:rPr>
              <w:fldChar w:fldCharType="end"/>
            </w:r>
          </w:hyperlink>
        </w:p>
        <w:p w14:paraId="362A6185" w14:textId="6B5F288F" w:rsidR="00A63F35" w:rsidRDefault="00000000">
          <w:pPr>
            <w:pStyle w:val="TM3"/>
            <w:rPr>
              <w:rFonts w:asciiTheme="minorHAnsi" w:eastAsiaTheme="minorEastAsia" w:hAnsiTheme="minorHAnsi"/>
              <w:noProof/>
              <w:lang w:eastAsia="fr-FR"/>
            </w:rPr>
          </w:pPr>
          <w:hyperlink w:anchor="_Toc78131704" w:history="1">
            <w:r w:rsidR="00A63F35" w:rsidRPr="00725021">
              <w:rPr>
                <w:rStyle w:val="Lienhypertexte"/>
                <w:noProof/>
              </w:rPr>
              <w:t>2.5.4. Destination pièces saumurées, salées, séchées ou pièces crues</w:t>
            </w:r>
            <w:r w:rsidR="00A63F35">
              <w:rPr>
                <w:noProof/>
                <w:webHidden/>
              </w:rPr>
              <w:tab/>
            </w:r>
            <w:r w:rsidR="00A63F35">
              <w:rPr>
                <w:noProof/>
                <w:webHidden/>
              </w:rPr>
              <w:fldChar w:fldCharType="begin"/>
            </w:r>
            <w:r w:rsidR="00A63F35">
              <w:rPr>
                <w:noProof/>
                <w:webHidden/>
              </w:rPr>
              <w:instrText xml:space="preserve"> PAGEREF _Toc78131704 \h </w:instrText>
            </w:r>
            <w:r w:rsidR="00A63F35">
              <w:rPr>
                <w:noProof/>
                <w:webHidden/>
              </w:rPr>
            </w:r>
            <w:r w:rsidR="00A63F35">
              <w:rPr>
                <w:noProof/>
                <w:webHidden/>
              </w:rPr>
              <w:fldChar w:fldCharType="separate"/>
            </w:r>
            <w:r w:rsidR="009044D1">
              <w:rPr>
                <w:noProof/>
                <w:webHidden/>
              </w:rPr>
              <w:t>120</w:t>
            </w:r>
            <w:r w:rsidR="00A63F35">
              <w:rPr>
                <w:noProof/>
                <w:webHidden/>
              </w:rPr>
              <w:fldChar w:fldCharType="end"/>
            </w:r>
          </w:hyperlink>
        </w:p>
        <w:p w14:paraId="12EBFD24" w14:textId="603F7F7F" w:rsidR="00A63F35" w:rsidRDefault="00000000">
          <w:pPr>
            <w:pStyle w:val="TM3"/>
            <w:rPr>
              <w:rFonts w:asciiTheme="minorHAnsi" w:eastAsiaTheme="minorEastAsia" w:hAnsiTheme="minorHAnsi"/>
              <w:noProof/>
              <w:lang w:eastAsia="fr-FR"/>
            </w:rPr>
          </w:pPr>
          <w:hyperlink w:anchor="_Toc78131705" w:history="1">
            <w:r w:rsidR="00A63F35" w:rsidRPr="00725021">
              <w:rPr>
                <w:rStyle w:val="Lienhypertexte"/>
                <w:noProof/>
              </w:rPr>
              <w:t>2.5.5. Pièces orientées vers barattage, cuisson à destination des produits finis</w:t>
            </w:r>
            <w:r w:rsidR="00A63F35">
              <w:rPr>
                <w:noProof/>
                <w:webHidden/>
              </w:rPr>
              <w:tab/>
            </w:r>
            <w:r w:rsidR="00A63F35">
              <w:rPr>
                <w:noProof/>
                <w:webHidden/>
              </w:rPr>
              <w:fldChar w:fldCharType="begin"/>
            </w:r>
            <w:r w:rsidR="00A63F35">
              <w:rPr>
                <w:noProof/>
                <w:webHidden/>
              </w:rPr>
              <w:instrText xml:space="preserve"> PAGEREF _Toc78131705 \h </w:instrText>
            </w:r>
            <w:r w:rsidR="00A63F35">
              <w:rPr>
                <w:noProof/>
                <w:webHidden/>
              </w:rPr>
            </w:r>
            <w:r w:rsidR="00A63F35">
              <w:rPr>
                <w:noProof/>
                <w:webHidden/>
              </w:rPr>
              <w:fldChar w:fldCharType="separate"/>
            </w:r>
            <w:r w:rsidR="009044D1">
              <w:rPr>
                <w:noProof/>
                <w:webHidden/>
              </w:rPr>
              <w:t>120</w:t>
            </w:r>
            <w:r w:rsidR="00A63F35">
              <w:rPr>
                <w:noProof/>
                <w:webHidden/>
              </w:rPr>
              <w:fldChar w:fldCharType="end"/>
            </w:r>
          </w:hyperlink>
        </w:p>
        <w:p w14:paraId="025B0F0C" w14:textId="6E2E4D20" w:rsidR="00A63F35" w:rsidRDefault="00000000">
          <w:pPr>
            <w:pStyle w:val="TM3"/>
            <w:rPr>
              <w:rFonts w:asciiTheme="minorHAnsi" w:eastAsiaTheme="minorEastAsia" w:hAnsiTheme="minorHAnsi"/>
              <w:noProof/>
              <w:lang w:eastAsia="fr-FR"/>
            </w:rPr>
          </w:pPr>
          <w:hyperlink w:anchor="_Toc78131706" w:history="1">
            <w:r w:rsidR="00A63F35" w:rsidRPr="00725021">
              <w:rPr>
                <w:rStyle w:val="Lienhypertexte"/>
                <w:noProof/>
              </w:rPr>
              <w:t>2.5.6. Représentation des flux en longe au travers du diagramme de Sankey</w:t>
            </w:r>
            <w:r w:rsidR="00A63F35">
              <w:rPr>
                <w:noProof/>
                <w:webHidden/>
              </w:rPr>
              <w:tab/>
            </w:r>
            <w:r w:rsidR="00A63F35">
              <w:rPr>
                <w:noProof/>
                <w:webHidden/>
              </w:rPr>
              <w:fldChar w:fldCharType="begin"/>
            </w:r>
            <w:r w:rsidR="00A63F35">
              <w:rPr>
                <w:noProof/>
                <w:webHidden/>
              </w:rPr>
              <w:instrText xml:space="preserve"> PAGEREF _Toc78131706 \h </w:instrText>
            </w:r>
            <w:r w:rsidR="00A63F35">
              <w:rPr>
                <w:noProof/>
                <w:webHidden/>
              </w:rPr>
            </w:r>
            <w:r w:rsidR="00A63F35">
              <w:rPr>
                <w:noProof/>
                <w:webHidden/>
              </w:rPr>
              <w:fldChar w:fldCharType="separate"/>
            </w:r>
            <w:r w:rsidR="009044D1">
              <w:rPr>
                <w:noProof/>
                <w:webHidden/>
              </w:rPr>
              <w:t>121</w:t>
            </w:r>
            <w:r w:rsidR="00A63F35">
              <w:rPr>
                <w:noProof/>
                <w:webHidden/>
              </w:rPr>
              <w:fldChar w:fldCharType="end"/>
            </w:r>
          </w:hyperlink>
        </w:p>
        <w:p w14:paraId="7A5CDEFA" w14:textId="1CBEC2BB" w:rsidR="00A63F35" w:rsidRDefault="00000000">
          <w:pPr>
            <w:pStyle w:val="TM2"/>
            <w:tabs>
              <w:tab w:val="right" w:leader="dot" w:pos="9060"/>
            </w:tabs>
            <w:rPr>
              <w:rFonts w:asciiTheme="minorHAnsi" w:eastAsiaTheme="minorEastAsia" w:hAnsiTheme="minorHAnsi"/>
              <w:noProof/>
              <w:lang w:eastAsia="fr-FR"/>
            </w:rPr>
          </w:pPr>
          <w:hyperlink w:anchor="_Toc78131707" w:history="1">
            <w:r w:rsidR="00A63F35" w:rsidRPr="00725021">
              <w:rPr>
                <w:rStyle w:val="Lienhypertexte"/>
                <w:noProof/>
              </w:rPr>
              <w:t>2.6. Bilan du disponible</w:t>
            </w:r>
            <w:r w:rsidR="00A63F35">
              <w:rPr>
                <w:noProof/>
                <w:webHidden/>
              </w:rPr>
              <w:tab/>
            </w:r>
            <w:r w:rsidR="00A63F35">
              <w:rPr>
                <w:noProof/>
                <w:webHidden/>
              </w:rPr>
              <w:fldChar w:fldCharType="begin"/>
            </w:r>
            <w:r w:rsidR="00A63F35">
              <w:rPr>
                <w:noProof/>
                <w:webHidden/>
              </w:rPr>
              <w:instrText xml:space="preserve"> PAGEREF _Toc78131707 \h </w:instrText>
            </w:r>
            <w:r w:rsidR="00A63F35">
              <w:rPr>
                <w:noProof/>
                <w:webHidden/>
              </w:rPr>
            </w:r>
            <w:r w:rsidR="00A63F35">
              <w:rPr>
                <w:noProof/>
                <w:webHidden/>
              </w:rPr>
              <w:fldChar w:fldCharType="separate"/>
            </w:r>
            <w:r w:rsidR="009044D1">
              <w:rPr>
                <w:noProof/>
                <w:webHidden/>
              </w:rPr>
              <w:t>123</w:t>
            </w:r>
            <w:r w:rsidR="00A63F35">
              <w:rPr>
                <w:noProof/>
                <w:webHidden/>
              </w:rPr>
              <w:fldChar w:fldCharType="end"/>
            </w:r>
          </w:hyperlink>
        </w:p>
        <w:p w14:paraId="57E30FB0" w14:textId="2AFB76D6" w:rsidR="00A63F35" w:rsidRDefault="00000000">
          <w:pPr>
            <w:pStyle w:val="TM2"/>
            <w:tabs>
              <w:tab w:val="right" w:leader="dot" w:pos="9060"/>
            </w:tabs>
            <w:rPr>
              <w:rFonts w:asciiTheme="minorHAnsi" w:eastAsiaTheme="minorEastAsia" w:hAnsiTheme="minorHAnsi"/>
              <w:noProof/>
              <w:lang w:eastAsia="fr-FR"/>
            </w:rPr>
          </w:pPr>
          <w:hyperlink w:anchor="_Toc78131708" w:history="1">
            <w:r w:rsidR="00A63F35" w:rsidRPr="00725021">
              <w:rPr>
                <w:rStyle w:val="Lienhypertexte"/>
                <w:noProof/>
              </w:rPr>
              <w:t>2.7. Approche de la destination du disponible en minerai et gras</w:t>
            </w:r>
            <w:r w:rsidR="00A63F35">
              <w:rPr>
                <w:noProof/>
                <w:webHidden/>
              </w:rPr>
              <w:tab/>
            </w:r>
            <w:r w:rsidR="00A63F35">
              <w:rPr>
                <w:noProof/>
                <w:webHidden/>
              </w:rPr>
              <w:fldChar w:fldCharType="begin"/>
            </w:r>
            <w:r w:rsidR="00A63F35">
              <w:rPr>
                <w:noProof/>
                <w:webHidden/>
              </w:rPr>
              <w:instrText xml:space="preserve"> PAGEREF _Toc78131708 \h </w:instrText>
            </w:r>
            <w:r w:rsidR="00A63F35">
              <w:rPr>
                <w:noProof/>
                <w:webHidden/>
              </w:rPr>
            </w:r>
            <w:r w:rsidR="00A63F35">
              <w:rPr>
                <w:noProof/>
                <w:webHidden/>
              </w:rPr>
              <w:fldChar w:fldCharType="separate"/>
            </w:r>
            <w:r w:rsidR="009044D1">
              <w:rPr>
                <w:noProof/>
                <w:webHidden/>
              </w:rPr>
              <w:t>123</w:t>
            </w:r>
            <w:r w:rsidR="00A63F35">
              <w:rPr>
                <w:noProof/>
                <w:webHidden/>
              </w:rPr>
              <w:fldChar w:fldCharType="end"/>
            </w:r>
          </w:hyperlink>
        </w:p>
        <w:p w14:paraId="3CDDAEE0" w14:textId="55C6BCAA" w:rsidR="00A63F35" w:rsidRDefault="00000000">
          <w:pPr>
            <w:pStyle w:val="TM2"/>
            <w:tabs>
              <w:tab w:val="right" w:leader="dot" w:pos="9060"/>
            </w:tabs>
            <w:rPr>
              <w:rFonts w:asciiTheme="minorHAnsi" w:eastAsiaTheme="minorEastAsia" w:hAnsiTheme="minorHAnsi"/>
              <w:noProof/>
              <w:lang w:eastAsia="fr-FR"/>
            </w:rPr>
          </w:pPr>
          <w:hyperlink w:anchor="_Toc78131709" w:history="1">
            <w:r w:rsidR="00A63F35" w:rsidRPr="00725021">
              <w:rPr>
                <w:rStyle w:val="Lienhypertexte"/>
                <w:noProof/>
              </w:rPr>
              <w:t>2.8. Ventilation des volumes de consommation par mode de conservation</w:t>
            </w:r>
            <w:r w:rsidR="00A63F35">
              <w:rPr>
                <w:noProof/>
                <w:webHidden/>
              </w:rPr>
              <w:tab/>
            </w:r>
            <w:r w:rsidR="00A63F35">
              <w:rPr>
                <w:noProof/>
                <w:webHidden/>
              </w:rPr>
              <w:fldChar w:fldCharType="begin"/>
            </w:r>
            <w:r w:rsidR="00A63F35">
              <w:rPr>
                <w:noProof/>
                <w:webHidden/>
              </w:rPr>
              <w:instrText xml:space="preserve"> PAGEREF _Toc78131709 \h </w:instrText>
            </w:r>
            <w:r w:rsidR="00A63F35">
              <w:rPr>
                <w:noProof/>
                <w:webHidden/>
              </w:rPr>
            </w:r>
            <w:r w:rsidR="00A63F35">
              <w:rPr>
                <w:noProof/>
                <w:webHidden/>
              </w:rPr>
              <w:fldChar w:fldCharType="separate"/>
            </w:r>
            <w:r w:rsidR="009044D1">
              <w:rPr>
                <w:noProof/>
                <w:webHidden/>
              </w:rPr>
              <w:t>123</w:t>
            </w:r>
            <w:r w:rsidR="00A63F35">
              <w:rPr>
                <w:noProof/>
                <w:webHidden/>
              </w:rPr>
              <w:fldChar w:fldCharType="end"/>
            </w:r>
          </w:hyperlink>
        </w:p>
        <w:p w14:paraId="1F8A9C59" w14:textId="6FD19803" w:rsidR="00A63F35" w:rsidRDefault="00000000">
          <w:pPr>
            <w:pStyle w:val="TM2"/>
            <w:tabs>
              <w:tab w:val="right" w:leader="dot" w:pos="9060"/>
            </w:tabs>
            <w:rPr>
              <w:rFonts w:asciiTheme="minorHAnsi" w:eastAsiaTheme="minorEastAsia" w:hAnsiTheme="minorHAnsi"/>
              <w:noProof/>
              <w:lang w:eastAsia="fr-FR"/>
            </w:rPr>
          </w:pPr>
          <w:hyperlink w:anchor="_Toc78131710" w:history="1">
            <w:r w:rsidR="00A63F35" w:rsidRPr="00725021">
              <w:rPr>
                <w:rStyle w:val="Lienhypertexte"/>
                <w:noProof/>
              </w:rPr>
              <w:t>2.9. Approche comparative entre espèces de la part des circuits dans la consommation finale</w:t>
            </w:r>
            <w:r w:rsidR="00A63F35">
              <w:rPr>
                <w:noProof/>
                <w:webHidden/>
              </w:rPr>
              <w:tab/>
            </w:r>
            <w:r w:rsidR="00A63F35">
              <w:rPr>
                <w:noProof/>
                <w:webHidden/>
              </w:rPr>
              <w:fldChar w:fldCharType="begin"/>
            </w:r>
            <w:r w:rsidR="00A63F35">
              <w:rPr>
                <w:noProof/>
                <w:webHidden/>
              </w:rPr>
              <w:instrText xml:space="preserve"> PAGEREF _Toc78131710 \h </w:instrText>
            </w:r>
            <w:r w:rsidR="00A63F35">
              <w:rPr>
                <w:noProof/>
                <w:webHidden/>
              </w:rPr>
            </w:r>
            <w:r w:rsidR="00A63F35">
              <w:rPr>
                <w:noProof/>
                <w:webHidden/>
              </w:rPr>
              <w:fldChar w:fldCharType="separate"/>
            </w:r>
            <w:r w:rsidR="009044D1">
              <w:rPr>
                <w:noProof/>
                <w:webHidden/>
              </w:rPr>
              <w:t>124</w:t>
            </w:r>
            <w:r w:rsidR="00A63F35">
              <w:rPr>
                <w:noProof/>
                <w:webHidden/>
              </w:rPr>
              <w:fldChar w:fldCharType="end"/>
            </w:r>
          </w:hyperlink>
        </w:p>
        <w:p w14:paraId="239CB510" w14:textId="0A68AB70" w:rsidR="00A63F35" w:rsidRDefault="00000000">
          <w:pPr>
            <w:pStyle w:val="TM1"/>
            <w:tabs>
              <w:tab w:val="right" w:leader="dot" w:pos="9060"/>
            </w:tabs>
            <w:rPr>
              <w:rFonts w:asciiTheme="minorHAnsi" w:eastAsiaTheme="minorEastAsia" w:hAnsiTheme="minorHAnsi"/>
              <w:noProof/>
              <w:lang w:eastAsia="fr-FR"/>
            </w:rPr>
          </w:pPr>
          <w:hyperlink w:anchor="_Toc78131711" w:history="1">
            <w:r w:rsidR="00A63F35" w:rsidRPr="00725021">
              <w:rPr>
                <w:rStyle w:val="Lienhypertexte"/>
                <w:noProof/>
              </w:rPr>
              <w:t>3. Approche de formalisation d’une méthode d’analyse des flux de la consommation des produits du porc</w:t>
            </w:r>
            <w:r w:rsidR="00A63F35">
              <w:rPr>
                <w:noProof/>
                <w:webHidden/>
              </w:rPr>
              <w:tab/>
            </w:r>
            <w:r w:rsidR="00A63F35">
              <w:rPr>
                <w:noProof/>
                <w:webHidden/>
              </w:rPr>
              <w:fldChar w:fldCharType="begin"/>
            </w:r>
            <w:r w:rsidR="00A63F35">
              <w:rPr>
                <w:noProof/>
                <w:webHidden/>
              </w:rPr>
              <w:instrText xml:space="preserve"> PAGEREF _Toc78131711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4DDAD92A" w14:textId="28C7C6E4" w:rsidR="00A63F35" w:rsidRDefault="00000000">
          <w:pPr>
            <w:pStyle w:val="TM2"/>
            <w:tabs>
              <w:tab w:val="right" w:leader="dot" w:pos="9060"/>
            </w:tabs>
            <w:rPr>
              <w:rFonts w:asciiTheme="minorHAnsi" w:eastAsiaTheme="minorEastAsia" w:hAnsiTheme="minorHAnsi"/>
              <w:noProof/>
              <w:lang w:eastAsia="fr-FR"/>
            </w:rPr>
          </w:pPr>
          <w:hyperlink w:anchor="_Toc78131712" w:history="1">
            <w:r w:rsidR="00A63F35" w:rsidRPr="00725021">
              <w:rPr>
                <w:rStyle w:val="Lienhypertexte"/>
                <w:noProof/>
              </w:rPr>
              <w:t>3.1. Rappel des données de cadrage générales de la démarche</w:t>
            </w:r>
            <w:r w:rsidR="00A63F35">
              <w:rPr>
                <w:noProof/>
                <w:webHidden/>
              </w:rPr>
              <w:tab/>
            </w:r>
            <w:r w:rsidR="00A63F35">
              <w:rPr>
                <w:noProof/>
                <w:webHidden/>
              </w:rPr>
              <w:fldChar w:fldCharType="begin"/>
            </w:r>
            <w:r w:rsidR="00A63F35">
              <w:rPr>
                <w:noProof/>
                <w:webHidden/>
              </w:rPr>
              <w:instrText xml:space="preserve"> PAGEREF _Toc78131712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5FC9FC7E" w14:textId="5DDD9B3A" w:rsidR="00A63F35" w:rsidRDefault="00000000">
          <w:pPr>
            <w:pStyle w:val="TM2"/>
            <w:tabs>
              <w:tab w:val="right" w:leader="dot" w:pos="9060"/>
            </w:tabs>
            <w:rPr>
              <w:rFonts w:asciiTheme="minorHAnsi" w:eastAsiaTheme="minorEastAsia" w:hAnsiTheme="minorHAnsi"/>
              <w:noProof/>
              <w:lang w:eastAsia="fr-FR"/>
            </w:rPr>
          </w:pPr>
          <w:hyperlink w:anchor="_Toc78131713" w:history="1">
            <w:r w:rsidR="00A63F35" w:rsidRPr="00725021">
              <w:rPr>
                <w:rStyle w:val="Lienhypertexte"/>
                <w:noProof/>
              </w:rPr>
              <w:t>3.2. Premiers éléments de méthode</w:t>
            </w:r>
            <w:r w:rsidR="00A63F35">
              <w:rPr>
                <w:noProof/>
                <w:webHidden/>
              </w:rPr>
              <w:tab/>
            </w:r>
            <w:r w:rsidR="00A63F35">
              <w:rPr>
                <w:noProof/>
                <w:webHidden/>
              </w:rPr>
              <w:fldChar w:fldCharType="begin"/>
            </w:r>
            <w:r w:rsidR="00A63F35">
              <w:rPr>
                <w:noProof/>
                <w:webHidden/>
              </w:rPr>
              <w:instrText xml:space="preserve"> PAGEREF _Toc78131713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62E85E9D" w14:textId="5591D852" w:rsidR="00A63F35" w:rsidRDefault="00000000">
          <w:pPr>
            <w:pStyle w:val="TM3"/>
            <w:tabs>
              <w:tab w:val="left" w:pos="1320"/>
            </w:tabs>
            <w:rPr>
              <w:rFonts w:asciiTheme="minorHAnsi" w:eastAsiaTheme="minorEastAsia" w:hAnsiTheme="minorHAnsi"/>
              <w:noProof/>
              <w:lang w:eastAsia="fr-FR"/>
            </w:rPr>
          </w:pPr>
          <w:hyperlink w:anchor="_Toc78131714" w:history="1">
            <w:r w:rsidR="00A63F35" w:rsidRPr="00725021">
              <w:rPr>
                <w:rStyle w:val="Lienhypertexte"/>
                <w:noProof/>
              </w:rPr>
              <w:t>3.2.1.</w:t>
            </w:r>
            <w:r w:rsidR="00A63F35">
              <w:rPr>
                <w:rFonts w:asciiTheme="minorHAnsi" w:eastAsiaTheme="minorEastAsia" w:hAnsiTheme="minorHAnsi"/>
                <w:noProof/>
                <w:lang w:eastAsia="fr-FR"/>
              </w:rPr>
              <w:tab/>
            </w:r>
            <w:r w:rsidR="00A63F35" w:rsidRPr="00725021">
              <w:rPr>
                <w:rStyle w:val="Lienhypertexte"/>
                <w:noProof/>
              </w:rPr>
              <w:t>Définir le périmètre de la filière en termes d’opérations</w:t>
            </w:r>
            <w:r w:rsidR="00A63F35">
              <w:rPr>
                <w:noProof/>
                <w:webHidden/>
              </w:rPr>
              <w:tab/>
            </w:r>
            <w:r w:rsidR="00A63F35">
              <w:rPr>
                <w:noProof/>
                <w:webHidden/>
              </w:rPr>
              <w:fldChar w:fldCharType="begin"/>
            </w:r>
            <w:r w:rsidR="00A63F35">
              <w:rPr>
                <w:noProof/>
                <w:webHidden/>
              </w:rPr>
              <w:instrText xml:space="preserve"> PAGEREF _Toc78131714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07829C02" w14:textId="552C9EBE" w:rsidR="00A63F35" w:rsidRDefault="00000000">
          <w:pPr>
            <w:pStyle w:val="TM3"/>
            <w:tabs>
              <w:tab w:val="left" w:pos="1320"/>
            </w:tabs>
            <w:rPr>
              <w:rFonts w:asciiTheme="minorHAnsi" w:eastAsiaTheme="minorEastAsia" w:hAnsiTheme="minorHAnsi"/>
              <w:noProof/>
              <w:lang w:eastAsia="fr-FR"/>
            </w:rPr>
          </w:pPr>
          <w:hyperlink w:anchor="_Toc78131715" w:history="1">
            <w:r w:rsidR="00A63F35" w:rsidRPr="00725021">
              <w:rPr>
                <w:rStyle w:val="Lienhypertexte"/>
                <w:noProof/>
              </w:rPr>
              <w:t>3.2.2.</w:t>
            </w:r>
            <w:r w:rsidR="00A63F35">
              <w:rPr>
                <w:rFonts w:asciiTheme="minorHAnsi" w:eastAsiaTheme="minorEastAsia" w:hAnsiTheme="minorHAnsi"/>
                <w:noProof/>
                <w:lang w:eastAsia="fr-FR"/>
              </w:rPr>
              <w:tab/>
            </w:r>
            <w:r w:rsidR="00A63F35" w:rsidRPr="00725021">
              <w:rPr>
                <w:rStyle w:val="Lienhypertexte"/>
                <w:noProof/>
              </w:rPr>
              <w:t>Etablir une nomenclature des produits</w:t>
            </w:r>
            <w:r w:rsidR="00A63F35">
              <w:rPr>
                <w:noProof/>
                <w:webHidden/>
              </w:rPr>
              <w:tab/>
            </w:r>
            <w:r w:rsidR="00A63F35">
              <w:rPr>
                <w:noProof/>
                <w:webHidden/>
              </w:rPr>
              <w:fldChar w:fldCharType="begin"/>
            </w:r>
            <w:r w:rsidR="00A63F35">
              <w:rPr>
                <w:noProof/>
                <w:webHidden/>
              </w:rPr>
              <w:instrText xml:space="preserve"> PAGEREF _Toc78131715 \h </w:instrText>
            </w:r>
            <w:r w:rsidR="00A63F35">
              <w:rPr>
                <w:noProof/>
                <w:webHidden/>
              </w:rPr>
            </w:r>
            <w:r w:rsidR="00A63F35">
              <w:rPr>
                <w:noProof/>
                <w:webHidden/>
              </w:rPr>
              <w:fldChar w:fldCharType="separate"/>
            </w:r>
            <w:r w:rsidR="009044D1">
              <w:rPr>
                <w:noProof/>
                <w:webHidden/>
              </w:rPr>
              <w:t>125</w:t>
            </w:r>
            <w:r w:rsidR="00A63F35">
              <w:rPr>
                <w:noProof/>
                <w:webHidden/>
              </w:rPr>
              <w:fldChar w:fldCharType="end"/>
            </w:r>
          </w:hyperlink>
        </w:p>
        <w:p w14:paraId="38A7AC94" w14:textId="3219079D" w:rsidR="00A63F35" w:rsidRDefault="00000000">
          <w:pPr>
            <w:pStyle w:val="TM3"/>
            <w:tabs>
              <w:tab w:val="left" w:pos="1320"/>
            </w:tabs>
            <w:rPr>
              <w:rFonts w:asciiTheme="minorHAnsi" w:eastAsiaTheme="minorEastAsia" w:hAnsiTheme="minorHAnsi"/>
              <w:noProof/>
              <w:lang w:eastAsia="fr-FR"/>
            </w:rPr>
          </w:pPr>
          <w:hyperlink w:anchor="_Toc78131716" w:history="1">
            <w:r w:rsidR="00A63F35" w:rsidRPr="00725021">
              <w:rPr>
                <w:rStyle w:val="Lienhypertexte"/>
                <w:noProof/>
              </w:rPr>
              <w:t>3.2.3.</w:t>
            </w:r>
            <w:r w:rsidR="00A63F35">
              <w:rPr>
                <w:rFonts w:asciiTheme="minorHAnsi" w:eastAsiaTheme="minorEastAsia" w:hAnsiTheme="minorHAnsi"/>
                <w:noProof/>
                <w:lang w:eastAsia="fr-FR"/>
              </w:rPr>
              <w:tab/>
            </w:r>
            <w:r w:rsidR="00A63F35" w:rsidRPr="00725021">
              <w:rPr>
                <w:rStyle w:val="Lienhypertexte"/>
                <w:noProof/>
              </w:rPr>
              <w:t>Identifier le niveau de données, les consolider et définir les données manquantes à consolider par enquête</w:t>
            </w:r>
            <w:r w:rsidR="00A63F35">
              <w:rPr>
                <w:noProof/>
                <w:webHidden/>
              </w:rPr>
              <w:tab/>
            </w:r>
            <w:r w:rsidR="00A63F35">
              <w:rPr>
                <w:noProof/>
                <w:webHidden/>
              </w:rPr>
              <w:fldChar w:fldCharType="begin"/>
            </w:r>
            <w:r w:rsidR="00A63F35">
              <w:rPr>
                <w:noProof/>
                <w:webHidden/>
              </w:rPr>
              <w:instrText xml:space="preserve"> PAGEREF _Toc78131716 \h </w:instrText>
            </w:r>
            <w:r w:rsidR="00A63F35">
              <w:rPr>
                <w:noProof/>
                <w:webHidden/>
              </w:rPr>
            </w:r>
            <w:r w:rsidR="00A63F35">
              <w:rPr>
                <w:noProof/>
                <w:webHidden/>
              </w:rPr>
              <w:fldChar w:fldCharType="separate"/>
            </w:r>
            <w:r w:rsidR="009044D1">
              <w:rPr>
                <w:noProof/>
                <w:webHidden/>
              </w:rPr>
              <w:t>126</w:t>
            </w:r>
            <w:r w:rsidR="00A63F35">
              <w:rPr>
                <w:noProof/>
                <w:webHidden/>
              </w:rPr>
              <w:fldChar w:fldCharType="end"/>
            </w:r>
          </w:hyperlink>
        </w:p>
        <w:p w14:paraId="139477EB" w14:textId="37D39715" w:rsidR="00A63F35" w:rsidRDefault="00000000">
          <w:pPr>
            <w:pStyle w:val="TM3"/>
            <w:tabs>
              <w:tab w:val="left" w:pos="1320"/>
            </w:tabs>
            <w:rPr>
              <w:rFonts w:asciiTheme="minorHAnsi" w:eastAsiaTheme="minorEastAsia" w:hAnsiTheme="minorHAnsi"/>
              <w:noProof/>
              <w:lang w:eastAsia="fr-FR"/>
            </w:rPr>
          </w:pPr>
          <w:hyperlink w:anchor="_Toc78131717" w:history="1">
            <w:r w:rsidR="00A63F35" w:rsidRPr="00725021">
              <w:rPr>
                <w:rStyle w:val="Lienhypertexte"/>
                <w:noProof/>
              </w:rPr>
              <w:t>3.2.4.</w:t>
            </w:r>
            <w:r w:rsidR="00A63F35">
              <w:rPr>
                <w:rFonts w:asciiTheme="minorHAnsi" w:eastAsiaTheme="minorEastAsia" w:hAnsiTheme="minorHAnsi"/>
                <w:noProof/>
                <w:lang w:eastAsia="fr-FR"/>
              </w:rPr>
              <w:tab/>
            </w:r>
            <w:r w:rsidR="00A63F35" w:rsidRPr="00725021">
              <w:rPr>
                <w:rStyle w:val="Lienhypertexte"/>
                <w:noProof/>
              </w:rPr>
              <w:t>Définition et caractérisation des processus et des nœuds, et mise en place des flux</w:t>
            </w:r>
            <w:r w:rsidR="00A63F35">
              <w:rPr>
                <w:noProof/>
                <w:webHidden/>
              </w:rPr>
              <w:tab/>
            </w:r>
            <w:r w:rsidR="00AE0283">
              <w:rPr>
                <w:noProof/>
                <w:webHidden/>
              </w:rPr>
              <w:t xml:space="preserve">                                                                                                                        </w:t>
            </w:r>
            <w:r w:rsidR="00A63F35">
              <w:rPr>
                <w:noProof/>
                <w:webHidden/>
              </w:rPr>
              <w:fldChar w:fldCharType="begin"/>
            </w:r>
            <w:r w:rsidR="00A63F35">
              <w:rPr>
                <w:noProof/>
                <w:webHidden/>
              </w:rPr>
              <w:instrText xml:space="preserve"> PAGEREF _Toc78131717 \h </w:instrText>
            </w:r>
            <w:r w:rsidR="00A63F35">
              <w:rPr>
                <w:noProof/>
                <w:webHidden/>
              </w:rPr>
            </w:r>
            <w:r w:rsidR="00A63F35">
              <w:rPr>
                <w:noProof/>
                <w:webHidden/>
              </w:rPr>
              <w:fldChar w:fldCharType="separate"/>
            </w:r>
            <w:r w:rsidR="009044D1">
              <w:rPr>
                <w:noProof/>
                <w:webHidden/>
              </w:rPr>
              <w:t>127</w:t>
            </w:r>
            <w:r w:rsidR="00A63F35">
              <w:rPr>
                <w:noProof/>
                <w:webHidden/>
              </w:rPr>
              <w:fldChar w:fldCharType="end"/>
            </w:r>
          </w:hyperlink>
        </w:p>
        <w:p w14:paraId="41C93728" w14:textId="20A6B3D2" w:rsidR="00A63F35" w:rsidRDefault="00000000">
          <w:pPr>
            <w:pStyle w:val="TM3"/>
            <w:tabs>
              <w:tab w:val="left" w:pos="1320"/>
            </w:tabs>
            <w:rPr>
              <w:rFonts w:asciiTheme="minorHAnsi" w:eastAsiaTheme="minorEastAsia" w:hAnsiTheme="minorHAnsi"/>
              <w:noProof/>
              <w:lang w:eastAsia="fr-FR"/>
            </w:rPr>
          </w:pPr>
          <w:hyperlink w:anchor="_Toc78131718" w:history="1">
            <w:r w:rsidR="00A63F35" w:rsidRPr="00725021">
              <w:rPr>
                <w:rStyle w:val="Lienhypertexte"/>
                <w:noProof/>
              </w:rPr>
              <w:t>3.2.5.</w:t>
            </w:r>
            <w:r w:rsidR="00A63F35">
              <w:rPr>
                <w:rFonts w:asciiTheme="minorHAnsi" w:eastAsiaTheme="minorEastAsia" w:hAnsiTheme="minorHAnsi"/>
                <w:noProof/>
                <w:lang w:eastAsia="fr-FR"/>
              </w:rPr>
              <w:tab/>
            </w:r>
            <w:r w:rsidR="00A63F35" w:rsidRPr="00725021">
              <w:rPr>
                <w:rStyle w:val="Lienhypertexte"/>
                <w:noProof/>
              </w:rPr>
              <w:t>Quelques limites de la méthode d’analyse des flux</w:t>
            </w:r>
            <w:r w:rsidR="00A63F35">
              <w:rPr>
                <w:noProof/>
                <w:webHidden/>
              </w:rPr>
              <w:tab/>
            </w:r>
            <w:r w:rsidR="00A63F35">
              <w:rPr>
                <w:noProof/>
                <w:webHidden/>
              </w:rPr>
              <w:fldChar w:fldCharType="begin"/>
            </w:r>
            <w:r w:rsidR="00A63F35">
              <w:rPr>
                <w:noProof/>
                <w:webHidden/>
              </w:rPr>
              <w:instrText xml:space="preserve"> PAGEREF _Toc78131718 \h </w:instrText>
            </w:r>
            <w:r w:rsidR="00A63F35">
              <w:rPr>
                <w:noProof/>
                <w:webHidden/>
              </w:rPr>
            </w:r>
            <w:r w:rsidR="00A63F35">
              <w:rPr>
                <w:noProof/>
                <w:webHidden/>
              </w:rPr>
              <w:fldChar w:fldCharType="separate"/>
            </w:r>
            <w:r w:rsidR="009044D1">
              <w:rPr>
                <w:noProof/>
                <w:webHidden/>
              </w:rPr>
              <w:t>127</w:t>
            </w:r>
            <w:r w:rsidR="00A63F35">
              <w:rPr>
                <w:noProof/>
                <w:webHidden/>
              </w:rPr>
              <w:fldChar w:fldCharType="end"/>
            </w:r>
          </w:hyperlink>
        </w:p>
        <w:p w14:paraId="5F55C9A1" w14:textId="2B08FFA9" w:rsidR="00A63F35" w:rsidRDefault="00000000">
          <w:pPr>
            <w:pStyle w:val="TM1"/>
            <w:tabs>
              <w:tab w:val="right" w:leader="dot" w:pos="9060"/>
            </w:tabs>
            <w:rPr>
              <w:rFonts w:asciiTheme="minorHAnsi" w:eastAsiaTheme="minorEastAsia" w:hAnsiTheme="minorHAnsi"/>
              <w:noProof/>
              <w:lang w:eastAsia="fr-FR"/>
            </w:rPr>
          </w:pPr>
          <w:hyperlink w:anchor="_Toc78131719" w:history="1">
            <w:r w:rsidR="00A63F35" w:rsidRPr="00725021">
              <w:rPr>
                <w:rStyle w:val="Lienhypertexte"/>
                <w:noProof/>
              </w:rPr>
              <w:t>4. Conclusions et perspectives</w:t>
            </w:r>
            <w:r w:rsidR="00A63F35">
              <w:rPr>
                <w:noProof/>
                <w:webHidden/>
              </w:rPr>
              <w:tab/>
            </w:r>
            <w:r w:rsidR="00A63F35">
              <w:rPr>
                <w:noProof/>
                <w:webHidden/>
              </w:rPr>
              <w:fldChar w:fldCharType="begin"/>
            </w:r>
            <w:r w:rsidR="00A63F35">
              <w:rPr>
                <w:noProof/>
                <w:webHidden/>
              </w:rPr>
              <w:instrText xml:space="preserve"> PAGEREF _Toc78131719 \h </w:instrText>
            </w:r>
            <w:r w:rsidR="00A63F35">
              <w:rPr>
                <w:noProof/>
                <w:webHidden/>
              </w:rPr>
            </w:r>
            <w:r w:rsidR="00A63F35">
              <w:rPr>
                <w:noProof/>
                <w:webHidden/>
              </w:rPr>
              <w:fldChar w:fldCharType="separate"/>
            </w:r>
            <w:r w:rsidR="009044D1">
              <w:rPr>
                <w:noProof/>
                <w:webHidden/>
              </w:rPr>
              <w:t>128</w:t>
            </w:r>
            <w:r w:rsidR="00A63F35">
              <w:rPr>
                <w:noProof/>
                <w:webHidden/>
              </w:rPr>
              <w:fldChar w:fldCharType="end"/>
            </w:r>
          </w:hyperlink>
        </w:p>
        <w:p w14:paraId="792505FE" w14:textId="7B4AE160" w:rsidR="00A63F35" w:rsidRDefault="00000000">
          <w:pPr>
            <w:pStyle w:val="TM5"/>
            <w:rPr>
              <w:rFonts w:asciiTheme="minorHAnsi" w:eastAsiaTheme="minorEastAsia" w:hAnsiTheme="minorHAnsi"/>
              <w:noProof/>
              <w:lang w:eastAsia="fr-FR"/>
            </w:rPr>
          </w:pPr>
          <w:hyperlink w:anchor="_Toc78131720" w:history="1">
            <w:r w:rsidR="00A63F35" w:rsidRPr="00725021">
              <w:rPr>
                <w:rStyle w:val="Lienhypertexte"/>
                <w:noProof/>
              </w:rPr>
              <w:t>ANNEXES :</w:t>
            </w:r>
            <w:r w:rsidR="00A63F35">
              <w:rPr>
                <w:noProof/>
                <w:webHidden/>
              </w:rPr>
              <w:tab/>
            </w:r>
            <w:r w:rsidR="00A63F35">
              <w:rPr>
                <w:noProof/>
                <w:webHidden/>
              </w:rPr>
              <w:fldChar w:fldCharType="begin"/>
            </w:r>
            <w:r w:rsidR="00A63F35">
              <w:rPr>
                <w:noProof/>
                <w:webHidden/>
              </w:rPr>
              <w:instrText xml:space="preserve"> PAGEREF _Toc78131720 \h </w:instrText>
            </w:r>
            <w:r w:rsidR="00A63F35">
              <w:rPr>
                <w:noProof/>
                <w:webHidden/>
              </w:rPr>
            </w:r>
            <w:r w:rsidR="00A63F35">
              <w:rPr>
                <w:noProof/>
                <w:webHidden/>
              </w:rPr>
              <w:fldChar w:fldCharType="separate"/>
            </w:r>
            <w:r w:rsidR="009044D1">
              <w:rPr>
                <w:noProof/>
                <w:webHidden/>
              </w:rPr>
              <w:t>0</w:t>
            </w:r>
            <w:r w:rsidR="00A63F35">
              <w:rPr>
                <w:noProof/>
                <w:webHidden/>
              </w:rPr>
              <w:fldChar w:fldCharType="end"/>
            </w:r>
          </w:hyperlink>
        </w:p>
        <w:p w14:paraId="7D1FB3D9" w14:textId="1C63DFAE" w:rsidR="00CC116D" w:rsidRDefault="00CC116D">
          <w:r w:rsidRPr="002E750F">
            <w:rPr>
              <w:sz w:val="20"/>
              <w:szCs w:val="20"/>
            </w:rPr>
            <w:fldChar w:fldCharType="end"/>
          </w:r>
        </w:p>
      </w:sdtContent>
    </w:sdt>
    <w:p w14:paraId="2F546051" w14:textId="77777777" w:rsidR="008150C6" w:rsidRPr="008150C6" w:rsidRDefault="008150C6" w:rsidP="008150C6">
      <w:pPr>
        <w:ind w:left="-284"/>
        <w:rPr>
          <w:rFonts w:cs="Arial"/>
        </w:rPr>
      </w:pPr>
    </w:p>
    <w:p w14:paraId="52FFCC7B" w14:textId="77777777" w:rsidR="008150C6" w:rsidRDefault="008150C6" w:rsidP="008150C6">
      <w:pPr>
        <w:ind w:left="-284"/>
        <w:rPr>
          <w:rFonts w:cs="Arial"/>
        </w:rPr>
      </w:pPr>
    </w:p>
    <w:p w14:paraId="3A546858" w14:textId="77777777" w:rsidR="008150C6" w:rsidRDefault="008150C6" w:rsidP="008150C6">
      <w:pPr>
        <w:ind w:left="-284"/>
        <w:rPr>
          <w:rFonts w:cs="Arial"/>
        </w:rPr>
      </w:pPr>
    </w:p>
    <w:p w14:paraId="5333D3C1" w14:textId="77777777" w:rsidR="008150C6" w:rsidRDefault="008150C6" w:rsidP="008150C6">
      <w:pPr>
        <w:ind w:left="-284"/>
        <w:rPr>
          <w:rFonts w:cs="Arial"/>
        </w:rPr>
      </w:pPr>
    </w:p>
    <w:p w14:paraId="064F8083" w14:textId="7C34CC03" w:rsidR="002E750F" w:rsidRDefault="002E750F" w:rsidP="008150C6">
      <w:pPr>
        <w:ind w:left="-284"/>
        <w:rPr>
          <w:rFonts w:cs="Arial"/>
        </w:rPr>
      </w:pPr>
      <w:r>
        <w:rPr>
          <w:rFonts w:cs="Arial"/>
        </w:rPr>
        <w:br w:type="page"/>
      </w:r>
    </w:p>
    <w:p w14:paraId="720A2854" w14:textId="77777777" w:rsidR="008150C6" w:rsidRPr="00FF228F" w:rsidRDefault="008150C6" w:rsidP="00FF228F">
      <w:pPr>
        <w:ind w:left="-284"/>
        <w:jc w:val="center"/>
        <w:rPr>
          <w:rFonts w:cs="Arial"/>
          <w:b/>
          <w:bCs/>
        </w:rPr>
      </w:pPr>
      <w:r w:rsidRPr="00FF228F">
        <w:rPr>
          <w:rFonts w:cs="Arial"/>
          <w:b/>
          <w:bCs/>
        </w:rPr>
        <w:lastRenderedPageBreak/>
        <w:t>Table des illustrations</w:t>
      </w:r>
    </w:p>
    <w:p w14:paraId="1AC87D99" w14:textId="12B3B4C3" w:rsidR="008150C6" w:rsidRDefault="00026C60" w:rsidP="00FF228F">
      <w:pPr>
        <w:ind w:left="-284"/>
        <w:rPr>
          <w:rFonts w:cs="Arial"/>
          <w:b/>
          <w:bCs/>
        </w:rPr>
      </w:pPr>
      <w:r w:rsidRPr="00FF228F">
        <w:rPr>
          <w:rFonts w:cs="Arial"/>
          <w:b/>
          <w:bCs/>
        </w:rPr>
        <w:t xml:space="preserve">Liste des </w:t>
      </w:r>
      <w:r w:rsidR="008150C6" w:rsidRPr="00FF228F">
        <w:rPr>
          <w:rFonts w:cs="Arial"/>
          <w:b/>
          <w:bCs/>
        </w:rPr>
        <w:t>Tableaux</w:t>
      </w:r>
    </w:p>
    <w:p w14:paraId="476FE494" w14:textId="5C4CDDC0" w:rsidR="006067C7" w:rsidRDefault="00AF44D6">
      <w:pPr>
        <w:pStyle w:val="Tabledesillustrations"/>
        <w:tabs>
          <w:tab w:val="right" w:leader="dot" w:pos="9060"/>
        </w:tabs>
        <w:rPr>
          <w:rFonts w:asciiTheme="minorHAnsi" w:eastAsiaTheme="minorEastAsia" w:hAnsiTheme="minorHAnsi"/>
          <w:noProof/>
          <w:lang w:val="en-US"/>
        </w:rPr>
      </w:pPr>
      <w:r>
        <w:rPr>
          <w:rFonts w:cs="Arial"/>
          <w:sz w:val="20"/>
          <w:szCs w:val="20"/>
        </w:rPr>
        <w:fldChar w:fldCharType="begin"/>
      </w:r>
      <w:r>
        <w:rPr>
          <w:rFonts w:cs="Arial"/>
          <w:sz w:val="20"/>
          <w:szCs w:val="20"/>
        </w:rPr>
        <w:instrText xml:space="preserve"> TOC \h \z \c "Tableau" </w:instrText>
      </w:r>
      <w:r>
        <w:rPr>
          <w:rFonts w:cs="Arial"/>
          <w:sz w:val="20"/>
          <w:szCs w:val="20"/>
        </w:rPr>
        <w:fldChar w:fldCharType="separate"/>
      </w:r>
      <w:hyperlink w:anchor="_Toc72143349" w:history="1">
        <w:r w:rsidR="006067C7" w:rsidRPr="00A138BD">
          <w:rPr>
            <w:rStyle w:val="Lienhypertexte"/>
            <w:noProof/>
          </w:rPr>
          <w:t>Tableau 1 : Illustration de la codification NC8 avec le cas des viandes FRC</w:t>
        </w:r>
        <w:r w:rsidR="006067C7">
          <w:rPr>
            <w:noProof/>
            <w:webHidden/>
          </w:rPr>
          <w:tab/>
        </w:r>
        <w:r w:rsidR="006067C7">
          <w:rPr>
            <w:noProof/>
            <w:webHidden/>
          </w:rPr>
          <w:fldChar w:fldCharType="begin"/>
        </w:r>
        <w:r w:rsidR="006067C7">
          <w:rPr>
            <w:noProof/>
            <w:webHidden/>
          </w:rPr>
          <w:instrText xml:space="preserve"> PAGEREF _Toc72143349 \h </w:instrText>
        </w:r>
        <w:r w:rsidR="006067C7">
          <w:rPr>
            <w:noProof/>
            <w:webHidden/>
          </w:rPr>
        </w:r>
        <w:r w:rsidR="006067C7">
          <w:rPr>
            <w:noProof/>
            <w:webHidden/>
          </w:rPr>
          <w:fldChar w:fldCharType="separate"/>
        </w:r>
        <w:r w:rsidR="006067C7">
          <w:rPr>
            <w:noProof/>
            <w:webHidden/>
          </w:rPr>
          <w:t>6</w:t>
        </w:r>
        <w:r w:rsidR="006067C7">
          <w:rPr>
            <w:noProof/>
            <w:webHidden/>
          </w:rPr>
          <w:fldChar w:fldCharType="end"/>
        </w:r>
      </w:hyperlink>
    </w:p>
    <w:p w14:paraId="2AA0E19A" w14:textId="251C7BB5" w:rsidR="006067C7" w:rsidRDefault="00000000">
      <w:pPr>
        <w:pStyle w:val="Tabledesillustrations"/>
        <w:tabs>
          <w:tab w:val="right" w:leader="dot" w:pos="9060"/>
        </w:tabs>
        <w:rPr>
          <w:rFonts w:asciiTheme="minorHAnsi" w:eastAsiaTheme="minorEastAsia" w:hAnsiTheme="minorHAnsi"/>
          <w:noProof/>
          <w:lang w:val="en-US"/>
        </w:rPr>
      </w:pPr>
      <w:hyperlink w:anchor="_Toc72143350" w:history="1">
        <w:r w:rsidR="006067C7" w:rsidRPr="00A138BD">
          <w:rPr>
            <w:rStyle w:val="Lienhypertexte"/>
            <w:noProof/>
          </w:rPr>
          <w:t>Tableau 2 : Part des produits transformés importés en volume par catégorie douanière en 2018 et évolution des catégories 2018/2008</w:t>
        </w:r>
        <w:r w:rsidR="006067C7">
          <w:rPr>
            <w:noProof/>
            <w:webHidden/>
          </w:rPr>
          <w:tab/>
        </w:r>
        <w:r w:rsidR="006067C7">
          <w:rPr>
            <w:noProof/>
            <w:webHidden/>
          </w:rPr>
          <w:fldChar w:fldCharType="begin"/>
        </w:r>
        <w:r w:rsidR="006067C7">
          <w:rPr>
            <w:noProof/>
            <w:webHidden/>
          </w:rPr>
          <w:instrText xml:space="preserve"> PAGEREF _Toc72143350 \h </w:instrText>
        </w:r>
        <w:r w:rsidR="006067C7">
          <w:rPr>
            <w:noProof/>
            <w:webHidden/>
          </w:rPr>
        </w:r>
        <w:r w:rsidR="006067C7">
          <w:rPr>
            <w:noProof/>
            <w:webHidden/>
          </w:rPr>
          <w:fldChar w:fldCharType="separate"/>
        </w:r>
        <w:r w:rsidR="006067C7">
          <w:rPr>
            <w:noProof/>
            <w:webHidden/>
          </w:rPr>
          <w:t>8</w:t>
        </w:r>
        <w:r w:rsidR="006067C7">
          <w:rPr>
            <w:noProof/>
            <w:webHidden/>
          </w:rPr>
          <w:fldChar w:fldCharType="end"/>
        </w:r>
      </w:hyperlink>
    </w:p>
    <w:p w14:paraId="78FB90A2" w14:textId="2F14AB37" w:rsidR="006067C7" w:rsidRDefault="00000000">
      <w:pPr>
        <w:pStyle w:val="Tabledesillustrations"/>
        <w:tabs>
          <w:tab w:val="right" w:leader="dot" w:pos="9060"/>
        </w:tabs>
        <w:rPr>
          <w:rFonts w:asciiTheme="minorHAnsi" w:eastAsiaTheme="minorEastAsia" w:hAnsiTheme="minorHAnsi"/>
          <w:noProof/>
          <w:lang w:val="en-US"/>
        </w:rPr>
      </w:pPr>
      <w:hyperlink w:anchor="_Toc72143351" w:history="1">
        <w:r w:rsidR="006067C7" w:rsidRPr="00A138BD">
          <w:rPr>
            <w:rStyle w:val="Lienhypertexte"/>
            <w:noProof/>
          </w:rPr>
          <w:t>Tableau 3 : Taux de couverture moyen à partir du ratio PRODCOM sur ESA au cours des années 2016 à 2018</w:t>
        </w:r>
        <w:r w:rsidR="006067C7">
          <w:rPr>
            <w:noProof/>
            <w:webHidden/>
          </w:rPr>
          <w:tab/>
        </w:r>
        <w:r w:rsidR="006067C7">
          <w:rPr>
            <w:noProof/>
            <w:webHidden/>
          </w:rPr>
          <w:fldChar w:fldCharType="begin"/>
        </w:r>
        <w:r w:rsidR="006067C7">
          <w:rPr>
            <w:noProof/>
            <w:webHidden/>
          </w:rPr>
          <w:instrText xml:space="preserve"> PAGEREF _Toc72143351 \h </w:instrText>
        </w:r>
        <w:r w:rsidR="006067C7">
          <w:rPr>
            <w:noProof/>
            <w:webHidden/>
          </w:rPr>
        </w:r>
        <w:r w:rsidR="006067C7">
          <w:rPr>
            <w:noProof/>
            <w:webHidden/>
          </w:rPr>
          <w:fldChar w:fldCharType="separate"/>
        </w:r>
        <w:r w:rsidR="006067C7">
          <w:rPr>
            <w:noProof/>
            <w:webHidden/>
          </w:rPr>
          <w:t>10</w:t>
        </w:r>
        <w:r w:rsidR="006067C7">
          <w:rPr>
            <w:noProof/>
            <w:webHidden/>
          </w:rPr>
          <w:fldChar w:fldCharType="end"/>
        </w:r>
      </w:hyperlink>
    </w:p>
    <w:p w14:paraId="65E87FD3" w14:textId="2C32CA79" w:rsidR="006067C7" w:rsidRDefault="00000000">
      <w:pPr>
        <w:pStyle w:val="Tabledesillustrations"/>
        <w:tabs>
          <w:tab w:val="right" w:leader="dot" w:pos="9060"/>
        </w:tabs>
        <w:rPr>
          <w:rFonts w:asciiTheme="minorHAnsi" w:eastAsiaTheme="minorEastAsia" w:hAnsiTheme="minorHAnsi"/>
          <w:noProof/>
          <w:lang w:val="en-US"/>
        </w:rPr>
      </w:pPr>
      <w:hyperlink w:anchor="_Toc72143352" w:history="1">
        <w:r w:rsidR="006067C7" w:rsidRPr="00A138BD">
          <w:rPr>
            <w:rStyle w:val="Lienhypertexte"/>
            <w:noProof/>
          </w:rPr>
          <w:t>Tableau 4 : Volumes de production en charcuterie salaison (dont mélanges multi espèces)2018, part relative des catégories de produits en % et évolution 2018/2017 en %</w:t>
        </w:r>
        <w:r w:rsidR="006067C7">
          <w:rPr>
            <w:noProof/>
            <w:webHidden/>
          </w:rPr>
          <w:tab/>
        </w:r>
        <w:r w:rsidR="006067C7">
          <w:rPr>
            <w:noProof/>
            <w:webHidden/>
          </w:rPr>
          <w:fldChar w:fldCharType="begin"/>
        </w:r>
        <w:r w:rsidR="006067C7">
          <w:rPr>
            <w:noProof/>
            <w:webHidden/>
          </w:rPr>
          <w:instrText xml:space="preserve"> PAGEREF _Toc72143352 \h </w:instrText>
        </w:r>
        <w:r w:rsidR="006067C7">
          <w:rPr>
            <w:noProof/>
            <w:webHidden/>
          </w:rPr>
        </w:r>
        <w:r w:rsidR="006067C7">
          <w:rPr>
            <w:noProof/>
            <w:webHidden/>
          </w:rPr>
          <w:fldChar w:fldCharType="separate"/>
        </w:r>
        <w:r w:rsidR="006067C7">
          <w:rPr>
            <w:noProof/>
            <w:webHidden/>
          </w:rPr>
          <w:t>13</w:t>
        </w:r>
        <w:r w:rsidR="006067C7">
          <w:rPr>
            <w:noProof/>
            <w:webHidden/>
          </w:rPr>
          <w:fldChar w:fldCharType="end"/>
        </w:r>
      </w:hyperlink>
    </w:p>
    <w:p w14:paraId="237CADED" w14:textId="435FA97F" w:rsidR="006067C7" w:rsidRDefault="00000000">
      <w:pPr>
        <w:pStyle w:val="Tabledesillustrations"/>
        <w:tabs>
          <w:tab w:val="right" w:leader="dot" w:pos="9060"/>
        </w:tabs>
        <w:rPr>
          <w:rFonts w:asciiTheme="minorHAnsi" w:eastAsiaTheme="minorEastAsia" w:hAnsiTheme="minorHAnsi"/>
          <w:noProof/>
          <w:lang w:val="en-US"/>
        </w:rPr>
      </w:pPr>
      <w:hyperlink w:anchor="_Toc72143353" w:history="1">
        <w:r w:rsidR="006067C7" w:rsidRPr="00A138BD">
          <w:rPr>
            <w:rStyle w:val="Lienhypertexte"/>
            <w:noProof/>
          </w:rPr>
          <w:t>Tableau 5 : Typologies de produits intégrant des produits de charcuterie salaison parmi les produits alimentaires élaborés</w:t>
        </w:r>
        <w:r w:rsidR="006067C7">
          <w:rPr>
            <w:noProof/>
            <w:webHidden/>
          </w:rPr>
          <w:tab/>
        </w:r>
        <w:r w:rsidR="006067C7">
          <w:rPr>
            <w:noProof/>
            <w:webHidden/>
          </w:rPr>
          <w:fldChar w:fldCharType="begin"/>
        </w:r>
        <w:r w:rsidR="006067C7">
          <w:rPr>
            <w:noProof/>
            <w:webHidden/>
          </w:rPr>
          <w:instrText xml:space="preserve"> PAGEREF _Toc72143353 \h </w:instrText>
        </w:r>
        <w:r w:rsidR="006067C7">
          <w:rPr>
            <w:noProof/>
            <w:webHidden/>
          </w:rPr>
        </w:r>
        <w:r w:rsidR="006067C7">
          <w:rPr>
            <w:noProof/>
            <w:webHidden/>
          </w:rPr>
          <w:fldChar w:fldCharType="separate"/>
        </w:r>
        <w:r w:rsidR="006067C7">
          <w:rPr>
            <w:noProof/>
            <w:webHidden/>
          </w:rPr>
          <w:t>14</w:t>
        </w:r>
        <w:r w:rsidR="006067C7">
          <w:rPr>
            <w:noProof/>
            <w:webHidden/>
          </w:rPr>
          <w:fldChar w:fldCharType="end"/>
        </w:r>
      </w:hyperlink>
    </w:p>
    <w:p w14:paraId="012922A3" w14:textId="326F4631" w:rsidR="006067C7" w:rsidRDefault="00000000">
      <w:pPr>
        <w:pStyle w:val="Tabledesillustrations"/>
        <w:tabs>
          <w:tab w:val="right" w:leader="dot" w:pos="9060"/>
        </w:tabs>
        <w:rPr>
          <w:rFonts w:asciiTheme="minorHAnsi" w:eastAsiaTheme="minorEastAsia" w:hAnsiTheme="minorHAnsi"/>
          <w:noProof/>
          <w:lang w:val="en-US"/>
        </w:rPr>
      </w:pPr>
      <w:hyperlink w:anchor="_Toc72143354" w:history="1">
        <w:r w:rsidR="006067C7" w:rsidRPr="00A138BD">
          <w:rPr>
            <w:rStyle w:val="Lienhypertexte"/>
            <w:noProof/>
          </w:rPr>
          <w:t>Tableau 6 : Reconstitution des volumes de production des produits traiteurs intégrant potentiellement du porc</w:t>
        </w:r>
        <w:r w:rsidR="006067C7">
          <w:rPr>
            <w:noProof/>
            <w:webHidden/>
          </w:rPr>
          <w:tab/>
        </w:r>
        <w:r w:rsidR="006067C7">
          <w:rPr>
            <w:noProof/>
            <w:webHidden/>
          </w:rPr>
          <w:fldChar w:fldCharType="begin"/>
        </w:r>
        <w:r w:rsidR="006067C7">
          <w:rPr>
            <w:noProof/>
            <w:webHidden/>
          </w:rPr>
          <w:instrText xml:space="preserve"> PAGEREF _Toc72143354 \h </w:instrText>
        </w:r>
        <w:r w:rsidR="006067C7">
          <w:rPr>
            <w:noProof/>
            <w:webHidden/>
          </w:rPr>
        </w:r>
        <w:r w:rsidR="006067C7">
          <w:rPr>
            <w:noProof/>
            <w:webHidden/>
          </w:rPr>
          <w:fldChar w:fldCharType="separate"/>
        </w:r>
        <w:r w:rsidR="006067C7">
          <w:rPr>
            <w:noProof/>
            <w:webHidden/>
          </w:rPr>
          <w:t>15</w:t>
        </w:r>
        <w:r w:rsidR="006067C7">
          <w:rPr>
            <w:noProof/>
            <w:webHidden/>
          </w:rPr>
          <w:fldChar w:fldCharType="end"/>
        </w:r>
      </w:hyperlink>
    </w:p>
    <w:p w14:paraId="222269E9" w14:textId="17C7212B" w:rsidR="006067C7" w:rsidRDefault="00000000">
      <w:pPr>
        <w:pStyle w:val="Tabledesillustrations"/>
        <w:tabs>
          <w:tab w:val="right" w:leader="dot" w:pos="9060"/>
        </w:tabs>
        <w:rPr>
          <w:rFonts w:asciiTheme="minorHAnsi" w:eastAsiaTheme="minorEastAsia" w:hAnsiTheme="minorHAnsi"/>
          <w:noProof/>
          <w:lang w:val="en-US"/>
        </w:rPr>
      </w:pPr>
      <w:hyperlink w:anchor="_Toc72143355" w:history="1">
        <w:r w:rsidR="006067C7" w:rsidRPr="00A138BD">
          <w:rPr>
            <w:rStyle w:val="Lienhypertexte"/>
            <w:noProof/>
          </w:rPr>
          <w:t>Tableau 7 : Déclinaison du tableau de correspondance PRODCOM 2018 et NC 2018 sur des codes de viandes fraîches</w:t>
        </w:r>
        <w:r w:rsidR="006067C7">
          <w:rPr>
            <w:noProof/>
            <w:webHidden/>
          </w:rPr>
          <w:tab/>
        </w:r>
        <w:r w:rsidR="006067C7">
          <w:rPr>
            <w:noProof/>
            <w:webHidden/>
          </w:rPr>
          <w:fldChar w:fldCharType="begin"/>
        </w:r>
        <w:r w:rsidR="006067C7">
          <w:rPr>
            <w:noProof/>
            <w:webHidden/>
          </w:rPr>
          <w:instrText xml:space="preserve"> PAGEREF _Toc72143355 \h </w:instrText>
        </w:r>
        <w:r w:rsidR="006067C7">
          <w:rPr>
            <w:noProof/>
            <w:webHidden/>
          </w:rPr>
        </w:r>
        <w:r w:rsidR="006067C7">
          <w:rPr>
            <w:noProof/>
            <w:webHidden/>
          </w:rPr>
          <w:fldChar w:fldCharType="separate"/>
        </w:r>
        <w:r w:rsidR="006067C7">
          <w:rPr>
            <w:noProof/>
            <w:webHidden/>
          </w:rPr>
          <w:t>16</w:t>
        </w:r>
        <w:r w:rsidR="006067C7">
          <w:rPr>
            <w:noProof/>
            <w:webHidden/>
          </w:rPr>
          <w:fldChar w:fldCharType="end"/>
        </w:r>
      </w:hyperlink>
    </w:p>
    <w:p w14:paraId="1D45C6F2" w14:textId="24ACF488" w:rsidR="006067C7" w:rsidRDefault="00000000">
      <w:pPr>
        <w:pStyle w:val="Tabledesillustrations"/>
        <w:tabs>
          <w:tab w:val="right" w:leader="dot" w:pos="9060"/>
        </w:tabs>
        <w:rPr>
          <w:rFonts w:asciiTheme="minorHAnsi" w:eastAsiaTheme="minorEastAsia" w:hAnsiTheme="minorHAnsi"/>
          <w:noProof/>
          <w:lang w:val="en-US"/>
        </w:rPr>
      </w:pPr>
      <w:hyperlink w:anchor="_Toc72143356" w:history="1">
        <w:r w:rsidR="006067C7" w:rsidRPr="00A138BD">
          <w:rPr>
            <w:rStyle w:val="Lienhypertexte"/>
            <w:noProof/>
          </w:rPr>
          <w:t>Tableau 8 : Disponible en viande de porc « brute » en sortie d’activité 10.11.Z en kt</w:t>
        </w:r>
        <w:r w:rsidR="006067C7">
          <w:rPr>
            <w:noProof/>
            <w:webHidden/>
          </w:rPr>
          <w:tab/>
        </w:r>
        <w:r w:rsidR="006067C7">
          <w:rPr>
            <w:noProof/>
            <w:webHidden/>
          </w:rPr>
          <w:fldChar w:fldCharType="begin"/>
        </w:r>
        <w:r w:rsidR="006067C7">
          <w:rPr>
            <w:noProof/>
            <w:webHidden/>
          </w:rPr>
          <w:instrText xml:space="preserve"> PAGEREF _Toc72143356 \h </w:instrText>
        </w:r>
        <w:r w:rsidR="006067C7">
          <w:rPr>
            <w:noProof/>
            <w:webHidden/>
          </w:rPr>
        </w:r>
        <w:r w:rsidR="006067C7">
          <w:rPr>
            <w:noProof/>
            <w:webHidden/>
          </w:rPr>
          <w:fldChar w:fldCharType="separate"/>
        </w:r>
        <w:r w:rsidR="006067C7">
          <w:rPr>
            <w:noProof/>
            <w:webHidden/>
          </w:rPr>
          <w:t>17</w:t>
        </w:r>
        <w:r w:rsidR="006067C7">
          <w:rPr>
            <w:noProof/>
            <w:webHidden/>
          </w:rPr>
          <w:fldChar w:fldCharType="end"/>
        </w:r>
      </w:hyperlink>
    </w:p>
    <w:p w14:paraId="18EDF2D8" w14:textId="12ACA419" w:rsidR="006067C7" w:rsidRDefault="00000000">
      <w:pPr>
        <w:pStyle w:val="Tabledesillustrations"/>
        <w:tabs>
          <w:tab w:val="right" w:leader="dot" w:pos="9060"/>
        </w:tabs>
        <w:rPr>
          <w:rFonts w:asciiTheme="minorHAnsi" w:eastAsiaTheme="minorEastAsia" w:hAnsiTheme="minorHAnsi"/>
          <w:noProof/>
          <w:lang w:val="en-US"/>
        </w:rPr>
      </w:pPr>
      <w:hyperlink w:anchor="_Toc72143357" w:history="1">
        <w:r w:rsidR="006067C7" w:rsidRPr="00A138BD">
          <w:rPr>
            <w:rStyle w:val="Lienhypertexte"/>
            <w:noProof/>
          </w:rPr>
          <w:t>Tableau 9 : Disponible en graisses et saindoux de porc en sortie d’activité 10.11.Z kt</w:t>
        </w:r>
        <w:r w:rsidR="006067C7">
          <w:rPr>
            <w:noProof/>
            <w:webHidden/>
          </w:rPr>
          <w:tab/>
        </w:r>
        <w:r w:rsidR="006067C7">
          <w:rPr>
            <w:noProof/>
            <w:webHidden/>
          </w:rPr>
          <w:fldChar w:fldCharType="begin"/>
        </w:r>
        <w:r w:rsidR="006067C7">
          <w:rPr>
            <w:noProof/>
            <w:webHidden/>
          </w:rPr>
          <w:instrText xml:space="preserve"> PAGEREF _Toc72143357 \h </w:instrText>
        </w:r>
        <w:r w:rsidR="006067C7">
          <w:rPr>
            <w:noProof/>
            <w:webHidden/>
          </w:rPr>
        </w:r>
        <w:r w:rsidR="006067C7">
          <w:rPr>
            <w:noProof/>
            <w:webHidden/>
          </w:rPr>
          <w:fldChar w:fldCharType="separate"/>
        </w:r>
        <w:r w:rsidR="006067C7">
          <w:rPr>
            <w:noProof/>
            <w:webHidden/>
          </w:rPr>
          <w:t>18</w:t>
        </w:r>
        <w:r w:rsidR="006067C7">
          <w:rPr>
            <w:noProof/>
            <w:webHidden/>
          </w:rPr>
          <w:fldChar w:fldCharType="end"/>
        </w:r>
      </w:hyperlink>
    </w:p>
    <w:p w14:paraId="7B89F7C8" w14:textId="1A28B1CF" w:rsidR="006067C7" w:rsidRDefault="00000000">
      <w:pPr>
        <w:pStyle w:val="Tabledesillustrations"/>
        <w:tabs>
          <w:tab w:val="right" w:leader="dot" w:pos="9060"/>
        </w:tabs>
        <w:rPr>
          <w:rFonts w:asciiTheme="minorHAnsi" w:eastAsiaTheme="minorEastAsia" w:hAnsiTheme="minorHAnsi"/>
          <w:noProof/>
          <w:lang w:val="en-US"/>
        </w:rPr>
      </w:pPr>
      <w:hyperlink w:anchor="_Toc72143358" w:history="1">
        <w:r w:rsidR="006067C7" w:rsidRPr="00A138BD">
          <w:rPr>
            <w:rStyle w:val="Lienhypertexte"/>
            <w:noProof/>
          </w:rPr>
          <w:t>Tableau 10 : Données import-export France en abats de porc 2018 kt</w:t>
        </w:r>
        <w:r w:rsidR="006067C7">
          <w:rPr>
            <w:noProof/>
            <w:webHidden/>
          </w:rPr>
          <w:tab/>
        </w:r>
        <w:r w:rsidR="006067C7">
          <w:rPr>
            <w:noProof/>
            <w:webHidden/>
          </w:rPr>
          <w:fldChar w:fldCharType="begin"/>
        </w:r>
        <w:r w:rsidR="006067C7">
          <w:rPr>
            <w:noProof/>
            <w:webHidden/>
          </w:rPr>
          <w:instrText xml:space="preserve"> PAGEREF _Toc72143358 \h </w:instrText>
        </w:r>
        <w:r w:rsidR="006067C7">
          <w:rPr>
            <w:noProof/>
            <w:webHidden/>
          </w:rPr>
        </w:r>
        <w:r w:rsidR="006067C7">
          <w:rPr>
            <w:noProof/>
            <w:webHidden/>
          </w:rPr>
          <w:fldChar w:fldCharType="separate"/>
        </w:r>
        <w:r w:rsidR="006067C7">
          <w:rPr>
            <w:noProof/>
            <w:webHidden/>
          </w:rPr>
          <w:t>18</w:t>
        </w:r>
        <w:r w:rsidR="006067C7">
          <w:rPr>
            <w:noProof/>
            <w:webHidden/>
          </w:rPr>
          <w:fldChar w:fldCharType="end"/>
        </w:r>
      </w:hyperlink>
    </w:p>
    <w:p w14:paraId="76F3BBC3" w14:textId="1DB3C9C0" w:rsidR="006067C7" w:rsidRDefault="00000000">
      <w:pPr>
        <w:pStyle w:val="Tabledesillustrations"/>
        <w:tabs>
          <w:tab w:val="right" w:leader="dot" w:pos="9060"/>
        </w:tabs>
        <w:rPr>
          <w:rFonts w:asciiTheme="minorHAnsi" w:eastAsiaTheme="minorEastAsia" w:hAnsiTheme="minorHAnsi"/>
          <w:noProof/>
          <w:lang w:val="en-US"/>
        </w:rPr>
      </w:pPr>
      <w:hyperlink w:anchor="_Toc72143359" w:history="1">
        <w:r w:rsidR="006067C7" w:rsidRPr="00A138BD">
          <w:rPr>
            <w:rStyle w:val="Lienhypertexte"/>
            <w:noProof/>
          </w:rPr>
          <w:t>Tableau 11 : Synthèse du volume disponible connu en sortie d’activité 10.11.Z en kt</w:t>
        </w:r>
        <w:r w:rsidR="006067C7">
          <w:rPr>
            <w:noProof/>
            <w:webHidden/>
          </w:rPr>
          <w:tab/>
        </w:r>
        <w:r w:rsidR="006067C7">
          <w:rPr>
            <w:noProof/>
            <w:webHidden/>
          </w:rPr>
          <w:fldChar w:fldCharType="begin"/>
        </w:r>
        <w:r w:rsidR="006067C7">
          <w:rPr>
            <w:noProof/>
            <w:webHidden/>
          </w:rPr>
          <w:instrText xml:space="preserve"> PAGEREF _Toc72143359 \h </w:instrText>
        </w:r>
        <w:r w:rsidR="006067C7">
          <w:rPr>
            <w:noProof/>
            <w:webHidden/>
          </w:rPr>
        </w:r>
        <w:r w:rsidR="006067C7">
          <w:rPr>
            <w:noProof/>
            <w:webHidden/>
          </w:rPr>
          <w:fldChar w:fldCharType="separate"/>
        </w:r>
        <w:r w:rsidR="006067C7">
          <w:rPr>
            <w:noProof/>
            <w:webHidden/>
          </w:rPr>
          <w:t>18</w:t>
        </w:r>
        <w:r w:rsidR="006067C7">
          <w:rPr>
            <w:noProof/>
            <w:webHidden/>
          </w:rPr>
          <w:fldChar w:fldCharType="end"/>
        </w:r>
      </w:hyperlink>
    </w:p>
    <w:p w14:paraId="7F77130F" w14:textId="7E08BE43" w:rsidR="006067C7" w:rsidRDefault="00000000">
      <w:pPr>
        <w:pStyle w:val="Tabledesillustrations"/>
        <w:tabs>
          <w:tab w:val="right" w:leader="dot" w:pos="9060"/>
        </w:tabs>
        <w:rPr>
          <w:rFonts w:asciiTheme="minorHAnsi" w:eastAsiaTheme="minorEastAsia" w:hAnsiTheme="minorHAnsi"/>
          <w:noProof/>
          <w:lang w:val="en-US"/>
        </w:rPr>
      </w:pPr>
      <w:hyperlink w:anchor="_Toc72143360" w:history="1">
        <w:r w:rsidR="006067C7" w:rsidRPr="00A138BD">
          <w:rPr>
            <w:rStyle w:val="Lienhypertexte"/>
            <w:noProof/>
          </w:rPr>
          <w:t>Tableau 12 : Disponible en viande fraîche SSF en 2018</w:t>
        </w:r>
        <w:r w:rsidR="006067C7">
          <w:rPr>
            <w:noProof/>
            <w:webHidden/>
          </w:rPr>
          <w:tab/>
        </w:r>
        <w:r w:rsidR="006067C7">
          <w:rPr>
            <w:noProof/>
            <w:webHidden/>
          </w:rPr>
          <w:fldChar w:fldCharType="begin"/>
        </w:r>
        <w:r w:rsidR="006067C7">
          <w:rPr>
            <w:noProof/>
            <w:webHidden/>
          </w:rPr>
          <w:instrText xml:space="preserve"> PAGEREF _Toc72143360 \h </w:instrText>
        </w:r>
        <w:r w:rsidR="006067C7">
          <w:rPr>
            <w:noProof/>
            <w:webHidden/>
          </w:rPr>
        </w:r>
        <w:r w:rsidR="006067C7">
          <w:rPr>
            <w:noProof/>
            <w:webHidden/>
          </w:rPr>
          <w:fldChar w:fldCharType="separate"/>
        </w:r>
        <w:r w:rsidR="006067C7">
          <w:rPr>
            <w:noProof/>
            <w:webHidden/>
          </w:rPr>
          <w:t>19</w:t>
        </w:r>
        <w:r w:rsidR="006067C7">
          <w:rPr>
            <w:noProof/>
            <w:webHidden/>
          </w:rPr>
          <w:fldChar w:fldCharType="end"/>
        </w:r>
      </w:hyperlink>
    </w:p>
    <w:p w14:paraId="162323F5" w14:textId="220631DA" w:rsidR="006067C7" w:rsidRDefault="00000000">
      <w:pPr>
        <w:pStyle w:val="Tabledesillustrations"/>
        <w:tabs>
          <w:tab w:val="right" w:leader="dot" w:pos="9060"/>
        </w:tabs>
        <w:rPr>
          <w:rFonts w:asciiTheme="minorHAnsi" w:eastAsiaTheme="minorEastAsia" w:hAnsiTheme="minorHAnsi"/>
          <w:noProof/>
          <w:lang w:val="en-US"/>
        </w:rPr>
      </w:pPr>
      <w:hyperlink w:anchor="_Toc72143361" w:history="1">
        <w:r w:rsidR="006067C7" w:rsidRPr="00A138BD">
          <w:rPr>
            <w:rStyle w:val="Lienhypertexte"/>
            <w:noProof/>
          </w:rPr>
          <w:t>Tableau 13 : Disponible en volume saucisses et saucisson en volume kt en 2018</w:t>
        </w:r>
        <w:r w:rsidR="006067C7">
          <w:rPr>
            <w:noProof/>
            <w:webHidden/>
          </w:rPr>
          <w:tab/>
        </w:r>
        <w:r w:rsidR="006067C7">
          <w:rPr>
            <w:noProof/>
            <w:webHidden/>
          </w:rPr>
          <w:fldChar w:fldCharType="begin"/>
        </w:r>
        <w:r w:rsidR="006067C7">
          <w:rPr>
            <w:noProof/>
            <w:webHidden/>
          </w:rPr>
          <w:instrText xml:space="preserve"> PAGEREF _Toc72143361 \h </w:instrText>
        </w:r>
        <w:r w:rsidR="006067C7">
          <w:rPr>
            <w:noProof/>
            <w:webHidden/>
          </w:rPr>
        </w:r>
        <w:r w:rsidR="006067C7">
          <w:rPr>
            <w:noProof/>
            <w:webHidden/>
          </w:rPr>
          <w:fldChar w:fldCharType="separate"/>
        </w:r>
        <w:r w:rsidR="006067C7">
          <w:rPr>
            <w:noProof/>
            <w:webHidden/>
          </w:rPr>
          <w:t>20</w:t>
        </w:r>
        <w:r w:rsidR="006067C7">
          <w:rPr>
            <w:noProof/>
            <w:webHidden/>
          </w:rPr>
          <w:fldChar w:fldCharType="end"/>
        </w:r>
      </w:hyperlink>
    </w:p>
    <w:p w14:paraId="5D272B12" w14:textId="52121E66" w:rsidR="006067C7" w:rsidRDefault="00000000">
      <w:pPr>
        <w:pStyle w:val="Tabledesillustrations"/>
        <w:tabs>
          <w:tab w:val="right" w:leader="dot" w:pos="9060"/>
        </w:tabs>
        <w:rPr>
          <w:rFonts w:asciiTheme="minorHAnsi" w:eastAsiaTheme="minorEastAsia" w:hAnsiTheme="minorHAnsi"/>
          <w:noProof/>
          <w:lang w:val="en-US"/>
        </w:rPr>
      </w:pPr>
      <w:hyperlink w:anchor="_Toc72143362" w:history="1">
        <w:r w:rsidR="006067C7" w:rsidRPr="00A138BD">
          <w:rPr>
            <w:rStyle w:val="Lienhypertexte"/>
            <w:noProof/>
          </w:rPr>
          <w:t>Tableau 14 : Disponible en salaison cuite partielle en 2018</w:t>
        </w:r>
        <w:r w:rsidR="006067C7">
          <w:rPr>
            <w:noProof/>
            <w:webHidden/>
          </w:rPr>
          <w:tab/>
        </w:r>
        <w:r w:rsidR="006067C7">
          <w:rPr>
            <w:noProof/>
            <w:webHidden/>
          </w:rPr>
          <w:fldChar w:fldCharType="begin"/>
        </w:r>
        <w:r w:rsidR="006067C7">
          <w:rPr>
            <w:noProof/>
            <w:webHidden/>
          </w:rPr>
          <w:instrText xml:space="preserve"> PAGEREF _Toc72143362 \h </w:instrText>
        </w:r>
        <w:r w:rsidR="006067C7">
          <w:rPr>
            <w:noProof/>
            <w:webHidden/>
          </w:rPr>
        </w:r>
        <w:r w:rsidR="006067C7">
          <w:rPr>
            <w:noProof/>
            <w:webHidden/>
          </w:rPr>
          <w:fldChar w:fldCharType="separate"/>
        </w:r>
        <w:r w:rsidR="006067C7">
          <w:rPr>
            <w:noProof/>
            <w:webHidden/>
          </w:rPr>
          <w:t>20</w:t>
        </w:r>
        <w:r w:rsidR="006067C7">
          <w:rPr>
            <w:noProof/>
            <w:webHidden/>
          </w:rPr>
          <w:fldChar w:fldCharType="end"/>
        </w:r>
      </w:hyperlink>
    </w:p>
    <w:p w14:paraId="42AC2CCD" w14:textId="7DF4A0B5" w:rsidR="006067C7" w:rsidRDefault="00000000">
      <w:pPr>
        <w:pStyle w:val="Tabledesillustrations"/>
        <w:tabs>
          <w:tab w:val="right" w:leader="dot" w:pos="9060"/>
        </w:tabs>
        <w:rPr>
          <w:rFonts w:asciiTheme="minorHAnsi" w:eastAsiaTheme="minorEastAsia" w:hAnsiTheme="minorHAnsi"/>
          <w:noProof/>
          <w:lang w:val="en-US"/>
        </w:rPr>
      </w:pPr>
      <w:hyperlink w:anchor="_Toc72143363" w:history="1">
        <w:r w:rsidR="006067C7" w:rsidRPr="00A138BD">
          <w:rPr>
            <w:rStyle w:val="Lienhypertexte"/>
            <w:noProof/>
          </w:rPr>
          <w:t>Tableau 15 : Disponible en volume en autres cuits et charcuterie cuite en 2018</w:t>
        </w:r>
        <w:r w:rsidR="006067C7">
          <w:rPr>
            <w:noProof/>
            <w:webHidden/>
          </w:rPr>
          <w:tab/>
        </w:r>
        <w:r w:rsidR="006067C7">
          <w:rPr>
            <w:noProof/>
            <w:webHidden/>
          </w:rPr>
          <w:fldChar w:fldCharType="begin"/>
        </w:r>
        <w:r w:rsidR="006067C7">
          <w:rPr>
            <w:noProof/>
            <w:webHidden/>
          </w:rPr>
          <w:instrText xml:space="preserve"> PAGEREF _Toc72143363 \h </w:instrText>
        </w:r>
        <w:r w:rsidR="006067C7">
          <w:rPr>
            <w:noProof/>
            <w:webHidden/>
          </w:rPr>
        </w:r>
        <w:r w:rsidR="006067C7">
          <w:rPr>
            <w:noProof/>
            <w:webHidden/>
          </w:rPr>
          <w:fldChar w:fldCharType="separate"/>
        </w:r>
        <w:r w:rsidR="006067C7">
          <w:rPr>
            <w:noProof/>
            <w:webHidden/>
          </w:rPr>
          <w:t>21</w:t>
        </w:r>
        <w:r w:rsidR="006067C7">
          <w:rPr>
            <w:noProof/>
            <w:webHidden/>
          </w:rPr>
          <w:fldChar w:fldCharType="end"/>
        </w:r>
      </w:hyperlink>
    </w:p>
    <w:p w14:paraId="623F9773" w14:textId="45EFD5DC" w:rsidR="006067C7" w:rsidRDefault="00000000">
      <w:pPr>
        <w:pStyle w:val="Tabledesillustrations"/>
        <w:tabs>
          <w:tab w:val="right" w:leader="dot" w:pos="9060"/>
        </w:tabs>
        <w:rPr>
          <w:rFonts w:asciiTheme="minorHAnsi" w:eastAsiaTheme="minorEastAsia" w:hAnsiTheme="minorHAnsi"/>
          <w:noProof/>
          <w:lang w:val="en-US"/>
        </w:rPr>
      </w:pPr>
      <w:hyperlink w:anchor="_Toc72143364" w:history="1">
        <w:r w:rsidR="006067C7" w:rsidRPr="00A138BD">
          <w:rPr>
            <w:rStyle w:val="Lienhypertexte"/>
            <w:noProof/>
          </w:rPr>
          <w:t>Tableau 16 : Disponible en volume en autres cuits et charcuterie cuite en 2018</w:t>
        </w:r>
        <w:r w:rsidR="006067C7">
          <w:rPr>
            <w:noProof/>
            <w:webHidden/>
          </w:rPr>
          <w:tab/>
        </w:r>
        <w:r w:rsidR="006067C7">
          <w:rPr>
            <w:noProof/>
            <w:webHidden/>
          </w:rPr>
          <w:fldChar w:fldCharType="begin"/>
        </w:r>
        <w:r w:rsidR="006067C7">
          <w:rPr>
            <w:noProof/>
            <w:webHidden/>
          </w:rPr>
          <w:instrText xml:space="preserve"> PAGEREF _Toc72143364 \h </w:instrText>
        </w:r>
        <w:r w:rsidR="006067C7">
          <w:rPr>
            <w:noProof/>
            <w:webHidden/>
          </w:rPr>
        </w:r>
        <w:r w:rsidR="006067C7">
          <w:rPr>
            <w:noProof/>
            <w:webHidden/>
          </w:rPr>
          <w:fldChar w:fldCharType="separate"/>
        </w:r>
        <w:r w:rsidR="006067C7">
          <w:rPr>
            <w:noProof/>
            <w:webHidden/>
          </w:rPr>
          <w:t>21</w:t>
        </w:r>
        <w:r w:rsidR="006067C7">
          <w:rPr>
            <w:noProof/>
            <w:webHidden/>
          </w:rPr>
          <w:fldChar w:fldCharType="end"/>
        </w:r>
      </w:hyperlink>
    </w:p>
    <w:p w14:paraId="3CA214F5" w14:textId="6188C6F8" w:rsidR="006067C7" w:rsidRDefault="00000000">
      <w:pPr>
        <w:pStyle w:val="Tabledesillustrations"/>
        <w:tabs>
          <w:tab w:val="right" w:leader="dot" w:pos="9060"/>
        </w:tabs>
        <w:rPr>
          <w:rFonts w:asciiTheme="minorHAnsi" w:eastAsiaTheme="minorEastAsia" w:hAnsiTheme="minorHAnsi"/>
          <w:noProof/>
          <w:lang w:val="en-US"/>
        </w:rPr>
      </w:pPr>
      <w:hyperlink w:anchor="_Toc72143365" w:history="1">
        <w:r w:rsidR="006067C7" w:rsidRPr="00A138BD">
          <w:rPr>
            <w:rStyle w:val="Lienhypertexte"/>
            <w:noProof/>
          </w:rPr>
          <w:t>Tableau 17 : Disponible en volume en autres cuits et charcuterie cuite en 2018</w:t>
        </w:r>
        <w:r w:rsidR="006067C7">
          <w:rPr>
            <w:noProof/>
            <w:webHidden/>
          </w:rPr>
          <w:tab/>
        </w:r>
        <w:r w:rsidR="006067C7">
          <w:rPr>
            <w:noProof/>
            <w:webHidden/>
          </w:rPr>
          <w:fldChar w:fldCharType="begin"/>
        </w:r>
        <w:r w:rsidR="006067C7">
          <w:rPr>
            <w:noProof/>
            <w:webHidden/>
          </w:rPr>
          <w:instrText xml:space="preserve"> PAGEREF _Toc72143365 \h </w:instrText>
        </w:r>
        <w:r w:rsidR="006067C7">
          <w:rPr>
            <w:noProof/>
            <w:webHidden/>
          </w:rPr>
        </w:r>
        <w:r w:rsidR="006067C7">
          <w:rPr>
            <w:noProof/>
            <w:webHidden/>
          </w:rPr>
          <w:fldChar w:fldCharType="separate"/>
        </w:r>
        <w:r w:rsidR="006067C7">
          <w:rPr>
            <w:noProof/>
            <w:webHidden/>
          </w:rPr>
          <w:t>22</w:t>
        </w:r>
        <w:r w:rsidR="006067C7">
          <w:rPr>
            <w:noProof/>
            <w:webHidden/>
          </w:rPr>
          <w:fldChar w:fldCharType="end"/>
        </w:r>
      </w:hyperlink>
    </w:p>
    <w:p w14:paraId="310AD059" w14:textId="26DAC438" w:rsidR="006067C7" w:rsidRDefault="00000000">
      <w:pPr>
        <w:pStyle w:val="Tabledesillustrations"/>
        <w:tabs>
          <w:tab w:val="right" w:leader="dot" w:pos="9060"/>
        </w:tabs>
        <w:rPr>
          <w:rFonts w:asciiTheme="minorHAnsi" w:eastAsiaTheme="minorEastAsia" w:hAnsiTheme="minorHAnsi"/>
          <w:noProof/>
          <w:lang w:val="en-US"/>
        </w:rPr>
      </w:pPr>
      <w:hyperlink w:anchor="_Toc72143366" w:history="1">
        <w:r w:rsidR="006067C7" w:rsidRPr="00A138BD">
          <w:rPr>
            <w:rStyle w:val="Lienhypertexte"/>
            <w:noProof/>
          </w:rPr>
          <w:t>Tableau 18 : Appariement des données PRODCOM et des codes douaniers NC8 pour les catégories de produits traiteurs intégrant du porc</w:t>
        </w:r>
        <w:r w:rsidR="006067C7">
          <w:rPr>
            <w:noProof/>
            <w:webHidden/>
          </w:rPr>
          <w:tab/>
        </w:r>
        <w:r w:rsidR="006067C7">
          <w:rPr>
            <w:noProof/>
            <w:webHidden/>
          </w:rPr>
          <w:fldChar w:fldCharType="begin"/>
        </w:r>
        <w:r w:rsidR="006067C7">
          <w:rPr>
            <w:noProof/>
            <w:webHidden/>
          </w:rPr>
          <w:instrText xml:space="preserve"> PAGEREF _Toc72143366 \h </w:instrText>
        </w:r>
        <w:r w:rsidR="006067C7">
          <w:rPr>
            <w:noProof/>
            <w:webHidden/>
          </w:rPr>
        </w:r>
        <w:r w:rsidR="006067C7">
          <w:rPr>
            <w:noProof/>
            <w:webHidden/>
          </w:rPr>
          <w:fldChar w:fldCharType="separate"/>
        </w:r>
        <w:r w:rsidR="006067C7">
          <w:rPr>
            <w:noProof/>
            <w:webHidden/>
          </w:rPr>
          <w:t>22</w:t>
        </w:r>
        <w:r w:rsidR="006067C7">
          <w:rPr>
            <w:noProof/>
            <w:webHidden/>
          </w:rPr>
          <w:fldChar w:fldCharType="end"/>
        </w:r>
      </w:hyperlink>
    </w:p>
    <w:p w14:paraId="06E7BBE7" w14:textId="77EA26C8" w:rsidR="006067C7" w:rsidRDefault="00000000">
      <w:pPr>
        <w:pStyle w:val="Tabledesillustrations"/>
        <w:tabs>
          <w:tab w:val="right" w:leader="dot" w:pos="9060"/>
        </w:tabs>
        <w:rPr>
          <w:rFonts w:asciiTheme="minorHAnsi" w:eastAsiaTheme="minorEastAsia" w:hAnsiTheme="minorHAnsi"/>
          <w:noProof/>
          <w:lang w:val="en-US"/>
        </w:rPr>
      </w:pPr>
      <w:hyperlink w:anchor="_Toc72143367" w:history="1">
        <w:r w:rsidR="006067C7" w:rsidRPr="00A138BD">
          <w:rPr>
            <w:rStyle w:val="Lienhypertexte"/>
            <w:noProof/>
          </w:rPr>
          <w:t>Tableau 19 : Récapitulatif des sources d’analyse</w:t>
        </w:r>
        <w:r w:rsidR="006067C7">
          <w:rPr>
            <w:noProof/>
            <w:webHidden/>
          </w:rPr>
          <w:tab/>
        </w:r>
        <w:r w:rsidR="006067C7">
          <w:rPr>
            <w:noProof/>
            <w:webHidden/>
          </w:rPr>
          <w:fldChar w:fldCharType="begin"/>
        </w:r>
        <w:r w:rsidR="006067C7">
          <w:rPr>
            <w:noProof/>
            <w:webHidden/>
          </w:rPr>
          <w:instrText xml:space="preserve"> PAGEREF _Toc72143367 \h </w:instrText>
        </w:r>
        <w:r w:rsidR="006067C7">
          <w:rPr>
            <w:noProof/>
            <w:webHidden/>
          </w:rPr>
        </w:r>
        <w:r w:rsidR="006067C7">
          <w:rPr>
            <w:noProof/>
            <w:webHidden/>
          </w:rPr>
          <w:fldChar w:fldCharType="separate"/>
        </w:r>
        <w:r w:rsidR="006067C7">
          <w:rPr>
            <w:noProof/>
            <w:webHidden/>
          </w:rPr>
          <w:t>24</w:t>
        </w:r>
        <w:r w:rsidR="006067C7">
          <w:rPr>
            <w:noProof/>
            <w:webHidden/>
          </w:rPr>
          <w:fldChar w:fldCharType="end"/>
        </w:r>
      </w:hyperlink>
    </w:p>
    <w:p w14:paraId="03205108" w14:textId="2C6B46CF" w:rsidR="006067C7" w:rsidRDefault="00000000">
      <w:pPr>
        <w:pStyle w:val="Tabledesillustrations"/>
        <w:tabs>
          <w:tab w:val="right" w:leader="dot" w:pos="9060"/>
        </w:tabs>
        <w:rPr>
          <w:rFonts w:asciiTheme="minorHAnsi" w:eastAsiaTheme="minorEastAsia" w:hAnsiTheme="minorHAnsi"/>
          <w:noProof/>
          <w:lang w:val="en-US"/>
        </w:rPr>
      </w:pPr>
      <w:hyperlink w:anchor="_Toc72143368" w:history="1">
        <w:r w:rsidR="006067C7" w:rsidRPr="00A138BD">
          <w:rPr>
            <w:rStyle w:val="Lienhypertexte"/>
            <w:noProof/>
          </w:rPr>
          <w:t>Tableau 20 : Dépenses moyennes annuelles des ménages en euro des produits alimentaires (dont boissons non alcoolisées) à domicile et hors domicile sur le total des dépenses et en viande sur le total produits alimentaires (dont boissons non alcoolisées)</w:t>
        </w:r>
        <w:r w:rsidR="006067C7">
          <w:rPr>
            <w:noProof/>
            <w:webHidden/>
          </w:rPr>
          <w:tab/>
        </w:r>
        <w:r w:rsidR="006067C7">
          <w:rPr>
            <w:noProof/>
            <w:webHidden/>
          </w:rPr>
          <w:fldChar w:fldCharType="begin"/>
        </w:r>
        <w:r w:rsidR="006067C7">
          <w:rPr>
            <w:noProof/>
            <w:webHidden/>
          </w:rPr>
          <w:instrText xml:space="preserve"> PAGEREF _Toc72143368 \h </w:instrText>
        </w:r>
        <w:r w:rsidR="006067C7">
          <w:rPr>
            <w:noProof/>
            <w:webHidden/>
          </w:rPr>
        </w:r>
        <w:r w:rsidR="006067C7">
          <w:rPr>
            <w:noProof/>
            <w:webHidden/>
          </w:rPr>
          <w:fldChar w:fldCharType="separate"/>
        </w:r>
        <w:r w:rsidR="006067C7">
          <w:rPr>
            <w:noProof/>
            <w:webHidden/>
          </w:rPr>
          <w:t>25</w:t>
        </w:r>
        <w:r w:rsidR="006067C7">
          <w:rPr>
            <w:noProof/>
            <w:webHidden/>
          </w:rPr>
          <w:fldChar w:fldCharType="end"/>
        </w:r>
      </w:hyperlink>
    </w:p>
    <w:p w14:paraId="09D157A8" w14:textId="79ACFBCD" w:rsidR="006067C7" w:rsidRDefault="00000000">
      <w:pPr>
        <w:pStyle w:val="Tabledesillustrations"/>
        <w:tabs>
          <w:tab w:val="right" w:leader="dot" w:pos="9060"/>
        </w:tabs>
        <w:rPr>
          <w:rFonts w:asciiTheme="minorHAnsi" w:eastAsiaTheme="minorEastAsia" w:hAnsiTheme="minorHAnsi"/>
          <w:noProof/>
          <w:lang w:val="en-US"/>
        </w:rPr>
      </w:pPr>
      <w:hyperlink w:anchor="_Toc72143369" w:history="1">
        <w:r w:rsidR="006067C7" w:rsidRPr="00A138BD">
          <w:rPr>
            <w:rStyle w:val="Lienhypertexte"/>
            <w:noProof/>
          </w:rPr>
          <w:t>Tableau 21 : Approche comparative de la ventilation de la part des dépenses des ménages à domicile entre les données BDF 2017 et celles des comptes nationaux par type de produit</w:t>
        </w:r>
        <w:r w:rsidR="006067C7">
          <w:rPr>
            <w:noProof/>
            <w:webHidden/>
          </w:rPr>
          <w:tab/>
        </w:r>
        <w:r w:rsidR="006067C7">
          <w:rPr>
            <w:noProof/>
            <w:webHidden/>
          </w:rPr>
          <w:fldChar w:fldCharType="begin"/>
        </w:r>
        <w:r w:rsidR="006067C7">
          <w:rPr>
            <w:noProof/>
            <w:webHidden/>
          </w:rPr>
          <w:instrText xml:space="preserve"> PAGEREF _Toc72143369 \h </w:instrText>
        </w:r>
        <w:r w:rsidR="006067C7">
          <w:rPr>
            <w:noProof/>
            <w:webHidden/>
          </w:rPr>
        </w:r>
        <w:r w:rsidR="006067C7">
          <w:rPr>
            <w:noProof/>
            <w:webHidden/>
          </w:rPr>
          <w:fldChar w:fldCharType="separate"/>
        </w:r>
        <w:r w:rsidR="006067C7">
          <w:rPr>
            <w:noProof/>
            <w:webHidden/>
          </w:rPr>
          <w:t>28</w:t>
        </w:r>
        <w:r w:rsidR="006067C7">
          <w:rPr>
            <w:noProof/>
            <w:webHidden/>
          </w:rPr>
          <w:fldChar w:fldCharType="end"/>
        </w:r>
      </w:hyperlink>
    </w:p>
    <w:p w14:paraId="3F1C80E8" w14:textId="296F15D4" w:rsidR="006067C7" w:rsidRDefault="00000000">
      <w:pPr>
        <w:pStyle w:val="Tabledesillustrations"/>
        <w:tabs>
          <w:tab w:val="right" w:leader="dot" w:pos="9060"/>
        </w:tabs>
        <w:rPr>
          <w:rFonts w:asciiTheme="minorHAnsi" w:eastAsiaTheme="minorEastAsia" w:hAnsiTheme="minorHAnsi"/>
          <w:noProof/>
          <w:lang w:val="en-US"/>
        </w:rPr>
      </w:pPr>
      <w:hyperlink w:anchor="_Toc72143370" w:history="1">
        <w:r w:rsidR="006067C7" w:rsidRPr="00A138BD">
          <w:rPr>
            <w:rStyle w:val="Lienhypertexte"/>
            <w:noProof/>
          </w:rPr>
          <w:t>Tableau 22 : Taux de consommateurs moyen, consommations moyennes par jour et contributions moyennes des groupes d’aliments aux Apports Energétiques Totaux (AET) par tranche d’âge</w:t>
        </w:r>
        <w:r w:rsidR="006067C7">
          <w:rPr>
            <w:noProof/>
            <w:webHidden/>
          </w:rPr>
          <w:tab/>
        </w:r>
        <w:r w:rsidR="006067C7">
          <w:rPr>
            <w:noProof/>
            <w:webHidden/>
          </w:rPr>
          <w:fldChar w:fldCharType="begin"/>
        </w:r>
        <w:r w:rsidR="006067C7">
          <w:rPr>
            <w:noProof/>
            <w:webHidden/>
          </w:rPr>
          <w:instrText xml:space="preserve"> PAGEREF _Toc72143370 \h </w:instrText>
        </w:r>
        <w:r w:rsidR="006067C7">
          <w:rPr>
            <w:noProof/>
            <w:webHidden/>
          </w:rPr>
        </w:r>
        <w:r w:rsidR="006067C7">
          <w:rPr>
            <w:noProof/>
            <w:webHidden/>
          </w:rPr>
          <w:fldChar w:fldCharType="separate"/>
        </w:r>
        <w:r w:rsidR="006067C7">
          <w:rPr>
            <w:noProof/>
            <w:webHidden/>
          </w:rPr>
          <w:t>30</w:t>
        </w:r>
        <w:r w:rsidR="006067C7">
          <w:rPr>
            <w:noProof/>
            <w:webHidden/>
          </w:rPr>
          <w:fldChar w:fldCharType="end"/>
        </w:r>
      </w:hyperlink>
    </w:p>
    <w:p w14:paraId="438A0995" w14:textId="6F5FA0B2" w:rsidR="006067C7" w:rsidRDefault="00000000">
      <w:pPr>
        <w:pStyle w:val="Tabledesillustrations"/>
        <w:tabs>
          <w:tab w:val="right" w:leader="dot" w:pos="9060"/>
        </w:tabs>
        <w:rPr>
          <w:rFonts w:asciiTheme="minorHAnsi" w:eastAsiaTheme="minorEastAsia" w:hAnsiTheme="minorHAnsi"/>
          <w:noProof/>
          <w:lang w:val="en-US"/>
        </w:rPr>
      </w:pPr>
      <w:hyperlink w:anchor="_Toc72143371" w:history="1">
        <w:r w:rsidR="006067C7" w:rsidRPr="00A138BD">
          <w:rPr>
            <w:rStyle w:val="Lienhypertexte"/>
            <w:noProof/>
          </w:rPr>
          <w:t>Tableau 23 : Répartition moyenne (% et IC à 95%) des consommations journalières individuelles selon le lieu de consommation par groupe d’aliments1, pour les adultes de 18 à 79 ans</w:t>
        </w:r>
        <w:r w:rsidR="006067C7">
          <w:rPr>
            <w:noProof/>
            <w:webHidden/>
          </w:rPr>
          <w:tab/>
        </w:r>
        <w:r w:rsidR="006067C7">
          <w:rPr>
            <w:noProof/>
            <w:webHidden/>
          </w:rPr>
          <w:fldChar w:fldCharType="begin"/>
        </w:r>
        <w:r w:rsidR="006067C7">
          <w:rPr>
            <w:noProof/>
            <w:webHidden/>
          </w:rPr>
          <w:instrText xml:space="preserve"> PAGEREF _Toc72143371 \h </w:instrText>
        </w:r>
        <w:r w:rsidR="006067C7">
          <w:rPr>
            <w:noProof/>
            <w:webHidden/>
          </w:rPr>
        </w:r>
        <w:r w:rsidR="006067C7">
          <w:rPr>
            <w:noProof/>
            <w:webHidden/>
          </w:rPr>
          <w:fldChar w:fldCharType="separate"/>
        </w:r>
        <w:r w:rsidR="006067C7">
          <w:rPr>
            <w:noProof/>
            <w:webHidden/>
          </w:rPr>
          <w:t>31</w:t>
        </w:r>
        <w:r w:rsidR="006067C7">
          <w:rPr>
            <w:noProof/>
            <w:webHidden/>
          </w:rPr>
          <w:fldChar w:fldCharType="end"/>
        </w:r>
      </w:hyperlink>
    </w:p>
    <w:p w14:paraId="219E645C" w14:textId="522353FF" w:rsidR="006067C7" w:rsidRDefault="00000000">
      <w:pPr>
        <w:pStyle w:val="Tabledesillustrations"/>
        <w:tabs>
          <w:tab w:val="right" w:leader="dot" w:pos="9060"/>
        </w:tabs>
        <w:rPr>
          <w:rFonts w:asciiTheme="minorHAnsi" w:eastAsiaTheme="minorEastAsia" w:hAnsiTheme="minorHAnsi"/>
          <w:noProof/>
          <w:lang w:val="en-US"/>
        </w:rPr>
      </w:pPr>
      <w:hyperlink w:anchor="_Toc72143372" w:history="1">
        <w:r w:rsidR="006067C7" w:rsidRPr="00A138BD">
          <w:rPr>
            <w:rStyle w:val="Lienhypertexte"/>
            <w:noProof/>
          </w:rPr>
          <w:t>Tableau 24 : Ventilation des prises de repas entre à domicile et hors domicile</w:t>
        </w:r>
        <w:r w:rsidR="006067C7">
          <w:rPr>
            <w:noProof/>
            <w:webHidden/>
          </w:rPr>
          <w:tab/>
        </w:r>
        <w:r w:rsidR="006067C7">
          <w:rPr>
            <w:noProof/>
            <w:webHidden/>
          </w:rPr>
          <w:fldChar w:fldCharType="begin"/>
        </w:r>
        <w:r w:rsidR="006067C7">
          <w:rPr>
            <w:noProof/>
            <w:webHidden/>
          </w:rPr>
          <w:instrText xml:space="preserve"> PAGEREF _Toc72143372 \h </w:instrText>
        </w:r>
        <w:r w:rsidR="006067C7">
          <w:rPr>
            <w:noProof/>
            <w:webHidden/>
          </w:rPr>
        </w:r>
        <w:r w:rsidR="006067C7">
          <w:rPr>
            <w:noProof/>
            <w:webHidden/>
          </w:rPr>
          <w:fldChar w:fldCharType="separate"/>
        </w:r>
        <w:r w:rsidR="006067C7">
          <w:rPr>
            <w:noProof/>
            <w:webHidden/>
          </w:rPr>
          <w:t>34</w:t>
        </w:r>
        <w:r w:rsidR="006067C7">
          <w:rPr>
            <w:noProof/>
            <w:webHidden/>
          </w:rPr>
          <w:fldChar w:fldCharType="end"/>
        </w:r>
      </w:hyperlink>
    </w:p>
    <w:p w14:paraId="547CDEFC" w14:textId="2C86B486" w:rsidR="006067C7" w:rsidRDefault="00000000">
      <w:pPr>
        <w:pStyle w:val="Tabledesillustrations"/>
        <w:tabs>
          <w:tab w:val="right" w:leader="dot" w:pos="9060"/>
        </w:tabs>
        <w:rPr>
          <w:rFonts w:asciiTheme="minorHAnsi" w:eastAsiaTheme="minorEastAsia" w:hAnsiTheme="minorHAnsi"/>
          <w:noProof/>
          <w:lang w:val="en-US"/>
        </w:rPr>
      </w:pPr>
      <w:hyperlink w:anchor="_Toc72143373" w:history="1">
        <w:r w:rsidR="006067C7" w:rsidRPr="00A138BD">
          <w:rPr>
            <w:rStyle w:val="Lienhypertexte"/>
            <w:noProof/>
          </w:rPr>
          <w:t>Tableau 25</w:t>
        </w:r>
        <w:r w:rsidR="006067C7" w:rsidRPr="00A138BD">
          <w:rPr>
            <w:rStyle w:val="Lienhypertexte"/>
            <w:i/>
            <w:noProof/>
          </w:rPr>
          <w:t xml:space="preserve"> : </w:t>
        </w:r>
        <w:r w:rsidR="006067C7" w:rsidRPr="00A138BD">
          <w:rPr>
            <w:rStyle w:val="Lienhypertexte"/>
            <w:noProof/>
          </w:rPr>
          <w:t>Volumes d’achat des ménages en charcuterie et porc frais, ambiant et surgelé</w:t>
        </w:r>
        <w:r w:rsidR="006067C7">
          <w:rPr>
            <w:noProof/>
            <w:webHidden/>
          </w:rPr>
          <w:tab/>
        </w:r>
        <w:r w:rsidR="006067C7">
          <w:rPr>
            <w:noProof/>
            <w:webHidden/>
          </w:rPr>
          <w:fldChar w:fldCharType="begin"/>
        </w:r>
        <w:r w:rsidR="006067C7">
          <w:rPr>
            <w:noProof/>
            <w:webHidden/>
          </w:rPr>
          <w:instrText xml:space="preserve"> PAGEREF _Toc72143373 \h </w:instrText>
        </w:r>
        <w:r w:rsidR="006067C7">
          <w:rPr>
            <w:noProof/>
            <w:webHidden/>
          </w:rPr>
        </w:r>
        <w:r w:rsidR="006067C7">
          <w:rPr>
            <w:noProof/>
            <w:webHidden/>
          </w:rPr>
          <w:fldChar w:fldCharType="separate"/>
        </w:r>
        <w:r w:rsidR="006067C7">
          <w:rPr>
            <w:noProof/>
            <w:webHidden/>
          </w:rPr>
          <w:t>41</w:t>
        </w:r>
        <w:r w:rsidR="006067C7">
          <w:rPr>
            <w:noProof/>
            <w:webHidden/>
          </w:rPr>
          <w:fldChar w:fldCharType="end"/>
        </w:r>
      </w:hyperlink>
    </w:p>
    <w:p w14:paraId="558340EA" w14:textId="78FE47F7" w:rsidR="006067C7" w:rsidRDefault="00000000">
      <w:pPr>
        <w:pStyle w:val="Tabledesillustrations"/>
        <w:tabs>
          <w:tab w:val="right" w:leader="dot" w:pos="9060"/>
        </w:tabs>
        <w:rPr>
          <w:rFonts w:asciiTheme="minorHAnsi" w:eastAsiaTheme="minorEastAsia" w:hAnsiTheme="minorHAnsi"/>
          <w:noProof/>
          <w:lang w:val="en-US"/>
        </w:rPr>
      </w:pPr>
      <w:hyperlink w:anchor="_Toc72143374" w:history="1">
        <w:r w:rsidR="006067C7" w:rsidRPr="00A138BD">
          <w:rPr>
            <w:rStyle w:val="Lienhypertexte"/>
            <w:noProof/>
          </w:rPr>
          <w:t>Tableau 26 : Volumes d’achat des ménages en charcuterie de volaille frais pour 2018</w:t>
        </w:r>
        <w:r w:rsidR="006067C7">
          <w:rPr>
            <w:noProof/>
            <w:webHidden/>
          </w:rPr>
          <w:tab/>
        </w:r>
        <w:r w:rsidR="006067C7">
          <w:rPr>
            <w:noProof/>
            <w:webHidden/>
          </w:rPr>
          <w:fldChar w:fldCharType="begin"/>
        </w:r>
        <w:r w:rsidR="006067C7">
          <w:rPr>
            <w:noProof/>
            <w:webHidden/>
          </w:rPr>
          <w:instrText xml:space="preserve"> PAGEREF _Toc72143374 \h </w:instrText>
        </w:r>
        <w:r w:rsidR="006067C7">
          <w:rPr>
            <w:noProof/>
            <w:webHidden/>
          </w:rPr>
        </w:r>
        <w:r w:rsidR="006067C7">
          <w:rPr>
            <w:noProof/>
            <w:webHidden/>
          </w:rPr>
          <w:fldChar w:fldCharType="separate"/>
        </w:r>
        <w:r w:rsidR="006067C7">
          <w:rPr>
            <w:noProof/>
            <w:webHidden/>
          </w:rPr>
          <w:t>42</w:t>
        </w:r>
        <w:r w:rsidR="006067C7">
          <w:rPr>
            <w:noProof/>
            <w:webHidden/>
          </w:rPr>
          <w:fldChar w:fldCharType="end"/>
        </w:r>
      </w:hyperlink>
    </w:p>
    <w:p w14:paraId="275E22E8" w14:textId="73B887AB" w:rsidR="006067C7" w:rsidRDefault="00000000">
      <w:pPr>
        <w:pStyle w:val="Tabledesillustrations"/>
        <w:tabs>
          <w:tab w:val="right" w:leader="dot" w:pos="9060"/>
        </w:tabs>
        <w:rPr>
          <w:rFonts w:asciiTheme="minorHAnsi" w:eastAsiaTheme="minorEastAsia" w:hAnsiTheme="minorHAnsi"/>
          <w:noProof/>
          <w:lang w:val="en-US"/>
        </w:rPr>
      </w:pPr>
      <w:hyperlink w:anchor="_Toc72143375" w:history="1">
        <w:r w:rsidR="006067C7" w:rsidRPr="00A138BD">
          <w:rPr>
            <w:rStyle w:val="Lienhypertexte"/>
            <w:noProof/>
          </w:rPr>
          <w:t>Tableau 27: Arborescence et définition des circuits de distribution en viande de porc et charcuterie salaison en 2018 (Source : KWP).</w:t>
        </w:r>
        <w:r w:rsidR="006067C7">
          <w:rPr>
            <w:noProof/>
            <w:webHidden/>
          </w:rPr>
          <w:tab/>
        </w:r>
        <w:r w:rsidR="006067C7">
          <w:rPr>
            <w:noProof/>
            <w:webHidden/>
          </w:rPr>
          <w:fldChar w:fldCharType="begin"/>
        </w:r>
        <w:r w:rsidR="006067C7">
          <w:rPr>
            <w:noProof/>
            <w:webHidden/>
          </w:rPr>
          <w:instrText xml:space="preserve"> PAGEREF _Toc72143375 \h </w:instrText>
        </w:r>
        <w:r w:rsidR="006067C7">
          <w:rPr>
            <w:noProof/>
            <w:webHidden/>
          </w:rPr>
        </w:r>
        <w:r w:rsidR="006067C7">
          <w:rPr>
            <w:noProof/>
            <w:webHidden/>
          </w:rPr>
          <w:fldChar w:fldCharType="separate"/>
        </w:r>
        <w:r w:rsidR="006067C7">
          <w:rPr>
            <w:noProof/>
            <w:webHidden/>
          </w:rPr>
          <w:t>42</w:t>
        </w:r>
        <w:r w:rsidR="006067C7">
          <w:rPr>
            <w:noProof/>
            <w:webHidden/>
          </w:rPr>
          <w:fldChar w:fldCharType="end"/>
        </w:r>
      </w:hyperlink>
    </w:p>
    <w:p w14:paraId="616DE636" w14:textId="3BF4AE11" w:rsidR="006067C7" w:rsidRDefault="00000000">
      <w:pPr>
        <w:pStyle w:val="Tabledesillustrations"/>
        <w:tabs>
          <w:tab w:val="right" w:leader="dot" w:pos="9060"/>
        </w:tabs>
        <w:rPr>
          <w:rFonts w:asciiTheme="minorHAnsi" w:eastAsiaTheme="minorEastAsia" w:hAnsiTheme="minorHAnsi"/>
          <w:noProof/>
          <w:lang w:val="en-US"/>
        </w:rPr>
      </w:pPr>
      <w:hyperlink w:anchor="_Toc72143376" w:history="1">
        <w:r w:rsidR="006067C7" w:rsidRPr="00A138BD">
          <w:rPr>
            <w:rStyle w:val="Lienhypertexte"/>
            <w:noProof/>
          </w:rPr>
          <w:t xml:space="preserve">Tableau </w:t>
        </w:r>
        <w:r w:rsidR="006067C7" w:rsidRPr="00A138BD">
          <w:rPr>
            <w:rStyle w:val="Lienhypertexte"/>
            <w:i/>
            <w:noProof/>
          </w:rPr>
          <w:t xml:space="preserve">28 : </w:t>
        </w:r>
        <w:r w:rsidR="006067C7" w:rsidRPr="00A138BD">
          <w:rPr>
            <w:rStyle w:val="Lienhypertexte"/>
            <w:noProof/>
          </w:rPr>
          <w:t xml:space="preserve"> Ventilation des volumes en porc fais et charcuterie salaison de porc par circuit de distribution (Source : KWp)</w:t>
        </w:r>
        <w:r w:rsidR="006067C7">
          <w:rPr>
            <w:noProof/>
            <w:webHidden/>
          </w:rPr>
          <w:tab/>
        </w:r>
        <w:r w:rsidR="006067C7">
          <w:rPr>
            <w:noProof/>
            <w:webHidden/>
          </w:rPr>
          <w:fldChar w:fldCharType="begin"/>
        </w:r>
        <w:r w:rsidR="006067C7">
          <w:rPr>
            <w:noProof/>
            <w:webHidden/>
          </w:rPr>
          <w:instrText xml:space="preserve"> PAGEREF _Toc72143376 \h </w:instrText>
        </w:r>
        <w:r w:rsidR="006067C7">
          <w:rPr>
            <w:noProof/>
            <w:webHidden/>
          </w:rPr>
        </w:r>
        <w:r w:rsidR="006067C7">
          <w:rPr>
            <w:noProof/>
            <w:webHidden/>
          </w:rPr>
          <w:fldChar w:fldCharType="separate"/>
        </w:r>
        <w:r w:rsidR="006067C7">
          <w:rPr>
            <w:noProof/>
            <w:webHidden/>
          </w:rPr>
          <w:t>43</w:t>
        </w:r>
        <w:r w:rsidR="006067C7">
          <w:rPr>
            <w:noProof/>
            <w:webHidden/>
          </w:rPr>
          <w:fldChar w:fldCharType="end"/>
        </w:r>
      </w:hyperlink>
    </w:p>
    <w:p w14:paraId="50258DD7" w14:textId="7AFA7D92" w:rsidR="006067C7" w:rsidRDefault="00000000">
      <w:pPr>
        <w:pStyle w:val="Tabledesillustrations"/>
        <w:tabs>
          <w:tab w:val="right" w:leader="dot" w:pos="9060"/>
        </w:tabs>
        <w:rPr>
          <w:rFonts w:asciiTheme="minorHAnsi" w:eastAsiaTheme="minorEastAsia" w:hAnsiTheme="minorHAnsi"/>
          <w:noProof/>
          <w:lang w:val="en-US"/>
        </w:rPr>
      </w:pPr>
      <w:hyperlink w:anchor="_Toc72143377" w:history="1">
        <w:r w:rsidR="006067C7" w:rsidRPr="00A138BD">
          <w:rPr>
            <w:rStyle w:val="Lienhypertexte"/>
            <w:noProof/>
          </w:rPr>
          <w:t xml:space="preserve">Tableau </w:t>
        </w:r>
        <w:r w:rsidR="006067C7" w:rsidRPr="00A138BD">
          <w:rPr>
            <w:rStyle w:val="Lienhypertexte"/>
            <w:i/>
            <w:noProof/>
          </w:rPr>
          <w:t xml:space="preserve">29 : </w:t>
        </w:r>
        <w:r w:rsidR="006067C7" w:rsidRPr="00A138BD">
          <w:rPr>
            <w:rStyle w:val="Lienhypertexte"/>
            <w:noProof/>
          </w:rPr>
          <w:t>Volumes d’achats 2018 en kt des produits de mélanges au sein des viandes élaborées</w:t>
        </w:r>
        <w:r w:rsidR="006067C7">
          <w:rPr>
            <w:noProof/>
            <w:webHidden/>
          </w:rPr>
          <w:tab/>
        </w:r>
        <w:r w:rsidR="006067C7">
          <w:rPr>
            <w:noProof/>
            <w:webHidden/>
          </w:rPr>
          <w:fldChar w:fldCharType="begin"/>
        </w:r>
        <w:r w:rsidR="006067C7">
          <w:rPr>
            <w:noProof/>
            <w:webHidden/>
          </w:rPr>
          <w:instrText xml:space="preserve"> PAGEREF _Toc72143377 \h </w:instrText>
        </w:r>
        <w:r w:rsidR="006067C7">
          <w:rPr>
            <w:noProof/>
            <w:webHidden/>
          </w:rPr>
        </w:r>
        <w:r w:rsidR="006067C7">
          <w:rPr>
            <w:noProof/>
            <w:webHidden/>
          </w:rPr>
          <w:fldChar w:fldCharType="separate"/>
        </w:r>
        <w:r w:rsidR="006067C7">
          <w:rPr>
            <w:noProof/>
            <w:webHidden/>
          </w:rPr>
          <w:t>45</w:t>
        </w:r>
        <w:r w:rsidR="006067C7">
          <w:rPr>
            <w:noProof/>
            <w:webHidden/>
          </w:rPr>
          <w:fldChar w:fldCharType="end"/>
        </w:r>
      </w:hyperlink>
    </w:p>
    <w:p w14:paraId="4BBF6458" w14:textId="7D03B124" w:rsidR="006067C7" w:rsidRDefault="00000000">
      <w:pPr>
        <w:pStyle w:val="Tabledesillustrations"/>
        <w:tabs>
          <w:tab w:val="right" w:leader="dot" w:pos="9060"/>
        </w:tabs>
        <w:rPr>
          <w:rFonts w:asciiTheme="minorHAnsi" w:eastAsiaTheme="minorEastAsia" w:hAnsiTheme="minorHAnsi"/>
          <w:noProof/>
          <w:lang w:val="en-US"/>
        </w:rPr>
      </w:pPr>
      <w:hyperlink w:anchor="_Toc72143378" w:history="1">
        <w:r w:rsidR="006067C7" w:rsidRPr="00A138BD">
          <w:rPr>
            <w:rStyle w:val="Lienhypertexte"/>
            <w:noProof/>
          </w:rPr>
          <w:t xml:space="preserve">Tableau </w:t>
        </w:r>
        <w:r w:rsidR="006067C7" w:rsidRPr="00A138BD">
          <w:rPr>
            <w:rStyle w:val="Lienhypertexte"/>
            <w:i/>
            <w:noProof/>
          </w:rPr>
          <w:t>30</w:t>
        </w:r>
        <w:r w:rsidR="006067C7" w:rsidRPr="00A138BD">
          <w:rPr>
            <w:rStyle w:val="Lienhypertexte"/>
            <w:noProof/>
          </w:rPr>
          <w:t xml:space="preserve"> : Volumes d’achats en kt 2018 des catégories de produits « autres »</w:t>
        </w:r>
        <w:r w:rsidR="006067C7">
          <w:rPr>
            <w:noProof/>
            <w:webHidden/>
          </w:rPr>
          <w:tab/>
        </w:r>
        <w:r w:rsidR="006067C7">
          <w:rPr>
            <w:noProof/>
            <w:webHidden/>
          </w:rPr>
          <w:fldChar w:fldCharType="begin"/>
        </w:r>
        <w:r w:rsidR="006067C7">
          <w:rPr>
            <w:noProof/>
            <w:webHidden/>
          </w:rPr>
          <w:instrText xml:space="preserve"> PAGEREF _Toc72143378 \h </w:instrText>
        </w:r>
        <w:r w:rsidR="006067C7">
          <w:rPr>
            <w:noProof/>
            <w:webHidden/>
          </w:rPr>
        </w:r>
        <w:r w:rsidR="006067C7">
          <w:rPr>
            <w:noProof/>
            <w:webHidden/>
          </w:rPr>
          <w:fldChar w:fldCharType="separate"/>
        </w:r>
        <w:r w:rsidR="006067C7">
          <w:rPr>
            <w:noProof/>
            <w:webHidden/>
          </w:rPr>
          <w:t>45</w:t>
        </w:r>
        <w:r w:rsidR="006067C7">
          <w:rPr>
            <w:noProof/>
            <w:webHidden/>
          </w:rPr>
          <w:fldChar w:fldCharType="end"/>
        </w:r>
      </w:hyperlink>
    </w:p>
    <w:p w14:paraId="08796BC0" w14:textId="0A1B8827" w:rsidR="006067C7" w:rsidRDefault="00000000">
      <w:pPr>
        <w:pStyle w:val="Tabledesillustrations"/>
        <w:tabs>
          <w:tab w:val="right" w:leader="dot" w:pos="9060"/>
        </w:tabs>
        <w:rPr>
          <w:rFonts w:asciiTheme="minorHAnsi" w:eastAsiaTheme="minorEastAsia" w:hAnsiTheme="minorHAnsi"/>
          <w:noProof/>
          <w:lang w:val="en-US"/>
        </w:rPr>
      </w:pPr>
      <w:hyperlink w:anchor="_Toc72143379" w:history="1">
        <w:r w:rsidR="006067C7" w:rsidRPr="00A138BD">
          <w:rPr>
            <w:rStyle w:val="Lienhypertexte"/>
            <w:noProof/>
          </w:rPr>
          <w:t xml:space="preserve">Tableau </w:t>
        </w:r>
        <w:r w:rsidR="006067C7" w:rsidRPr="00A138BD">
          <w:rPr>
            <w:rStyle w:val="Lienhypertexte"/>
            <w:i/>
            <w:noProof/>
          </w:rPr>
          <w:t>31</w:t>
        </w:r>
        <w:r w:rsidR="006067C7" w:rsidRPr="00A138BD">
          <w:rPr>
            <w:rStyle w:val="Lienhypertexte"/>
            <w:noProof/>
          </w:rPr>
          <w:t xml:space="preserve"> : Marché potentiel des produits du porc en nombre d’établissements en 2018</w:t>
        </w:r>
        <w:r w:rsidR="006067C7">
          <w:rPr>
            <w:noProof/>
            <w:webHidden/>
          </w:rPr>
          <w:tab/>
        </w:r>
        <w:r w:rsidR="006067C7">
          <w:rPr>
            <w:noProof/>
            <w:webHidden/>
          </w:rPr>
          <w:fldChar w:fldCharType="begin"/>
        </w:r>
        <w:r w:rsidR="006067C7">
          <w:rPr>
            <w:noProof/>
            <w:webHidden/>
          </w:rPr>
          <w:instrText xml:space="preserve"> PAGEREF _Toc72143379 \h </w:instrText>
        </w:r>
        <w:r w:rsidR="006067C7">
          <w:rPr>
            <w:noProof/>
            <w:webHidden/>
          </w:rPr>
        </w:r>
        <w:r w:rsidR="006067C7">
          <w:rPr>
            <w:noProof/>
            <w:webHidden/>
          </w:rPr>
          <w:fldChar w:fldCharType="separate"/>
        </w:r>
        <w:r w:rsidR="006067C7">
          <w:rPr>
            <w:noProof/>
            <w:webHidden/>
          </w:rPr>
          <w:t>47</w:t>
        </w:r>
        <w:r w:rsidR="006067C7">
          <w:rPr>
            <w:noProof/>
            <w:webHidden/>
          </w:rPr>
          <w:fldChar w:fldCharType="end"/>
        </w:r>
      </w:hyperlink>
    </w:p>
    <w:p w14:paraId="352747D1" w14:textId="0D6F93EC" w:rsidR="006067C7" w:rsidRDefault="00000000">
      <w:pPr>
        <w:pStyle w:val="Tabledesillustrations"/>
        <w:tabs>
          <w:tab w:val="right" w:leader="dot" w:pos="9060"/>
        </w:tabs>
        <w:rPr>
          <w:rFonts w:asciiTheme="minorHAnsi" w:eastAsiaTheme="minorEastAsia" w:hAnsiTheme="minorHAnsi"/>
          <w:noProof/>
          <w:lang w:val="en-US"/>
        </w:rPr>
      </w:pPr>
      <w:hyperlink w:anchor="_Toc72143380" w:history="1">
        <w:r w:rsidR="006067C7" w:rsidRPr="00A138BD">
          <w:rPr>
            <w:rStyle w:val="Lienhypertexte"/>
            <w:noProof/>
          </w:rPr>
          <w:t>Tableau 32 : Marché potentiel des produits du porc en restauration commerciale</w:t>
        </w:r>
        <w:r w:rsidR="006067C7" w:rsidRPr="00A138BD">
          <w:rPr>
            <w:rStyle w:val="Lienhypertexte"/>
            <w:i/>
            <w:noProof/>
          </w:rPr>
          <w:t xml:space="preserve"> </w:t>
        </w:r>
        <w:r w:rsidR="006067C7" w:rsidRPr="00A138BD">
          <w:rPr>
            <w:rStyle w:val="Lienhypertexte"/>
            <w:noProof/>
          </w:rPr>
          <w:t>et en nombre de prestations en 2018</w:t>
        </w:r>
        <w:r w:rsidR="006067C7">
          <w:rPr>
            <w:noProof/>
            <w:webHidden/>
          </w:rPr>
          <w:tab/>
        </w:r>
        <w:r w:rsidR="006067C7">
          <w:rPr>
            <w:noProof/>
            <w:webHidden/>
          </w:rPr>
          <w:fldChar w:fldCharType="begin"/>
        </w:r>
        <w:r w:rsidR="006067C7">
          <w:rPr>
            <w:noProof/>
            <w:webHidden/>
          </w:rPr>
          <w:instrText xml:space="preserve"> PAGEREF _Toc72143380 \h </w:instrText>
        </w:r>
        <w:r w:rsidR="006067C7">
          <w:rPr>
            <w:noProof/>
            <w:webHidden/>
          </w:rPr>
        </w:r>
        <w:r w:rsidR="006067C7">
          <w:rPr>
            <w:noProof/>
            <w:webHidden/>
          </w:rPr>
          <w:fldChar w:fldCharType="separate"/>
        </w:r>
        <w:r w:rsidR="006067C7">
          <w:rPr>
            <w:noProof/>
            <w:webHidden/>
          </w:rPr>
          <w:t>47</w:t>
        </w:r>
        <w:r w:rsidR="006067C7">
          <w:rPr>
            <w:noProof/>
            <w:webHidden/>
          </w:rPr>
          <w:fldChar w:fldCharType="end"/>
        </w:r>
      </w:hyperlink>
    </w:p>
    <w:p w14:paraId="3EFAF711" w14:textId="041759E7" w:rsidR="006067C7" w:rsidRDefault="00000000">
      <w:pPr>
        <w:pStyle w:val="Tabledesillustrations"/>
        <w:tabs>
          <w:tab w:val="right" w:leader="dot" w:pos="9060"/>
        </w:tabs>
        <w:rPr>
          <w:rFonts w:asciiTheme="minorHAnsi" w:eastAsiaTheme="minorEastAsia" w:hAnsiTheme="minorHAnsi"/>
          <w:noProof/>
          <w:lang w:val="en-US"/>
        </w:rPr>
      </w:pPr>
      <w:hyperlink w:anchor="_Toc72143381" w:history="1">
        <w:r w:rsidR="006067C7" w:rsidRPr="00A138BD">
          <w:rPr>
            <w:rStyle w:val="Lienhypertexte"/>
            <w:noProof/>
          </w:rPr>
          <w:t>Tableau 33 : Marché potentiel des produits du porc sur les circuits de vente alternatif en nombre d’établissement en 2018 (Ifip d’après Gira Food Service)</w:t>
        </w:r>
        <w:r w:rsidR="006067C7">
          <w:rPr>
            <w:noProof/>
            <w:webHidden/>
          </w:rPr>
          <w:tab/>
        </w:r>
        <w:r w:rsidR="006067C7">
          <w:rPr>
            <w:noProof/>
            <w:webHidden/>
          </w:rPr>
          <w:fldChar w:fldCharType="begin"/>
        </w:r>
        <w:r w:rsidR="006067C7">
          <w:rPr>
            <w:noProof/>
            <w:webHidden/>
          </w:rPr>
          <w:instrText xml:space="preserve"> PAGEREF _Toc72143381 \h </w:instrText>
        </w:r>
        <w:r w:rsidR="006067C7">
          <w:rPr>
            <w:noProof/>
            <w:webHidden/>
          </w:rPr>
        </w:r>
        <w:r w:rsidR="006067C7">
          <w:rPr>
            <w:noProof/>
            <w:webHidden/>
          </w:rPr>
          <w:fldChar w:fldCharType="separate"/>
        </w:r>
        <w:r w:rsidR="006067C7">
          <w:rPr>
            <w:noProof/>
            <w:webHidden/>
          </w:rPr>
          <w:t>48</w:t>
        </w:r>
        <w:r w:rsidR="006067C7">
          <w:rPr>
            <w:noProof/>
            <w:webHidden/>
          </w:rPr>
          <w:fldChar w:fldCharType="end"/>
        </w:r>
      </w:hyperlink>
    </w:p>
    <w:p w14:paraId="3CE50E5C" w14:textId="36EFC183" w:rsidR="006067C7" w:rsidRDefault="00000000">
      <w:pPr>
        <w:pStyle w:val="Tabledesillustrations"/>
        <w:tabs>
          <w:tab w:val="right" w:leader="dot" w:pos="9060"/>
        </w:tabs>
        <w:rPr>
          <w:rFonts w:asciiTheme="minorHAnsi" w:eastAsiaTheme="minorEastAsia" w:hAnsiTheme="minorHAnsi"/>
          <w:noProof/>
          <w:lang w:val="en-US"/>
        </w:rPr>
      </w:pPr>
      <w:hyperlink w:anchor="_Toc72143382" w:history="1">
        <w:r w:rsidR="006067C7" w:rsidRPr="00A138BD">
          <w:rPr>
            <w:rStyle w:val="Lienhypertexte"/>
            <w:noProof/>
          </w:rPr>
          <w:t>Tableau 34 : Volumes des produits du porc sur les circuits de la restauration hors domicile en volume pour 2018 (Ifip d’après Gira Foodservice)</w:t>
        </w:r>
        <w:r w:rsidR="006067C7">
          <w:rPr>
            <w:noProof/>
            <w:webHidden/>
          </w:rPr>
          <w:tab/>
        </w:r>
        <w:r w:rsidR="006067C7">
          <w:rPr>
            <w:noProof/>
            <w:webHidden/>
          </w:rPr>
          <w:fldChar w:fldCharType="begin"/>
        </w:r>
        <w:r w:rsidR="006067C7">
          <w:rPr>
            <w:noProof/>
            <w:webHidden/>
          </w:rPr>
          <w:instrText xml:space="preserve"> PAGEREF _Toc72143382 \h </w:instrText>
        </w:r>
        <w:r w:rsidR="006067C7">
          <w:rPr>
            <w:noProof/>
            <w:webHidden/>
          </w:rPr>
        </w:r>
        <w:r w:rsidR="006067C7">
          <w:rPr>
            <w:noProof/>
            <w:webHidden/>
          </w:rPr>
          <w:fldChar w:fldCharType="separate"/>
        </w:r>
        <w:r w:rsidR="006067C7">
          <w:rPr>
            <w:noProof/>
            <w:webHidden/>
          </w:rPr>
          <w:t>48</w:t>
        </w:r>
        <w:r w:rsidR="006067C7">
          <w:rPr>
            <w:noProof/>
            <w:webHidden/>
          </w:rPr>
          <w:fldChar w:fldCharType="end"/>
        </w:r>
      </w:hyperlink>
    </w:p>
    <w:p w14:paraId="3A64A854" w14:textId="6573331D" w:rsidR="006067C7" w:rsidRDefault="00000000">
      <w:pPr>
        <w:pStyle w:val="Tabledesillustrations"/>
        <w:tabs>
          <w:tab w:val="right" w:leader="dot" w:pos="9060"/>
        </w:tabs>
        <w:rPr>
          <w:rFonts w:asciiTheme="minorHAnsi" w:eastAsiaTheme="minorEastAsia" w:hAnsiTheme="minorHAnsi"/>
          <w:noProof/>
          <w:lang w:val="en-US"/>
        </w:rPr>
      </w:pPr>
      <w:hyperlink w:anchor="_Toc72143383" w:history="1">
        <w:r w:rsidR="006067C7" w:rsidRPr="00A138BD">
          <w:rPr>
            <w:rStyle w:val="Lienhypertexte"/>
            <w:noProof/>
          </w:rPr>
          <w:t>Tableau 35 : Volumes des produits des produits traiteurs sur les circuits de la restauration hors domicile en volume (kt) pour 2018</w:t>
        </w:r>
        <w:r w:rsidR="006067C7">
          <w:rPr>
            <w:noProof/>
            <w:webHidden/>
          </w:rPr>
          <w:tab/>
        </w:r>
        <w:r w:rsidR="006067C7">
          <w:rPr>
            <w:noProof/>
            <w:webHidden/>
          </w:rPr>
          <w:fldChar w:fldCharType="begin"/>
        </w:r>
        <w:r w:rsidR="006067C7">
          <w:rPr>
            <w:noProof/>
            <w:webHidden/>
          </w:rPr>
          <w:instrText xml:space="preserve"> PAGEREF _Toc72143383 \h </w:instrText>
        </w:r>
        <w:r w:rsidR="006067C7">
          <w:rPr>
            <w:noProof/>
            <w:webHidden/>
          </w:rPr>
        </w:r>
        <w:r w:rsidR="006067C7">
          <w:rPr>
            <w:noProof/>
            <w:webHidden/>
          </w:rPr>
          <w:fldChar w:fldCharType="separate"/>
        </w:r>
        <w:r w:rsidR="006067C7">
          <w:rPr>
            <w:noProof/>
            <w:webHidden/>
          </w:rPr>
          <w:t>49</w:t>
        </w:r>
        <w:r w:rsidR="006067C7">
          <w:rPr>
            <w:noProof/>
            <w:webHidden/>
          </w:rPr>
          <w:fldChar w:fldCharType="end"/>
        </w:r>
      </w:hyperlink>
    </w:p>
    <w:p w14:paraId="429A6E3D" w14:textId="456D3221" w:rsidR="006067C7" w:rsidRDefault="00000000">
      <w:pPr>
        <w:pStyle w:val="Tabledesillustrations"/>
        <w:tabs>
          <w:tab w:val="right" w:leader="dot" w:pos="9060"/>
        </w:tabs>
        <w:rPr>
          <w:rFonts w:asciiTheme="minorHAnsi" w:eastAsiaTheme="minorEastAsia" w:hAnsiTheme="minorHAnsi"/>
          <w:noProof/>
          <w:lang w:val="en-US"/>
        </w:rPr>
      </w:pPr>
      <w:hyperlink w:anchor="_Toc72143384" w:history="1">
        <w:r w:rsidR="006067C7" w:rsidRPr="00A138BD">
          <w:rPr>
            <w:rStyle w:val="Lienhypertexte"/>
            <w:noProof/>
          </w:rPr>
          <w:t>Tableau 36 : Volumes de produits transformés de charcuterie Label Rouge et estimation de la part de marché comparativement au total des volumes produits</w:t>
        </w:r>
        <w:r w:rsidR="006067C7">
          <w:rPr>
            <w:noProof/>
            <w:webHidden/>
          </w:rPr>
          <w:tab/>
        </w:r>
        <w:r w:rsidR="006067C7">
          <w:rPr>
            <w:noProof/>
            <w:webHidden/>
          </w:rPr>
          <w:fldChar w:fldCharType="begin"/>
        </w:r>
        <w:r w:rsidR="006067C7">
          <w:rPr>
            <w:noProof/>
            <w:webHidden/>
          </w:rPr>
          <w:instrText xml:space="preserve"> PAGEREF _Toc72143384 \h </w:instrText>
        </w:r>
        <w:r w:rsidR="006067C7">
          <w:rPr>
            <w:noProof/>
            <w:webHidden/>
          </w:rPr>
        </w:r>
        <w:r w:rsidR="006067C7">
          <w:rPr>
            <w:noProof/>
            <w:webHidden/>
          </w:rPr>
          <w:fldChar w:fldCharType="separate"/>
        </w:r>
        <w:r w:rsidR="006067C7">
          <w:rPr>
            <w:noProof/>
            <w:webHidden/>
          </w:rPr>
          <w:t>51</w:t>
        </w:r>
        <w:r w:rsidR="006067C7">
          <w:rPr>
            <w:noProof/>
            <w:webHidden/>
          </w:rPr>
          <w:fldChar w:fldCharType="end"/>
        </w:r>
      </w:hyperlink>
    </w:p>
    <w:p w14:paraId="3983FE31" w14:textId="79C6C537" w:rsidR="006067C7" w:rsidRDefault="00000000">
      <w:pPr>
        <w:pStyle w:val="Tabledesillustrations"/>
        <w:tabs>
          <w:tab w:val="right" w:leader="dot" w:pos="9060"/>
        </w:tabs>
        <w:rPr>
          <w:rFonts w:asciiTheme="minorHAnsi" w:eastAsiaTheme="minorEastAsia" w:hAnsiTheme="minorHAnsi"/>
          <w:noProof/>
          <w:lang w:val="en-US"/>
        </w:rPr>
      </w:pPr>
      <w:hyperlink w:anchor="_Toc72143385" w:history="1">
        <w:r w:rsidR="006067C7" w:rsidRPr="00A138BD">
          <w:rPr>
            <w:rStyle w:val="Lienhypertexte"/>
            <w:noProof/>
          </w:rPr>
          <w:t>Tableau 37 : Etat des données issues des principales sources sur la consommation de viande de porc et de charcuterie de porc en France</w:t>
        </w:r>
        <w:r w:rsidR="006067C7">
          <w:rPr>
            <w:noProof/>
            <w:webHidden/>
          </w:rPr>
          <w:tab/>
        </w:r>
        <w:r w:rsidR="006067C7">
          <w:rPr>
            <w:noProof/>
            <w:webHidden/>
          </w:rPr>
          <w:fldChar w:fldCharType="begin"/>
        </w:r>
        <w:r w:rsidR="006067C7">
          <w:rPr>
            <w:noProof/>
            <w:webHidden/>
          </w:rPr>
          <w:instrText xml:space="preserve"> PAGEREF _Toc72143385 \h </w:instrText>
        </w:r>
        <w:r w:rsidR="006067C7">
          <w:rPr>
            <w:noProof/>
            <w:webHidden/>
          </w:rPr>
        </w:r>
        <w:r w:rsidR="006067C7">
          <w:rPr>
            <w:noProof/>
            <w:webHidden/>
          </w:rPr>
          <w:fldChar w:fldCharType="separate"/>
        </w:r>
        <w:r w:rsidR="006067C7">
          <w:rPr>
            <w:noProof/>
            <w:webHidden/>
          </w:rPr>
          <w:t>52</w:t>
        </w:r>
        <w:r w:rsidR="006067C7">
          <w:rPr>
            <w:noProof/>
            <w:webHidden/>
          </w:rPr>
          <w:fldChar w:fldCharType="end"/>
        </w:r>
      </w:hyperlink>
    </w:p>
    <w:p w14:paraId="17BB6416" w14:textId="0B275D4E" w:rsidR="006067C7" w:rsidRDefault="00000000">
      <w:pPr>
        <w:pStyle w:val="Tabledesillustrations"/>
        <w:tabs>
          <w:tab w:val="right" w:leader="dot" w:pos="9060"/>
        </w:tabs>
        <w:rPr>
          <w:rFonts w:asciiTheme="minorHAnsi" w:eastAsiaTheme="minorEastAsia" w:hAnsiTheme="minorHAnsi"/>
          <w:noProof/>
          <w:lang w:val="en-US"/>
        </w:rPr>
      </w:pPr>
      <w:hyperlink w:anchor="_Toc72143386" w:history="1">
        <w:r w:rsidR="006067C7" w:rsidRPr="00A138BD">
          <w:rPr>
            <w:rStyle w:val="Lienhypertexte"/>
            <w:noProof/>
          </w:rPr>
          <w:t>Tableau 38</w:t>
        </w:r>
        <w:r w:rsidR="006067C7" w:rsidRPr="00A138BD">
          <w:rPr>
            <w:rStyle w:val="Lienhypertexte"/>
            <w:i/>
            <w:noProof/>
          </w:rPr>
          <w:t xml:space="preserve"> : </w:t>
        </w:r>
        <w:r w:rsidR="006067C7" w:rsidRPr="00A138BD">
          <w:rPr>
            <w:rStyle w:val="Lienhypertexte"/>
            <w:rFonts w:eastAsia="MS PGothic"/>
            <w:noProof/>
          </w:rPr>
          <w:t xml:space="preserve">Etat synthétique des connaissances du disponible en porc par étape de transformation de la filière </w:t>
        </w:r>
        <w:r w:rsidR="006067C7" w:rsidRPr="00A138BD">
          <w:rPr>
            <w:rStyle w:val="Lienhypertexte"/>
            <w:noProof/>
          </w:rPr>
          <w:t>en 2018</w:t>
        </w:r>
        <w:r w:rsidR="006067C7">
          <w:rPr>
            <w:noProof/>
            <w:webHidden/>
          </w:rPr>
          <w:tab/>
        </w:r>
        <w:r w:rsidR="006067C7">
          <w:rPr>
            <w:noProof/>
            <w:webHidden/>
          </w:rPr>
          <w:fldChar w:fldCharType="begin"/>
        </w:r>
        <w:r w:rsidR="006067C7">
          <w:rPr>
            <w:noProof/>
            <w:webHidden/>
          </w:rPr>
          <w:instrText xml:space="preserve"> PAGEREF _Toc72143386 \h </w:instrText>
        </w:r>
        <w:r w:rsidR="006067C7">
          <w:rPr>
            <w:noProof/>
            <w:webHidden/>
          </w:rPr>
        </w:r>
        <w:r w:rsidR="006067C7">
          <w:rPr>
            <w:noProof/>
            <w:webHidden/>
          </w:rPr>
          <w:fldChar w:fldCharType="separate"/>
        </w:r>
        <w:r w:rsidR="006067C7">
          <w:rPr>
            <w:noProof/>
            <w:webHidden/>
          </w:rPr>
          <w:t>55</w:t>
        </w:r>
        <w:r w:rsidR="006067C7">
          <w:rPr>
            <w:noProof/>
            <w:webHidden/>
          </w:rPr>
          <w:fldChar w:fldCharType="end"/>
        </w:r>
      </w:hyperlink>
    </w:p>
    <w:p w14:paraId="0AFB6202" w14:textId="6049DCE5" w:rsidR="006067C7" w:rsidRDefault="00000000">
      <w:pPr>
        <w:pStyle w:val="Tabledesillustrations"/>
        <w:tabs>
          <w:tab w:val="right" w:leader="dot" w:pos="9060"/>
        </w:tabs>
        <w:rPr>
          <w:rFonts w:asciiTheme="minorHAnsi" w:eastAsiaTheme="minorEastAsia" w:hAnsiTheme="minorHAnsi"/>
          <w:noProof/>
          <w:lang w:val="en-US"/>
        </w:rPr>
      </w:pPr>
      <w:hyperlink w:anchor="_Toc72143387" w:history="1">
        <w:r w:rsidR="006067C7" w:rsidRPr="00A138BD">
          <w:rPr>
            <w:rStyle w:val="Lienhypertexte"/>
            <w:noProof/>
          </w:rPr>
          <w:t>Tableau 39 : Part des pertes et gaspillages en porcins et bovins à différents stades de transformation de la filière</w:t>
        </w:r>
        <w:r w:rsidR="006067C7">
          <w:rPr>
            <w:noProof/>
            <w:webHidden/>
          </w:rPr>
          <w:tab/>
        </w:r>
        <w:r w:rsidR="006067C7">
          <w:rPr>
            <w:noProof/>
            <w:webHidden/>
          </w:rPr>
          <w:fldChar w:fldCharType="begin"/>
        </w:r>
        <w:r w:rsidR="006067C7">
          <w:rPr>
            <w:noProof/>
            <w:webHidden/>
          </w:rPr>
          <w:instrText xml:space="preserve"> PAGEREF _Toc72143387 \h </w:instrText>
        </w:r>
        <w:r w:rsidR="006067C7">
          <w:rPr>
            <w:noProof/>
            <w:webHidden/>
          </w:rPr>
        </w:r>
        <w:r w:rsidR="006067C7">
          <w:rPr>
            <w:noProof/>
            <w:webHidden/>
          </w:rPr>
          <w:fldChar w:fldCharType="separate"/>
        </w:r>
        <w:r w:rsidR="006067C7">
          <w:rPr>
            <w:noProof/>
            <w:webHidden/>
          </w:rPr>
          <w:t>57</w:t>
        </w:r>
        <w:r w:rsidR="006067C7">
          <w:rPr>
            <w:noProof/>
            <w:webHidden/>
          </w:rPr>
          <w:fldChar w:fldCharType="end"/>
        </w:r>
      </w:hyperlink>
    </w:p>
    <w:p w14:paraId="68EB9B2D" w14:textId="5E7AADD1" w:rsidR="006067C7" w:rsidRDefault="00000000">
      <w:pPr>
        <w:pStyle w:val="Tabledesillustrations"/>
        <w:tabs>
          <w:tab w:val="right" w:leader="dot" w:pos="9060"/>
        </w:tabs>
        <w:rPr>
          <w:rFonts w:asciiTheme="minorHAnsi" w:eastAsiaTheme="minorEastAsia" w:hAnsiTheme="minorHAnsi"/>
          <w:noProof/>
          <w:lang w:val="en-US"/>
        </w:rPr>
      </w:pPr>
      <w:hyperlink w:anchor="_Toc72143388" w:history="1">
        <w:r w:rsidR="006067C7" w:rsidRPr="00A138BD">
          <w:rPr>
            <w:rStyle w:val="Lienhypertexte"/>
            <w:noProof/>
          </w:rPr>
          <w:t>Tableau 40 : Ventilation en volume des coproduits C3 et C2 dérogatoire</w:t>
        </w:r>
        <w:r w:rsidR="006067C7" w:rsidRPr="00A138BD">
          <w:rPr>
            <w:rStyle w:val="Lienhypertexte"/>
            <w:i/>
            <w:noProof/>
          </w:rPr>
          <w:t xml:space="preserve"> </w:t>
        </w:r>
        <w:r w:rsidR="006067C7" w:rsidRPr="00A138BD">
          <w:rPr>
            <w:rStyle w:val="Lienhypertexte"/>
            <w:noProof/>
          </w:rPr>
          <w:t>issus de la filière porcine (en kt)</w:t>
        </w:r>
        <w:r w:rsidR="006067C7">
          <w:rPr>
            <w:noProof/>
            <w:webHidden/>
          </w:rPr>
          <w:tab/>
        </w:r>
        <w:r w:rsidR="006067C7">
          <w:rPr>
            <w:noProof/>
            <w:webHidden/>
          </w:rPr>
          <w:fldChar w:fldCharType="begin"/>
        </w:r>
        <w:r w:rsidR="006067C7">
          <w:rPr>
            <w:noProof/>
            <w:webHidden/>
          </w:rPr>
          <w:instrText xml:space="preserve"> PAGEREF _Toc72143388 \h </w:instrText>
        </w:r>
        <w:r w:rsidR="006067C7">
          <w:rPr>
            <w:noProof/>
            <w:webHidden/>
          </w:rPr>
        </w:r>
        <w:r w:rsidR="006067C7">
          <w:rPr>
            <w:noProof/>
            <w:webHidden/>
          </w:rPr>
          <w:fldChar w:fldCharType="separate"/>
        </w:r>
        <w:r w:rsidR="006067C7">
          <w:rPr>
            <w:noProof/>
            <w:webHidden/>
          </w:rPr>
          <w:t>60</w:t>
        </w:r>
        <w:r w:rsidR="006067C7">
          <w:rPr>
            <w:noProof/>
            <w:webHidden/>
          </w:rPr>
          <w:fldChar w:fldCharType="end"/>
        </w:r>
      </w:hyperlink>
    </w:p>
    <w:p w14:paraId="31ACECE2" w14:textId="477B58D0" w:rsidR="006067C7" w:rsidRDefault="00000000">
      <w:pPr>
        <w:pStyle w:val="Tabledesillustrations"/>
        <w:tabs>
          <w:tab w:val="right" w:leader="dot" w:pos="9060"/>
        </w:tabs>
        <w:rPr>
          <w:rFonts w:asciiTheme="minorHAnsi" w:eastAsiaTheme="minorEastAsia" w:hAnsiTheme="minorHAnsi"/>
          <w:noProof/>
          <w:lang w:val="en-US"/>
        </w:rPr>
      </w:pPr>
      <w:hyperlink w:anchor="_Toc72143389" w:history="1">
        <w:r w:rsidR="006067C7" w:rsidRPr="00A138BD">
          <w:rPr>
            <w:rStyle w:val="Lienhypertexte"/>
            <w:noProof/>
          </w:rPr>
          <w:t>Tableau 41 : Ventilation des pièces de découpe primaire à partir d’une carcasse froide</w:t>
        </w:r>
        <w:r w:rsidR="006067C7">
          <w:rPr>
            <w:noProof/>
            <w:webHidden/>
          </w:rPr>
          <w:tab/>
        </w:r>
        <w:r w:rsidR="006067C7">
          <w:rPr>
            <w:noProof/>
            <w:webHidden/>
          </w:rPr>
          <w:fldChar w:fldCharType="begin"/>
        </w:r>
        <w:r w:rsidR="006067C7">
          <w:rPr>
            <w:noProof/>
            <w:webHidden/>
          </w:rPr>
          <w:instrText xml:space="preserve"> PAGEREF _Toc72143389 \h </w:instrText>
        </w:r>
        <w:r w:rsidR="006067C7">
          <w:rPr>
            <w:noProof/>
            <w:webHidden/>
          </w:rPr>
        </w:r>
        <w:r w:rsidR="006067C7">
          <w:rPr>
            <w:noProof/>
            <w:webHidden/>
          </w:rPr>
          <w:fldChar w:fldCharType="separate"/>
        </w:r>
        <w:r w:rsidR="006067C7">
          <w:rPr>
            <w:noProof/>
            <w:webHidden/>
          </w:rPr>
          <w:t>61</w:t>
        </w:r>
        <w:r w:rsidR="006067C7">
          <w:rPr>
            <w:noProof/>
            <w:webHidden/>
          </w:rPr>
          <w:fldChar w:fldCharType="end"/>
        </w:r>
      </w:hyperlink>
    </w:p>
    <w:p w14:paraId="52086448" w14:textId="3C350241" w:rsidR="006067C7" w:rsidRDefault="00000000">
      <w:pPr>
        <w:pStyle w:val="Tabledesillustrations"/>
        <w:tabs>
          <w:tab w:val="right" w:leader="dot" w:pos="9060"/>
        </w:tabs>
        <w:rPr>
          <w:rFonts w:asciiTheme="minorHAnsi" w:eastAsiaTheme="minorEastAsia" w:hAnsiTheme="minorHAnsi"/>
          <w:noProof/>
          <w:lang w:val="en-US"/>
        </w:rPr>
      </w:pPr>
      <w:hyperlink w:anchor="_Toc72143390" w:history="1">
        <w:r w:rsidR="006067C7" w:rsidRPr="00A138BD">
          <w:rPr>
            <w:rStyle w:val="Lienhypertexte"/>
            <w:noProof/>
          </w:rPr>
          <w:t>Tableau 42 : Composition massique de la fraction des abats rattachés à la carcasse base 100% de carcasse froide</w:t>
        </w:r>
        <w:r w:rsidR="006067C7">
          <w:rPr>
            <w:noProof/>
            <w:webHidden/>
          </w:rPr>
          <w:tab/>
        </w:r>
        <w:r w:rsidR="006067C7">
          <w:rPr>
            <w:noProof/>
            <w:webHidden/>
          </w:rPr>
          <w:fldChar w:fldCharType="begin"/>
        </w:r>
        <w:r w:rsidR="006067C7">
          <w:rPr>
            <w:noProof/>
            <w:webHidden/>
          </w:rPr>
          <w:instrText xml:space="preserve"> PAGEREF _Toc72143390 \h </w:instrText>
        </w:r>
        <w:r w:rsidR="006067C7">
          <w:rPr>
            <w:noProof/>
            <w:webHidden/>
          </w:rPr>
        </w:r>
        <w:r w:rsidR="006067C7">
          <w:rPr>
            <w:noProof/>
            <w:webHidden/>
          </w:rPr>
          <w:fldChar w:fldCharType="separate"/>
        </w:r>
        <w:r w:rsidR="006067C7">
          <w:rPr>
            <w:noProof/>
            <w:webHidden/>
          </w:rPr>
          <w:t>62</w:t>
        </w:r>
        <w:r w:rsidR="006067C7">
          <w:rPr>
            <w:noProof/>
            <w:webHidden/>
          </w:rPr>
          <w:fldChar w:fldCharType="end"/>
        </w:r>
      </w:hyperlink>
    </w:p>
    <w:p w14:paraId="26FBF141" w14:textId="59BD3CD6" w:rsidR="006067C7" w:rsidRDefault="00000000">
      <w:pPr>
        <w:pStyle w:val="Tabledesillustrations"/>
        <w:tabs>
          <w:tab w:val="right" w:leader="dot" w:pos="9060"/>
        </w:tabs>
        <w:rPr>
          <w:rFonts w:asciiTheme="minorHAnsi" w:eastAsiaTheme="minorEastAsia" w:hAnsiTheme="minorHAnsi"/>
          <w:noProof/>
          <w:lang w:val="en-US"/>
        </w:rPr>
      </w:pPr>
      <w:hyperlink w:anchor="_Toc72143391" w:history="1">
        <w:r w:rsidR="006067C7" w:rsidRPr="00A138BD">
          <w:rPr>
            <w:rStyle w:val="Lienhypertexte"/>
            <w:noProof/>
          </w:rPr>
          <w:t>Tableau 43 : Composition massique de la fraction des abats obtenus par éviscération de la carcasse base 100 % de carcasse chaude</w:t>
        </w:r>
        <w:r w:rsidR="006067C7">
          <w:rPr>
            <w:noProof/>
            <w:webHidden/>
          </w:rPr>
          <w:tab/>
        </w:r>
        <w:r w:rsidR="006067C7">
          <w:rPr>
            <w:noProof/>
            <w:webHidden/>
          </w:rPr>
          <w:fldChar w:fldCharType="begin"/>
        </w:r>
        <w:r w:rsidR="006067C7">
          <w:rPr>
            <w:noProof/>
            <w:webHidden/>
          </w:rPr>
          <w:instrText xml:space="preserve"> PAGEREF _Toc72143391 \h </w:instrText>
        </w:r>
        <w:r w:rsidR="006067C7">
          <w:rPr>
            <w:noProof/>
            <w:webHidden/>
          </w:rPr>
        </w:r>
        <w:r w:rsidR="006067C7">
          <w:rPr>
            <w:noProof/>
            <w:webHidden/>
          </w:rPr>
          <w:fldChar w:fldCharType="separate"/>
        </w:r>
        <w:r w:rsidR="006067C7">
          <w:rPr>
            <w:noProof/>
            <w:webHidden/>
          </w:rPr>
          <w:t>62</w:t>
        </w:r>
        <w:r w:rsidR="006067C7">
          <w:rPr>
            <w:noProof/>
            <w:webHidden/>
          </w:rPr>
          <w:fldChar w:fldCharType="end"/>
        </w:r>
      </w:hyperlink>
    </w:p>
    <w:p w14:paraId="2A630EF3" w14:textId="105E4F2E" w:rsidR="006067C7" w:rsidRDefault="00000000">
      <w:pPr>
        <w:pStyle w:val="Tabledesillustrations"/>
        <w:tabs>
          <w:tab w:val="right" w:leader="dot" w:pos="9060"/>
        </w:tabs>
        <w:rPr>
          <w:rFonts w:asciiTheme="minorHAnsi" w:eastAsiaTheme="minorEastAsia" w:hAnsiTheme="minorHAnsi"/>
          <w:noProof/>
          <w:lang w:val="en-US"/>
        </w:rPr>
      </w:pPr>
      <w:hyperlink w:anchor="_Toc72143392" w:history="1">
        <w:r w:rsidR="006067C7" w:rsidRPr="00A138BD">
          <w:rPr>
            <w:rStyle w:val="Lienhypertexte"/>
            <w:noProof/>
          </w:rPr>
          <w:t>Tableau 44 : Destinations en produits finis des principales catégories d’abats de porc</w:t>
        </w:r>
        <w:r w:rsidR="006067C7">
          <w:rPr>
            <w:noProof/>
            <w:webHidden/>
          </w:rPr>
          <w:tab/>
        </w:r>
        <w:r w:rsidR="006067C7">
          <w:rPr>
            <w:noProof/>
            <w:webHidden/>
          </w:rPr>
          <w:fldChar w:fldCharType="begin"/>
        </w:r>
        <w:r w:rsidR="006067C7">
          <w:rPr>
            <w:noProof/>
            <w:webHidden/>
          </w:rPr>
          <w:instrText xml:space="preserve"> PAGEREF _Toc72143392 \h </w:instrText>
        </w:r>
        <w:r w:rsidR="006067C7">
          <w:rPr>
            <w:noProof/>
            <w:webHidden/>
          </w:rPr>
        </w:r>
        <w:r w:rsidR="006067C7">
          <w:rPr>
            <w:noProof/>
            <w:webHidden/>
          </w:rPr>
          <w:fldChar w:fldCharType="separate"/>
        </w:r>
        <w:r w:rsidR="006067C7">
          <w:rPr>
            <w:noProof/>
            <w:webHidden/>
          </w:rPr>
          <w:t>62</w:t>
        </w:r>
        <w:r w:rsidR="006067C7">
          <w:rPr>
            <w:noProof/>
            <w:webHidden/>
          </w:rPr>
          <w:fldChar w:fldCharType="end"/>
        </w:r>
      </w:hyperlink>
    </w:p>
    <w:p w14:paraId="35414CEE" w14:textId="6633B39C" w:rsidR="006067C7" w:rsidRDefault="00000000">
      <w:pPr>
        <w:pStyle w:val="Tabledesillustrations"/>
        <w:tabs>
          <w:tab w:val="right" w:leader="dot" w:pos="9060"/>
        </w:tabs>
        <w:rPr>
          <w:rFonts w:asciiTheme="minorHAnsi" w:eastAsiaTheme="minorEastAsia" w:hAnsiTheme="minorHAnsi"/>
          <w:noProof/>
          <w:lang w:val="en-US"/>
        </w:rPr>
      </w:pPr>
      <w:hyperlink w:anchor="_Toc72143393" w:history="1">
        <w:r w:rsidR="006067C7" w:rsidRPr="00A138BD">
          <w:rPr>
            <w:rStyle w:val="Lienhypertexte"/>
            <w:noProof/>
          </w:rPr>
          <w:t>Tableau 45 : Ventilation des pièces primaires en muscle, os et gras</w:t>
        </w:r>
        <w:r w:rsidR="006067C7">
          <w:rPr>
            <w:noProof/>
            <w:webHidden/>
          </w:rPr>
          <w:tab/>
        </w:r>
        <w:r w:rsidR="006067C7">
          <w:rPr>
            <w:noProof/>
            <w:webHidden/>
          </w:rPr>
          <w:fldChar w:fldCharType="begin"/>
        </w:r>
        <w:r w:rsidR="006067C7">
          <w:rPr>
            <w:noProof/>
            <w:webHidden/>
          </w:rPr>
          <w:instrText xml:space="preserve"> PAGEREF _Toc72143393 \h </w:instrText>
        </w:r>
        <w:r w:rsidR="006067C7">
          <w:rPr>
            <w:noProof/>
            <w:webHidden/>
          </w:rPr>
        </w:r>
        <w:r w:rsidR="006067C7">
          <w:rPr>
            <w:noProof/>
            <w:webHidden/>
          </w:rPr>
          <w:fldChar w:fldCharType="separate"/>
        </w:r>
        <w:r w:rsidR="006067C7">
          <w:rPr>
            <w:noProof/>
            <w:webHidden/>
          </w:rPr>
          <w:t>63</w:t>
        </w:r>
        <w:r w:rsidR="006067C7">
          <w:rPr>
            <w:noProof/>
            <w:webHidden/>
          </w:rPr>
          <w:fldChar w:fldCharType="end"/>
        </w:r>
      </w:hyperlink>
    </w:p>
    <w:p w14:paraId="25311955" w14:textId="292EF708" w:rsidR="006067C7" w:rsidRDefault="00000000">
      <w:pPr>
        <w:pStyle w:val="Tabledesillustrations"/>
        <w:tabs>
          <w:tab w:val="right" w:leader="dot" w:pos="9060"/>
        </w:tabs>
        <w:rPr>
          <w:rFonts w:asciiTheme="minorHAnsi" w:eastAsiaTheme="minorEastAsia" w:hAnsiTheme="minorHAnsi"/>
          <w:noProof/>
          <w:lang w:val="en-US"/>
        </w:rPr>
      </w:pPr>
      <w:hyperlink w:anchor="_Toc72143394" w:history="1">
        <w:r w:rsidR="006067C7" w:rsidRPr="00A138BD">
          <w:rPr>
            <w:rStyle w:val="Lienhypertexte"/>
            <w:noProof/>
          </w:rPr>
          <w:t>Tableau 46 : Estimation de la fraction comestible sortie abattoir</w:t>
        </w:r>
        <w:r w:rsidR="006067C7">
          <w:rPr>
            <w:noProof/>
            <w:webHidden/>
          </w:rPr>
          <w:tab/>
        </w:r>
        <w:r w:rsidR="006067C7">
          <w:rPr>
            <w:noProof/>
            <w:webHidden/>
          </w:rPr>
          <w:fldChar w:fldCharType="begin"/>
        </w:r>
        <w:r w:rsidR="006067C7">
          <w:rPr>
            <w:noProof/>
            <w:webHidden/>
          </w:rPr>
          <w:instrText xml:space="preserve"> PAGEREF _Toc72143394 \h </w:instrText>
        </w:r>
        <w:r w:rsidR="006067C7">
          <w:rPr>
            <w:noProof/>
            <w:webHidden/>
          </w:rPr>
        </w:r>
        <w:r w:rsidR="006067C7">
          <w:rPr>
            <w:noProof/>
            <w:webHidden/>
          </w:rPr>
          <w:fldChar w:fldCharType="separate"/>
        </w:r>
        <w:r w:rsidR="006067C7">
          <w:rPr>
            <w:noProof/>
            <w:webHidden/>
          </w:rPr>
          <w:t>63</w:t>
        </w:r>
        <w:r w:rsidR="006067C7">
          <w:rPr>
            <w:noProof/>
            <w:webHidden/>
          </w:rPr>
          <w:fldChar w:fldCharType="end"/>
        </w:r>
      </w:hyperlink>
    </w:p>
    <w:p w14:paraId="67A5A7AB" w14:textId="78D3CCF3" w:rsidR="006067C7" w:rsidRDefault="00000000">
      <w:pPr>
        <w:pStyle w:val="Tabledesillustrations"/>
        <w:tabs>
          <w:tab w:val="right" w:leader="dot" w:pos="9060"/>
        </w:tabs>
        <w:rPr>
          <w:rFonts w:asciiTheme="minorHAnsi" w:eastAsiaTheme="minorEastAsia" w:hAnsiTheme="minorHAnsi"/>
          <w:noProof/>
          <w:lang w:val="en-US"/>
        </w:rPr>
      </w:pPr>
      <w:hyperlink w:anchor="_Toc72143395" w:history="1">
        <w:r w:rsidR="006067C7" w:rsidRPr="00A138BD">
          <w:rPr>
            <w:rStyle w:val="Lienhypertexte"/>
            <w:noProof/>
          </w:rPr>
          <w:t>Tableau 47 : Estimation des valeurs massiques des équivalents pièces primaires et abats produits en France en 2018</w:t>
        </w:r>
        <w:r w:rsidR="006067C7">
          <w:rPr>
            <w:noProof/>
            <w:webHidden/>
          </w:rPr>
          <w:tab/>
        </w:r>
        <w:r w:rsidR="006067C7">
          <w:rPr>
            <w:noProof/>
            <w:webHidden/>
          </w:rPr>
          <w:fldChar w:fldCharType="begin"/>
        </w:r>
        <w:r w:rsidR="006067C7">
          <w:rPr>
            <w:noProof/>
            <w:webHidden/>
          </w:rPr>
          <w:instrText xml:space="preserve"> PAGEREF _Toc72143395 \h </w:instrText>
        </w:r>
        <w:r w:rsidR="006067C7">
          <w:rPr>
            <w:noProof/>
            <w:webHidden/>
          </w:rPr>
        </w:r>
        <w:r w:rsidR="006067C7">
          <w:rPr>
            <w:noProof/>
            <w:webHidden/>
          </w:rPr>
          <w:fldChar w:fldCharType="separate"/>
        </w:r>
        <w:r w:rsidR="006067C7">
          <w:rPr>
            <w:noProof/>
            <w:webHidden/>
          </w:rPr>
          <w:t>64</w:t>
        </w:r>
        <w:r w:rsidR="006067C7">
          <w:rPr>
            <w:noProof/>
            <w:webHidden/>
          </w:rPr>
          <w:fldChar w:fldCharType="end"/>
        </w:r>
      </w:hyperlink>
    </w:p>
    <w:p w14:paraId="591E4A7F" w14:textId="33062F50" w:rsidR="006067C7" w:rsidRDefault="00000000">
      <w:pPr>
        <w:pStyle w:val="Tabledesillustrations"/>
        <w:tabs>
          <w:tab w:val="right" w:leader="dot" w:pos="9060"/>
        </w:tabs>
        <w:rPr>
          <w:rFonts w:asciiTheme="minorHAnsi" w:eastAsiaTheme="minorEastAsia" w:hAnsiTheme="minorHAnsi"/>
          <w:noProof/>
          <w:lang w:val="en-US"/>
        </w:rPr>
      </w:pPr>
      <w:hyperlink w:anchor="_Toc72143396" w:history="1">
        <w:r w:rsidR="006067C7" w:rsidRPr="00A138BD">
          <w:rPr>
            <w:rStyle w:val="Lienhypertexte"/>
            <w:noProof/>
          </w:rPr>
          <w:t>Tableau 48 : Estimation des valeurs massiques des équivalents pièces primaires et abats nets pour la consommation Française en 2018</w:t>
        </w:r>
        <w:r w:rsidR="006067C7">
          <w:rPr>
            <w:noProof/>
            <w:webHidden/>
          </w:rPr>
          <w:tab/>
        </w:r>
        <w:r w:rsidR="006067C7">
          <w:rPr>
            <w:noProof/>
            <w:webHidden/>
          </w:rPr>
          <w:fldChar w:fldCharType="begin"/>
        </w:r>
        <w:r w:rsidR="006067C7">
          <w:rPr>
            <w:noProof/>
            <w:webHidden/>
          </w:rPr>
          <w:instrText xml:space="preserve"> PAGEREF _Toc72143396 \h </w:instrText>
        </w:r>
        <w:r w:rsidR="006067C7">
          <w:rPr>
            <w:noProof/>
            <w:webHidden/>
          </w:rPr>
        </w:r>
        <w:r w:rsidR="006067C7">
          <w:rPr>
            <w:noProof/>
            <w:webHidden/>
          </w:rPr>
          <w:fldChar w:fldCharType="separate"/>
        </w:r>
        <w:r w:rsidR="006067C7">
          <w:rPr>
            <w:noProof/>
            <w:webHidden/>
          </w:rPr>
          <w:t>64</w:t>
        </w:r>
        <w:r w:rsidR="006067C7">
          <w:rPr>
            <w:noProof/>
            <w:webHidden/>
          </w:rPr>
          <w:fldChar w:fldCharType="end"/>
        </w:r>
      </w:hyperlink>
    </w:p>
    <w:p w14:paraId="7A1CE23E" w14:textId="7455611A" w:rsidR="006067C7" w:rsidRDefault="00000000">
      <w:pPr>
        <w:pStyle w:val="Tabledesillustrations"/>
        <w:tabs>
          <w:tab w:val="right" w:leader="dot" w:pos="9060"/>
        </w:tabs>
        <w:rPr>
          <w:rFonts w:asciiTheme="minorHAnsi" w:eastAsiaTheme="minorEastAsia" w:hAnsiTheme="minorHAnsi"/>
          <w:noProof/>
          <w:lang w:val="en-US"/>
        </w:rPr>
      </w:pPr>
      <w:hyperlink w:anchor="_Toc72143397" w:history="1">
        <w:r w:rsidR="006067C7" w:rsidRPr="00A138BD">
          <w:rPr>
            <w:rStyle w:val="Lienhypertexte"/>
            <w:noProof/>
          </w:rPr>
          <w:t>Tableau 49 : Classification des produits de charcuterie selon le Codes des usages</w:t>
        </w:r>
        <w:r w:rsidR="006067C7">
          <w:rPr>
            <w:noProof/>
            <w:webHidden/>
          </w:rPr>
          <w:tab/>
        </w:r>
        <w:r w:rsidR="006067C7">
          <w:rPr>
            <w:noProof/>
            <w:webHidden/>
          </w:rPr>
          <w:fldChar w:fldCharType="begin"/>
        </w:r>
        <w:r w:rsidR="006067C7">
          <w:rPr>
            <w:noProof/>
            <w:webHidden/>
          </w:rPr>
          <w:instrText xml:space="preserve"> PAGEREF _Toc72143397 \h </w:instrText>
        </w:r>
        <w:r w:rsidR="006067C7">
          <w:rPr>
            <w:noProof/>
            <w:webHidden/>
          </w:rPr>
        </w:r>
        <w:r w:rsidR="006067C7">
          <w:rPr>
            <w:noProof/>
            <w:webHidden/>
          </w:rPr>
          <w:fldChar w:fldCharType="separate"/>
        </w:r>
        <w:r w:rsidR="006067C7">
          <w:rPr>
            <w:noProof/>
            <w:webHidden/>
          </w:rPr>
          <w:t>65</w:t>
        </w:r>
        <w:r w:rsidR="006067C7">
          <w:rPr>
            <w:noProof/>
            <w:webHidden/>
          </w:rPr>
          <w:fldChar w:fldCharType="end"/>
        </w:r>
      </w:hyperlink>
    </w:p>
    <w:p w14:paraId="41206B3F" w14:textId="0C5C9615" w:rsidR="006067C7" w:rsidRDefault="00000000">
      <w:pPr>
        <w:pStyle w:val="Tabledesillustrations"/>
        <w:tabs>
          <w:tab w:val="right" w:leader="dot" w:pos="9060"/>
        </w:tabs>
        <w:rPr>
          <w:rFonts w:asciiTheme="minorHAnsi" w:eastAsiaTheme="minorEastAsia" w:hAnsiTheme="minorHAnsi"/>
          <w:noProof/>
          <w:lang w:val="en-US"/>
        </w:rPr>
      </w:pPr>
      <w:hyperlink w:anchor="_Toc72143398" w:history="1">
        <w:r w:rsidR="006067C7" w:rsidRPr="00A138BD">
          <w:rPr>
            <w:rStyle w:val="Lienhypertexte"/>
            <w:noProof/>
          </w:rPr>
          <w:t>Tableau 50 : Rendements technologiques considérés par famille technologique selon le Code des usages de la charcuterie</w:t>
        </w:r>
        <w:r w:rsidR="006067C7">
          <w:rPr>
            <w:noProof/>
            <w:webHidden/>
          </w:rPr>
          <w:tab/>
        </w:r>
        <w:r w:rsidR="006067C7">
          <w:rPr>
            <w:noProof/>
            <w:webHidden/>
          </w:rPr>
          <w:fldChar w:fldCharType="begin"/>
        </w:r>
        <w:r w:rsidR="006067C7">
          <w:rPr>
            <w:noProof/>
            <w:webHidden/>
          </w:rPr>
          <w:instrText xml:space="preserve"> PAGEREF _Toc72143398 \h </w:instrText>
        </w:r>
        <w:r w:rsidR="006067C7">
          <w:rPr>
            <w:noProof/>
            <w:webHidden/>
          </w:rPr>
        </w:r>
        <w:r w:rsidR="006067C7">
          <w:rPr>
            <w:noProof/>
            <w:webHidden/>
          </w:rPr>
          <w:fldChar w:fldCharType="separate"/>
        </w:r>
        <w:r w:rsidR="006067C7">
          <w:rPr>
            <w:noProof/>
            <w:webHidden/>
          </w:rPr>
          <w:t>66</w:t>
        </w:r>
        <w:r w:rsidR="006067C7">
          <w:rPr>
            <w:noProof/>
            <w:webHidden/>
          </w:rPr>
          <w:fldChar w:fldCharType="end"/>
        </w:r>
      </w:hyperlink>
    </w:p>
    <w:p w14:paraId="13BF1A25" w14:textId="3F60864E" w:rsidR="006067C7" w:rsidRDefault="00000000">
      <w:pPr>
        <w:pStyle w:val="Tabledesillustrations"/>
        <w:tabs>
          <w:tab w:val="right" w:leader="dot" w:pos="9060"/>
        </w:tabs>
        <w:rPr>
          <w:rFonts w:asciiTheme="minorHAnsi" w:eastAsiaTheme="minorEastAsia" w:hAnsiTheme="minorHAnsi"/>
          <w:noProof/>
          <w:lang w:val="en-US"/>
        </w:rPr>
      </w:pPr>
      <w:hyperlink w:anchor="_Toc72143399" w:history="1">
        <w:r w:rsidR="006067C7" w:rsidRPr="00A138BD">
          <w:rPr>
            <w:rStyle w:val="Lienhypertexte"/>
            <w:noProof/>
          </w:rPr>
          <w:t>Tableau 51 : Estimation des rendements matière de transformation exprimés pour 100 kg de pièce de départ parée par famille technologique selon le code des usages de la charcuterie</w:t>
        </w:r>
        <w:r w:rsidR="006067C7">
          <w:rPr>
            <w:noProof/>
            <w:webHidden/>
          </w:rPr>
          <w:tab/>
        </w:r>
        <w:r w:rsidR="006067C7">
          <w:rPr>
            <w:noProof/>
            <w:webHidden/>
          </w:rPr>
          <w:fldChar w:fldCharType="begin"/>
        </w:r>
        <w:r w:rsidR="006067C7">
          <w:rPr>
            <w:noProof/>
            <w:webHidden/>
          </w:rPr>
          <w:instrText xml:space="preserve"> PAGEREF _Toc72143399 \h </w:instrText>
        </w:r>
        <w:r w:rsidR="006067C7">
          <w:rPr>
            <w:noProof/>
            <w:webHidden/>
          </w:rPr>
        </w:r>
        <w:r w:rsidR="006067C7">
          <w:rPr>
            <w:noProof/>
            <w:webHidden/>
          </w:rPr>
          <w:fldChar w:fldCharType="separate"/>
        </w:r>
        <w:r w:rsidR="006067C7">
          <w:rPr>
            <w:noProof/>
            <w:webHidden/>
          </w:rPr>
          <w:t>67</w:t>
        </w:r>
        <w:r w:rsidR="006067C7">
          <w:rPr>
            <w:noProof/>
            <w:webHidden/>
          </w:rPr>
          <w:fldChar w:fldCharType="end"/>
        </w:r>
      </w:hyperlink>
    </w:p>
    <w:p w14:paraId="255AB125" w14:textId="45BEE8EA" w:rsidR="006067C7" w:rsidRDefault="00000000">
      <w:pPr>
        <w:pStyle w:val="Tabledesillustrations"/>
        <w:tabs>
          <w:tab w:val="right" w:leader="dot" w:pos="9060"/>
        </w:tabs>
        <w:rPr>
          <w:rFonts w:asciiTheme="minorHAnsi" w:eastAsiaTheme="minorEastAsia" w:hAnsiTheme="minorHAnsi"/>
          <w:noProof/>
          <w:lang w:val="en-US"/>
        </w:rPr>
      </w:pPr>
      <w:hyperlink w:anchor="_Toc72143400" w:history="1">
        <w:r w:rsidR="006067C7" w:rsidRPr="00A138BD">
          <w:rPr>
            <w:rStyle w:val="Lienhypertexte"/>
            <w:noProof/>
          </w:rPr>
          <w:t>Tableau 52 : Estimation du taux d’incorporation de viande de porc en charcuteries et saucisseries autres que de porc</w:t>
        </w:r>
        <w:r w:rsidR="006067C7">
          <w:rPr>
            <w:noProof/>
            <w:webHidden/>
          </w:rPr>
          <w:tab/>
        </w:r>
        <w:r w:rsidR="006067C7">
          <w:rPr>
            <w:noProof/>
            <w:webHidden/>
          </w:rPr>
          <w:fldChar w:fldCharType="begin"/>
        </w:r>
        <w:r w:rsidR="006067C7">
          <w:rPr>
            <w:noProof/>
            <w:webHidden/>
          </w:rPr>
          <w:instrText xml:space="preserve"> PAGEREF _Toc72143400 \h </w:instrText>
        </w:r>
        <w:r w:rsidR="006067C7">
          <w:rPr>
            <w:noProof/>
            <w:webHidden/>
          </w:rPr>
        </w:r>
        <w:r w:rsidR="006067C7">
          <w:rPr>
            <w:noProof/>
            <w:webHidden/>
          </w:rPr>
          <w:fldChar w:fldCharType="separate"/>
        </w:r>
        <w:r w:rsidR="006067C7">
          <w:rPr>
            <w:noProof/>
            <w:webHidden/>
          </w:rPr>
          <w:t>69</w:t>
        </w:r>
        <w:r w:rsidR="006067C7">
          <w:rPr>
            <w:noProof/>
            <w:webHidden/>
          </w:rPr>
          <w:fldChar w:fldCharType="end"/>
        </w:r>
      </w:hyperlink>
    </w:p>
    <w:p w14:paraId="234A98A8" w14:textId="418FA6F7" w:rsidR="006067C7" w:rsidRDefault="00000000">
      <w:pPr>
        <w:pStyle w:val="Tabledesillustrations"/>
        <w:tabs>
          <w:tab w:val="right" w:leader="dot" w:pos="9060"/>
        </w:tabs>
        <w:rPr>
          <w:rFonts w:asciiTheme="minorHAnsi" w:eastAsiaTheme="minorEastAsia" w:hAnsiTheme="minorHAnsi"/>
          <w:noProof/>
          <w:lang w:val="en-US"/>
        </w:rPr>
      </w:pPr>
      <w:hyperlink w:anchor="_Toc72143401" w:history="1">
        <w:r w:rsidR="006067C7" w:rsidRPr="00A138BD">
          <w:rPr>
            <w:rStyle w:val="Lienhypertexte"/>
            <w:noProof/>
          </w:rPr>
          <w:t>Tableau 53 : Codes PRODCOM des pâtés et rillettes de volaille pris en compte</w:t>
        </w:r>
        <w:r w:rsidR="006067C7">
          <w:rPr>
            <w:noProof/>
            <w:webHidden/>
          </w:rPr>
          <w:tab/>
        </w:r>
        <w:r w:rsidR="006067C7">
          <w:rPr>
            <w:noProof/>
            <w:webHidden/>
          </w:rPr>
          <w:fldChar w:fldCharType="begin"/>
        </w:r>
        <w:r w:rsidR="006067C7">
          <w:rPr>
            <w:noProof/>
            <w:webHidden/>
          </w:rPr>
          <w:instrText xml:space="preserve"> PAGEREF _Toc72143401 \h </w:instrText>
        </w:r>
        <w:r w:rsidR="006067C7">
          <w:rPr>
            <w:noProof/>
            <w:webHidden/>
          </w:rPr>
        </w:r>
        <w:r w:rsidR="006067C7">
          <w:rPr>
            <w:noProof/>
            <w:webHidden/>
          </w:rPr>
          <w:fldChar w:fldCharType="separate"/>
        </w:r>
        <w:r w:rsidR="006067C7">
          <w:rPr>
            <w:noProof/>
            <w:webHidden/>
          </w:rPr>
          <w:t>70</w:t>
        </w:r>
        <w:r w:rsidR="006067C7">
          <w:rPr>
            <w:noProof/>
            <w:webHidden/>
          </w:rPr>
          <w:fldChar w:fldCharType="end"/>
        </w:r>
      </w:hyperlink>
    </w:p>
    <w:p w14:paraId="7FCF320E" w14:textId="7020660E" w:rsidR="006067C7" w:rsidRDefault="00000000">
      <w:pPr>
        <w:pStyle w:val="Tabledesillustrations"/>
        <w:tabs>
          <w:tab w:val="right" w:leader="dot" w:pos="9060"/>
        </w:tabs>
        <w:rPr>
          <w:rFonts w:asciiTheme="minorHAnsi" w:eastAsiaTheme="minorEastAsia" w:hAnsiTheme="minorHAnsi"/>
          <w:noProof/>
          <w:lang w:val="en-US"/>
        </w:rPr>
      </w:pPr>
      <w:hyperlink w:anchor="_Toc72143402" w:history="1">
        <w:r w:rsidR="006067C7" w:rsidRPr="00A138BD">
          <w:rPr>
            <w:rStyle w:val="Lienhypertexte"/>
            <w:noProof/>
          </w:rPr>
          <w:t>Tableau 54 : Répartition des références par famille de produits frais traiteur libre-service sur l’échantillon étudié</w:t>
        </w:r>
        <w:r w:rsidR="006067C7">
          <w:rPr>
            <w:noProof/>
            <w:webHidden/>
          </w:rPr>
          <w:tab/>
        </w:r>
        <w:r w:rsidR="006067C7">
          <w:rPr>
            <w:noProof/>
            <w:webHidden/>
          </w:rPr>
          <w:fldChar w:fldCharType="begin"/>
        </w:r>
        <w:r w:rsidR="006067C7">
          <w:rPr>
            <w:noProof/>
            <w:webHidden/>
          </w:rPr>
          <w:instrText xml:space="preserve"> PAGEREF _Toc72143402 \h </w:instrText>
        </w:r>
        <w:r w:rsidR="006067C7">
          <w:rPr>
            <w:noProof/>
            <w:webHidden/>
          </w:rPr>
        </w:r>
        <w:r w:rsidR="006067C7">
          <w:rPr>
            <w:noProof/>
            <w:webHidden/>
          </w:rPr>
          <w:fldChar w:fldCharType="separate"/>
        </w:r>
        <w:r w:rsidR="006067C7">
          <w:rPr>
            <w:noProof/>
            <w:webHidden/>
          </w:rPr>
          <w:t>71</w:t>
        </w:r>
        <w:r w:rsidR="006067C7">
          <w:rPr>
            <w:noProof/>
            <w:webHidden/>
          </w:rPr>
          <w:fldChar w:fldCharType="end"/>
        </w:r>
      </w:hyperlink>
    </w:p>
    <w:p w14:paraId="4AC038CC" w14:textId="0A4E79A0" w:rsidR="006067C7" w:rsidRDefault="00000000">
      <w:pPr>
        <w:pStyle w:val="Tabledesillustrations"/>
        <w:tabs>
          <w:tab w:val="right" w:leader="dot" w:pos="9060"/>
        </w:tabs>
        <w:rPr>
          <w:rFonts w:asciiTheme="minorHAnsi" w:eastAsiaTheme="minorEastAsia" w:hAnsiTheme="minorHAnsi"/>
          <w:noProof/>
          <w:lang w:val="en-US"/>
        </w:rPr>
      </w:pPr>
      <w:hyperlink w:anchor="_Toc72143403" w:history="1">
        <w:r w:rsidR="006067C7" w:rsidRPr="00A138BD">
          <w:rPr>
            <w:rStyle w:val="Lienhypertexte"/>
            <w:noProof/>
          </w:rPr>
          <w:t xml:space="preserve">Tableau </w:t>
        </w:r>
        <w:r w:rsidR="006067C7" w:rsidRPr="00A138BD">
          <w:rPr>
            <w:rStyle w:val="Lienhypertexte"/>
            <w:i/>
            <w:noProof/>
          </w:rPr>
          <w:t>55 :</w:t>
        </w:r>
        <w:r w:rsidR="006067C7" w:rsidRPr="00A138BD">
          <w:rPr>
            <w:rStyle w:val="Lienhypertexte"/>
            <w:noProof/>
          </w:rPr>
          <w:t xml:space="preserve"> Estimation des volumes de porc incorporés dans le marché des</w:t>
        </w:r>
        <w:r w:rsidR="006067C7" w:rsidRPr="00A138BD">
          <w:rPr>
            <w:rStyle w:val="Lienhypertexte"/>
            <w:i/>
            <w:noProof/>
          </w:rPr>
          <w:t xml:space="preserve"> </w:t>
        </w:r>
        <w:r w:rsidR="006067C7" w:rsidRPr="00A138BD">
          <w:rPr>
            <w:rStyle w:val="Lienhypertexte"/>
            <w:noProof/>
          </w:rPr>
          <w:t>produits traiteurs industriels</w:t>
        </w:r>
        <w:r w:rsidR="006067C7">
          <w:rPr>
            <w:noProof/>
            <w:webHidden/>
          </w:rPr>
          <w:tab/>
        </w:r>
        <w:r w:rsidR="006067C7">
          <w:rPr>
            <w:noProof/>
            <w:webHidden/>
          </w:rPr>
          <w:fldChar w:fldCharType="begin"/>
        </w:r>
        <w:r w:rsidR="006067C7">
          <w:rPr>
            <w:noProof/>
            <w:webHidden/>
          </w:rPr>
          <w:instrText xml:space="preserve"> PAGEREF _Toc72143403 \h </w:instrText>
        </w:r>
        <w:r w:rsidR="006067C7">
          <w:rPr>
            <w:noProof/>
            <w:webHidden/>
          </w:rPr>
        </w:r>
        <w:r w:rsidR="006067C7">
          <w:rPr>
            <w:noProof/>
            <w:webHidden/>
          </w:rPr>
          <w:fldChar w:fldCharType="separate"/>
        </w:r>
        <w:r w:rsidR="006067C7">
          <w:rPr>
            <w:noProof/>
            <w:webHidden/>
          </w:rPr>
          <w:t>75</w:t>
        </w:r>
        <w:r w:rsidR="006067C7">
          <w:rPr>
            <w:noProof/>
            <w:webHidden/>
          </w:rPr>
          <w:fldChar w:fldCharType="end"/>
        </w:r>
      </w:hyperlink>
    </w:p>
    <w:p w14:paraId="4B4FD1BC" w14:textId="193800BE" w:rsidR="006067C7" w:rsidRDefault="00000000">
      <w:pPr>
        <w:pStyle w:val="Tabledesillustrations"/>
        <w:tabs>
          <w:tab w:val="right" w:leader="dot" w:pos="9060"/>
        </w:tabs>
        <w:rPr>
          <w:rFonts w:asciiTheme="minorHAnsi" w:eastAsiaTheme="minorEastAsia" w:hAnsiTheme="minorHAnsi"/>
          <w:noProof/>
          <w:lang w:val="en-US"/>
        </w:rPr>
      </w:pPr>
      <w:hyperlink w:anchor="_Toc72143404" w:history="1">
        <w:r w:rsidR="006067C7" w:rsidRPr="00A138BD">
          <w:rPr>
            <w:rStyle w:val="Lienhypertexte"/>
            <w:noProof/>
          </w:rPr>
          <w:t xml:space="preserve">Tableau </w:t>
        </w:r>
        <w:r w:rsidR="006067C7" w:rsidRPr="00A138BD">
          <w:rPr>
            <w:rStyle w:val="Lienhypertexte"/>
            <w:i/>
            <w:noProof/>
          </w:rPr>
          <w:t xml:space="preserve">56 : </w:t>
        </w:r>
        <w:r w:rsidR="006067C7" w:rsidRPr="00A138BD">
          <w:rPr>
            <w:rStyle w:val="Lienhypertexte"/>
            <w:noProof/>
          </w:rPr>
          <w:t>Estimation des volumes de porc incorporés dans le marché des produits traiteurs industriels par typologie de produit</w:t>
        </w:r>
        <w:r w:rsidR="006067C7">
          <w:rPr>
            <w:noProof/>
            <w:webHidden/>
          </w:rPr>
          <w:tab/>
        </w:r>
        <w:r w:rsidR="006067C7">
          <w:rPr>
            <w:noProof/>
            <w:webHidden/>
          </w:rPr>
          <w:fldChar w:fldCharType="begin"/>
        </w:r>
        <w:r w:rsidR="006067C7">
          <w:rPr>
            <w:noProof/>
            <w:webHidden/>
          </w:rPr>
          <w:instrText xml:space="preserve"> PAGEREF _Toc72143404 \h </w:instrText>
        </w:r>
        <w:r w:rsidR="006067C7">
          <w:rPr>
            <w:noProof/>
            <w:webHidden/>
          </w:rPr>
        </w:r>
        <w:r w:rsidR="006067C7">
          <w:rPr>
            <w:noProof/>
            <w:webHidden/>
          </w:rPr>
          <w:fldChar w:fldCharType="separate"/>
        </w:r>
        <w:r w:rsidR="006067C7">
          <w:rPr>
            <w:noProof/>
            <w:webHidden/>
          </w:rPr>
          <w:t>75</w:t>
        </w:r>
        <w:r w:rsidR="006067C7">
          <w:rPr>
            <w:noProof/>
            <w:webHidden/>
          </w:rPr>
          <w:fldChar w:fldCharType="end"/>
        </w:r>
      </w:hyperlink>
    </w:p>
    <w:p w14:paraId="502DFB27" w14:textId="683BEB2D" w:rsidR="006067C7" w:rsidRDefault="00000000">
      <w:pPr>
        <w:pStyle w:val="Tabledesillustrations"/>
        <w:tabs>
          <w:tab w:val="right" w:leader="dot" w:pos="9060"/>
        </w:tabs>
        <w:rPr>
          <w:rFonts w:asciiTheme="minorHAnsi" w:eastAsiaTheme="minorEastAsia" w:hAnsiTheme="minorHAnsi"/>
          <w:noProof/>
          <w:lang w:val="en-US"/>
        </w:rPr>
      </w:pPr>
      <w:hyperlink w:anchor="_Toc72143405" w:history="1">
        <w:r w:rsidR="006067C7" w:rsidRPr="00A138BD">
          <w:rPr>
            <w:rStyle w:val="Lienhypertexte"/>
            <w:noProof/>
          </w:rPr>
          <w:t xml:space="preserve">Tableau </w:t>
        </w:r>
        <w:r w:rsidR="006067C7" w:rsidRPr="00A138BD">
          <w:rPr>
            <w:rStyle w:val="Lienhypertexte"/>
            <w:i/>
            <w:noProof/>
          </w:rPr>
          <w:t xml:space="preserve">57 : </w:t>
        </w:r>
        <w:r w:rsidR="006067C7" w:rsidRPr="00A138BD">
          <w:rPr>
            <w:rStyle w:val="Lienhypertexte"/>
            <w:noProof/>
          </w:rPr>
          <w:t>Fraction des produits du porc disponible en sortie 10.11.Z. en kt en 2018</w:t>
        </w:r>
        <w:r w:rsidR="006067C7">
          <w:rPr>
            <w:noProof/>
            <w:webHidden/>
          </w:rPr>
          <w:tab/>
        </w:r>
        <w:r w:rsidR="006067C7">
          <w:rPr>
            <w:noProof/>
            <w:webHidden/>
          </w:rPr>
          <w:fldChar w:fldCharType="begin"/>
        </w:r>
        <w:r w:rsidR="006067C7">
          <w:rPr>
            <w:noProof/>
            <w:webHidden/>
          </w:rPr>
          <w:instrText xml:space="preserve"> PAGEREF _Toc72143405 \h </w:instrText>
        </w:r>
        <w:r w:rsidR="006067C7">
          <w:rPr>
            <w:noProof/>
            <w:webHidden/>
          </w:rPr>
        </w:r>
        <w:r w:rsidR="006067C7">
          <w:rPr>
            <w:noProof/>
            <w:webHidden/>
          </w:rPr>
          <w:fldChar w:fldCharType="separate"/>
        </w:r>
        <w:r w:rsidR="006067C7">
          <w:rPr>
            <w:noProof/>
            <w:webHidden/>
          </w:rPr>
          <w:t>79</w:t>
        </w:r>
        <w:r w:rsidR="006067C7">
          <w:rPr>
            <w:noProof/>
            <w:webHidden/>
          </w:rPr>
          <w:fldChar w:fldCharType="end"/>
        </w:r>
      </w:hyperlink>
    </w:p>
    <w:p w14:paraId="0F08E98D" w14:textId="6B6F4DF5" w:rsidR="006067C7" w:rsidRDefault="00000000">
      <w:pPr>
        <w:pStyle w:val="Tabledesillustrations"/>
        <w:tabs>
          <w:tab w:val="right" w:leader="dot" w:pos="9060"/>
        </w:tabs>
        <w:rPr>
          <w:rFonts w:asciiTheme="minorHAnsi" w:eastAsiaTheme="minorEastAsia" w:hAnsiTheme="minorHAnsi"/>
          <w:noProof/>
          <w:lang w:val="en-US"/>
        </w:rPr>
      </w:pPr>
      <w:hyperlink w:anchor="_Toc72143406" w:history="1">
        <w:r w:rsidR="006067C7" w:rsidRPr="00A138BD">
          <w:rPr>
            <w:rStyle w:val="Lienhypertexte"/>
            <w:noProof/>
          </w:rPr>
          <w:t xml:space="preserve">Tableau </w:t>
        </w:r>
        <w:r w:rsidR="006067C7" w:rsidRPr="00A138BD">
          <w:rPr>
            <w:rStyle w:val="Lienhypertexte"/>
            <w:i/>
            <w:noProof/>
          </w:rPr>
          <w:t xml:space="preserve">58 : </w:t>
        </w:r>
        <w:r w:rsidR="006067C7" w:rsidRPr="00A138BD">
          <w:rPr>
            <w:rStyle w:val="Lienhypertexte"/>
            <w:noProof/>
          </w:rPr>
          <w:t>Fraction des produits du porc en entrée activité 10.13.A. en kt en 2018</w:t>
        </w:r>
        <w:r w:rsidR="006067C7">
          <w:rPr>
            <w:noProof/>
            <w:webHidden/>
          </w:rPr>
          <w:tab/>
        </w:r>
        <w:r w:rsidR="006067C7">
          <w:rPr>
            <w:noProof/>
            <w:webHidden/>
          </w:rPr>
          <w:fldChar w:fldCharType="begin"/>
        </w:r>
        <w:r w:rsidR="006067C7">
          <w:rPr>
            <w:noProof/>
            <w:webHidden/>
          </w:rPr>
          <w:instrText xml:space="preserve"> PAGEREF _Toc72143406 \h </w:instrText>
        </w:r>
        <w:r w:rsidR="006067C7">
          <w:rPr>
            <w:noProof/>
            <w:webHidden/>
          </w:rPr>
        </w:r>
        <w:r w:rsidR="006067C7">
          <w:rPr>
            <w:noProof/>
            <w:webHidden/>
          </w:rPr>
          <w:fldChar w:fldCharType="separate"/>
        </w:r>
        <w:r w:rsidR="006067C7">
          <w:rPr>
            <w:noProof/>
            <w:webHidden/>
          </w:rPr>
          <w:t>80</w:t>
        </w:r>
        <w:r w:rsidR="006067C7">
          <w:rPr>
            <w:noProof/>
            <w:webHidden/>
          </w:rPr>
          <w:fldChar w:fldCharType="end"/>
        </w:r>
      </w:hyperlink>
    </w:p>
    <w:p w14:paraId="63F48CA7" w14:textId="2D37D796" w:rsidR="006067C7" w:rsidRDefault="00000000">
      <w:pPr>
        <w:pStyle w:val="Tabledesillustrations"/>
        <w:tabs>
          <w:tab w:val="right" w:leader="dot" w:pos="9060"/>
        </w:tabs>
        <w:rPr>
          <w:rFonts w:asciiTheme="minorHAnsi" w:eastAsiaTheme="minorEastAsia" w:hAnsiTheme="minorHAnsi"/>
          <w:noProof/>
          <w:lang w:val="en-US"/>
        </w:rPr>
      </w:pPr>
      <w:hyperlink w:anchor="_Toc72143407" w:history="1">
        <w:r w:rsidR="006067C7" w:rsidRPr="00A138BD">
          <w:rPr>
            <w:rStyle w:val="Lienhypertexte"/>
            <w:noProof/>
          </w:rPr>
          <w:t xml:space="preserve">Tableau </w:t>
        </w:r>
        <w:r w:rsidR="006067C7" w:rsidRPr="00A138BD">
          <w:rPr>
            <w:rStyle w:val="Lienhypertexte"/>
            <w:i/>
            <w:noProof/>
          </w:rPr>
          <w:t>59</w:t>
        </w:r>
        <w:r w:rsidR="006067C7" w:rsidRPr="00A138BD">
          <w:rPr>
            <w:rStyle w:val="Lienhypertexte"/>
            <w:noProof/>
          </w:rPr>
          <w:t> : Marchés de consommation de la charcuterie salaison en kt en 2018</w:t>
        </w:r>
        <w:r w:rsidR="006067C7">
          <w:rPr>
            <w:noProof/>
            <w:webHidden/>
          </w:rPr>
          <w:tab/>
        </w:r>
        <w:r w:rsidR="006067C7">
          <w:rPr>
            <w:noProof/>
            <w:webHidden/>
          </w:rPr>
          <w:fldChar w:fldCharType="begin"/>
        </w:r>
        <w:r w:rsidR="006067C7">
          <w:rPr>
            <w:noProof/>
            <w:webHidden/>
          </w:rPr>
          <w:instrText xml:space="preserve"> PAGEREF _Toc72143407 \h </w:instrText>
        </w:r>
        <w:r w:rsidR="006067C7">
          <w:rPr>
            <w:noProof/>
            <w:webHidden/>
          </w:rPr>
        </w:r>
        <w:r w:rsidR="006067C7">
          <w:rPr>
            <w:noProof/>
            <w:webHidden/>
          </w:rPr>
          <w:fldChar w:fldCharType="separate"/>
        </w:r>
        <w:r w:rsidR="006067C7">
          <w:rPr>
            <w:noProof/>
            <w:webHidden/>
          </w:rPr>
          <w:t>81</w:t>
        </w:r>
        <w:r w:rsidR="006067C7">
          <w:rPr>
            <w:noProof/>
            <w:webHidden/>
          </w:rPr>
          <w:fldChar w:fldCharType="end"/>
        </w:r>
      </w:hyperlink>
    </w:p>
    <w:p w14:paraId="37C4D8FB" w14:textId="5343101A" w:rsidR="006067C7" w:rsidRDefault="00000000">
      <w:pPr>
        <w:pStyle w:val="Tabledesillustrations"/>
        <w:tabs>
          <w:tab w:val="right" w:leader="dot" w:pos="9060"/>
        </w:tabs>
        <w:rPr>
          <w:rFonts w:asciiTheme="minorHAnsi" w:eastAsiaTheme="minorEastAsia" w:hAnsiTheme="minorHAnsi"/>
          <w:noProof/>
          <w:lang w:val="en-US"/>
        </w:rPr>
      </w:pPr>
      <w:hyperlink w:anchor="_Toc72143408" w:history="1">
        <w:r w:rsidR="006067C7" w:rsidRPr="00A138BD">
          <w:rPr>
            <w:rStyle w:val="Lienhypertexte"/>
            <w:noProof/>
          </w:rPr>
          <w:t>Tableau 60 : Marchés de consommation de la viande de boucherie de porc et de la saucisserie en kt en 2018</w:t>
        </w:r>
        <w:r w:rsidR="006067C7">
          <w:rPr>
            <w:noProof/>
            <w:webHidden/>
          </w:rPr>
          <w:tab/>
        </w:r>
        <w:r w:rsidR="006067C7">
          <w:rPr>
            <w:noProof/>
            <w:webHidden/>
          </w:rPr>
          <w:fldChar w:fldCharType="begin"/>
        </w:r>
        <w:r w:rsidR="006067C7">
          <w:rPr>
            <w:noProof/>
            <w:webHidden/>
          </w:rPr>
          <w:instrText xml:space="preserve"> PAGEREF _Toc72143408 \h </w:instrText>
        </w:r>
        <w:r w:rsidR="006067C7">
          <w:rPr>
            <w:noProof/>
            <w:webHidden/>
          </w:rPr>
        </w:r>
        <w:r w:rsidR="006067C7">
          <w:rPr>
            <w:noProof/>
            <w:webHidden/>
          </w:rPr>
          <w:fldChar w:fldCharType="separate"/>
        </w:r>
        <w:r w:rsidR="006067C7">
          <w:rPr>
            <w:noProof/>
            <w:webHidden/>
          </w:rPr>
          <w:t>82</w:t>
        </w:r>
        <w:r w:rsidR="006067C7">
          <w:rPr>
            <w:noProof/>
            <w:webHidden/>
          </w:rPr>
          <w:fldChar w:fldCharType="end"/>
        </w:r>
      </w:hyperlink>
    </w:p>
    <w:p w14:paraId="15C4E7C2" w14:textId="6195F94F" w:rsidR="006067C7" w:rsidRDefault="00000000">
      <w:pPr>
        <w:pStyle w:val="Tabledesillustrations"/>
        <w:tabs>
          <w:tab w:val="right" w:leader="dot" w:pos="9060"/>
        </w:tabs>
        <w:rPr>
          <w:rFonts w:asciiTheme="minorHAnsi" w:eastAsiaTheme="minorEastAsia" w:hAnsiTheme="minorHAnsi"/>
          <w:noProof/>
          <w:lang w:val="en-US"/>
        </w:rPr>
      </w:pPr>
      <w:hyperlink w:anchor="_Toc72143409" w:history="1">
        <w:r w:rsidR="006067C7" w:rsidRPr="00A138BD">
          <w:rPr>
            <w:rStyle w:val="Lienhypertexte"/>
            <w:noProof/>
          </w:rPr>
          <w:t xml:space="preserve">Tableau </w:t>
        </w:r>
        <w:r w:rsidR="006067C7" w:rsidRPr="00A138BD">
          <w:rPr>
            <w:rStyle w:val="Lienhypertexte"/>
            <w:i/>
            <w:noProof/>
          </w:rPr>
          <w:t xml:space="preserve">61 : </w:t>
        </w:r>
        <w:r w:rsidR="006067C7" w:rsidRPr="00A138BD">
          <w:rPr>
            <w:rStyle w:val="Lienhypertexte"/>
            <w:noProof/>
          </w:rPr>
          <w:t>Part relative des UVCI et UVCM en viande de porc par format d’enseigne</w:t>
        </w:r>
        <w:r w:rsidR="006067C7" w:rsidRPr="00A138BD">
          <w:rPr>
            <w:rStyle w:val="Lienhypertexte"/>
            <w:i/>
            <w:noProof/>
          </w:rPr>
          <w:t xml:space="preserve"> </w:t>
        </w:r>
        <w:r w:rsidR="006067C7" w:rsidRPr="00A138BD">
          <w:rPr>
            <w:rStyle w:val="Lienhypertexte"/>
            <w:noProof/>
          </w:rPr>
          <w:t>des grandes surfaces alimentaires</w:t>
        </w:r>
        <w:r w:rsidR="006067C7">
          <w:rPr>
            <w:noProof/>
            <w:webHidden/>
          </w:rPr>
          <w:tab/>
        </w:r>
        <w:r w:rsidR="006067C7">
          <w:rPr>
            <w:noProof/>
            <w:webHidden/>
          </w:rPr>
          <w:fldChar w:fldCharType="begin"/>
        </w:r>
        <w:r w:rsidR="006067C7">
          <w:rPr>
            <w:noProof/>
            <w:webHidden/>
          </w:rPr>
          <w:instrText xml:space="preserve"> PAGEREF _Toc72143409 \h </w:instrText>
        </w:r>
        <w:r w:rsidR="006067C7">
          <w:rPr>
            <w:noProof/>
            <w:webHidden/>
          </w:rPr>
        </w:r>
        <w:r w:rsidR="006067C7">
          <w:rPr>
            <w:noProof/>
            <w:webHidden/>
          </w:rPr>
          <w:fldChar w:fldCharType="separate"/>
        </w:r>
        <w:r w:rsidR="006067C7">
          <w:rPr>
            <w:noProof/>
            <w:webHidden/>
          </w:rPr>
          <w:t>83</w:t>
        </w:r>
        <w:r w:rsidR="006067C7">
          <w:rPr>
            <w:noProof/>
            <w:webHidden/>
          </w:rPr>
          <w:fldChar w:fldCharType="end"/>
        </w:r>
      </w:hyperlink>
    </w:p>
    <w:p w14:paraId="3DFBB766" w14:textId="7AA4B86A" w:rsidR="006067C7" w:rsidRDefault="00000000">
      <w:pPr>
        <w:pStyle w:val="Tabledesillustrations"/>
        <w:tabs>
          <w:tab w:val="right" w:leader="dot" w:pos="9060"/>
        </w:tabs>
        <w:rPr>
          <w:rFonts w:asciiTheme="minorHAnsi" w:eastAsiaTheme="minorEastAsia" w:hAnsiTheme="minorHAnsi"/>
          <w:noProof/>
          <w:lang w:val="en-US"/>
        </w:rPr>
      </w:pPr>
      <w:hyperlink w:anchor="_Toc72143410" w:history="1">
        <w:r w:rsidR="006067C7" w:rsidRPr="00A138BD">
          <w:rPr>
            <w:rStyle w:val="Lienhypertexte"/>
            <w:noProof/>
          </w:rPr>
          <w:t>Tableau 62 : Exportation en volume (kt) des produits transformés par catégorie et par principaux pays d’origine de l’UE à destination de la France pour l’année 2018</w:t>
        </w:r>
        <w:r w:rsidR="006067C7">
          <w:rPr>
            <w:noProof/>
            <w:webHidden/>
          </w:rPr>
          <w:tab/>
        </w:r>
        <w:r w:rsidR="006067C7">
          <w:rPr>
            <w:noProof/>
            <w:webHidden/>
          </w:rPr>
          <w:fldChar w:fldCharType="begin"/>
        </w:r>
        <w:r w:rsidR="006067C7">
          <w:rPr>
            <w:noProof/>
            <w:webHidden/>
          </w:rPr>
          <w:instrText xml:space="preserve"> PAGEREF _Toc72143410 \h </w:instrText>
        </w:r>
        <w:r w:rsidR="006067C7">
          <w:rPr>
            <w:noProof/>
            <w:webHidden/>
          </w:rPr>
        </w:r>
        <w:r w:rsidR="006067C7">
          <w:rPr>
            <w:noProof/>
            <w:webHidden/>
          </w:rPr>
          <w:fldChar w:fldCharType="separate"/>
        </w:r>
        <w:r w:rsidR="006067C7">
          <w:rPr>
            <w:noProof/>
            <w:webHidden/>
          </w:rPr>
          <w:t>84</w:t>
        </w:r>
        <w:r w:rsidR="006067C7">
          <w:rPr>
            <w:noProof/>
            <w:webHidden/>
          </w:rPr>
          <w:fldChar w:fldCharType="end"/>
        </w:r>
      </w:hyperlink>
    </w:p>
    <w:p w14:paraId="7CB78730" w14:textId="036F96DF" w:rsidR="006067C7" w:rsidRDefault="00000000">
      <w:pPr>
        <w:pStyle w:val="Tabledesillustrations"/>
        <w:tabs>
          <w:tab w:val="right" w:leader="dot" w:pos="9060"/>
        </w:tabs>
        <w:rPr>
          <w:rFonts w:asciiTheme="minorHAnsi" w:eastAsiaTheme="minorEastAsia" w:hAnsiTheme="minorHAnsi"/>
          <w:noProof/>
          <w:lang w:val="en-US"/>
        </w:rPr>
      </w:pPr>
      <w:hyperlink w:anchor="_Toc72143411" w:history="1">
        <w:r w:rsidR="006067C7" w:rsidRPr="00A138BD">
          <w:rPr>
            <w:rStyle w:val="Lienhypertexte"/>
            <w:noProof/>
          </w:rPr>
          <w:t>Tableau 63 : Exportation en volume (kt) des préparations par principaux pays d’origine de l’UE à destination de la France pour l’année 2018</w:t>
        </w:r>
        <w:r w:rsidR="006067C7">
          <w:rPr>
            <w:noProof/>
            <w:webHidden/>
          </w:rPr>
          <w:tab/>
        </w:r>
        <w:r w:rsidR="006067C7">
          <w:rPr>
            <w:noProof/>
            <w:webHidden/>
          </w:rPr>
          <w:fldChar w:fldCharType="begin"/>
        </w:r>
        <w:r w:rsidR="006067C7">
          <w:rPr>
            <w:noProof/>
            <w:webHidden/>
          </w:rPr>
          <w:instrText xml:space="preserve"> PAGEREF _Toc72143411 \h </w:instrText>
        </w:r>
        <w:r w:rsidR="006067C7">
          <w:rPr>
            <w:noProof/>
            <w:webHidden/>
          </w:rPr>
        </w:r>
        <w:r w:rsidR="006067C7">
          <w:rPr>
            <w:noProof/>
            <w:webHidden/>
          </w:rPr>
          <w:fldChar w:fldCharType="separate"/>
        </w:r>
        <w:r w:rsidR="006067C7">
          <w:rPr>
            <w:noProof/>
            <w:webHidden/>
          </w:rPr>
          <w:t>85</w:t>
        </w:r>
        <w:r w:rsidR="006067C7">
          <w:rPr>
            <w:noProof/>
            <w:webHidden/>
          </w:rPr>
          <w:fldChar w:fldCharType="end"/>
        </w:r>
      </w:hyperlink>
    </w:p>
    <w:p w14:paraId="27CA330D" w14:textId="33F2262A" w:rsidR="006067C7" w:rsidRDefault="00000000">
      <w:pPr>
        <w:pStyle w:val="Tabledesillustrations"/>
        <w:tabs>
          <w:tab w:val="right" w:leader="dot" w:pos="9060"/>
        </w:tabs>
        <w:rPr>
          <w:rFonts w:asciiTheme="minorHAnsi" w:eastAsiaTheme="minorEastAsia" w:hAnsiTheme="minorHAnsi"/>
          <w:noProof/>
          <w:lang w:val="en-US"/>
        </w:rPr>
      </w:pPr>
      <w:hyperlink w:anchor="_Toc72143412" w:history="1">
        <w:r w:rsidR="006067C7" w:rsidRPr="00A138BD">
          <w:rPr>
            <w:rStyle w:val="Lienhypertexte"/>
            <w:noProof/>
          </w:rPr>
          <w:t>Tableau 65 : Exportation des pièces en volume (kt) par catégorie et par principaux pays d’origine de l’UE à destination de la France pour l’année 2018</w:t>
        </w:r>
        <w:r w:rsidR="006067C7">
          <w:rPr>
            <w:noProof/>
            <w:webHidden/>
          </w:rPr>
          <w:tab/>
        </w:r>
        <w:r w:rsidR="006067C7">
          <w:rPr>
            <w:noProof/>
            <w:webHidden/>
          </w:rPr>
          <w:fldChar w:fldCharType="begin"/>
        </w:r>
        <w:r w:rsidR="006067C7">
          <w:rPr>
            <w:noProof/>
            <w:webHidden/>
          </w:rPr>
          <w:instrText xml:space="preserve"> PAGEREF _Toc72143412 \h </w:instrText>
        </w:r>
        <w:r w:rsidR="006067C7">
          <w:rPr>
            <w:noProof/>
            <w:webHidden/>
          </w:rPr>
        </w:r>
        <w:r w:rsidR="006067C7">
          <w:rPr>
            <w:noProof/>
            <w:webHidden/>
          </w:rPr>
          <w:fldChar w:fldCharType="separate"/>
        </w:r>
        <w:r w:rsidR="006067C7">
          <w:rPr>
            <w:noProof/>
            <w:webHidden/>
          </w:rPr>
          <w:t>86</w:t>
        </w:r>
        <w:r w:rsidR="006067C7">
          <w:rPr>
            <w:noProof/>
            <w:webHidden/>
          </w:rPr>
          <w:fldChar w:fldCharType="end"/>
        </w:r>
      </w:hyperlink>
    </w:p>
    <w:p w14:paraId="131541E2" w14:textId="7DB86B5E" w:rsidR="006067C7" w:rsidRDefault="00000000">
      <w:pPr>
        <w:pStyle w:val="Tabledesillustrations"/>
        <w:tabs>
          <w:tab w:val="right" w:leader="dot" w:pos="9060"/>
        </w:tabs>
        <w:rPr>
          <w:rFonts w:asciiTheme="minorHAnsi" w:eastAsiaTheme="minorEastAsia" w:hAnsiTheme="minorHAnsi"/>
          <w:noProof/>
          <w:lang w:val="en-US"/>
        </w:rPr>
      </w:pPr>
      <w:hyperlink w:anchor="_Toc72143413" w:history="1">
        <w:r w:rsidR="006067C7" w:rsidRPr="00A138BD">
          <w:rPr>
            <w:rStyle w:val="Lienhypertexte"/>
            <w:noProof/>
          </w:rPr>
          <w:t xml:space="preserve">Tableau </w:t>
        </w:r>
        <w:r w:rsidR="006067C7" w:rsidRPr="00A138BD">
          <w:rPr>
            <w:rStyle w:val="Lienhypertexte"/>
            <w:i/>
            <w:noProof/>
          </w:rPr>
          <w:t xml:space="preserve">66 : </w:t>
        </w:r>
        <w:r w:rsidR="006067C7" w:rsidRPr="00A138BD">
          <w:rPr>
            <w:rStyle w:val="Lienhypertexte"/>
            <w:noProof/>
          </w:rPr>
          <w:t>Ventilation des catégories de charcuteries abats inclus sur les marchés de la restauration hors domicile</w:t>
        </w:r>
        <w:r w:rsidR="006067C7" w:rsidRPr="00A138BD">
          <w:rPr>
            <w:rStyle w:val="Lienhypertexte"/>
            <w:i/>
            <w:noProof/>
          </w:rPr>
          <w:t xml:space="preserve"> à partir de l’échantillon enquêté.</w:t>
        </w:r>
        <w:r w:rsidR="006067C7">
          <w:rPr>
            <w:noProof/>
            <w:webHidden/>
          </w:rPr>
          <w:tab/>
        </w:r>
        <w:r w:rsidR="006067C7">
          <w:rPr>
            <w:noProof/>
            <w:webHidden/>
          </w:rPr>
          <w:fldChar w:fldCharType="begin"/>
        </w:r>
        <w:r w:rsidR="006067C7">
          <w:rPr>
            <w:noProof/>
            <w:webHidden/>
          </w:rPr>
          <w:instrText xml:space="preserve"> PAGEREF _Toc72143413 \h </w:instrText>
        </w:r>
        <w:r w:rsidR="006067C7">
          <w:rPr>
            <w:noProof/>
            <w:webHidden/>
          </w:rPr>
        </w:r>
        <w:r w:rsidR="006067C7">
          <w:rPr>
            <w:noProof/>
            <w:webHidden/>
          </w:rPr>
          <w:fldChar w:fldCharType="separate"/>
        </w:r>
        <w:r w:rsidR="006067C7">
          <w:rPr>
            <w:noProof/>
            <w:webHidden/>
          </w:rPr>
          <w:t>88</w:t>
        </w:r>
        <w:r w:rsidR="006067C7">
          <w:rPr>
            <w:noProof/>
            <w:webHidden/>
          </w:rPr>
          <w:fldChar w:fldCharType="end"/>
        </w:r>
      </w:hyperlink>
    </w:p>
    <w:p w14:paraId="318D2B82" w14:textId="23814159" w:rsidR="006067C7" w:rsidRDefault="00000000">
      <w:pPr>
        <w:pStyle w:val="Tabledesillustrations"/>
        <w:tabs>
          <w:tab w:val="right" w:leader="dot" w:pos="9060"/>
        </w:tabs>
        <w:rPr>
          <w:rFonts w:asciiTheme="minorHAnsi" w:eastAsiaTheme="minorEastAsia" w:hAnsiTheme="minorHAnsi"/>
          <w:noProof/>
          <w:lang w:val="en-US"/>
        </w:rPr>
      </w:pPr>
      <w:hyperlink w:anchor="_Toc72143414" w:history="1">
        <w:r w:rsidR="006067C7" w:rsidRPr="00A138BD">
          <w:rPr>
            <w:rStyle w:val="Lienhypertexte"/>
            <w:noProof/>
          </w:rPr>
          <w:t xml:space="preserve">Tableau </w:t>
        </w:r>
        <w:r w:rsidR="006067C7" w:rsidRPr="00A138BD">
          <w:rPr>
            <w:rStyle w:val="Lienhypertexte"/>
            <w:i/>
            <w:noProof/>
          </w:rPr>
          <w:t>67 :</w:t>
        </w:r>
        <w:r w:rsidR="006067C7" w:rsidRPr="00A138BD">
          <w:rPr>
            <w:rStyle w:val="Lienhypertexte"/>
            <w:noProof/>
          </w:rPr>
          <w:t xml:space="preserve"> Part de marché en chiffre d’affaires HT des chaînes majeures de restauration rapide et de boulangerie pâtisserie en 2018</w:t>
        </w:r>
        <w:r w:rsidR="006067C7">
          <w:rPr>
            <w:noProof/>
            <w:webHidden/>
          </w:rPr>
          <w:tab/>
        </w:r>
        <w:r w:rsidR="006067C7">
          <w:rPr>
            <w:noProof/>
            <w:webHidden/>
          </w:rPr>
          <w:fldChar w:fldCharType="begin"/>
        </w:r>
        <w:r w:rsidR="006067C7">
          <w:rPr>
            <w:noProof/>
            <w:webHidden/>
          </w:rPr>
          <w:instrText xml:space="preserve"> PAGEREF _Toc72143414 \h </w:instrText>
        </w:r>
        <w:r w:rsidR="006067C7">
          <w:rPr>
            <w:noProof/>
            <w:webHidden/>
          </w:rPr>
        </w:r>
        <w:r w:rsidR="006067C7">
          <w:rPr>
            <w:noProof/>
            <w:webHidden/>
          </w:rPr>
          <w:fldChar w:fldCharType="separate"/>
        </w:r>
        <w:r w:rsidR="006067C7">
          <w:rPr>
            <w:noProof/>
            <w:webHidden/>
          </w:rPr>
          <w:t>89</w:t>
        </w:r>
        <w:r w:rsidR="006067C7">
          <w:rPr>
            <w:noProof/>
            <w:webHidden/>
          </w:rPr>
          <w:fldChar w:fldCharType="end"/>
        </w:r>
      </w:hyperlink>
    </w:p>
    <w:p w14:paraId="0FCADABE" w14:textId="4CA5053E" w:rsidR="006067C7" w:rsidRDefault="00000000">
      <w:pPr>
        <w:pStyle w:val="Tabledesillustrations"/>
        <w:tabs>
          <w:tab w:val="right" w:leader="dot" w:pos="9060"/>
        </w:tabs>
        <w:rPr>
          <w:rFonts w:asciiTheme="minorHAnsi" w:eastAsiaTheme="minorEastAsia" w:hAnsiTheme="minorHAnsi"/>
          <w:noProof/>
          <w:lang w:val="en-US"/>
        </w:rPr>
      </w:pPr>
      <w:hyperlink w:anchor="_Toc72143415" w:history="1">
        <w:r w:rsidR="006067C7" w:rsidRPr="00A138BD">
          <w:rPr>
            <w:rStyle w:val="Lienhypertexte"/>
            <w:noProof/>
          </w:rPr>
          <w:t xml:space="preserve">Tableau </w:t>
        </w:r>
        <w:r w:rsidR="006067C7" w:rsidRPr="00A138BD">
          <w:rPr>
            <w:rStyle w:val="Lienhypertexte"/>
            <w:i/>
            <w:noProof/>
          </w:rPr>
          <w:t xml:space="preserve">68 : </w:t>
        </w:r>
        <w:r w:rsidR="006067C7" w:rsidRPr="00A138BD">
          <w:rPr>
            <w:rStyle w:val="Lienhypertexte"/>
            <w:noProof/>
          </w:rPr>
          <w:t>Estimation des volumes réalisés en charcuterie salaison et viande de porc par segment de la restauration collective en 2018</w:t>
        </w:r>
        <w:r w:rsidR="006067C7">
          <w:rPr>
            <w:noProof/>
            <w:webHidden/>
          </w:rPr>
          <w:tab/>
        </w:r>
        <w:r w:rsidR="006067C7">
          <w:rPr>
            <w:noProof/>
            <w:webHidden/>
          </w:rPr>
          <w:fldChar w:fldCharType="begin"/>
        </w:r>
        <w:r w:rsidR="006067C7">
          <w:rPr>
            <w:noProof/>
            <w:webHidden/>
          </w:rPr>
          <w:instrText xml:space="preserve"> PAGEREF _Toc72143415 \h </w:instrText>
        </w:r>
        <w:r w:rsidR="006067C7">
          <w:rPr>
            <w:noProof/>
            <w:webHidden/>
          </w:rPr>
        </w:r>
        <w:r w:rsidR="006067C7">
          <w:rPr>
            <w:noProof/>
            <w:webHidden/>
          </w:rPr>
          <w:fldChar w:fldCharType="separate"/>
        </w:r>
        <w:r w:rsidR="006067C7">
          <w:rPr>
            <w:noProof/>
            <w:webHidden/>
          </w:rPr>
          <w:t>92</w:t>
        </w:r>
        <w:r w:rsidR="006067C7">
          <w:rPr>
            <w:noProof/>
            <w:webHidden/>
          </w:rPr>
          <w:fldChar w:fldCharType="end"/>
        </w:r>
      </w:hyperlink>
    </w:p>
    <w:p w14:paraId="74366D8F" w14:textId="2B1ADB7B" w:rsidR="006067C7" w:rsidRDefault="00000000">
      <w:pPr>
        <w:pStyle w:val="Tabledesillustrations"/>
        <w:tabs>
          <w:tab w:val="right" w:leader="dot" w:pos="9060"/>
        </w:tabs>
        <w:rPr>
          <w:rFonts w:asciiTheme="minorHAnsi" w:eastAsiaTheme="minorEastAsia" w:hAnsiTheme="minorHAnsi"/>
          <w:noProof/>
          <w:lang w:val="en-US"/>
        </w:rPr>
      </w:pPr>
      <w:hyperlink w:anchor="_Toc72143416" w:history="1">
        <w:r w:rsidR="006067C7" w:rsidRPr="00A138BD">
          <w:rPr>
            <w:rStyle w:val="Lienhypertexte"/>
            <w:noProof/>
          </w:rPr>
          <w:t xml:space="preserve">Tableau </w:t>
        </w:r>
        <w:r w:rsidR="006067C7" w:rsidRPr="00A138BD">
          <w:rPr>
            <w:rStyle w:val="Lienhypertexte"/>
            <w:i/>
            <w:noProof/>
          </w:rPr>
          <w:t>69</w:t>
        </w:r>
        <w:r w:rsidR="006067C7" w:rsidRPr="00A138BD">
          <w:rPr>
            <w:rStyle w:val="Lienhypertexte"/>
            <w:noProof/>
          </w:rPr>
          <w:t> : Ventilation des volumes d’achat des opérateurs par catégorie de produits  et par typologie de marché de la restauration collective</w:t>
        </w:r>
        <w:r w:rsidR="006067C7" w:rsidRPr="00A138BD">
          <w:rPr>
            <w:rStyle w:val="Lienhypertexte"/>
            <w:i/>
            <w:noProof/>
          </w:rPr>
          <w:t>.</w:t>
        </w:r>
        <w:r w:rsidR="006067C7">
          <w:rPr>
            <w:noProof/>
            <w:webHidden/>
          </w:rPr>
          <w:tab/>
        </w:r>
        <w:r w:rsidR="006067C7">
          <w:rPr>
            <w:noProof/>
            <w:webHidden/>
          </w:rPr>
          <w:fldChar w:fldCharType="begin"/>
        </w:r>
        <w:r w:rsidR="006067C7">
          <w:rPr>
            <w:noProof/>
            <w:webHidden/>
          </w:rPr>
          <w:instrText xml:space="preserve"> PAGEREF _Toc72143416 \h </w:instrText>
        </w:r>
        <w:r w:rsidR="006067C7">
          <w:rPr>
            <w:noProof/>
            <w:webHidden/>
          </w:rPr>
        </w:r>
        <w:r w:rsidR="006067C7">
          <w:rPr>
            <w:noProof/>
            <w:webHidden/>
          </w:rPr>
          <w:fldChar w:fldCharType="separate"/>
        </w:r>
        <w:r w:rsidR="006067C7">
          <w:rPr>
            <w:noProof/>
            <w:webHidden/>
          </w:rPr>
          <w:t>92</w:t>
        </w:r>
        <w:r w:rsidR="006067C7">
          <w:rPr>
            <w:noProof/>
            <w:webHidden/>
          </w:rPr>
          <w:fldChar w:fldCharType="end"/>
        </w:r>
      </w:hyperlink>
    </w:p>
    <w:p w14:paraId="6715EC2D" w14:textId="21C77565" w:rsidR="006067C7" w:rsidRDefault="00000000">
      <w:pPr>
        <w:pStyle w:val="Tabledesillustrations"/>
        <w:tabs>
          <w:tab w:val="right" w:leader="dot" w:pos="9060"/>
        </w:tabs>
        <w:rPr>
          <w:rFonts w:asciiTheme="minorHAnsi" w:eastAsiaTheme="minorEastAsia" w:hAnsiTheme="minorHAnsi"/>
          <w:noProof/>
          <w:lang w:val="en-US"/>
        </w:rPr>
      </w:pPr>
      <w:hyperlink w:anchor="_Toc72143417" w:history="1">
        <w:r w:rsidR="006067C7" w:rsidRPr="00A138BD">
          <w:rPr>
            <w:rStyle w:val="Lienhypertexte"/>
            <w:noProof/>
          </w:rPr>
          <w:t xml:space="preserve">ableau 70 : </w:t>
        </w:r>
        <w:r w:rsidR="006067C7" w:rsidRPr="00A138BD">
          <w:rPr>
            <w:rStyle w:val="Lienhypertexte"/>
            <w:rFonts w:eastAsia="MS PGothic"/>
            <w:noProof/>
          </w:rPr>
          <w:t xml:space="preserve">Etat des données consolidées du disponible en porc par étape de transformation de la filière </w:t>
        </w:r>
        <w:r w:rsidR="006067C7" w:rsidRPr="00A138BD">
          <w:rPr>
            <w:rStyle w:val="Lienhypertexte"/>
            <w:noProof/>
          </w:rPr>
          <w:t>en 2018</w:t>
        </w:r>
        <w:r w:rsidR="006067C7">
          <w:rPr>
            <w:noProof/>
            <w:webHidden/>
          </w:rPr>
          <w:tab/>
        </w:r>
        <w:r w:rsidR="006067C7">
          <w:rPr>
            <w:noProof/>
            <w:webHidden/>
          </w:rPr>
          <w:fldChar w:fldCharType="begin"/>
        </w:r>
        <w:r w:rsidR="006067C7">
          <w:rPr>
            <w:noProof/>
            <w:webHidden/>
          </w:rPr>
          <w:instrText xml:space="preserve"> PAGEREF _Toc72143417 \h </w:instrText>
        </w:r>
        <w:r w:rsidR="006067C7">
          <w:rPr>
            <w:noProof/>
            <w:webHidden/>
          </w:rPr>
        </w:r>
        <w:r w:rsidR="006067C7">
          <w:rPr>
            <w:noProof/>
            <w:webHidden/>
          </w:rPr>
          <w:fldChar w:fldCharType="separate"/>
        </w:r>
        <w:r w:rsidR="006067C7">
          <w:rPr>
            <w:noProof/>
            <w:webHidden/>
          </w:rPr>
          <w:t>97</w:t>
        </w:r>
        <w:r w:rsidR="006067C7">
          <w:rPr>
            <w:noProof/>
            <w:webHidden/>
          </w:rPr>
          <w:fldChar w:fldCharType="end"/>
        </w:r>
      </w:hyperlink>
    </w:p>
    <w:p w14:paraId="4F126379" w14:textId="2D5445B8" w:rsidR="006067C7" w:rsidRDefault="00000000">
      <w:pPr>
        <w:pStyle w:val="Tabledesillustrations"/>
        <w:tabs>
          <w:tab w:val="right" w:leader="dot" w:pos="9060"/>
        </w:tabs>
        <w:rPr>
          <w:rFonts w:asciiTheme="minorHAnsi" w:eastAsiaTheme="minorEastAsia" w:hAnsiTheme="minorHAnsi"/>
          <w:noProof/>
          <w:lang w:val="en-US"/>
        </w:rPr>
      </w:pPr>
      <w:hyperlink w:anchor="_Toc72143418" w:history="1">
        <w:r w:rsidR="006067C7" w:rsidRPr="00A138BD">
          <w:rPr>
            <w:rStyle w:val="Lienhypertexte"/>
            <w:noProof/>
          </w:rPr>
          <w:t>Tableau 71 :  Définition des processus dans le cadre de l’analyse des flux matière pour la filière porcine et de l’état entrée et sortie des produits.</w:t>
        </w:r>
        <w:r w:rsidR="006067C7">
          <w:rPr>
            <w:noProof/>
            <w:webHidden/>
          </w:rPr>
          <w:tab/>
        </w:r>
        <w:r w:rsidR="006067C7">
          <w:rPr>
            <w:noProof/>
            <w:webHidden/>
          </w:rPr>
          <w:fldChar w:fldCharType="begin"/>
        </w:r>
        <w:r w:rsidR="006067C7">
          <w:rPr>
            <w:noProof/>
            <w:webHidden/>
          </w:rPr>
          <w:instrText xml:space="preserve"> PAGEREF _Toc72143418 \h </w:instrText>
        </w:r>
        <w:r w:rsidR="006067C7">
          <w:rPr>
            <w:noProof/>
            <w:webHidden/>
          </w:rPr>
        </w:r>
        <w:r w:rsidR="006067C7">
          <w:rPr>
            <w:noProof/>
            <w:webHidden/>
          </w:rPr>
          <w:fldChar w:fldCharType="separate"/>
        </w:r>
        <w:r w:rsidR="006067C7">
          <w:rPr>
            <w:noProof/>
            <w:webHidden/>
          </w:rPr>
          <w:t>102</w:t>
        </w:r>
        <w:r w:rsidR="006067C7">
          <w:rPr>
            <w:noProof/>
            <w:webHidden/>
          </w:rPr>
          <w:fldChar w:fldCharType="end"/>
        </w:r>
      </w:hyperlink>
    </w:p>
    <w:p w14:paraId="0F7EECBB" w14:textId="3DDF8370" w:rsidR="006067C7" w:rsidRDefault="00000000">
      <w:pPr>
        <w:pStyle w:val="Tabledesillustrations"/>
        <w:tabs>
          <w:tab w:val="right" w:leader="dot" w:pos="9060"/>
        </w:tabs>
        <w:rPr>
          <w:rFonts w:asciiTheme="minorHAnsi" w:eastAsiaTheme="minorEastAsia" w:hAnsiTheme="minorHAnsi"/>
          <w:noProof/>
          <w:lang w:val="en-US"/>
        </w:rPr>
      </w:pPr>
      <w:hyperlink w:anchor="_Toc72143419" w:history="1">
        <w:r w:rsidR="006067C7" w:rsidRPr="00A138BD">
          <w:rPr>
            <w:rStyle w:val="Lienhypertexte"/>
            <w:rFonts w:eastAsia="Arial Unicode MS"/>
            <w:noProof/>
          </w:rPr>
          <w:t xml:space="preserve">Tableau </w:t>
        </w:r>
        <w:r w:rsidR="006067C7" w:rsidRPr="00A138BD">
          <w:rPr>
            <w:rStyle w:val="Lienhypertexte"/>
            <w:rFonts w:eastAsia="Arial Unicode MS"/>
            <w:i/>
            <w:noProof/>
          </w:rPr>
          <w:t>72 :</w:t>
        </w:r>
        <w:r w:rsidR="006067C7" w:rsidRPr="00A138BD">
          <w:rPr>
            <w:rStyle w:val="Lienhypertexte"/>
            <w:noProof/>
          </w:rPr>
          <w:t xml:space="preserve"> </w:t>
        </w:r>
        <w:r w:rsidR="006067C7" w:rsidRPr="00A138BD">
          <w:rPr>
            <w:rStyle w:val="Lienhypertexte"/>
            <w:rFonts w:eastAsia="Arial Unicode MS"/>
            <w:noProof/>
          </w:rPr>
          <w:t>Emploi Ressource pour la filière d’usage Jambon au sein de la filière porcine</w:t>
        </w:r>
        <w:r w:rsidR="006067C7">
          <w:rPr>
            <w:noProof/>
            <w:webHidden/>
          </w:rPr>
          <w:tab/>
        </w:r>
        <w:r w:rsidR="006067C7">
          <w:rPr>
            <w:noProof/>
            <w:webHidden/>
          </w:rPr>
          <w:fldChar w:fldCharType="begin"/>
        </w:r>
        <w:r w:rsidR="006067C7">
          <w:rPr>
            <w:noProof/>
            <w:webHidden/>
          </w:rPr>
          <w:instrText xml:space="preserve"> PAGEREF _Toc72143419 \h </w:instrText>
        </w:r>
        <w:r w:rsidR="006067C7">
          <w:rPr>
            <w:noProof/>
            <w:webHidden/>
          </w:rPr>
        </w:r>
        <w:r w:rsidR="006067C7">
          <w:rPr>
            <w:noProof/>
            <w:webHidden/>
          </w:rPr>
          <w:fldChar w:fldCharType="separate"/>
        </w:r>
        <w:r w:rsidR="006067C7">
          <w:rPr>
            <w:noProof/>
            <w:webHidden/>
          </w:rPr>
          <w:t>105</w:t>
        </w:r>
        <w:r w:rsidR="006067C7">
          <w:rPr>
            <w:noProof/>
            <w:webHidden/>
          </w:rPr>
          <w:fldChar w:fldCharType="end"/>
        </w:r>
      </w:hyperlink>
    </w:p>
    <w:p w14:paraId="134C7842" w14:textId="34757EBC" w:rsidR="006067C7" w:rsidRDefault="00000000">
      <w:pPr>
        <w:pStyle w:val="Tabledesillustrations"/>
        <w:tabs>
          <w:tab w:val="right" w:leader="dot" w:pos="9060"/>
        </w:tabs>
        <w:rPr>
          <w:rFonts w:asciiTheme="minorHAnsi" w:eastAsiaTheme="minorEastAsia" w:hAnsiTheme="minorHAnsi"/>
          <w:noProof/>
          <w:lang w:val="en-US"/>
        </w:rPr>
      </w:pPr>
      <w:hyperlink w:anchor="_Toc72143420" w:history="1">
        <w:r w:rsidR="006067C7" w:rsidRPr="00A138BD">
          <w:rPr>
            <w:rStyle w:val="Lienhypertexte"/>
            <w:noProof/>
          </w:rPr>
          <w:t>Tableau</w:t>
        </w:r>
        <w:r w:rsidR="006067C7" w:rsidRPr="00A138BD">
          <w:rPr>
            <w:rStyle w:val="Lienhypertexte"/>
            <w:i/>
            <w:noProof/>
          </w:rPr>
          <w:t xml:space="preserve"> </w:t>
        </w:r>
        <w:r w:rsidR="006067C7" w:rsidRPr="00A138BD">
          <w:rPr>
            <w:rStyle w:val="Lienhypertexte"/>
            <w:noProof/>
          </w:rPr>
          <w:t xml:space="preserve">73 : </w:t>
        </w:r>
        <w:r w:rsidR="006067C7" w:rsidRPr="00A138BD">
          <w:rPr>
            <w:rStyle w:val="Lienhypertexte"/>
            <w:i/>
            <w:noProof/>
          </w:rPr>
          <w:t>Représentation tableau emploi ressource à destination de la formation de jambon en équivalent pièce primaire</w:t>
        </w:r>
        <w:r w:rsidR="006067C7">
          <w:rPr>
            <w:noProof/>
            <w:webHidden/>
          </w:rPr>
          <w:tab/>
        </w:r>
        <w:r w:rsidR="006067C7">
          <w:rPr>
            <w:noProof/>
            <w:webHidden/>
          </w:rPr>
          <w:fldChar w:fldCharType="begin"/>
        </w:r>
        <w:r w:rsidR="006067C7">
          <w:rPr>
            <w:noProof/>
            <w:webHidden/>
          </w:rPr>
          <w:instrText xml:space="preserve"> PAGEREF _Toc72143420 \h </w:instrText>
        </w:r>
        <w:r w:rsidR="006067C7">
          <w:rPr>
            <w:noProof/>
            <w:webHidden/>
          </w:rPr>
        </w:r>
        <w:r w:rsidR="006067C7">
          <w:rPr>
            <w:noProof/>
            <w:webHidden/>
          </w:rPr>
          <w:fldChar w:fldCharType="separate"/>
        </w:r>
        <w:r w:rsidR="006067C7">
          <w:rPr>
            <w:noProof/>
            <w:webHidden/>
          </w:rPr>
          <w:t>107</w:t>
        </w:r>
        <w:r w:rsidR="006067C7">
          <w:rPr>
            <w:noProof/>
            <w:webHidden/>
          </w:rPr>
          <w:fldChar w:fldCharType="end"/>
        </w:r>
      </w:hyperlink>
    </w:p>
    <w:p w14:paraId="77AE49E6" w14:textId="6AF62FB5" w:rsidR="006067C7" w:rsidRDefault="00000000">
      <w:pPr>
        <w:pStyle w:val="Tabledesillustrations"/>
        <w:tabs>
          <w:tab w:val="right" w:leader="dot" w:pos="9060"/>
        </w:tabs>
        <w:rPr>
          <w:rFonts w:asciiTheme="minorHAnsi" w:eastAsiaTheme="minorEastAsia" w:hAnsiTheme="minorHAnsi"/>
          <w:noProof/>
          <w:lang w:val="en-US"/>
        </w:rPr>
      </w:pPr>
      <w:hyperlink w:anchor="_Toc72143421" w:history="1">
        <w:r w:rsidR="006067C7" w:rsidRPr="00A138BD">
          <w:rPr>
            <w:rStyle w:val="Lienhypertexte"/>
            <w:noProof/>
          </w:rPr>
          <w:t>Tableau 74 : E</w:t>
        </w:r>
        <w:r w:rsidR="006067C7">
          <w:rPr>
            <w:noProof/>
            <w:webHidden/>
          </w:rPr>
          <w:tab/>
        </w:r>
        <w:r w:rsidR="006067C7">
          <w:rPr>
            <w:noProof/>
            <w:webHidden/>
          </w:rPr>
          <w:fldChar w:fldCharType="begin"/>
        </w:r>
        <w:r w:rsidR="006067C7">
          <w:rPr>
            <w:noProof/>
            <w:webHidden/>
          </w:rPr>
          <w:instrText xml:space="preserve"> PAGEREF _Toc72143421 \h </w:instrText>
        </w:r>
        <w:r w:rsidR="006067C7">
          <w:rPr>
            <w:noProof/>
            <w:webHidden/>
          </w:rPr>
        </w:r>
        <w:r w:rsidR="006067C7">
          <w:rPr>
            <w:noProof/>
            <w:webHidden/>
          </w:rPr>
          <w:fldChar w:fldCharType="separate"/>
        </w:r>
        <w:r w:rsidR="006067C7">
          <w:rPr>
            <w:noProof/>
            <w:webHidden/>
          </w:rPr>
          <w:t>107</w:t>
        </w:r>
        <w:r w:rsidR="006067C7">
          <w:rPr>
            <w:noProof/>
            <w:webHidden/>
          </w:rPr>
          <w:fldChar w:fldCharType="end"/>
        </w:r>
      </w:hyperlink>
    </w:p>
    <w:p w14:paraId="7455F928" w14:textId="4C470591" w:rsidR="006067C7" w:rsidRDefault="00000000">
      <w:pPr>
        <w:pStyle w:val="Tabledesillustrations"/>
        <w:tabs>
          <w:tab w:val="right" w:leader="dot" w:pos="9060"/>
        </w:tabs>
        <w:rPr>
          <w:rFonts w:asciiTheme="minorHAnsi" w:eastAsiaTheme="minorEastAsia" w:hAnsiTheme="minorHAnsi"/>
          <w:noProof/>
          <w:lang w:val="en-US"/>
        </w:rPr>
      </w:pPr>
      <w:hyperlink w:anchor="_Toc72143422" w:history="1">
        <w:r w:rsidR="006067C7" w:rsidRPr="00A138BD">
          <w:rPr>
            <w:rStyle w:val="Lienhypertexte"/>
            <w:noProof/>
          </w:rPr>
          <w:t xml:space="preserve">Tableau </w:t>
        </w:r>
        <w:r w:rsidR="006067C7" w:rsidRPr="00A138BD">
          <w:rPr>
            <w:rStyle w:val="Lienhypertexte"/>
            <w:i/>
            <w:noProof/>
          </w:rPr>
          <w:t>75 :</w:t>
        </w:r>
        <w:r w:rsidR="006067C7" w:rsidRPr="00A138BD">
          <w:rPr>
            <w:rStyle w:val="Lienhypertexte"/>
            <w:noProof/>
          </w:rPr>
          <w:t xml:space="preserve"> </w:t>
        </w:r>
        <w:r w:rsidR="006067C7" w:rsidRPr="00A138BD">
          <w:rPr>
            <w:rStyle w:val="Lienhypertexte"/>
            <w:i/>
            <w:noProof/>
          </w:rPr>
          <w:t>T</w:t>
        </w:r>
        <w:r w:rsidR="006067C7" w:rsidRPr="00A138BD">
          <w:rPr>
            <w:rStyle w:val="Lienhypertexte"/>
            <w:noProof/>
          </w:rPr>
          <w:t xml:space="preserve">ableau emploi ressource </w:t>
        </w:r>
        <w:r w:rsidR="006067C7" w:rsidRPr="00A138BD">
          <w:rPr>
            <w:rStyle w:val="Lienhypertexte"/>
            <w:i/>
            <w:noProof/>
          </w:rPr>
          <w:t xml:space="preserve">du jambon </w:t>
        </w:r>
        <w:r w:rsidR="006067C7" w:rsidRPr="00A138BD">
          <w:rPr>
            <w:rStyle w:val="Lienhypertexte"/>
            <w:noProof/>
          </w:rPr>
          <w:t>au stade d</w:t>
        </w:r>
        <w:r w:rsidR="006067C7" w:rsidRPr="00A138BD">
          <w:rPr>
            <w:rStyle w:val="Lienhypertexte"/>
            <w:i/>
            <w:noProof/>
          </w:rPr>
          <w:t xml:space="preserve">u piéçage, salage en viande de porc fraîche et de </w:t>
        </w:r>
        <w:r w:rsidR="006067C7" w:rsidRPr="00A138BD">
          <w:rPr>
            <w:rStyle w:val="Lienhypertexte"/>
            <w:noProof/>
          </w:rPr>
          <w:t>la transformation en charcuterie salaison</w:t>
        </w:r>
        <w:r w:rsidR="006067C7">
          <w:rPr>
            <w:noProof/>
            <w:webHidden/>
          </w:rPr>
          <w:tab/>
        </w:r>
        <w:r w:rsidR="006067C7">
          <w:rPr>
            <w:noProof/>
            <w:webHidden/>
          </w:rPr>
          <w:fldChar w:fldCharType="begin"/>
        </w:r>
        <w:r w:rsidR="006067C7">
          <w:rPr>
            <w:noProof/>
            <w:webHidden/>
          </w:rPr>
          <w:instrText xml:space="preserve"> PAGEREF _Toc72143422 \h </w:instrText>
        </w:r>
        <w:r w:rsidR="006067C7">
          <w:rPr>
            <w:noProof/>
            <w:webHidden/>
          </w:rPr>
        </w:r>
        <w:r w:rsidR="006067C7">
          <w:rPr>
            <w:noProof/>
            <w:webHidden/>
          </w:rPr>
          <w:fldChar w:fldCharType="separate"/>
        </w:r>
        <w:r w:rsidR="006067C7">
          <w:rPr>
            <w:noProof/>
            <w:webHidden/>
          </w:rPr>
          <w:t>108</w:t>
        </w:r>
        <w:r w:rsidR="006067C7">
          <w:rPr>
            <w:noProof/>
            <w:webHidden/>
          </w:rPr>
          <w:fldChar w:fldCharType="end"/>
        </w:r>
      </w:hyperlink>
    </w:p>
    <w:p w14:paraId="2144766F" w14:textId="2F7EE982" w:rsidR="006067C7" w:rsidRDefault="00000000">
      <w:pPr>
        <w:pStyle w:val="Tabledesillustrations"/>
        <w:tabs>
          <w:tab w:val="right" w:leader="dot" w:pos="9060"/>
        </w:tabs>
        <w:rPr>
          <w:rFonts w:asciiTheme="minorHAnsi" w:eastAsiaTheme="minorEastAsia" w:hAnsiTheme="minorHAnsi"/>
          <w:noProof/>
          <w:lang w:val="en-US"/>
        </w:rPr>
      </w:pPr>
      <w:hyperlink w:anchor="_Toc72143423" w:history="1">
        <w:r w:rsidR="006067C7" w:rsidRPr="00A138BD">
          <w:rPr>
            <w:rStyle w:val="Lienhypertexte"/>
            <w:noProof/>
          </w:rPr>
          <w:t xml:space="preserve">Tableau </w:t>
        </w:r>
        <w:r w:rsidR="006067C7" w:rsidRPr="00A138BD">
          <w:rPr>
            <w:rStyle w:val="Lienhypertexte"/>
            <w:i/>
            <w:noProof/>
          </w:rPr>
          <w:t xml:space="preserve">76 : </w:t>
        </w:r>
        <w:r w:rsidR="006067C7" w:rsidRPr="00A138BD">
          <w:rPr>
            <w:rStyle w:val="Lienhypertexte"/>
            <w:noProof/>
          </w:rPr>
          <w:t>Représentation tableau emploi ressource au stade de la transformation des produits en charcuterie de salaison</w:t>
        </w:r>
        <w:r w:rsidR="006067C7" w:rsidRPr="00A138BD">
          <w:rPr>
            <w:rStyle w:val="Lienhypertexte"/>
            <w:i/>
            <w:noProof/>
          </w:rPr>
          <w:t>.</w:t>
        </w:r>
        <w:r w:rsidR="006067C7">
          <w:rPr>
            <w:noProof/>
            <w:webHidden/>
          </w:rPr>
          <w:tab/>
        </w:r>
        <w:r w:rsidR="006067C7">
          <w:rPr>
            <w:noProof/>
            <w:webHidden/>
          </w:rPr>
          <w:fldChar w:fldCharType="begin"/>
        </w:r>
        <w:r w:rsidR="006067C7">
          <w:rPr>
            <w:noProof/>
            <w:webHidden/>
          </w:rPr>
          <w:instrText xml:space="preserve"> PAGEREF _Toc72143423 \h </w:instrText>
        </w:r>
        <w:r w:rsidR="006067C7">
          <w:rPr>
            <w:noProof/>
            <w:webHidden/>
          </w:rPr>
        </w:r>
        <w:r w:rsidR="006067C7">
          <w:rPr>
            <w:noProof/>
            <w:webHidden/>
          </w:rPr>
          <w:fldChar w:fldCharType="separate"/>
        </w:r>
        <w:r w:rsidR="006067C7">
          <w:rPr>
            <w:noProof/>
            <w:webHidden/>
          </w:rPr>
          <w:t>109</w:t>
        </w:r>
        <w:r w:rsidR="006067C7">
          <w:rPr>
            <w:noProof/>
            <w:webHidden/>
          </w:rPr>
          <w:fldChar w:fldCharType="end"/>
        </w:r>
      </w:hyperlink>
    </w:p>
    <w:p w14:paraId="5A804063" w14:textId="3D6D9D5C" w:rsidR="006067C7" w:rsidRDefault="00000000">
      <w:pPr>
        <w:pStyle w:val="Tabledesillustrations"/>
        <w:tabs>
          <w:tab w:val="right" w:leader="dot" w:pos="9060"/>
        </w:tabs>
        <w:rPr>
          <w:rFonts w:asciiTheme="minorHAnsi" w:eastAsiaTheme="minorEastAsia" w:hAnsiTheme="minorHAnsi"/>
          <w:noProof/>
          <w:lang w:val="en-US"/>
        </w:rPr>
      </w:pPr>
      <w:hyperlink w:anchor="_Toc72143424" w:history="1">
        <w:r w:rsidR="006067C7" w:rsidRPr="00A138BD">
          <w:rPr>
            <w:rStyle w:val="Lienhypertexte"/>
            <w:noProof/>
          </w:rPr>
          <w:t>Tableau 77 : Représentation tableau emploi ressource à destination de la formation d’épaule en équivalent pièce primaire</w:t>
        </w:r>
        <w:r w:rsidR="006067C7">
          <w:rPr>
            <w:noProof/>
            <w:webHidden/>
          </w:rPr>
          <w:tab/>
        </w:r>
        <w:r w:rsidR="006067C7">
          <w:rPr>
            <w:noProof/>
            <w:webHidden/>
          </w:rPr>
          <w:fldChar w:fldCharType="begin"/>
        </w:r>
        <w:r w:rsidR="006067C7">
          <w:rPr>
            <w:noProof/>
            <w:webHidden/>
          </w:rPr>
          <w:instrText xml:space="preserve"> PAGEREF _Toc72143424 \h </w:instrText>
        </w:r>
        <w:r w:rsidR="006067C7">
          <w:rPr>
            <w:noProof/>
            <w:webHidden/>
          </w:rPr>
        </w:r>
        <w:r w:rsidR="006067C7">
          <w:rPr>
            <w:noProof/>
            <w:webHidden/>
          </w:rPr>
          <w:fldChar w:fldCharType="separate"/>
        </w:r>
        <w:r w:rsidR="006067C7">
          <w:rPr>
            <w:noProof/>
            <w:webHidden/>
          </w:rPr>
          <w:t>112</w:t>
        </w:r>
        <w:r w:rsidR="006067C7">
          <w:rPr>
            <w:noProof/>
            <w:webHidden/>
          </w:rPr>
          <w:fldChar w:fldCharType="end"/>
        </w:r>
      </w:hyperlink>
    </w:p>
    <w:p w14:paraId="0532FB6C" w14:textId="6CDA0251" w:rsidR="006067C7" w:rsidRDefault="00000000">
      <w:pPr>
        <w:pStyle w:val="Tabledesillustrations"/>
        <w:tabs>
          <w:tab w:val="right" w:leader="dot" w:pos="9060"/>
        </w:tabs>
        <w:rPr>
          <w:rFonts w:asciiTheme="minorHAnsi" w:eastAsiaTheme="minorEastAsia" w:hAnsiTheme="minorHAnsi"/>
          <w:noProof/>
          <w:lang w:val="en-US"/>
        </w:rPr>
      </w:pPr>
      <w:hyperlink w:anchor="_Toc72143425" w:history="1">
        <w:r w:rsidR="006067C7" w:rsidRPr="00A138BD">
          <w:rPr>
            <w:rStyle w:val="Lienhypertexte"/>
            <w:noProof/>
          </w:rPr>
          <w:t xml:space="preserve">Tableau </w:t>
        </w:r>
        <w:r w:rsidR="006067C7" w:rsidRPr="00A138BD">
          <w:rPr>
            <w:rStyle w:val="Lienhypertexte"/>
            <w:i/>
            <w:noProof/>
          </w:rPr>
          <w:t xml:space="preserve">78 : </w:t>
        </w:r>
        <w:r w:rsidR="006067C7" w:rsidRPr="00A138BD">
          <w:rPr>
            <w:rStyle w:val="Lienhypertexte"/>
            <w:noProof/>
          </w:rPr>
          <w:t>Représentation tableau emploi ressource au stade de la découpe secondaire</w:t>
        </w:r>
        <w:r w:rsidR="006067C7" w:rsidRPr="00A138BD">
          <w:rPr>
            <w:rStyle w:val="Lienhypertexte"/>
            <w:i/>
            <w:noProof/>
          </w:rPr>
          <w:t xml:space="preserve"> conduisant à l’obtention de pièces secondaires à partir de pièces primaires</w:t>
        </w:r>
        <w:r w:rsidR="006067C7" w:rsidRPr="00A138BD">
          <w:rPr>
            <w:rStyle w:val="Lienhypertexte"/>
            <w:noProof/>
          </w:rPr>
          <w:t>.</w:t>
        </w:r>
        <w:r w:rsidR="006067C7">
          <w:rPr>
            <w:noProof/>
            <w:webHidden/>
          </w:rPr>
          <w:tab/>
        </w:r>
        <w:r w:rsidR="006067C7">
          <w:rPr>
            <w:noProof/>
            <w:webHidden/>
          </w:rPr>
          <w:fldChar w:fldCharType="begin"/>
        </w:r>
        <w:r w:rsidR="006067C7">
          <w:rPr>
            <w:noProof/>
            <w:webHidden/>
          </w:rPr>
          <w:instrText xml:space="preserve"> PAGEREF _Toc72143425 \h </w:instrText>
        </w:r>
        <w:r w:rsidR="006067C7">
          <w:rPr>
            <w:noProof/>
            <w:webHidden/>
          </w:rPr>
        </w:r>
        <w:r w:rsidR="006067C7">
          <w:rPr>
            <w:noProof/>
            <w:webHidden/>
          </w:rPr>
          <w:fldChar w:fldCharType="separate"/>
        </w:r>
        <w:r w:rsidR="006067C7">
          <w:rPr>
            <w:noProof/>
            <w:webHidden/>
          </w:rPr>
          <w:t>113</w:t>
        </w:r>
        <w:r w:rsidR="006067C7">
          <w:rPr>
            <w:noProof/>
            <w:webHidden/>
          </w:rPr>
          <w:fldChar w:fldCharType="end"/>
        </w:r>
      </w:hyperlink>
    </w:p>
    <w:p w14:paraId="0FE40F77" w14:textId="77BAC6A8" w:rsidR="006067C7" w:rsidRDefault="00000000">
      <w:pPr>
        <w:pStyle w:val="Tabledesillustrations"/>
        <w:tabs>
          <w:tab w:val="right" w:leader="dot" w:pos="9060"/>
        </w:tabs>
        <w:rPr>
          <w:rFonts w:asciiTheme="minorHAnsi" w:eastAsiaTheme="minorEastAsia" w:hAnsiTheme="minorHAnsi"/>
          <w:noProof/>
          <w:lang w:val="en-US"/>
        </w:rPr>
      </w:pPr>
      <w:hyperlink w:anchor="_Toc72143426" w:history="1">
        <w:r w:rsidR="006067C7" w:rsidRPr="00A138BD">
          <w:rPr>
            <w:rStyle w:val="Lienhypertexte"/>
            <w:noProof/>
          </w:rPr>
          <w:t>Tableau 79 : Représentation tableau emploi ressource des pièces à destination du piéçage en viande fraîche et de la transformation en charcuterie salaison</w:t>
        </w:r>
        <w:r w:rsidR="006067C7">
          <w:rPr>
            <w:noProof/>
            <w:webHidden/>
          </w:rPr>
          <w:tab/>
        </w:r>
        <w:r w:rsidR="006067C7">
          <w:rPr>
            <w:noProof/>
            <w:webHidden/>
          </w:rPr>
          <w:fldChar w:fldCharType="begin"/>
        </w:r>
        <w:r w:rsidR="006067C7">
          <w:rPr>
            <w:noProof/>
            <w:webHidden/>
          </w:rPr>
          <w:instrText xml:space="preserve"> PAGEREF _Toc72143426 \h </w:instrText>
        </w:r>
        <w:r w:rsidR="006067C7">
          <w:rPr>
            <w:noProof/>
            <w:webHidden/>
          </w:rPr>
        </w:r>
        <w:r w:rsidR="006067C7">
          <w:rPr>
            <w:noProof/>
            <w:webHidden/>
          </w:rPr>
          <w:fldChar w:fldCharType="separate"/>
        </w:r>
        <w:r w:rsidR="006067C7">
          <w:rPr>
            <w:noProof/>
            <w:webHidden/>
          </w:rPr>
          <w:t>114</w:t>
        </w:r>
        <w:r w:rsidR="006067C7">
          <w:rPr>
            <w:noProof/>
            <w:webHidden/>
          </w:rPr>
          <w:fldChar w:fldCharType="end"/>
        </w:r>
      </w:hyperlink>
    </w:p>
    <w:p w14:paraId="3B3208AB" w14:textId="3A67D392" w:rsidR="006067C7" w:rsidRDefault="00000000">
      <w:pPr>
        <w:pStyle w:val="Tabledesillustrations"/>
        <w:tabs>
          <w:tab w:val="right" w:leader="dot" w:pos="9060"/>
        </w:tabs>
        <w:rPr>
          <w:rFonts w:asciiTheme="minorHAnsi" w:eastAsiaTheme="minorEastAsia" w:hAnsiTheme="minorHAnsi"/>
          <w:noProof/>
          <w:lang w:val="en-US"/>
        </w:rPr>
      </w:pPr>
      <w:hyperlink w:anchor="_Toc72143427" w:history="1">
        <w:r w:rsidR="006067C7" w:rsidRPr="00A138BD">
          <w:rPr>
            <w:rStyle w:val="Lienhypertexte"/>
            <w:noProof/>
          </w:rPr>
          <w:t xml:space="preserve">Tableau </w:t>
        </w:r>
        <w:r w:rsidR="006067C7" w:rsidRPr="00A138BD">
          <w:rPr>
            <w:rStyle w:val="Lienhypertexte"/>
            <w:i/>
            <w:noProof/>
          </w:rPr>
          <w:t xml:space="preserve">80 : </w:t>
        </w:r>
        <w:r w:rsidR="006067C7" w:rsidRPr="00A138BD">
          <w:rPr>
            <w:rStyle w:val="Lienhypertexte"/>
            <w:noProof/>
          </w:rPr>
          <w:t xml:space="preserve">Représentation tableau emploi ressource </w:t>
        </w:r>
        <w:r w:rsidR="006067C7" w:rsidRPr="00A138BD">
          <w:rPr>
            <w:rStyle w:val="Lienhypertexte"/>
            <w:i/>
            <w:noProof/>
          </w:rPr>
          <w:t>des pièces issues de la transformation (barattage, cuisson, maturation)</w:t>
        </w:r>
        <w:r w:rsidR="006067C7">
          <w:rPr>
            <w:noProof/>
            <w:webHidden/>
          </w:rPr>
          <w:tab/>
        </w:r>
        <w:r w:rsidR="006067C7">
          <w:rPr>
            <w:noProof/>
            <w:webHidden/>
          </w:rPr>
          <w:fldChar w:fldCharType="begin"/>
        </w:r>
        <w:r w:rsidR="006067C7">
          <w:rPr>
            <w:noProof/>
            <w:webHidden/>
          </w:rPr>
          <w:instrText xml:space="preserve"> PAGEREF _Toc72143427 \h </w:instrText>
        </w:r>
        <w:r w:rsidR="006067C7">
          <w:rPr>
            <w:noProof/>
            <w:webHidden/>
          </w:rPr>
        </w:r>
        <w:r w:rsidR="006067C7">
          <w:rPr>
            <w:noProof/>
            <w:webHidden/>
          </w:rPr>
          <w:fldChar w:fldCharType="separate"/>
        </w:r>
        <w:r w:rsidR="006067C7">
          <w:rPr>
            <w:noProof/>
            <w:webHidden/>
          </w:rPr>
          <w:t>114</w:t>
        </w:r>
        <w:r w:rsidR="006067C7">
          <w:rPr>
            <w:noProof/>
            <w:webHidden/>
          </w:rPr>
          <w:fldChar w:fldCharType="end"/>
        </w:r>
      </w:hyperlink>
    </w:p>
    <w:p w14:paraId="09836A0E" w14:textId="234AF37C" w:rsidR="006067C7" w:rsidRDefault="00000000">
      <w:pPr>
        <w:pStyle w:val="Tabledesillustrations"/>
        <w:tabs>
          <w:tab w:val="right" w:leader="dot" w:pos="9060"/>
        </w:tabs>
        <w:rPr>
          <w:rFonts w:asciiTheme="minorHAnsi" w:eastAsiaTheme="minorEastAsia" w:hAnsiTheme="minorHAnsi"/>
          <w:noProof/>
          <w:lang w:val="en-US"/>
        </w:rPr>
      </w:pPr>
      <w:hyperlink w:anchor="_Toc72143428" w:history="1">
        <w:r w:rsidR="006067C7" w:rsidRPr="00A138BD">
          <w:rPr>
            <w:rStyle w:val="Lienhypertexte"/>
            <w:noProof/>
          </w:rPr>
          <w:t xml:space="preserve">Tableau </w:t>
        </w:r>
        <w:r w:rsidR="006067C7" w:rsidRPr="00A138BD">
          <w:rPr>
            <w:rStyle w:val="Lienhypertexte"/>
            <w:i/>
            <w:noProof/>
          </w:rPr>
          <w:t xml:space="preserve">81 : </w:t>
        </w:r>
        <w:r w:rsidR="006067C7" w:rsidRPr="00A138BD">
          <w:rPr>
            <w:rStyle w:val="Lienhypertexte"/>
            <w:noProof/>
          </w:rPr>
          <w:t xml:space="preserve">Représentation tableau emploi ressource </w:t>
        </w:r>
        <w:r w:rsidR="006067C7" w:rsidRPr="00A138BD">
          <w:rPr>
            <w:rStyle w:val="Lienhypertexte"/>
            <w:i/>
            <w:noProof/>
          </w:rPr>
          <w:t>à destination de la formation de poitrine en équivalent pièce</w:t>
        </w:r>
        <w:r w:rsidR="006067C7" w:rsidRPr="00A138BD">
          <w:rPr>
            <w:rStyle w:val="Lienhypertexte"/>
            <w:noProof/>
          </w:rPr>
          <w:t xml:space="preserve"> primaire</w:t>
        </w:r>
        <w:r w:rsidR="006067C7">
          <w:rPr>
            <w:noProof/>
            <w:webHidden/>
          </w:rPr>
          <w:tab/>
        </w:r>
        <w:r w:rsidR="006067C7">
          <w:rPr>
            <w:noProof/>
            <w:webHidden/>
          </w:rPr>
          <w:fldChar w:fldCharType="begin"/>
        </w:r>
        <w:r w:rsidR="006067C7">
          <w:rPr>
            <w:noProof/>
            <w:webHidden/>
          </w:rPr>
          <w:instrText xml:space="preserve"> PAGEREF _Toc72143428 \h </w:instrText>
        </w:r>
        <w:r w:rsidR="006067C7">
          <w:rPr>
            <w:noProof/>
            <w:webHidden/>
          </w:rPr>
        </w:r>
        <w:r w:rsidR="006067C7">
          <w:rPr>
            <w:noProof/>
            <w:webHidden/>
          </w:rPr>
          <w:fldChar w:fldCharType="separate"/>
        </w:r>
        <w:r w:rsidR="006067C7">
          <w:rPr>
            <w:noProof/>
            <w:webHidden/>
          </w:rPr>
          <w:t>117</w:t>
        </w:r>
        <w:r w:rsidR="006067C7">
          <w:rPr>
            <w:noProof/>
            <w:webHidden/>
          </w:rPr>
          <w:fldChar w:fldCharType="end"/>
        </w:r>
      </w:hyperlink>
    </w:p>
    <w:p w14:paraId="11885E13" w14:textId="26B507DE" w:rsidR="006067C7" w:rsidRDefault="00000000">
      <w:pPr>
        <w:pStyle w:val="Tabledesillustrations"/>
        <w:tabs>
          <w:tab w:val="right" w:leader="dot" w:pos="9060"/>
        </w:tabs>
        <w:rPr>
          <w:rFonts w:asciiTheme="minorHAnsi" w:eastAsiaTheme="minorEastAsia" w:hAnsiTheme="minorHAnsi"/>
          <w:noProof/>
          <w:lang w:val="en-US"/>
        </w:rPr>
      </w:pPr>
      <w:hyperlink w:anchor="_Toc72143429" w:history="1">
        <w:r w:rsidR="006067C7" w:rsidRPr="00A138BD">
          <w:rPr>
            <w:rStyle w:val="Lienhypertexte"/>
            <w:noProof/>
          </w:rPr>
          <w:t xml:space="preserve">Tableau </w:t>
        </w:r>
        <w:r w:rsidR="006067C7" w:rsidRPr="00A138BD">
          <w:rPr>
            <w:rStyle w:val="Lienhypertexte"/>
            <w:i/>
            <w:noProof/>
          </w:rPr>
          <w:t xml:space="preserve">82 : </w:t>
        </w:r>
        <w:r w:rsidR="006067C7" w:rsidRPr="00A138BD">
          <w:rPr>
            <w:rStyle w:val="Lienhypertexte"/>
            <w:noProof/>
          </w:rPr>
          <w:t>Représentation tableau emploi ressource au stade de la découpe secondaire</w:t>
        </w:r>
        <w:r w:rsidR="006067C7">
          <w:rPr>
            <w:noProof/>
            <w:webHidden/>
          </w:rPr>
          <w:tab/>
        </w:r>
        <w:r w:rsidR="006067C7">
          <w:rPr>
            <w:noProof/>
            <w:webHidden/>
          </w:rPr>
          <w:fldChar w:fldCharType="begin"/>
        </w:r>
        <w:r w:rsidR="006067C7">
          <w:rPr>
            <w:noProof/>
            <w:webHidden/>
          </w:rPr>
          <w:instrText xml:space="preserve"> PAGEREF _Toc72143429 \h </w:instrText>
        </w:r>
        <w:r w:rsidR="006067C7">
          <w:rPr>
            <w:noProof/>
            <w:webHidden/>
          </w:rPr>
        </w:r>
        <w:r w:rsidR="006067C7">
          <w:rPr>
            <w:noProof/>
            <w:webHidden/>
          </w:rPr>
          <w:fldChar w:fldCharType="separate"/>
        </w:r>
        <w:r w:rsidR="006067C7">
          <w:rPr>
            <w:noProof/>
            <w:webHidden/>
          </w:rPr>
          <w:t>117</w:t>
        </w:r>
        <w:r w:rsidR="006067C7">
          <w:rPr>
            <w:noProof/>
            <w:webHidden/>
          </w:rPr>
          <w:fldChar w:fldCharType="end"/>
        </w:r>
      </w:hyperlink>
    </w:p>
    <w:p w14:paraId="378DC137" w14:textId="0F06C7E5" w:rsidR="006067C7" w:rsidRDefault="00000000">
      <w:pPr>
        <w:pStyle w:val="Tabledesillustrations"/>
        <w:tabs>
          <w:tab w:val="right" w:leader="dot" w:pos="9060"/>
        </w:tabs>
        <w:rPr>
          <w:rFonts w:asciiTheme="minorHAnsi" w:eastAsiaTheme="minorEastAsia" w:hAnsiTheme="minorHAnsi"/>
          <w:noProof/>
          <w:lang w:val="en-US"/>
        </w:rPr>
      </w:pPr>
      <w:hyperlink w:anchor="_Toc72143430" w:history="1">
        <w:r w:rsidR="006067C7" w:rsidRPr="00A138BD">
          <w:rPr>
            <w:rStyle w:val="Lienhypertexte"/>
            <w:noProof/>
          </w:rPr>
          <w:t xml:space="preserve">Tableau </w:t>
        </w:r>
        <w:r w:rsidR="006067C7" w:rsidRPr="00A138BD">
          <w:rPr>
            <w:rStyle w:val="Lienhypertexte"/>
            <w:i/>
            <w:noProof/>
          </w:rPr>
          <w:t>83 :</w:t>
        </w:r>
        <w:r w:rsidR="006067C7">
          <w:rPr>
            <w:noProof/>
            <w:webHidden/>
          </w:rPr>
          <w:tab/>
        </w:r>
        <w:r w:rsidR="006067C7">
          <w:rPr>
            <w:noProof/>
            <w:webHidden/>
          </w:rPr>
          <w:fldChar w:fldCharType="begin"/>
        </w:r>
        <w:r w:rsidR="006067C7">
          <w:rPr>
            <w:noProof/>
            <w:webHidden/>
          </w:rPr>
          <w:instrText xml:space="preserve"> PAGEREF _Toc72143430 \h </w:instrText>
        </w:r>
        <w:r w:rsidR="006067C7">
          <w:rPr>
            <w:noProof/>
            <w:webHidden/>
          </w:rPr>
        </w:r>
        <w:r w:rsidR="006067C7">
          <w:rPr>
            <w:noProof/>
            <w:webHidden/>
          </w:rPr>
          <w:fldChar w:fldCharType="separate"/>
        </w:r>
        <w:r w:rsidR="006067C7">
          <w:rPr>
            <w:noProof/>
            <w:webHidden/>
          </w:rPr>
          <w:t>118</w:t>
        </w:r>
        <w:r w:rsidR="006067C7">
          <w:rPr>
            <w:noProof/>
            <w:webHidden/>
          </w:rPr>
          <w:fldChar w:fldCharType="end"/>
        </w:r>
      </w:hyperlink>
    </w:p>
    <w:p w14:paraId="543A2B4D" w14:textId="5926234D" w:rsidR="006067C7" w:rsidRDefault="00000000">
      <w:pPr>
        <w:pStyle w:val="Tabledesillustrations"/>
        <w:tabs>
          <w:tab w:val="right" w:leader="dot" w:pos="9060"/>
        </w:tabs>
        <w:rPr>
          <w:rFonts w:asciiTheme="minorHAnsi" w:eastAsiaTheme="minorEastAsia" w:hAnsiTheme="minorHAnsi"/>
          <w:noProof/>
          <w:lang w:val="en-US"/>
        </w:rPr>
      </w:pPr>
      <w:hyperlink w:anchor="_Toc72143431" w:history="1">
        <w:r w:rsidR="006067C7" w:rsidRPr="00A138BD">
          <w:rPr>
            <w:rStyle w:val="Lienhypertexte"/>
            <w:noProof/>
          </w:rPr>
          <w:t>Tableau 84 : Représentation du tableau emploi ressource des pièces à destination du piéçage en viande fraîche et de la transformation en charcuterie salaison</w:t>
        </w:r>
        <w:r w:rsidR="006067C7">
          <w:rPr>
            <w:noProof/>
            <w:webHidden/>
          </w:rPr>
          <w:tab/>
        </w:r>
        <w:r w:rsidR="006067C7">
          <w:rPr>
            <w:noProof/>
            <w:webHidden/>
          </w:rPr>
          <w:fldChar w:fldCharType="begin"/>
        </w:r>
        <w:r w:rsidR="006067C7">
          <w:rPr>
            <w:noProof/>
            <w:webHidden/>
          </w:rPr>
          <w:instrText xml:space="preserve"> PAGEREF _Toc72143431 \h </w:instrText>
        </w:r>
        <w:r w:rsidR="006067C7">
          <w:rPr>
            <w:noProof/>
            <w:webHidden/>
          </w:rPr>
        </w:r>
        <w:r w:rsidR="006067C7">
          <w:rPr>
            <w:noProof/>
            <w:webHidden/>
          </w:rPr>
          <w:fldChar w:fldCharType="separate"/>
        </w:r>
        <w:r w:rsidR="006067C7">
          <w:rPr>
            <w:noProof/>
            <w:webHidden/>
          </w:rPr>
          <w:t>119</w:t>
        </w:r>
        <w:r w:rsidR="006067C7">
          <w:rPr>
            <w:noProof/>
            <w:webHidden/>
          </w:rPr>
          <w:fldChar w:fldCharType="end"/>
        </w:r>
      </w:hyperlink>
    </w:p>
    <w:p w14:paraId="569C1E62" w14:textId="5BCC3802" w:rsidR="006067C7" w:rsidRDefault="00000000">
      <w:pPr>
        <w:pStyle w:val="Tabledesillustrations"/>
        <w:tabs>
          <w:tab w:val="right" w:leader="dot" w:pos="9060"/>
        </w:tabs>
        <w:rPr>
          <w:rFonts w:asciiTheme="minorHAnsi" w:eastAsiaTheme="minorEastAsia" w:hAnsiTheme="minorHAnsi"/>
          <w:noProof/>
          <w:lang w:val="en-US"/>
        </w:rPr>
      </w:pPr>
      <w:hyperlink w:anchor="_Toc72143432" w:history="1">
        <w:r w:rsidR="006067C7" w:rsidRPr="00A138BD">
          <w:rPr>
            <w:rStyle w:val="Lienhypertexte"/>
            <w:noProof/>
          </w:rPr>
          <w:t>Tableau 85 : Représentation tableau emploi ressource à destination de la formation de longe en équivalent pièce primaire</w:t>
        </w:r>
        <w:r w:rsidR="006067C7">
          <w:rPr>
            <w:noProof/>
            <w:webHidden/>
          </w:rPr>
          <w:tab/>
        </w:r>
        <w:r w:rsidR="006067C7">
          <w:rPr>
            <w:noProof/>
            <w:webHidden/>
          </w:rPr>
          <w:fldChar w:fldCharType="begin"/>
        </w:r>
        <w:r w:rsidR="006067C7">
          <w:rPr>
            <w:noProof/>
            <w:webHidden/>
          </w:rPr>
          <w:instrText xml:space="preserve"> PAGEREF _Toc72143432 \h </w:instrText>
        </w:r>
        <w:r w:rsidR="006067C7">
          <w:rPr>
            <w:noProof/>
            <w:webHidden/>
          </w:rPr>
        </w:r>
        <w:r w:rsidR="006067C7">
          <w:rPr>
            <w:noProof/>
            <w:webHidden/>
          </w:rPr>
          <w:fldChar w:fldCharType="separate"/>
        </w:r>
        <w:r w:rsidR="006067C7">
          <w:rPr>
            <w:noProof/>
            <w:webHidden/>
          </w:rPr>
          <w:t>121</w:t>
        </w:r>
        <w:r w:rsidR="006067C7">
          <w:rPr>
            <w:noProof/>
            <w:webHidden/>
          </w:rPr>
          <w:fldChar w:fldCharType="end"/>
        </w:r>
      </w:hyperlink>
    </w:p>
    <w:p w14:paraId="3E4687A5" w14:textId="4EC84FB9" w:rsidR="006067C7" w:rsidRDefault="00000000">
      <w:pPr>
        <w:pStyle w:val="Tabledesillustrations"/>
        <w:tabs>
          <w:tab w:val="right" w:leader="dot" w:pos="9060"/>
        </w:tabs>
        <w:rPr>
          <w:rFonts w:asciiTheme="minorHAnsi" w:eastAsiaTheme="minorEastAsia" w:hAnsiTheme="minorHAnsi"/>
          <w:noProof/>
          <w:lang w:val="en-US"/>
        </w:rPr>
      </w:pPr>
      <w:hyperlink w:anchor="_Toc72143433" w:history="1">
        <w:r w:rsidR="006067C7" w:rsidRPr="00A138BD">
          <w:rPr>
            <w:rStyle w:val="Lienhypertexte"/>
            <w:noProof/>
          </w:rPr>
          <w:t xml:space="preserve">Tableau </w:t>
        </w:r>
        <w:r w:rsidR="006067C7" w:rsidRPr="00A138BD">
          <w:rPr>
            <w:rStyle w:val="Lienhypertexte"/>
            <w:i/>
            <w:noProof/>
          </w:rPr>
          <w:t>86 :</w:t>
        </w:r>
        <w:r w:rsidR="006067C7" w:rsidRPr="00A138BD">
          <w:rPr>
            <w:rStyle w:val="Lienhypertexte"/>
            <w:noProof/>
          </w:rPr>
          <w:t xml:space="preserve"> Représentation tableau emploi ressource </w:t>
        </w:r>
        <w:r w:rsidR="006067C7" w:rsidRPr="00A138BD">
          <w:rPr>
            <w:rStyle w:val="Lienhypertexte"/>
            <w:i/>
            <w:noProof/>
          </w:rPr>
          <w:t>à destination des pièces de découpe secondaire issues de la longe</w:t>
        </w:r>
        <w:r w:rsidR="006067C7" w:rsidRPr="00A138BD">
          <w:rPr>
            <w:rStyle w:val="Lienhypertexte"/>
            <w:noProof/>
          </w:rPr>
          <w:t>.</w:t>
        </w:r>
        <w:r w:rsidR="006067C7">
          <w:rPr>
            <w:noProof/>
            <w:webHidden/>
          </w:rPr>
          <w:tab/>
        </w:r>
        <w:r w:rsidR="006067C7">
          <w:rPr>
            <w:noProof/>
            <w:webHidden/>
          </w:rPr>
          <w:fldChar w:fldCharType="begin"/>
        </w:r>
        <w:r w:rsidR="006067C7">
          <w:rPr>
            <w:noProof/>
            <w:webHidden/>
          </w:rPr>
          <w:instrText xml:space="preserve"> PAGEREF _Toc72143433 \h </w:instrText>
        </w:r>
        <w:r w:rsidR="006067C7">
          <w:rPr>
            <w:noProof/>
            <w:webHidden/>
          </w:rPr>
        </w:r>
        <w:r w:rsidR="006067C7">
          <w:rPr>
            <w:noProof/>
            <w:webHidden/>
          </w:rPr>
          <w:fldChar w:fldCharType="separate"/>
        </w:r>
        <w:r w:rsidR="006067C7">
          <w:rPr>
            <w:noProof/>
            <w:webHidden/>
          </w:rPr>
          <w:t>122</w:t>
        </w:r>
        <w:r w:rsidR="006067C7">
          <w:rPr>
            <w:noProof/>
            <w:webHidden/>
          </w:rPr>
          <w:fldChar w:fldCharType="end"/>
        </w:r>
      </w:hyperlink>
    </w:p>
    <w:p w14:paraId="32CE89F4" w14:textId="3178B526" w:rsidR="006067C7" w:rsidRDefault="00000000">
      <w:pPr>
        <w:pStyle w:val="Tabledesillustrations"/>
        <w:tabs>
          <w:tab w:val="right" w:leader="dot" w:pos="9060"/>
        </w:tabs>
        <w:rPr>
          <w:rFonts w:asciiTheme="minorHAnsi" w:eastAsiaTheme="minorEastAsia" w:hAnsiTheme="minorHAnsi"/>
          <w:noProof/>
          <w:lang w:val="en-US"/>
        </w:rPr>
      </w:pPr>
      <w:hyperlink w:anchor="_Toc72143434" w:history="1">
        <w:r w:rsidR="006067C7" w:rsidRPr="00A138BD">
          <w:rPr>
            <w:rStyle w:val="Lienhypertexte"/>
            <w:noProof/>
          </w:rPr>
          <w:t xml:space="preserve">Tableau </w:t>
        </w:r>
        <w:r w:rsidR="006067C7" w:rsidRPr="00A138BD">
          <w:rPr>
            <w:rStyle w:val="Lienhypertexte"/>
            <w:i/>
            <w:noProof/>
          </w:rPr>
          <w:t>87</w:t>
        </w:r>
        <w:r w:rsidR="006067C7" w:rsidRPr="00A138BD">
          <w:rPr>
            <w:rStyle w:val="Lienhypertexte"/>
            <w:noProof/>
          </w:rPr>
          <w:t> : Représentation tableau emploi ressource au stade de la transformation en charcuterie salaison</w:t>
        </w:r>
        <w:r w:rsidR="006067C7">
          <w:rPr>
            <w:noProof/>
            <w:webHidden/>
          </w:rPr>
          <w:tab/>
        </w:r>
        <w:r w:rsidR="006067C7">
          <w:rPr>
            <w:noProof/>
            <w:webHidden/>
          </w:rPr>
          <w:fldChar w:fldCharType="begin"/>
        </w:r>
        <w:r w:rsidR="006067C7">
          <w:rPr>
            <w:noProof/>
            <w:webHidden/>
          </w:rPr>
          <w:instrText xml:space="preserve"> PAGEREF _Toc72143434 \h </w:instrText>
        </w:r>
        <w:r w:rsidR="006067C7">
          <w:rPr>
            <w:noProof/>
            <w:webHidden/>
          </w:rPr>
        </w:r>
        <w:r w:rsidR="006067C7">
          <w:rPr>
            <w:noProof/>
            <w:webHidden/>
          </w:rPr>
          <w:fldChar w:fldCharType="separate"/>
        </w:r>
        <w:r w:rsidR="006067C7">
          <w:rPr>
            <w:noProof/>
            <w:webHidden/>
          </w:rPr>
          <w:t>123</w:t>
        </w:r>
        <w:r w:rsidR="006067C7">
          <w:rPr>
            <w:noProof/>
            <w:webHidden/>
          </w:rPr>
          <w:fldChar w:fldCharType="end"/>
        </w:r>
      </w:hyperlink>
    </w:p>
    <w:p w14:paraId="388F1448" w14:textId="2F230F45" w:rsidR="006067C7" w:rsidRDefault="00000000">
      <w:pPr>
        <w:pStyle w:val="Tabledesillustrations"/>
        <w:tabs>
          <w:tab w:val="right" w:leader="dot" w:pos="9060"/>
        </w:tabs>
        <w:rPr>
          <w:rFonts w:asciiTheme="minorHAnsi" w:eastAsiaTheme="minorEastAsia" w:hAnsiTheme="minorHAnsi"/>
          <w:noProof/>
          <w:lang w:val="en-US"/>
        </w:rPr>
      </w:pPr>
      <w:hyperlink w:anchor="_Toc72143435" w:history="1">
        <w:r w:rsidR="006067C7" w:rsidRPr="00A138BD">
          <w:rPr>
            <w:rStyle w:val="Lienhypertexte"/>
            <w:noProof/>
          </w:rPr>
          <w:t xml:space="preserve">Tableau </w:t>
        </w:r>
        <w:r w:rsidR="006067C7" w:rsidRPr="00A138BD">
          <w:rPr>
            <w:rStyle w:val="Lienhypertexte"/>
            <w:i/>
            <w:noProof/>
          </w:rPr>
          <w:t xml:space="preserve">88 : </w:t>
        </w:r>
        <w:r w:rsidR="006067C7" w:rsidRPr="00A138BD">
          <w:rPr>
            <w:rStyle w:val="Lienhypertexte"/>
            <w:noProof/>
          </w:rPr>
          <w:t>Représentation tableau emploi ressource au stade de la transformation en charcuterie salaison</w:t>
        </w:r>
        <w:r w:rsidR="006067C7">
          <w:rPr>
            <w:noProof/>
            <w:webHidden/>
          </w:rPr>
          <w:tab/>
        </w:r>
        <w:r w:rsidR="006067C7">
          <w:rPr>
            <w:noProof/>
            <w:webHidden/>
          </w:rPr>
          <w:fldChar w:fldCharType="begin"/>
        </w:r>
        <w:r w:rsidR="006067C7">
          <w:rPr>
            <w:noProof/>
            <w:webHidden/>
          </w:rPr>
          <w:instrText xml:space="preserve"> PAGEREF _Toc72143435 \h </w:instrText>
        </w:r>
        <w:r w:rsidR="006067C7">
          <w:rPr>
            <w:noProof/>
            <w:webHidden/>
          </w:rPr>
        </w:r>
        <w:r w:rsidR="006067C7">
          <w:rPr>
            <w:noProof/>
            <w:webHidden/>
          </w:rPr>
          <w:fldChar w:fldCharType="separate"/>
        </w:r>
        <w:r w:rsidR="006067C7">
          <w:rPr>
            <w:noProof/>
            <w:webHidden/>
          </w:rPr>
          <w:t>124</w:t>
        </w:r>
        <w:r w:rsidR="006067C7">
          <w:rPr>
            <w:noProof/>
            <w:webHidden/>
          </w:rPr>
          <w:fldChar w:fldCharType="end"/>
        </w:r>
      </w:hyperlink>
    </w:p>
    <w:p w14:paraId="6409E24D" w14:textId="266F5228" w:rsidR="006067C7" w:rsidRDefault="00000000">
      <w:pPr>
        <w:pStyle w:val="Tabledesillustrations"/>
        <w:tabs>
          <w:tab w:val="right" w:leader="dot" w:pos="9060"/>
        </w:tabs>
        <w:rPr>
          <w:rFonts w:asciiTheme="minorHAnsi" w:eastAsiaTheme="minorEastAsia" w:hAnsiTheme="minorHAnsi"/>
          <w:noProof/>
          <w:lang w:val="en-US"/>
        </w:rPr>
      </w:pPr>
      <w:hyperlink w:anchor="_Toc72143436" w:history="1">
        <w:r w:rsidR="006067C7" w:rsidRPr="00A138BD">
          <w:rPr>
            <w:rStyle w:val="Lienhypertexte"/>
            <w:noProof/>
          </w:rPr>
          <w:t xml:space="preserve">Tableau </w:t>
        </w:r>
        <w:r w:rsidR="006067C7" w:rsidRPr="00A138BD">
          <w:rPr>
            <w:rStyle w:val="Lienhypertexte"/>
            <w:i/>
            <w:noProof/>
          </w:rPr>
          <w:t xml:space="preserve">89 : </w:t>
        </w:r>
        <w:r w:rsidR="006067C7" w:rsidRPr="00A138BD">
          <w:rPr>
            <w:rStyle w:val="Lienhypertexte"/>
            <w:noProof/>
          </w:rPr>
          <w:t>Tableau des principales sources de données</w:t>
        </w:r>
        <w:r w:rsidR="006067C7" w:rsidRPr="00A138BD">
          <w:rPr>
            <w:rStyle w:val="Lienhypertexte"/>
            <w:i/>
            <w:noProof/>
          </w:rPr>
          <w:t xml:space="preserve"> publiques</w:t>
        </w:r>
        <w:r w:rsidR="006067C7">
          <w:rPr>
            <w:noProof/>
            <w:webHidden/>
          </w:rPr>
          <w:tab/>
        </w:r>
        <w:r w:rsidR="006067C7">
          <w:rPr>
            <w:noProof/>
            <w:webHidden/>
          </w:rPr>
          <w:fldChar w:fldCharType="begin"/>
        </w:r>
        <w:r w:rsidR="006067C7">
          <w:rPr>
            <w:noProof/>
            <w:webHidden/>
          </w:rPr>
          <w:instrText xml:space="preserve"> PAGEREF _Toc72143436 \h </w:instrText>
        </w:r>
        <w:r w:rsidR="006067C7">
          <w:rPr>
            <w:noProof/>
            <w:webHidden/>
          </w:rPr>
        </w:r>
        <w:r w:rsidR="006067C7">
          <w:rPr>
            <w:noProof/>
            <w:webHidden/>
          </w:rPr>
          <w:fldChar w:fldCharType="separate"/>
        </w:r>
        <w:r w:rsidR="006067C7">
          <w:rPr>
            <w:noProof/>
            <w:webHidden/>
          </w:rPr>
          <w:t>129</w:t>
        </w:r>
        <w:r w:rsidR="006067C7">
          <w:rPr>
            <w:noProof/>
            <w:webHidden/>
          </w:rPr>
          <w:fldChar w:fldCharType="end"/>
        </w:r>
      </w:hyperlink>
    </w:p>
    <w:p w14:paraId="6A3B7D23" w14:textId="6FF4D0BA" w:rsidR="006067C7" w:rsidRDefault="00000000">
      <w:pPr>
        <w:pStyle w:val="Tabledesillustrations"/>
        <w:tabs>
          <w:tab w:val="right" w:leader="dot" w:pos="9060"/>
        </w:tabs>
        <w:rPr>
          <w:rFonts w:asciiTheme="minorHAnsi" w:eastAsiaTheme="minorEastAsia" w:hAnsiTheme="minorHAnsi"/>
          <w:noProof/>
          <w:lang w:val="en-US"/>
        </w:rPr>
      </w:pPr>
      <w:hyperlink w:anchor="_Toc72143437" w:history="1">
        <w:r w:rsidR="006067C7" w:rsidRPr="00A138BD">
          <w:rPr>
            <w:rStyle w:val="Lienhypertexte"/>
            <w:noProof/>
          </w:rPr>
          <w:t>Tableau 90 : Tableau des principales sources de données issues d’enquêtes privées de distribution et de consommation</w:t>
        </w:r>
        <w:r w:rsidR="006067C7">
          <w:rPr>
            <w:noProof/>
            <w:webHidden/>
          </w:rPr>
          <w:tab/>
        </w:r>
        <w:r w:rsidR="006067C7">
          <w:rPr>
            <w:noProof/>
            <w:webHidden/>
          </w:rPr>
          <w:fldChar w:fldCharType="begin"/>
        </w:r>
        <w:r w:rsidR="006067C7">
          <w:rPr>
            <w:noProof/>
            <w:webHidden/>
          </w:rPr>
          <w:instrText xml:space="preserve"> PAGEREF _Toc72143437 \h </w:instrText>
        </w:r>
        <w:r w:rsidR="006067C7">
          <w:rPr>
            <w:noProof/>
            <w:webHidden/>
          </w:rPr>
        </w:r>
        <w:r w:rsidR="006067C7">
          <w:rPr>
            <w:noProof/>
            <w:webHidden/>
          </w:rPr>
          <w:fldChar w:fldCharType="separate"/>
        </w:r>
        <w:r w:rsidR="006067C7">
          <w:rPr>
            <w:noProof/>
            <w:webHidden/>
          </w:rPr>
          <w:t>129</w:t>
        </w:r>
        <w:r w:rsidR="006067C7">
          <w:rPr>
            <w:noProof/>
            <w:webHidden/>
          </w:rPr>
          <w:fldChar w:fldCharType="end"/>
        </w:r>
      </w:hyperlink>
    </w:p>
    <w:p w14:paraId="4BF87B7A" w14:textId="48EB27E1" w:rsidR="00F46635" w:rsidRPr="00F4348C" w:rsidRDefault="00AF44D6" w:rsidP="00F4348C">
      <w:pPr>
        <w:rPr>
          <w:rFonts w:cs="Arial"/>
          <w:sz w:val="20"/>
          <w:szCs w:val="20"/>
        </w:rPr>
      </w:pPr>
      <w:r>
        <w:rPr>
          <w:rFonts w:cs="Arial"/>
          <w:sz w:val="20"/>
          <w:szCs w:val="20"/>
        </w:rPr>
        <w:fldChar w:fldCharType="end"/>
      </w:r>
    </w:p>
    <w:p w14:paraId="18872961" w14:textId="77777777" w:rsidR="008150C6" w:rsidRPr="00FF228F" w:rsidRDefault="00026C60" w:rsidP="008150C6">
      <w:pPr>
        <w:ind w:left="-284"/>
        <w:rPr>
          <w:rFonts w:cs="Arial"/>
          <w:b/>
          <w:bCs/>
        </w:rPr>
      </w:pPr>
      <w:r w:rsidRPr="00FF228F">
        <w:rPr>
          <w:rFonts w:cs="Arial"/>
          <w:b/>
          <w:bCs/>
        </w:rPr>
        <w:t xml:space="preserve">Liste des </w:t>
      </w:r>
      <w:r w:rsidR="008150C6" w:rsidRPr="00FF228F">
        <w:rPr>
          <w:rFonts w:cs="Arial"/>
          <w:b/>
          <w:bCs/>
        </w:rPr>
        <w:t>Graphiques</w:t>
      </w:r>
    </w:p>
    <w:p w14:paraId="76088301" w14:textId="03918C7C" w:rsidR="00F46635" w:rsidRPr="00F46635" w:rsidRDefault="00FF228F">
      <w:pPr>
        <w:pStyle w:val="Tabledesillustrations"/>
        <w:tabs>
          <w:tab w:val="right" w:leader="dot" w:pos="9060"/>
        </w:tabs>
        <w:rPr>
          <w:rFonts w:asciiTheme="minorHAnsi" w:eastAsiaTheme="minorEastAsia" w:hAnsiTheme="minorHAnsi"/>
          <w:noProof/>
          <w:lang w:eastAsia="fr-FR"/>
        </w:rPr>
      </w:pPr>
      <w:r w:rsidRPr="0047307A">
        <w:rPr>
          <w:rFonts w:cs="Arial"/>
          <w:sz w:val="20"/>
          <w:szCs w:val="20"/>
        </w:rPr>
        <w:fldChar w:fldCharType="begin"/>
      </w:r>
      <w:r w:rsidRPr="0047307A">
        <w:rPr>
          <w:rFonts w:cs="Arial"/>
          <w:sz w:val="20"/>
          <w:szCs w:val="20"/>
        </w:rPr>
        <w:instrText xml:space="preserve"> TOC \h \z \c "Figure" </w:instrText>
      </w:r>
      <w:r w:rsidRPr="0047307A">
        <w:rPr>
          <w:rFonts w:cs="Arial"/>
          <w:sz w:val="20"/>
          <w:szCs w:val="20"/>
        </w:rPr>
        <w:fldChar w:fldCharType="separate"/>
      </w:r>
      <w:hyperlink w:anchor="_Toc69511393" w:history="1">
        <w:r w:rsidR="00F46635" w:rsidRPr="00F46635">
          <w:rPr>
            <w:rStyle w:val="Lienhypertexte"/>
            <w:noProof/>
          </w:rPr>
          <w:t>Figure 1 : Evolution de la production française 2000 –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_Toc69511393 \h </w:instrText>
        </w:r>
        <w:r w:rsidR="00F46635" w:rsidRPr="00F46635">
          <w:rPr>
            <w:noProof/>
            <w:webHidden/>
          </w:rPr>
        </w:r>
        <w:r w:rsidR="00F46635" w:rsidRPr="00F46635">
          <w:rPr>
            <w:noProof/>
            <w:webHidden/>
          </w:rPr>
          <w:fldChar w:fldCharType="separate"/>
        </w:r>
        <w:r w:rsidR="0007597F">
          <w:rPr>
            <w:noProof/>
            <w:webHidden/>
          </w:rPr>
          <w:t>3</w:t>
        </w:r>
        <w:r w:rsidR="00F46635" w:rsidRPr="00F46635">
          <w:rPr>
            <w:noProof/>
            <w:webHidden/>
          </w:rPr>
          <w:fldChar w:fldCharType="end"/>
        </w:r>
      </w:hyperlink>
    </w:p>
    <w:p w14:paraId="3F96C61C" w14:textId="50B41022"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394" w:history="1">
        <w:r w:rsidR="00F46635" w:rsidRPr="00F46635">
          <w:rPr>
            <w:rStyle w:val="Lienhypertexte"/>
            <w:noProof/>
          </w:rPr>
          <w:t>Figure 2 : Evolution de la consommation des viandes par habitant en France 1990 – 2018 en kg équivalent carcasse par habitant par an.</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_Toc69511394 \h </w:instrText>
        </w:r>
        <w:r w:rsidR="00F46635" w:rsidRPr="00F46635">
          <w:rPr>
            <w:noProof/>
            <w:webHidden/>
          </w:rPr>
        </w:r>
        <w:r w:rsidR="00F46635" w:rsidRPr="00F46635">
          <w:rPr>
            <w:noProof/>
            <w:webHidden/>
          </w:rPr>
          <w:fldChar w:fldCharType="separate"/>
        </w:r>
        <w:r w:rsidR="0007597F">
          <w:rPr>
            <w:noProof/>
            <w:webHidden/>
          </w:rPr>
          <w:t>4</w:t>
        </w:r>
        <w:r w:rsidR="00F46635" w:rsidRPr="00F46635">
          <w:rPr>
            <w:noProof/>
            <w:webHidden/>
          </w:rPr>
          <w:fldChar w:fldCharType="end"/>
        </w:r>
      </w:hyperlink>
    </w:p>
    <w:p w14:paraId="163AE6AF" w14:textId="5A98793D"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395" w:history="1">
        <w:r w:rsidR="00F46635" w:rsidRPr="00F46635">
          <w:rPr>
            <w:rStyle w:val="Lienhypertexte"/>
            <w:noProof/>
          </w:rPr>
          <w:t>Figure 3 : Evolution de la consommation par habitant et de la part des produits d’origine France et importés de 2000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_Toc69511395 \h </w:instrText>
        </w:r>
        <w:r w:rsidR="00F46635" w:rsidRPr="00F46635">
          <w:rPr>
            <w:noProof/>
            <w:webHidden/>
          </w:rPr>
        </w:r>
        <w:r w:rsidR="00F46635" w:rsidRPr="00F46635">
          <w:rPr>
            <w:noProof/>
            <w:webHidden/>
          </w:rPr>
          <w:fldChar w:fldCharType="separate"/>
        </w:r>
        <w:r w:rsidR="0007597F">
          <w:rPr>
            <w:noProof/>
            <w:webHidden/>
          </w:rPr>
          <w:t>7</w:t>
        </w:r>
        <w:r w:rsidR="00F46635" w:rsidRPr="00F46635">
          <w:rPr>
            <w:noProof/>
            <w:webHidden/>
          </w:rPr>
          <w:fldChar w:fldCharType="end"/>
        </w:r>
      </w:hyperlink>
    </w:p>
    <w:p w14:paraId="6CB07820" w14:textId="309ECF1A"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396" w:history="1">
        <w:r w:rsidR="00F46635" w:rsidRPr="00F46635">
          <w:rPr>
            <w:rStyle w:val="Lienhypertexte"/>
            <w:noProof/>
          </w:rPr>
          <w:t>Figure 4 : Evolution de la part des produits importés par catégorie douanière de 2000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_Toc69511396 \h </w:instrText>
        </w:r>
        <w:r w:rsidR="00F46635" w:rsidRPr="00F46635">
          <w:rPr>
            <w:noProof/>
            <w:webHidden/>
          </w:rPr>
        </w:r>
        <w:r w:rsidR="00F46635" w:rsidRPr="00F46635">
          <w:rPr>
            <w:noProof/>
            <w:webHidden/>
          </w:rPr>
          <w:fldChar w:fldCharType="separate"/>
        </w:r>
        <w:r w:rsidR="0007597F">
          <w:rPr>
            <w:noProof/>
            <w:webHidden/>
          </w:rPr>
          <w:t>8</w:t>
        </w:r>
        <w:r w:rsidR="00F46635" w:rsidRPr="00F46635">
          <w:rPr>
            <w:noProof/>
            <w:webHidden/>
          </w:rPr>
          <w:fldChar w:fldCharType="end"/>
        </w:r>
      </w:hyperlink>
    </w:p>
    <w:p w14:paraId="48FD5870" w14:textId="4944299B"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397" w:history="1">
        <w:r w:rsidR="00F46635" w:rsidRPr="00F46635">
          <w:rPr>
            <w:rStyle w:val="Lienhypertexte"/>
            <w:noProof/>
          </w:rPr>
          <w:t>Figure 5 : Evolution de la part des produits exportés par catégorie douanière de 2000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_Toc69511397 \h </w:instrText>
        </w:r>
        <w:r w:rsidR="00F46635" w:rsidRPr="00F46635">
          <w:rPr>
            <w:noProof/>
            <w:webHidden/>
          </w:rPr>
        </w:r>
        <w:r w:rsidR="00F46635" w:rsidRPr="00F46635">
          <w:rPr>
            <w:noProof/>
            <w:webHidden/>
          </w:rPr>
          <w:fldChar w:fldCharType="separate"/>
        </w:r>
        <w:r w:rsidR="0007597F">
          <w:rPr>
            <w:noProof/>
            <w:webHidden/>
          </w:rPr>
          <w:t>9</w:t>
        </w:r>
        <w:r w:rsidR="00F46635" w:rsidRPr="00F46635">
          <w:rPr>
            <w:noProof/>
            <w:webHidden/>
          </w:rPr>
          <w:fldChar w:fldCharType="end"/>
        </w:r>
      </w:hyperlink>
    </w:p>
    <w:p w14:paraId="3A36A16C" w14:textId="41034315"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398" w:history="1">
        <w:r w:rsidR="00F46635" w:rsidRPr="00F46635">
          <w:rPr>
            <w:rStyle w:val="Lienhypertexte"/>
            <w:noProof/>
          </w:rPr>
          <w:t>Figure 6 : Evolution des flux en viande porcine de 2000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_Toc69511398 \h </w:instrText>
        </w:r>
        <w:r w:rsidR="00F46635" w:rsidRPr="00F46635">
          <w:rPr>
            <w:noProof/>
            <w:webHidden/>
          </w:rPr>
        </w:r>
        <w:r w:rsidR="00F46635" w:rsidRPr="00F46635">
          <w:rPr>
            <w:noProof/>
            <w:webHidden/>
          </w:rPr>
          <w:fldChar w:fldCharType="separate"/>
        </w:r>
        <w:r w:rsidR="0007597F">
          <w:rPr>
            <w:noProof/>
            <w:webHidden/>
          </w:rPr>
          <w:t>9</w:t>
        </w:r>
        <w:r w:rsidR="00F46635" w:rsidRPr="00F46635">
          <w:rPr>
            <w:noProof/>
            <w:webHidden/>
          </w:rPr>
          <w:fldChar w:fldCharType="end"/>
        </w:r>
      </w:hyperlink>
    </w:p>
    <w:p w14:paraId="5CDB72D1" w14:textId="3FA418B7"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399" w:history="1">
        <w:r w:rsidR="00F46635" w:rsidRPr="00F46635">
          <w:rPr>
            <w:rStyle w:val="Lienhypertexte"/>
            <w:noProof/>
          </w:rPr>
          <w:t>Figure 7 : Schéma simplifié des niveaux de transformation couvert par les enquêtes 10.11.Z, 10.13.A et 10.85.Z au sein de la filière porcine.</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_Toc69511399 \h </w:instrText>
        </w:r>
        <w:r w:rsidR="00F46635" w:rsidRPr="00F46635">
          <w:rPr>
            <w:noProof/>
            <w:webHidden/>
          </w:rPr>
        </w:r>
        <w:r w:rsidR="00F46635" w:rsidRPr="00F46635">
          <w:rPr>
            <w:noProof/>
            <w:webHidden/>
          </w:rPr>
          <w:fldChar w:fldCharType="separate"/>
        </w:r>
        <w:r w:rsidR="0007597F">
          <w:rPr>
            <w:noProof/>
            <w:webHidden/>
          </w:rPr>
          <w:t>11</w:t>
        </w:r>
        <w:r w:rsidR="00F46635" w:rsidRPr="00F46635">
          <w:rPr>
            <w:noProof/>
            <w:webHidden/>
          </w:rPr>
          <w:fldChar w:fldCharType="end"/>
        </w:r>
      </w:hyperlink>
    </w:p>
    <w:p w14:paraId="69D099CF" w14:textId="799916DA"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0" w:history="1">
        <w:r w:rsidR="00F46635" w:rsidRPr="00F46635">
          <w:rPr>
            <w:rStyle w:val="Lienhypertexte"/>
            <w:noProof/>
          </w:rPr>
          <w:t>Figure 8 : Production en charcuterie salaison (dont viande SSF), en matière première de porc et de volaille entre 2010 et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_Toc69511400 \h </w:instrText>
        </w:r>
        <w:r w:rsidR="00F46635" w:rsidRPr="00F46635">
          <w:rPr>
            <w:noProof/>
            <w:webHidden/>
          </w:rPr>
        </w:r>
        <w:r w:rsidR="00F46635" w:rsidRPr="00F46635">
          <w:rPr>
            <w:noProof/>
            <w:webHidden/>
          </w:rPr>
          <w:fldChar w:fldCharType="separate"/>
        </w:r>
        <w:r w:rsidR="0007597F">
          <w:rPr>
            <w:noProof/>
            <w:webHidden/>
          </w:rPr>
          <w:t>12</w:t>
        </w:r>
        <w:r w:rsidR="00F46635" w:rsidRPr="00F46635">
          <w:rPr>
            <w:noProof/>
            <w:webHidden/>
          </w:rPr>
          <w:fldChar w:fldCharType="end"/>
        </w:r>
      </w:hyperlink>
    </w:p>
    <w:p w14:paraId="02A98AE5" w14:textId="2B8DF3E8"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1" w:history="1">
        <w:r w:rsidR="00F46635" w:rsidRPr="00F46635">
          <w:rPr>
            <w:rStyle w:val="Lienhypertexte"/>
            <w:noProof/>
          </w:rPr>
          <w:t>Figure 9 : Ventilation de la production en charcuterie salaison (dont viande SSF), en matière première de porc et de volaille entre 2010 et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_Toc69511401 \h </w:instrText>
        </w:r>
        <w:r w:rsidR="00F46635" w:rsidRPr="00F46635">
          <w:rPr>
            <w:noProof/>
            <w:webHidden/>
          </w:rPr>
        </w:r>
        <w:r w:rsidR="00F46635" w:rsidRPr="00F46635">
          <w:rPr>
            <w:noProof/>
            <w:webHidden/>
          </w:rPr>
          <w:fldChar w:fldCharType="separate"/>
        </w:r>
        <w:r w:rsidR="0007597F">
          <w:rPr>
            <w:noProof/>
            <w:webHidden/>
          </w:rPr>
          <w:t>13</w:t>
        </w:r>
        <w:r w:rsidR="00F46635" w:rsidRPr="00F46635">
          <w:rPr>
            <w:noProof/>
            <w:webHidden/>
          </w:rPr>
          <w:fldChar w:fldCharType="end"/>
        </w:r>
      </w:hyperlink>
    </w:p>
    <w:p w14:paraId="3D422DDC" w14:textId="549382A3"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2" w:history="1">
        <w:r w:rsidR="00F46635" w:rsidRPr="00F46635">
          <w:rPr>
            <w:rStyle w:val="Lienhypertexte"/>
            <w:noProof/>
          </w:rPr>
          <w:t>Figure 10 : Suivi des volumes de charcuterie pâtissière et plats cuisinés de porc</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_Toc69511402 \h </w:instrText>
        </w:r>
        <w:r w:rsidR="00F46635" w:rsidRPr="00F46635">
          <w:rPr>
            <w:noProof/>
            <w:webHidden/>
          </w:rPr>
        </w:r>
        <w:r w:rsidR="00F46635" w:rsidRPr="00F46635">
          <w:rPr>
            <w:noProof/>
            <w:webHidden/>
          </w:rPr>
          <w:fldChar w:fldCharType="separate"/>
        </w:r>
        <w:r w:rsidR="0007597F">
          <w:rPr>
            <w:noProof/>
            <w:webHidden/>
          </w:rPr>
          <w:t>15</w:t>
        </w:r>
        <w:r w:rsidR="00F46635" w:rsidRPr="00F46635">
          <w:rPr>
            <w:noProof/>
            <w:webHidden/>
          </w:rPr>
          <w:fldChar w:fldCharType="end"/>
        </w:r>
      </w:hyperlink>
    </w:p>
    <w:p w14:paraId="2EE63362" w14:textId="50476138"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3" w:history="1">
        <w:r w:rsidR="00F46635" w:rsidRPr="00F46635">
          <w:rPr>
            <w:rStyle w:val="Lienhypertexte"/>
            <w:noProof/>
          </w:rPr>
          <w:t>Figure 11 : Evolution de la part budgétaire des dépenses moyennes annuelles des ménages en % par type de produits de la viande sur le total des dépenses entre 2006 et 2017 à domicile</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_Toc69511403 \h </w:instrText>
        </w:r>
        <w:r w:rsidR="00F46635" w:rsidRPr="00F46635">
          <w:rPr>
            <w:noProof/>
            <w:webHidden/>
          </w:rPr>
        </w:r>
        <w:r w:rsidR="00F46635" w:rsidRPr="00F46635">
          <w:rPr>
            <w:noProof/>
            <w:webHidden/>
          </w:rPr>
          <w:fldChar w:fldCharType="separate"/>
        </w:r>
        <w:r w:rsidR="0007597F">
          <w:rPr>
            <w:noProof/>
            <w:webHidden/>
          </w:rPr>
          <w:t>26</w:t>
        </w:r>
        <w:r w:rsidR="00F46635" w:rsidRPr="00F46635">
          <w:rPr>
            <w:noProof/>
            <w:webHidden/>
          </w:rPr>
          <w:fldChar w:fldCharType="end"/>
        </w:r>
      </w:hyperlink>
    </w:p>
    <w:p w14:paraId="504DF4A4" w14:textId="32850D4D"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4" w:history="1">
        <w:r w:rsidR="00F46635" w:rsidRPr="00F46635">
          <w:rPr>
            <w:rStyle w:val="Lienhypertexte"/>
            <w:noProof/>
          </w:rPr>
          <w:t>Figure 12 : Répartition en % des dépenses des ménages à domicile des catégories viande et produits traiteurs à base de viande entre 1998 et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_Toc69511404 \h </w:instrText>
        </w:r>
        <w:r w:rsidR="00F46635" w:rsidRPr="00F46635">
          <w:rPr>
            <w:noProof/>
            <w:webHidden/>
          </w:rPr>
        </w:r>
        <w:r w:rsidR="00F46635" w:rsidRPr="00F46635">
          <w:rPr>
            <w:noProof/>
            <w:webHidden/>
          </w:rPr>
          <w:fldChar w:fldCharType="separate"/>
        </w:r>
        <w:r w:rsidR="0007597F">
          <w:rPr>
            <w:noProof/>
            <w:webHidden/>
          </w:rPr>
          <w:t>28</w:t>
        </w:r>
        <w:r w:rsidR="00F46635" w:rsidRPr="00F46635">
          <w:rPr>
            <w:noProof/>
            <w:webHidden/>
          </w:rPr>
          <w:fldChar w:fldCharType="end"/>
        </w:r>
      </w:hyperlink>
    </w:p>
    <w:p w14:paraId="59AF20B4" w14:textId="25A29916"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5" w:history="1">
        <w:r w:rsidR="00F46635" w:rsidRPr="00F46635">
          <w:rPr>
            <w:rStyle w:val="Lienhypertexte"/>
            <w:noProof/>
          </w:rPr>
          <w:t>Figure 13  : Quantités consommées en viande de porc en g/jour et évolution des quantités consommées entre les vagues d’enquête en % a/ chez les enfants et b/ chez les adultes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_Toc69511405 \h </w:instrText>
        </w:r>
        <w:r w:rsidR="00F46635" w:rsidRPr="00F46635">
          <w:rPr>
            <w:noProof/>
            <w:webHidden/>
          </w:rPr>
        </w:r>
        <w:r w:rsidR="00F46635" w:rsidRPr="00F46635">
          <w:rPr>
            <w:noProof/>
            <w:webHidden/>
          </w:rPr>
          <w:fldChar w:fldCharType="separate"/>
        </w:r>
        <w:r w:rsidR="0007597F">
          <w:rPr>
            <w:noProof/>
            <w:webHidden/>
          </w:rPr>
          <w:t>35</w:t>
        </w:r>
        <w:r w:rsidR="00F46635" w:rsidRPr="00F46635">
          <w:rPr>
            <w:noProof/>
            <w:webHidden/>
          </w:rPr>
          <w:fldChar w:fldCharType="end"/>
        </w:r>
      </w:hyperlink>
    </w:p>
    <w:p w14:paraId="2E866D29" w14:textId="12A060A4"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6" w:history="1">
        <w:r w:rsidR="00F46635" w:rsidRPr="00F46635">
          <w:rPr>
            <w:rStyle w:val="Lienhypertexte"/>
            <w:noProof/>
          </w:rPr>
          <w:t>Figure 14 : Quantités consommées en charcuterie hors saucisserie en g/jour et évolution des quantités consommées entre les vagues d’enquête en % chez les enfants de 3 à 17 ans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_Toc69511406 \h </w:instrText>
        </w:r>
        <w:r w:rsidR="00F46635" w:rsidRPr="00F46635">
          <w:rPr>
            <w:noProof/>
            <w:webHidden/>
          </w:rPr>
        </w:r>
        <w:r w:rsidR="00F46635" w:rsidRPr="00F46635">
          <w:rPr>
            <w:noProof/>
            <w:webHidden/>
          </w:rPr>
          <w:fldChar w:fldCharType="separate"/>
        </w:r>
        <w:r w:rsidR="0007597F">
          <w:rPr>
            <w:noProof/>
            <w:webHidden/>
          </w:rPr>
          <w:t>36</w:t>
        </w:r>
        <w:r w:rsidR="00F46635" w:rsidRPr="00F46635">
          <w:rPr>
            <w:noProof/>
            <w:webHidden/>
          </w:rPr>
          <w:fldChar w:fldCharType="end"/>
        </w:r>
      </w:hyperlink>
    </w:p>
    <w:p w14:paraId="76169A94" w14:textId="2A5EAE30"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7" w:history="1">
        <w:r w:rsidR="00F46635" w:rsidRPr="00F46635">
          <w:rPr>
            <w:rStyle w:val="Lienhypertexte"/>
            <w:noProof/>
          </w:rPr>
          <w:t>Figure 15 : Quantités consommées charcuterie hors saucisserie en g/jour et évolution des quantités consommées entre les vagues d’enquête en % chez les adultes (18 à 79 ans)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_Toc69511407 \h </w:instrText>
        </w:r>
        <w:r w:rsidR="00F46635" w:rsidRPr="00F46635">
          <w:rPr>
            <w:noProof/>
            <w:webHidden/>
          </w:rPr>
        </w:r>
        <w:r w:rsidR="00F46635" w:rsidRPr="00F46635">
          <w:rPr>
            <w:noProof/>
            <w:webHidden/>
          </w:rPr>
          <w:fldChar w:fldCharType="separate"/>
        </w:r>
        <w:r w:rsidR="0007597F">
          <w:rPr>
            <w:noProof/>
            <w:webHidden/>
          </w:rPr>
          <w:t>36</w:t>
        </w:r>
        <w:r w:rsidR="00F46635" w:rsidRPr="00F46635">
          <w:rPr>
            <w:noProof/>
            <w:webHidden/>
          </w:rPr>
          <w:fldChar w:fldCharType="end"/>
        </w:r>
      </w:hyperlink>
    </w:p>
    <w:p w14:paraId="5C35140E" w14:textId="62BACCEB"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8" w:history="1">
        <w:r w:rsidR="00F46635" w:rsidRPr="00F46635">
          <w:rPr>
            <w:rStyle w:val="Lienhypertexte"/>
            <w:noProof/>
          </w:rPr>
          <w:t>Figure 16 : Quantités consommées en saucisserie en g/jour et évolution des quantités consommées entre les vagues d’enquête en % chez a/ les enfants et b/ les adultes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_Toc69511408 \h </w:instrText>
        </w:r>
        <w:r w:rsidR="00F46635" w:rsidRPr="00F46635">
          <w:rPr>
            <w:noProof/>
            <w:webHidden/>
          </w:rPr>
        </w:r>
        <w:r w:rsidR="00F46635" w:rsidRPr="00F46635">
          <w:rPr>
            <w:noProof/>
            <w:webHidden/>
          </w:rPr>
          <w:fldChar w:fldCharType="separate"/>
        </w:r>
        <w:r w:rsidR="0007597F">
          <w:rPr>
            <w:noProof/>
            <w:webHidden/>
          </w:rPr>
          <w:t>37</w:t>
        </w:r>
        <w:r w:rsidR="00F46635" w:rsidRPr="00F46635">
          <w:rPr>
            <w:noProof/>
            <w:webHidden/>
          </w:rPr>
          <w:fldChar w:fldCharType="end"/>
        </w:r>
      </w:hyperlink>
    </w:p>
    <w:p w14:paraId="7B4F3353" w14:textId="42765E56"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09" w:history="1">
        <w:r w:rsidR="00F46635" w:rsidRPr="00F46635">
          <w:rPr>
            <w:rStyle w:val="Lienhypertexte"/>
            <w:noProof/>
          </w:rPr>
          <w:t>Figure 17 : Part relative des catégories consommées comme ingrédients sur le total charcuterie ingrédients en % chez a/ les enfants (0 à 17 ans) et b/ les adultes (18 à 79 ans)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_Toc69511409 \h </w:instrText>
        </w:r>
        <w:r w:rsidR="00F46635" w:rsidRPr="00F46635">
          <w:rPr>
            <w:noProof/>
            <w:webHidden/>
          </w:rPr>
        </w:r>
        <w:r w:rsidR="00F46635" w:rsidRPr="00F46635">
          <w:rPr>
            <w:noProof/>
            <w:webHidden/>
          </w:rPr>
          <w:fldChar w:fldCharType="separate"/>
        </w:r>
        <w:r w:rsidR="0007597F">
          <w:rPr>
            <w:noProof/>
            <w:webHidden/>
          </w:rPr>
          <w:t>38</w:t>
        </w:r>
        <w:r w:rsidR="00F46635" w:rsidRPr="00F46635">
          <w:rPr>
            <w:noProof/>
            <w:webHidden/>
          </w:rPr>
          <w:fldChar w:fldCharType="end"/>
        </w:r>
      </w:hyperlink>
    </w:p>
    <w:p w14:paraId="2870F9FB" w14:textId="7A856605"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0" w:history="1">
        <w:r w:rsidR="00F46635" w:rsidRPr="00F46635">
          <w:rPr>
            <w:rStyle w:val="Lienhypertexte"/>
            <w:noProof/>
          </w:rPr>
          <w:t>Figure 18 : Part en % de la consommation à domicile et hors domicile par catégorie de produits chez a/ les enfants (0 à 17 ans) et b/ les adultes (18 à 79 ans)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_Toc69511410 \h </w:instrText>
        </w:r>
        <w:r w:rsidR="00F46635" w:rsidRPr="00F46635">
          <w:rPr>
            <w:noProof/>
            <w:webHidden/>
          </w:rPr>
        </w:r>
        <w:r w:rsidR="00F46635" w:rsidRPr="00F46635">
          <w:rPr>
            <w:noProof/>
            <w:webHidden/>
          </w:rPr>
          <w:fldChar w:fldCharType="separate"/>
        </w:r>
        <w:r w:rsidR="0007597F">
          <w:rPr>
            <w:noProof/>
            <w:webHidden/>
          </w:rPr>
          <w:t>39</w:t>
        </w:r>
        <w:r w:rsidR="00F46635" w:rsidRPr="00F46635">
          <w:rPr>
            <w:noProof/>
            <w:webHidden/>
          </w:rPr>
          <w:fldChar w:fldCharType="end"/>
        </w:r>
      </w:hyperlink>
    </w:p>
    <w:p w14:paraId="1132CB5B" w14:textId="0BE3F268"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1" w:history="1">
        <w:r w:rsidR="00F46635" w:rsidRPr="00F46635">
          <w:rPr>
            <w:rStyle w:val="Lienhypertexte"/>
            <w:noProof/>
          </w:rPr>
          <w:t>Figure 19 : Evolution annuelle des volumes d’achat des ménages entre 2014 et 2019 en charcuterie, saucisserie, viande de porc, viande de boucherie, volaille et lapin</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_Toc69511411 \h </w:instrText>
        </w:r>
        <w:r w:rsidR="00F46635" w:rsidRPr="00F46635">
          <w:rPr>
            <w:noProof/>
            <w:webHidden/>
          </w:rPr>
        </w:r>
        <w:r w:rsidR="00F46635" w:rsidRPr="00F46635">
          <w:rPr>
            <w:noProof/>
            <w:webHidden/>
          </w:rPr>
          <w:fldChar w:fldCharType="separate"/>
        </w:r>
        <w:r w:rsidR="0007597F">
          <w:rPr>
            <w:noProof/>
            <w:webHidden/>
          </w:rPr>
          <w:t>41</w:t>
        </w:r>
        <w:r w:rsidR="00F46635" w:rsidRPr="00F46635">
          <w:rPr>
            <w:noProof/>
            <w:webHidden/>
          </w:rPr>
          <w:fldChar w:fldCharType="end"/>
        </w:r>
      </w:hyperlink>
    </w:p>
    <w:p w14:paraId="64B02C3C" w14:textId="42D74996"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2" w:history="1">
        <w:r w:rsidR="00F46635" w:rsidRPr="00F46635">
          <w:rPr>
            <w:rStyle w:val="Lienhypertexte"/>
            <w:noProof/>
          </w:rPr>
          <w:t>Figure 20 : Nombre de porcins en têtes commercialisés en Label Rouge de 2012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_Toc69511412 \h </w:instrText>
        </w:r>
        <w:r w:rsidR="00F46635" w:rsidRPr="00F46635">
          <w:rPr>
            <w:noProof/>
            <w:webHidden/>
          </w:rPr>
        </w:r>
        <w:r w:rsidR="00F46635" w:rsidRPr="00F46635">
          <w:rPr>
            <w:noProof/>
            <w:webHidden/>
          </w:rPr>
          <w:fldChar w:fldCharType="separate"/>
        </w:r>
        <w:r w:rsidR="0007597F">
          <w:rPr>
            <w:noProof/>
            <w:webHidden/>
          </w:rPr>
          <w:t>50</w:t>
        </w:r>
        <w:r w:rsidR="00F46635" w:rsidRPr="00F46635">
          <w:rPr>
            <w:noProof/>
            <w:webHidden/>
          </w:rPr>
          <w:fldChar w:fldCharType="end"/>
        </w:r>
      </w:hyperlink>
    </w:p>
    <w:p w14:paraId="559DF341" w14:textId="10335B94"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3" w:history="1">
        <w:r w:rsidR="00F46635" w:rsidRPr="00F46635">
          <w:rPr>
            <w:rStyle w:val="Lienhypertexte"/>
            <w:noProof/>
          </w:rPr>
          <w:t>Figure 21</w:t>
        </w:r>
        <w:r w:rsidR="00F46635" w:rsidRPr="00F46635">
          <w:rPr>
            <w:rStyle w:val="Lienhypertexte"/>
            <w:i/>
            <w:noProof/>
          </w:rPr>
          <w:t> :</w:t>
        </w:r>
        <w:r w:rsidR="00F46635" w:rsidRPr="00F46635">
          <w:rPr>
            <w:rStyle w:val="Lienhypertexte"/>
            <w:noProof/>
          </w:rPr>
          <w:t xml:space="preserve"> Ventilation par destination des produits label Rouge en sortie de seconde découpe et piéçage</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_Toc69511413 \h </w:instrText>
        </w:r>
        <w:r w:rsidR="00F46635" w:rsidRPr="00F46635">
          <w:rPr>
            <w:noProof/>
            <w:webHidden/>
          </w:rPr>
        </w:r>
        <w:r w:rsidR="00F46635" w:rsidRPr="00F46635">
          <w:rPr>
            <w:noProof/>
            <w:webHidden/>
          </w:rPr>
          <w:fldChar w:fldCharType="separate"/>
        </w:r>
        <w:r w:rsidR="0007597F">
          <w:rPr>
            <w:noProof/>
            <w:webHidden/>
          </w:rPr>
          <w:t>51</w:t>
        </w:r>
        <w:r w:rsidR="00F46635" w:rsidRPr="00F46635">
          <w:rPr>
            <w:noProof/>
            <w:webHidden/>
          </w:rPr>
          <w:fldChar w:fldCharType="end"/>
        </w:r>
      </w:hyperlink>
    </w:p>
    <w:p w14:paraId="2789EF50" w14:textId="582ED61C"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4" w:history="1">
        <w:r w:rsidR="00F46635" w:rsidRPr="00F46635">
          <w:rPr>
            <w:rStyle w:val="Lienhypertexte"/>
            <w:noProof/>
          </w:rPr>
          <w:t>Figure 22 : Nombre de porcins en têtes commercialisés en Bio de 2005 à 2018</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_Toc69511414 \h </w:instrText>
        </w:r>
        <w:r w:rsidR="00F46635" w:rsidRPr="00F46635">
          <w:rPr>
            <w:noProof/>
            <w:webHidden/>
          </w:rPr>
        </w:r>
        <w:r w:rsidR="00F46635" w:rsidRPr="00F46635">
          <w:rPr>
            <w:noProof/>
            <w:webHidden/>
          </w:rPr>
          <w:fldChar w:fldCharType="separate"/>
        </w:r>
        <w:r w:rsidR="0007597F">
          <w:rPr>
            <w:noProof/>
            <w:webHidden/>
          </w:rPr>
          <w:t>51</w:t>
        </w:r>
        <w:r w:rsidR="00F46635" w:rsidRPr="00F46635">
          <w:rPr>
            <w:noProof/>
            <w:webHidden/>
          </w:rPr>
          <w:fldChar w:fldCharType="end"/>
        </w:r>
      </w:hyperlink>
    </w:p>
    <w:p w14:paraId="71AE9CB6" w14:textId="17D8C91D"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5" w:history="1">
        <w:r w:rsidR="00F46635" w:rsidRPr="00F46635">
          <w:rPr>
            <w:rStyle w:val="Lienhypertexte"/>
            <w:noProof/>
          </w:rPr>
          <w:t>Figure 23 : Volume des catégories C3 et C2 issues de la filière porcine en kt</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_Toc69511415 \h </w:instrText>
        </w:r>
        <w:r w:rsidR="00F46635" w:rsidRPr="00F46635">
          <w:rPr>
            <w:noProof/>
            <w:webHidden/>
          </w:rPr>
        </w:r>
        <w:r w:rsidR="00F46635" w:rsidRPr="00F46635">
          <w:rPr>
            <w:noProof/>
            <w:webHidden/>
          </w:rPr>
          <w:fldChar w:fldCharType="separate"/>
        </w:r>
        <w:r w:rsidR="0007597F">
          <w:rPr>
            <w:noProof/>
            <w:webHidden/>
          </w:rPr>
          <w:t>59</w:t>
        </w:r>
        <w:r w:rsidR="00F46635" w:rsidRPr="00F46635">
          <w:rPr>
            <w:noProof/>
            <w:webHidden/>
          </w:rPr>
          <w:fldChar w:fldCharType="end"/>
        </w:r>
      </w:hyperlink>
    </w:p>
    <w:p w14:paraId="52BEEB5A" w14:textId="72A82850"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6" w:history="1">
        <w:r w:rsidR="00F46635" w:rsidRPr="00F46635">
          <w:rPr>
            <w:rStyle w:val="Lienhypertexte"/>
            <w:noProof/>
          </w:rPr>
          <w:t>Figure 24 : Distribution de la proportion de porc dans les recettes de charcuterie pâtissière</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_Toc69511416 \h </w:instrText>
        </w:r>
        <w:r w:rsidR="00F46635" w:rsidRPr="00F46635">
          <w:rPr>
            <w:noProof/>
            <w:webHidden/>
          </w:rPr>
        </w:r>
        <w:r w:rsidR="00F46635" w:rsidRPr="00F46635">
          <w:rPr>
            <w:noProof/>
            <w:webHidden/>
          </w:rPr>
          <w:fldChar w:fldCharType="separate"/>
        </w:r>
        <w:r w:rsidR="0007597F">
          <w:rPr>
            <w:noProof/>
            <w:webHidden/>
          </w:rPr>
          <w:t>72</w:t>
        </w:r>
        <w:r w:rsidR="00F46635" w:rsidRPr="00F46635">
          <w:rPr>
            <w:noProof/>
            <w:webHidden/>
          </w:rPr>
          <w:fldChar w:fldCharType="end"/>
        </w:r>
      </w:hyperlink>
    </w:p>
    <w:p w14:paraId="0157B1A4" w14:textId="381F698B"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7" w:history="1">
        <w:r w:rsidR="00F46635" w:rsidRPr="00F46635">
          <w:rPr>
            <w:rStyle w:val="Lienhypertexte"/>
            <w:noProof/>
          </w:rPr>
          <w:t>Figure 25 Distribution de la proportion de porc dans les recettes de pizza et quiche, tartes tourtes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_Toc69511417 \h </w:instrText>
        </w:r>
        <w:r w:rsidR="00F46635" w:rsidRPr="00F46635">
          <w:rPr>
            <w:noProof/>
            <w:webHidden/>
          </w:rPr>
        </w:r>
        <w:r w:rsidR="00F46635" w:rsidRPr="00F46635">
          <w:rPr>
            <w:noProof/>
            <w:webHidden/>
          </w:rPr>
          <w:fldChar w:fldCharType="separate"/>
        </w:r>
        <w:r w:rsidR="0007597F">
          <w:rPr>
            <w:noProof/>
            <w:webHidden/>
          </w:rPr>
          <w:t>73</w:t>
        </w:r>
        <w:r w:rsidR="00F46635" w:rsidRPr="00F46635">
          <w:rPr>
            <w:noProof/>
            <w:webHidden/>
          </w:rPr>
          <w:fldChar w:fldCharType="end"/>
        </w:r>
      </w:hyperlink>
    </w:p>
    <w:p w14:paraId="1C46A12B" w14:textId="2820C34D"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8" w:history="1">
        <w:r w:rsidR="00F46635" w:rsidRPr="00F46635">
          <w:rPr>
            <w:rStyle w:val="Lienhypertexte"/>
            <w:noProof/>
          </w:rPr>
          <w:t>Figure 26 Distribution de la proportion de porc dans les recettes de plats cuisinés (Source : Ifip).</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_Toc69511418 \h </w:instrText>
        </w:r>
        <w:r w:rsidR="00F46635" w:rsidRPr="00F46635">
          <w:rPr>
            <w:noProof/>
            <w:webHidden/>
          </w:rPr>
        </w:r>
        <w:r w:rsidR="00F46635" w:rsidRPr="00F46635">
          <w:rPr>
            <w:noProof/>
            <w:webHidden/>
          </w:rPr>
          <w:fldChar w:fldCharType="separate"/>
        </w:r>
        <w:r w:rsidR="0007597F">
          <w:rPr>
            <w:noProof/>
            <w:webHidden/>
          </w:rPr>
          <w:t>73</w:t>
        </w:r>
        <w:r w:rsidR="00F46635" w:rsidRPr="00F46635">
          <w:rPr>
            <w:noProof/>
            <w:webHidden/>
          </w:rPr>
          <w:fldChar w:fldCharType="end"/>
        </w:r>
      </w:hyperlink>
    </w:p>
    <w:p w14:paraId="5CA1B820" w14:textId="0BF13798"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19" w:history="1">
        <w:r w:rsidR="00F46635" w:rsidRPr="00F46635">
          <w:rPr>
            <w:rStyle w:val="Lienhypertexte"/>
            <w:noProof/>
          </w:rPr>
          <w:t>Figure 27 Distribution de la proportion de porc dans les recettes de salades (Source : Ifip).</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_Toc69511419 \h </w:instrText>
        </w:r>
        <w:r w:rsidR="00F46635" w:rsidRPr="00F46635">
          <w:rPr>
            <w:noProof/>
            <w:webHidden/>
          </w:rPr>
        </w:r>
        <w:r w:rsidR="00F46635" w:rsidRPr="00F46635">
          <w:rPr>
            <w:noProof/>
            <w:webHidden/>
          </w:rPr>
          <w:fldChar w:fldCharType="separate"/>
        </w:r>
        <w:r w:rsidR="0007597F">
          <w:rPr>
            <w:noProof/>
            <w:webHidden/>
          </w:rPr>
          <w:t>74</w:t>
        </w:r>
        <w:r w:rsidR="00F46635" w:rsidRPr="00F46635">
          <w:rPr>
            <w:noProof/>
            <w:webHidden/>
          </w:rPr>
          <w:fldChar w:fldCharType="end"/>
        </w:r>
      </w:hyperlink>
    </w:p>
    <w:p w14:paraId="4321903C" w14:textId="3FEE74CC"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20" w:history="1">
        <w:r w:rsidR="00F46635" w:rsidRPr="00F46635">
          <w:rPr>
            <w:rStyle w:val="Lienhypertexte"/>
            <w:noProof/>
          </w:rPr>
          <w:t>Figure 28 : Distribution de la proportion de porc dans les sandwiches industriels  (Source : Ifip).</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_Toc69511420 \h </w:instrText>
        </w:r>
        <w:r w:rsidR="00F46635" w:rsidRPr="00F46635">
          <w:rPr>
            <w:noProof/>
            <w:webHidden/>
          </w:rPr>
        </w:r>
        <w:r w:rsidR="00F46635" w:rsidRPr="00F46635">
          <w:rPr>
            <w:noProof/>
            <w:webHidden/>
          </w:rPr>
          <w:fldChar w:fldCharType="separate"/>
        </w:r>
        <w:r w:rsidR="0007597F">
          <w:rPr>
            <w:noProof/>
            <w:webHidden/>
          </w:rPr>
          <w:t>74</w:t>
        </w:r>
        <w:r w:rsidR="00F46635" w:rsidRPr="00F46635">
          <w:rPr>
            <w:noProof/>
            <w:webHidden/>
          </w:rPr>
          <w:fldChar w:fldCharType="end"/>
        </w:r>
      </w:hyperlink>
    </w:p>
    <w:p w14:paraId="79A71F77" w14:textId="3A0380E3"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21" w:history="1">
        <w:r w:rsidR="00F46635" w:rsidRPr="00F46635">
          <w:rPr>
            <w:rStyle w:val="Lienhypertexte"/>
            <w:noProof/>
          </w:rPr>
          <w:t>Figure 29 Représentation graphique d’une AFM selon une méthode ascendante  (Source : Massard et al, 2011)</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_Toc69511421 \h </w:instrText>
        </w:r>
        <w:r w:rsidR="00F46635" w:rsidRPr="00F46635">
          <w:rPr>
            <w:noProof/>
            <w:webHidden/>
          </w:rPr>
        </w:r>
        <w:r w:rsidR="00F46635" w:rsidRPr="00F46635">
          <w:rPr>
            <w:noProof/>
            <w:webHidden/>
          </w:rPr>
          <w:fldChar w:fldCharType="separate"/>
        </w:r>
        <w:r w:rsidR="0007597F">
          <w:rPr>
            <w:noProof/>
            <w:webHidden/>
          </w:rPr>
          <w:t>98</w:t>
        </w:r>
        <w:r w:rsidR="00F46635" w:rsidRPr="00F46635">
          <w:rPr>
            <w:noProof/>
            <w:webHidden/>
          </w:rPr>
          <w:fldChar w:fldCharType="end"/>
        </w:r>
      </w:hyperlink>
    </w:p>
    <w:p w14:paraId="1B6F17FC" w14:textId="337468F2" w:rsidR="00F46635" w:rsidRPr="00F46635" w:rsidRDefault="00000000">
      <w:pPr>
        <w:pStyle w:val="Tabledesillustrations"/>
        <w:tabs>
          <w:tab w:val="right" w:leader="dot" w:pos="9060"/>
        </w:tabs>
        <w:rPr>
          <w:rFonts w:asciiTheme="minorHAnsi" w:eastAsiaTheme="minorEastAsia" w:hAnsiTheme="minorHAnsi"/>
          <w:noProof/>
          <w:lang w:eastAsia="fr-FR"/>
        </w:rPr>
      </w:pPr>
      <w:hyperlink w:anchor="_Toc69511422" w:history="1">
        <w:r w:rsidR="00F46635" w:rsidRPr="00F46635">
          <w:rPr>
            <w:rStyle w:val="Lienhypertexte"/>
            <w:noProof/>
          </w:rPr>
          <w:t>Figure 30: Schéma de l’écosystème et des processus des flux de matière à partir des pièces primaires</w:t>
        </w:r>
        <w:r w:rsidR="00F46635" w:rsidRPr="00F46635">
          <w:rPr>
            <w:noProof/>
            <w:webHidden/>
          </w:rPr>
          <w:tab/>
        </w:r>
        <w:r w:rsidR="00F46635" w:rsidRPr="00F46635">
          <w:rPr>
            <w:noProof/>
            <w:webHidden/>
          </w:rPr>
          <w:fldChar w:fldCharType="begin"/>
        </w:r>
        <w:r w:rsidR="00F46635" w:rsidRPr="00F46635">
          <w:rPr>
            <w:noProof/>
            <w:webHidden/>
          </w:rPr>
          <w:instrText xml:space="preserve"> PAGEREF _Toc69511422 \h </w:instrText>
        </w:r>
        <w:r w:rsidR="00F46635" w:rsidRPr="00F46635">
          <w:rPr>
            <w:noProof/>
            <w:webHidden/>
          </w:rPr>
        </w:r>
        <w:r w:rsidR="00F46635" w:rsidRPr="00F46635">
          <w:rPr>
            <w:noProof/>
            <w:webHidden/>
          </w:rPr>
          <w:fldChar w:fldCharType="separate"/>
        </w:r>
        <w:r w:rsidR="0007597F">
          <w:rPr>
            <w:noProof/>
            <w:webHidden/>
          </w:rPr>
          <w:t>103</w:t>
        </w:r>
        <w:r w:rsidR="00F46635" w:rsidRPr="00F46635">
          <w:rPr>
            <w:noProof/>
            <w:webHidden/>
          </w:rPr>
          <w:fldChar w:fldCharType="end"/>
        </w:r>
      </w:hyperlink>
    </w:p>
    <w:p w14:paraId="6FD59C24" w14:textId="781A14CC" w:rsidR="00637B0A" w:rsidRDefault="00FF228F" w:rsidP="00F46635">
      <w:pPr>
        <w:rPr>
          <w:rFonts w:cs="Arial"/>
        </w:rPr>
      </w:pPr>
      <w:r w:rsidRPr="0047307A">
        <w:rPr>
          <w:rFonts w:cs="Arial"/>
          <w:sz w:val="20"/>
          <w:szCs w:val="20"/>
        </w:rPr>
        <w:fldChar w:fldCharType="end"/>
      </w:r>
    </w:p>
    <w:p w14:paraId="115A2878" w14:textId="77777777" w:rsidR="00481071" w:rsidRDefault="00481071" w:rsidP="008150C6">
      <w:pPr>
        <w:ind w:left="-284"/>
        <w:rPr>
          <w:rFonts w:cs="Arial"/>
        </w:rPr>
        <w:sectPr w:rsidR="00481071" w:rsidSect="00B73F4D">
          <w:headerReference w:type="default" r:id="rId13"/>
          <w:footerReference w:type="default" r:id="rId14"/>
          <w:type w:val="continuous"/>
          <w:pgSz w:w="11906" w:h="16838" w:code="9"/>
          <w:pgMar w:top="1418" w:right="1418" w:bottom="1418" w:left="1418" w:header="567" w:footer="709" w:gutter="0"/>
          <w:pgNumType w:start="0"/>
          <w:cols w:space="708"/>
          <w:docGrid w:linePitch="360"/>
        </w:sectPr>
      </w:pPr>
    </w:p>
    <w:p w14:paraId="055CBD0C" w14:textId="28E48C9F" w:rsidR="008150C6" w:rsidRDefault="008150C6" w:rsidP="00CC116D">
      <w:pPr>
        <w:pStyle w:val="INTRO"/>
      </w:pPr>
      <w:bookmarkStart w:id="1" w:name="_Toc78131537"/>
      <w:r w:rsidRPr="00637B0A">
        <w:lastRenderedPageBreak/>
        <w:t>Contexte et objectifs de l’étude</w:t>
      </w:r>
      <w:bookmarkEnd w:id="1"/>
    </w:p>
    <w:p w14:paraId="234E9566" w14:textId="5207B840" w:rsidR="00AB00E2" w:rsidRDefault="00B00570" w:rsidP="00CC116D">
      <w:r w:rsidRPr="002D063D">
        <w:t xml:space="preserve">Les attentes </w:t>
      </w:r>
      <w:r w:rsidR="005E5036" w:rsidRPr="002D063D">
        <w:t xml:space="preserve">globales </w:t>
      </w:r>
      <w:r w:rsidRPr="002D063D">
        <w:t xml:space="preserve">des consommateurs </w:t>
      </w:r>
      <w:r w:rsidR="00AB00E2" w:rsidRPr="002D063D">
        <w:t xml:space="preserve">en matière d’alimentation </w:t>
      </w:r>
      <w:r w:rsidRPr="002D063D">
        <w:t>évoluent fortement du fait des modifications de modes de vie, de consommation et de distribution, ainsi que des médias et des outils de notation</w:t>
      </w:r>
      <w:r w:rsidR="00AB00E2" w:rsidRPr="002D063D">
        <w:t>.</w:t>
      </w:r>
      <w:r w:rsidR="00E47EC7">
        <w:t xml:space="preserve"> </w:t>
      </w:r>
      <w:r w:rsidR="00554BF9">
        <w:t xml:space="preserve">Plus particulièrement, </w:t>
      </w:r>
      <w:r w:rsidR="005E5036" w:rsidRPr="002D063D">
        <w:t>la</w:t>
      </w:r>
      <w:r w:rsidR="00AB00E2" w:rsidRPr="002D063D">
        <w:t xml:space="preserve"> consommation des produits carnés</w:t>
      </w:r>
      <w:r w:rsidR="00AA1F3B">
        <w:t xml:space="preserve"> parmi lesquels les produits du porc,</w:t>
      </w:r>
      <w:r w:rsidR="00AB00E2" w:rsidRPr="002D063D">
        <w:t xml:space="preserve"> s’inscrit dans </w:t>
      </w:r>
      <w:r w:rsidRPr="002D063D">
        <w:t>un contexte de transition alimentaire qui se traduit par la montée de préoccupations santé, sociétale et environnementale de</w:t>
      </w:r>
      <w:r w:rsidR="006A6BAF">
        <w:t xml:space="preserve"> la part des</w:t>
      </w:r>
      <w:r w:rsidRPr="002D063D">
        <w:t xml:space="preserve"> consommateurs.</w:t>
      </w:r>
    </w:p>
    <w:p w14:paraId="370CBF10" w14:textId="3B7BDAA2" w:rsidR="001F3013" w:rsidRDefault="00554BF9" w:rsidP="00CC116D">
      <w:pPr>
        <w:rPr>
          <w:rFonts w:eastAsia="Arial Unicode MS" w:cs="Arial"/>
          <w:lang w:eastAsia="ar-SA"/>
        </w:rPr>
      </w:pPr>
      <w:r w:rsidRPr="001F3013">
        <w:rPr>
          <w:rFonts w:eastAsia="Arial Unicode MS" w:cs="Arial"/>
          <w:lang w:eastAsia="ar-SA"/>
        </w:rPr>
        <w:t>Jusqu’à la dernière décennie, l</w:t>
      </w:r>
      <w:r w:rsidR="003C5B9A" w:rsidRPr="001F3013">
        <w:rPr>
          <w:rFonts w:eastAsia="Arial Unicode MS" w:cs="Arial"/>
          <w:lang w:eastAsia="ar-SA"/>
        </w:rPr>
        <w:t>e terme de</w:t>
      </w:r>
      <w:r w:rsidRPr="001F3013">
        <w:rPr>
          <w:rFonts w:eastAsia="Arial Unicode MS" w:cs="Arial"/>
          <w:lang w:eastAsia="ar-SA"/>
        </w:rPr>
        <w:t xml:space="preserve"> « transition alimentaire » </w:t>
      </w:r>
      <w:r w:rsidR="003C5B9A" w:rsidRPr="001F3013">
        <w:rPr>
          <w:rFonts w:eastAsia="Arial Unicode MS" w:cs="Arial"/>
          <w:lang w:eastAsia="ar-SA"/>
        </w:rPr>
        <w:t>définissait</w:t>
      </w:r>
      <w:r w:rsidRPr="001F3013">
        <w:rPr>
          <w:rFonts w:eastAsia="Arial Unicode MS" w:cs="Arial"/>
          <w:lang w:eastAsia="ar-SA"/>
        </w:rPr>
        <w:t xml:space="preserve"> l</w:t>
      </w:r>
      <w:r w:rsidR="003C5B9A" w:rsidRPr="001F3013">
        <w:rPr>
          <w:rFonts w:eastAsia="Arial Unicode MS" w:cs="Arial"/>
          <w:lang w:eastAsia="ar-SA"/>
        </w:rPr>
        <w:t>es</w:t>
      </w:r>
      <w:r w:rsidRPr="001F3013">
        <w:rPr>
          <w:rFonts w:eastAsia="Arial Unicode MS" w:cs="Arial"/>
          <w:lang w:eastAsia="ar-SA"/>
        </w:rPr>
        <w:t xml:space="preserve"> mutations de l’alimentation </w:t>
      </w:r>
      <w:r w:rsidR="003C5B9A" w:rsidRPr="001F3013">
        <w:rPr>
          <w:rFonts w:eastAsia="Arial Unicode MS" w:cs="Arial"/>
          <w:lang w:eastAsia="ar-SA"/>
        </w:rPr>
        <w:t>au sein des</w:t>
      </w:r>
      <w:r w:rsidRPr="001F3013">
        <w:rPr>
          <w:rFonts w:eastAsia="Arial Unicode MS" w:cs="Arial"/>
          <w:lang w:eastAsia="ar-SA"/>
        </w:rPr>
        <w:t xml:space="preserve"> pays en développement, influencé</w:t>
      </w:r>
      <w:r w:rsidR="00F822A9">
        <w:rPr>
          <w:rFonts w:eastAsia="Arial Unicode MS" w:cs="Arial"/>
          <w:lang w:eastAsia="ar-SA"/>
        </w:rPr>
        <w:t>e</w:t>
      </w:r>
      <w:r w:rsidRPr="001F3013">
        <w:rPr>
          <w:rFonts w:eastAsia="Arial Unicode MS" w:cs="Arial"/>
          <w:lang w:eastAsia="ar-SA"/>
        </w:rPr>
        <w:t>s par les modes de consommation occidentaux. De nombreuses sociétés ont ainsi vu leurs régimes alimentaires évoluer vers une augmentation de l’apport en calories des repas</w:t>
      </w:r>
      <w:r w:rsidR="003C5B9A" w:rsidRPr="001F3013">
        <w:rPr>
          <w:rFonts w:eastAsia="Arial Unicode MS" w:cs="Arial"/>
          <w:lang w:eastAsia="ar-SA"/>
        </w:rPr>
        <w:t xml:space="preserve"> avec notamment</w:t>
      </w:r>
      <w:r w:rsidRPr="001F3013">
        <w:rPr>
          <w:rFonts w:eastAsia="Arial Unicode MS" w:cs="Arial"/>
          <w:lang w:eastAsia="ar-SA"/>
        </w:rPr>
        <w:t xml:space="preserve"> une consommation accrue </w:t>
      </w:r>
      <w:r w:rsidR="000D7E85">
        <w:rPr>
          <w:rFonts w:eastAsia="Arial Unicode MS" w:cs="Arial"/>
          <w:lang w:eastAsia="ar-SA"/>
        </w:rPr>
        <w:t xml:space="preserve">des </w:t>
      </w:r>
      <w:r w:rsidRPr="001F3013">
        <w:rPr>
          <w:rFonts w:eastAsia="Arial Unicode MS" w:cs="Arial"/>
          <w:lang w:eastAsia="ar-SA"/>
        </w:rPr>
        <w:t>produits carnés (FA</w:t>
      </w:r>
      <w:r w:rsidR="00AA1F3B" w:rsidRPr="001F3013">
        <w:rPr>
          <w:rFonts w:eastAsia="Arial Unicode MS" w:cs="Arial"/>
          <w:lang w:eastAsia="ar-SA"/>
        </w:rPr>
        <w:t>O, 2017</w:t>
      </w:r>
      <w:r w:rsidRPr="001F3013">
        <w:rPr>
          <w:rFonts w:eastAsia="Arial Unicode MS" w:cs="Arial"/>
          <w:lang w:eastAsia="ar-SA"/>
        </w:rPr>
        <w:t xml:space="preserve">). </w:t>
      </w:r>
    </w:p>
    <w:p w14:paraId="5315A58C" w14:textId="64E29067" w:rsidR="00341B3F" w:rsidRDefault="005C4868" w:rsidP="00CC116D">
      <w:pPr>
        <w:rPr>
          <w:rFonts w:eastAsia="Arial Unicode MS" w:cs="Arial"/>
          <w:lang w:eastAsia="ar-SA"/>
        </w:rPr>
      </w:pPr>
      <w:r w:rsidRPr="001F3013">
        <w:rPr>
          <w:rFonts w:eastAsia="Arial Unicode MS" w:cs="Arial"/>
          <w:lang w:eastAsia="ar-SA"/>
        </w:rPr>
        <w:t>Au cours des dernières années</w:t>
      </w:r>
      <w:r w:rsidR="00554BF9" w:rsidRPr="001F3013">
        <w:rPr>
          <w:rFonts w:eastAsia="Arial Unicode MS" w:cs="Arial"/>
          <w:lang w:eastAsia="ar-SA"/>
        </w:rPr>
        <w:t>, en France, la remise en question de</w:t>
      </w:r>
      <w:r w:rsidR="00AA1F3B" w:rsidRPr="001F3013">
        <w:rPr>
          <w:rFonts w:eastAsia="Arial Unicode MS" w:cs="Arial"/>
          <w:lang w:eastAsia="ar-SA"/>
        </w:rPr>
        <w:t>s</w:t>
      </w:r>
      <w:r w:rsidR="00554BF9" w:rsidRPr="001F3013">
        <w:rPr>
          <w:rFonts w:eastAsia="Arial Unicode MS" w:cs="Arial"/>
          <w:lang w:eastAsia="ar-SA"/>
        </w:rPr>
        <w:t xml:space="preserve"> modèles alimentaires </w:t>
      </w:r>
      <w:r w:rsidR="00AA1F3B" w:rsidRPr="001F3013">
        <w:rPr>
          <w:rFonts w:eastAsia="Arial Unicode MS" w:cs="Arial"/>
          <w:lang w:eastAsia="ar-SA"/>
        </w:rPr>
        <w:t>et avec e</w:t>
      </w:r>
      <w:r w:rsidR="00E615F4">
        <w:rPr>
          <w:rFonts w:eastAsia="Arial Unicode MS" w:cs="Arial"/>
          <w:lang w:eastAsia="ar-SA"/>
        </w:rPr>
        <w:t>ux</w:t>
      </w:r>
      <w:r w:rsidR="00AA1F3B" w:rsidRPr="001F3013">
        <w:rPr>
          <w:rFonts w:eastAsia="Arial Unicode MS" w:cs="Arial"/>
          <w:lang w:eastAsia="ar-SA"/>
        </w:rPr>
        <w:t xml:space="preserve"> la consommation des produits carnés, </w:t>
      </w:r>
      <w:r w:rsidR="00554BF9" w:rsidRPr="001F3013">
        <w:rPr>
          <w:rFonts w:eastAsia="Arial Unicode MS" w:cs="Arial"/>
          <w:lang w:eastAsia="ar-SA"/>
        </w:rPr>
        <w:t xml:space="preserve">a pris de l’ampleur. </w:t>
      </w:r>
      <w:r w:rsidR="003C5B9A" w:rsidRPr="001F3013">
        <w:rPr>
          <w:rFonts w:eastAsia="Arial Unicode MS" w:cs="Arial"/>
          <w:lang w:eastAsia="ar-SA"/>
        </w:rPr>
        <w:t>La d</w:t>
      </w:r>
      <w:r w:rsidR="00554BF9" w:rsidRPr="001F3013">
        <w:rPr>
          <w:rFonts w:eastAsia="Arial Unicode MS" w:cs="Arial"/>
          <w:lang w:eastAsia="ar-SA"/>
        </w:rPr>
        <w:t xml:space="preserve">égradation des écosystèmes naturels, </w:t>
      </w:r>
      <w:r w:rsidR="003C5B9A" w:rsidRPr="001F3013">
        <w:rPr>
          <w:rFonts w:eastAsia="Arial Unicode MS" w:cs="Arial"/>
          <w:lang w:eastAsia="ar-SA"/>
        </w:rPr>
        <w:t xml:space="preserve">le </w:t>
      </w:r>
      <w:r w:rsidR="00554BF9" w:rsidRPr="001F3013">
        <w:rPr>
          <w:rFonts w:eastAsia="Arial Unicode MS" w:cs="Arial"/>
          <w:lang w:eastAsia="ar-SA"/>
        </w:rPr>
        <w:t xml:space="preserve">développement de </w:t>
      </w:r>
      <w:r w:rsidR="003C5B9A" w:rsidRPr="001F3013">
        <w:rPr>
          <w:rFonts w:eastAsia="Arial Unicode MS" w:cs="Arial"/>
          <w:lang w:eastAsia="ar-SA"/>
        </w:rPr>
        <w:t>maladies chroniques</w:t>
      </w:r>
      <w:r w:rsidR="00554BF9" w:rsidRPr="001F3013">
        <w:rPr>
          <w:rFonts w:eastAsia="Arial Unicode MS" w:cs="Arial"/>
          <w:lang w:eastAsia="ar-SA"/>
        </w:rPr>
        <w:t xml:space="preserve">, </w:t>
      </w:r>
      <w:r w:rsidR="003C5B9A" w:rsidRPr="001F3013">
        <w:rPr>
          <w:rFonts w:eastAsia="Arial Unicode MS" w:cs="Arial"/>
          <w:lang w:eastAsia="ar-SA"/>
        </w:rPr>
        <w:t xml:space="preserve">les </w:t>
      </w:r>
      <w:r w:rsidR="00554BF9" w:rsidRPr="001F3013">
        <w:rPr>
          <w:rFonts w:eastAsia="Arial Unicode MS" w:cs="Arial"/>
          <w:lang w:eastAsia="ar-SA"/>
        </w:rPr>
        <w:t>déséquilibres nutri</w:t>
      </w:r>
      <w:r w:rsidRPr="001F3013">
        <w:rPr>
          <w:rFonts w:eastAsia="Arial Unicode MS" w:cs="Arial"/>
          <w:lang w:eastAsia="ar-SA"/>
        </w:rPr>
        <w:t>tionnels</w:t>
      </w:r>
      <w:r w:rsidR="008361E7">
        <w:rPr>
          <w:rFonts w:eastAsia="Arial Unicode MS" w:cs="Arial"/>
          <w:lang w:eastAsia="ar-SA"/>
        </w:rPr>
        <w:t>,</w:t>
      </w:r>
      <w:r w:rsidR="003C5B9A" w:rsidRPr="001F3013">
        <w:rPr>
          <w:rFonts w:eastAsia="Arial Unicode MS" w:cs="Arial"/>
          <w:lang w:eastAsia="ar-SA"/>
        </w:rPr>
        <w:t xml:space="preserve"> </w:t>
      </w:r>
      <w:r w:rsidRPr="001F3013">
        <w:rPr>
          <w:rFonts w:eastAsia="Arial Unicode MS" w:cs="Arial"/>
          <w:lang w:eastAsia="ar-SA"/>
        </w:rPr>
        <w:t>facteurs</w:t>
      </w:r>
      <w:r w:rsidR="003C5B9A" w:rsidRPr="001F3013">
        <w:rPr>
          <w:rFonts w:eastAsia="Arial Unicode MS" w:cs="Arial"/>
          <w:lang w:eastAsia="ar-SA"/>
        </w:rPr>
        <w:t xml:space="preserve"> d’obésité </w:t>
      </w:r>
      <w:r w:rsidR="00554BF9" w:rsidRPr="001F3013">
        <w:rPr>
          <w:rFonts w:eastAsia="Arial Unicode MS" w:cs="Arial"/>
          <w:lang w:eastAsia="ar-SA"/>
        </w:rPr>
        <w:t xml:space="preserve">sont autant d’évolutions </w:t>
      </w:r>
      <w:r w:rsidR="003C5B9A" w:rsidRPr="001F3013">
        <w:rPr>
          <w:rFonts w:eastAsia="Arial Unicode MS" w:cs="Arial"/>
          <w:lang w:eastAsia="ar-SA"/>
        </w:rPr>
        <w:t>imputé</w:t>
      </w:r>
      <w:r w:rsidR="00E615F4">
        <w:rPr>
          <w:rFonts w:eastAsia="Arial Unicode MS" w:cs="Arial"/>
          <w:lang w:eastAsia="ar-SA"/>
        </w:rPr>
        <w:t>e</w:t>
      </w:r>
      <w:r w:rsidR="003C5B9A" w:rsidRPr="001F3013">
        <w:rPr>
          <w:rFonts w:eastAsia="Arial Unicode MS" w:cs="Arial"/>
          <w:lang w:eastAsia="ar-SA"/>
        </w:rPr>
        <w:t>s</w:t>
      </w:r>
      <w:r w:rsidR="00554BF9" w:rsidRPr="001F3013">
        <w:rPr>
          <w:rFonts w:eastAsia="Arial Unicode MS" w:cs="Arial"/>
          <w:lang w:eastAsia="ar-SA"/>
        </w:rPr>
        <w:t xml:space="preserve"> </w:t>
      </w:r>
      <w:r w:rsidR="003C5B9A" w:rsidRPr="001F3013">
        <w:rPr>
          <w:rFonts w:eastAsia="Arial Unicode MS" w:cs="Arial"/>
          <w:lang w:eastAsia="ar-SA"/>
        </w:rPr>
        <w:t>aux modes de</w:t>
      </w:r>
      <w:r w:rsidR="00554BF9" w:rsidRPr="001F3013">
        <w:rPr>
          <w:rFonts w:eastAsia="Arial Unicode MS" w:cs="Arial"/>
          <w:lang w:eastAsia="ar-SA"/>
        </w:rPr>
        <w:t xml:space="preserve"> consommation</w:t>
      </w:r>
      <w:r w:rsidR="003C5B9A" w:rsidRPr="001F3013">
        <w:rPr>
          <w:rFonts w:eastAsia="Arial Unicode MS" w:cs="Arial"/>
          <w:lang w:eastAsia="ar-SA"/>
        </w:rPr>
        <w:t>s</w:t>
      </w:r>
      <w:r w:rsidR="00E615F4">
        <w:rPr>
          <w:rFonts w:eastAsia="Arial Unicode MS" w:cs="Arial"/>
          <w:lang w:eastAsia="ar-SA"/>
        </w:rPr>
        <w:t xml:space="preserve"> avec la</w:t>
      </w:r>
      <w:r w:rsidR="003C5B9A" w:rsidRPr="001F3013">
        <w:rPr>
          <w:rFonts w:eastAsia="Arial Unicode MS" w:cs="Arial"/>
          <w:lang w:eastAsia="ar-SA"/>
        </w:rPr>
        <w:t xml:space="preserve"> volonté de </w:t>
      </w:r>
      <w:r w:rsidR="00554BF9" w:rsidRPr="001F3013">
        <w:rPr>
          <w:rFonts w:eastAsia="Arial Unicode MS" w:cs="Arial"/>
          <w:lang w:eastAsia="ar-SA"/>
        </w:rPr>
        <w:t>tendre vers des systèmes plus vertueux</w:t>
      </w:r>
      <w:r w:rsidR="00C437C4">
        <w:rPr>
          <w:rFonts w:eastAsia="Arial Unicode MS" w:cs="Arial"/>
          <w:lang w:eastAsia="ar-SA"/>
        </w:rPr>
        <w:t>, plus durables</w:t>
      </w:r>
      <w:r w:rsidR="00554BF9" w:rsidRPr="001F3013">
        <w:rPr>
          <w:rFonts w:eastAsia="Arial Unicode MS" w:cs="Arial"/>
          <w:lang w:eastAsia="ar-SA"/>
        </w:rPr>
        <w:t>.</w:t>
      </w:r>
      <w:r w:rsidRPr="001F3013">
        <w:rPr>
          <w:rFonts w:eastAsia="Arial Unicode MS" w:cs="Arial"/>
          <w:lang w:eastAsia="ar-SA"/>
        </w:rPr>
        <w:t xml:space="preserve"> </w:t>
      </w:r>
      <w:r w:rsidR="000D7E85">
        <w:rPr>
          <w:rFonts w:eastAsia="Arial Unicode MS" w:cs="Arial"/>
          <w:lang w:eastAsia="ar-SA"/>
        </w:rPr>
        <w:t>Aussi, la</w:t>
      </w:r>
      <w:r w:rsidR="00554BF9" w:rsidRPr="001F3013">
        <w:rPr>
          <w:rFonts w:eastAsia="Arial Unicode MS" w:cs="Arial"/>
          <w:lang w:eastAsia="ar-SA"/>
        </w:rPr>
        <w:t xml:space="preserve"> transition alimentaire peut se définir comme l’ensemble de changements à venir</w:t>
      </w:r>
      <w:r w:rsidR="00F479EC" w:rsidRPr="001F3013">
        <w:rPr>
          <w:rFonts w:eastAsia="Arial Unicode MS" w:cs="Arial"/>
          <w:lang w:eastAsia="ar-SA"/>
        </w:rPr>
        <w:t xml:space="preserve"> </w:t>
      </w:r>
      <w:r w:rsidR="002F1ADD" w:rsidRPr="001F3013">
        <w:rPr>
          <w:rFonts w:eastAsia="Arial Unicode MS" w:cs="Arial"/>
          <w:lang w:eastAsia="ar-SA"/>
        </w:rPr>
        <w:t>en termes d’</w:t>
      </w:r>
      <w:r w:rsidR="00554BF9" w:rsidRPr="001F3013">
        <w:rPr>
          <w:rFonts w:eastAsia="Arial Unicode MS" w:cs="Arial"/>
          <w:lang w:eastAsia="ar-SA"/>
        </w:rPr>
        <w:t>habitudes de consommation</w:t>
      </w:r>
      <w:r w:rsidR="002F1ADD" w:rsidRPr="001F3013">
        <w:rPr>
          <w:rFonts w:eastAsia="Arial Unicode MS" w:cs="Arial"/>
          <w:lang w:eastAsia="ar-SA"/>
        </w:rPr>
        <w:t>, de</w:t>
      </w:r>
      <w:r w:rsidR="00526D64" w:rsidRPr="001F3013">
        <w:rPr>
          <w:rFonts w:eastAsia="Arial Unicode MS" w:cs="Arial"/>
          <w:lang w:eastAsia="ar-SA"/>
        </w:rPr>
        <w:t xml:space="preserve"> structure de l’offre et </w:t>
      </w:r>
      <w:r w:rsidR="00F479EC" w:rsidRPr="001F3013">
        <w:rPr>
          <w:rFonts w:eastAsia="Arial Unicode MS" w:cs="Arial"/>
          <w:lang w:eastAsia="ar-SA"/>
        </w:rPr>
        <w:t>de</w:t>
      </w:r>
      <w:r w:rsidR="00526D64" w:rsidRPr="001F3013">
        <w:rPr>
          <w:rFonts w:eastAsia="Arial Unicode MS" w:cs="Arial"/>
          <w:lang w:eastAsia="ar-SA"/>
        </w:rPr>
        <w:t xml:space="preserve"> modes de</w:t>
      </w:r>
      <w:r w:rsidR="00526D64">
        <w:rPr>
          <w:rFonts w:cs="Arial"/>
          <w:color w:val="333333"/>
        </w:rPr>
        <w:t xml:space="preserve"> </w:t>
      </w:r>
      <w:r w:rsidR="00526D64" w:rsidRPr="000D7E85">
        <w:rPr>
          <w:rFonts w:eastAsia="Arial Unicode MS" w:cs="Arial"/>
          <w:lang w:eastAsia="ar-SA"/>
        </w:rPr>
        <w:t>production</w:t>
      </w:r>
      <w:r w:rsidR="00EB54E9" w:rsidRPr="000D7E85">
        <w:rPr>
          <w:rFonts w:eastAsia="Arial Unicode MS" w:cs="Arial"/>
          <w:lang w:eastAsia="ar-SA"/>
        </w:rPr>
        <w:t>.</w:t>
      </w:r>
      <w:r w:rsidR="006A6BAF">
        <w:rPr>
          <w:rFonts w:eastAsia="Arial Unicode MS" w:cs="Arial"/>
          <w:lang w:eastAsia="ar-SA"/>
        </w:rPr>
        <w:t xml:space="preserve"> </w:t>
      </w:r>
      <w:r w:rsidR="00E615F4">
        <w:rPr>
          <w:rFonts w:eastAsia="Arial Unicode MS" w:cs="Arial"/>
          <w:lang w:eastAsia="ar-SA"/>
        </w:rPr>
        <w:t>La récente</w:t>
      </w:r>
      <w:r w:rsidR="00F91F6A" w:rsidRPr="00DA5D22">
        <w:rPr>
          <w:rFonts w:eastAsia="Arial Unicode MS" w:cs="Arial"/>
          <w:lang w:eastAsia="ar-SA"/>
        </w:rPr>
        <w:t xml:space="preserve"> </w:t>
      </w:r>
      <w:r w:rsidR="00E615F4">
        <w:rPr>
          <w:rFonts w:eastAsia="Arial Unicode MS" w:cs="Arial"/>
          <w:lang w:eastAsia="ar-SA"/>
        </w:rPr>
        <w:t>et progressive</w:t>
      </w:r>
      <w:r w:rsidR="00E615F4" w:rsidRPr="00DA5D22">
        <w:rPr>
          <w:rFonts w:eastAsia="Arial Unicode MS" w:cs="Arial"/>
          <w:lang w:eastAsia="ar-SA"/>
        </w:rPr>
        <w:t xml:space="preserve"> </w:t>
      </w:r>
      <w:r w:rsidR="00F91F6A" w:rsidRPr="00DA5D22">
        <w:rPr>
          <w:rFonts w:eastAsia="Arial Unicode MS" w:cs="Arial"/>
          <w:lang w:eastAsia="ar-SA"/>
        </w:rPr>
        <w:t>prise de conscience</w:t>
      </w:r>
      <w:r w:rsidR="00341B3F">
        <w:rPr>
          <w:rFonts w:eastAsia="Arial Unicode MS" w:cs="Arial"/>
          <w:lang w:eastAsia="ar-SA"/>
        </w:rPr>
        <w:t xml:space="preserve"> </w:t>
      </w:r>
      <w:r w:rsidR="00F91F6A" w:rsidRPr="00DA5D22">
        <w:rPr>
          <w:rFonts w:eastAsia="Arial Unicode MS" w:cs="Arial"/>
          <w:lang w:eastAsia="ar-SA"/>
        </w:rPr>
        <w:t>des consommateurs qu’ils peuvent s’alimenter moins pour rester en bonne santé et limiter le gaspillage pour préserver la planète</w:t>
      </w:r>
      <w:r w:rsidR="002017AD">
        <w:rPr>
          <w:rFonts w:eastAsia="Arial Unicode MS" w:cs="Arial"/>
          <w:lang w:eastAsia="ar-SA"/>
        </w:rPr>
        <w:t>,</w:t>
      </w:r>
      <w:r w:rsidR="003B234D">
        <w:rPr>
          <w:rFonts w:eastAsia="Arial Unicode MS" w:cs="Arial"/>
          <w:lang w:eastAsia="ar-SA"/>
        </w:rPr>
        <w:t xml:space="preserve"> </w:t>
      </w:r>
      <w:r w:rsidR="00537B0E">
        <w:rPr>
          <w:rFonts w:eastAsia="Arial Unicode MS" w:cs="Arial"/>
          <w:lang w:eastAsia="ar-SA"/>
        </w:rPr>
        <w:t>a constitué</w:t>
      </w:r>
      <w:r w:rsidR="003B234D">
        <w:rPr>
          <w:rFonts w:eastAsia="Arial Unicode MS" w:cs="Arial"/>
          <w:lang w:eastAsia="ar-SA"/>
        </w:rPr>
        <w:t xml:space="preserve"> un tournant</w:t>
      </w:r>
      <w:r w:rsidR="00E615F4">
        <w:rPr>
          <w:rFonts w:eastAsia="Arial Unicode MS" w:cs="Arial"/>
          <w:lang w:eastAsia="ar-SA"/>
        </w:rPr>
        <w:t xml:space="preserve"> dans les arbitrages d’achat</w:t>
      </w:r>
      <w:r w:rsidR="00A04089">
        <w:rPr>
          <w:rFonts w:eastAsia="Arial Unicode MS" w:cs="Arial"/>
          <w:lang w:eastAsia="ar-SA"/>
        </w:rPr>
        <w:t xml:space="preserve"> de produits carnés</w:t>
      </w:r>
      <w:r w:rsidR="00681E58">
        <w:rPr>
          <w:rFonts w:eastAsia="Arial Unicode MS" w:cs="Arial"/>
          <w:lang w:eastAsia="ar-SA"/>
        </w:rPr>
        <w:t xml:space="preserve">. </w:t>
      </w:r>
      <w:r w:rsidR="00E615F4">
        <w:rPr>
          <w:rFonts w:eastAsia="Arial Unicode MS" w:cs="Arial"/>
          <w:lang w:eastAsia="ar-SA"/>
        </w:rPr>
        <w:t xml:space="preserve">En ce qui concerne les produits du porc, </w:t>
      </w:r>
      <w:r w:rsidR="00A04089">
        <w:rPr>
          <w:rFonts w:eastAsia="Arial Unicode MS" w:cs="Arial"/>
          <w:lang w:eastAsia="ar-SA"/>
        </w:rPr>
        <w:t>cette</w:t>
      </w:r>
      <w:r w:rsidR="00E615F4">
        <w:rPr>
          <w:rFonts w:eastAsia="Arial Unicode MS" w:cs="Arial"/>
          <w:lang w:eastAsia="ar-SA"/>
        </w:rPr>
        <w:t xml:space="preserve"> </w:t>
      </w:r>
      <w:r w:rsidR="00681E58" w:rsidRPr="00E340AC">
        <w:rPr>
          <w:rFonts w:eastAsia="Arial Unicode MS" w:cs="Arial"/>
          <w:lang w:eastAsia="ar-SA"/>
        </w:rPr>
        <w:t xml:space="preserve">déconsommation </w:t>
      </w:r>
      <w:r w:rsidR="00A04089">
        <w:rPr>
          <w:rFonts w:eastAsia="Arial Unicode MS" w:cs="Arial"/>
          <w:lang w:eastAsia="ar-SA"/>
        </w:rPr>
        <w:t xml:space="preserve">s’est </w:t>
      </w:r>
      <w:r w:rsidR="002017AD">
        <w:rPr>
          <w:rFonts w:eastAsia="Arial Unicode MS" w:cs="Arial"/>
          <w:lang w:eastAsia="ar-SA"/>
        </w:rPr>
        <w:t>traduite</w:t>
      </w:r>
      <w:r w:rsidR="00A04089">
        <w:rPr>
          <w:rFonts w:eastAsia="Arial Unicode MS" w:cs="Arial"/>
          <w:lang w:eastAsia="ar-SA"/>
        </w:rPr>
        <w:t xml:space="preserve"> par un recul en </w:t>
      </w:r>
      <w:r w:rsidR="00F53438">
        <w:rPr>
          <w:rFonts w:eastAsia="Arial Unicode MS" w:cs="Arial"/>
          <w:lang w:eastAsia="ar-SA"/>
        </w:rPr>
        <w:t xml:space="preserve">volumes d’achat </w:t>
      </w:r>
      <w:r w:rsidR="007B7D8F">
        <w:rPr>
          <w:rFonts w:eastAsia="Arial Unicode MS" w:cs="Arial"/>
          <w:lang w:eastAsia="ar-SA"/>
        </w:rPr>
        <w:t xml:space="preserve">entre 2019 et 2014, </w:t>
      </w:r>
      <w:r w:rsidR="00681E58">
        <w:rPr>
          <w:rFonts w:eastAsia="Arial Unicode MS" w:cs="Arial"/>
          <w:lang w:eastAsia="ar-SA"/>
        </w:rPr>
        <w:t xml:space="preserve">de </w:t>
      </w:r>
      <w:r w:rsidR="00681E58" w:rsidRPr="00B22703">
        <w:rPr>
          <w:rFonts w:eastAsia="Arial Unicode MS" w:cs="Arial"/>
          <w:lang w:eastAsia="ar-SA"/>
        </w:rPr>
        <w:t>20</w:t>
      </w:r>
      <w:r w:rsidR="002017AD">
        <w:rPr>
          <w:rFonts w:eastAsia="Arial Unicode MS" w:cs="Arial"/>
          <w:lang w:eastAsia="ar-SA"/>
        </w:rPr>
        <w:t> </w:t>
      </w:r>
      <w:r w:rsidR="00681E58" w:rsidRPr="00B22703">
        <w:rPr>
          <w:rFonts w:eastAsia="Arial Unicode MS" w:cs="Arial"/>
          <w:lang w:eastAsia="ar-SA"/>
        </w:rPr>
        <w:t>%</w:t>
      </w:r>
      <w:r w:rsidR="00E615F4">
        <w:rPr>
          <w:rFonts w:eastAsia="Arial Unicode MS" w:cs="Arial"/>
          <w:lang w:eastAsia="ar-SA"/>
        </w:rPr>
        <w:t xml:space="preserve"> en viande de porc brute</w:t>
      </w:r>
      <w:r w:rsidR="00681E58" w:rsidRPr="00B22703">
        <w:rPr>
          <w:rFonts w:eastAsia="Arial Unicode MS" w:cs="Arial"/>
          <w:lang w:eastAsia="ar-SA"/>
        </w:rPr>
        <w:t xml:space="preserve">, </w:t>
      </w:r>
      <w:r w:rsidR="00681E58">
        <w:rPr>
          <w:rFonts w:eastAsia="Arial Unicode MS" w:cs="Arial"/>
          <w:lang w:eastAsia="ar-SA"/>
        </w:rPr>
        <w:t>de</w:t>
      </w:r>
      <w:r w:rsidR="00681E58" w:rsidRPr="00B22703">
        <w:rPr>
          <w:rFonts w:eastAsia="Arial Unicode MS" w:cs="Arial"/>
          <w:lang w:eastAsia="ar-SA"/>
        </w:rPr>
        <w:t xml:space="preserve"> 7</w:t>
      </w:r>
      <w:r w:rsidR="002017AD">
        <w:rPr>
          <w:rFonts w:eastAsia="Arial Unicode MS" w:cs="Arial"/>
          <w:lang w:eastAsia="ar-SA"/>
        </w:rPr>
        <w:t> </w:t>
      </w:r>
      <w:r w:rsidR="00681E58" w:rsidRPr="00B22703">
        <w:rPr>
          <w:rFonts w:eastAsia="Arial Unicode MS" w:cs="Arial"/>
          <w:lang w:eastAsia="ar-SA"/>
        </w:rPr>
        <w:t>%</w:t>
      </w:r>
      <w:r w:rsidR="00E615F4">
        <w:rPr>
          <w:rFonts w:eastAsia="Arial Unicode MS" w:cs="Arial"/>
          <w:lang w:eastAsia="ar-SA"/>
        </w:rPr>
        <w:t xml:space="preserve"> en</w:t>
      </w:r>
      <w:r w:rsidR="00E615F4" w:rsidRPr="00B22703">
        <w:rPr>
          <w:rFonts w:eastAsia="Arial Unicode MS" w:cs="Arial"/>
          <w:lang w:eastAsia="ar-SA"/>
        </w:rPr>
        <w:t xml:space="preserve"> charcuterie</w:t>
      </w:r>
      <w:r w:rsidR="00681E58" w:rsidRPr="00B22703">
        <w:rPr>
          <w:rFonts w:eastAsia="Arial Unicode MS" w:cs="Arial"/>
          <w:lang w:eastAsia="ar-SA"/>
        </w:rPr>
        <w:t xml:space="preserve"> et</w:t>
      </w:r>
      <w:r w:rsidR="00681E58">
        <w:rPr>
          <w:rFonts w:eastAsia="Arial Unicode MS" w:cs="Arial"/>
          <w:lang w:eastAsia="ar-SA"/>
        </w:rPr>
        <w:t xml:space="preserve"> </w:t>
      </w:r>
      <w:r w:rsidR="00E615F4">
        <w:rPr>
          <w:rFonts w:eastAsia="Arial Unicode MS" w:cs="Arial"/>
          <w:lang w:eastAsia="ar-SA"/>
        </w:rPr>
        <w:t>de 2</w:t>
      </w:r>
      <w:r w:rsidR="002017AD">
        <w:rPr>
          <w:rFonts w:eastAsia="Arial Unicode MS" w:cs="Arial"/>
          <w:lang w:eastAsia="ar-SA"/>
        </w:rPr>
        <w:t> </w:t>
      </w:r>
      <w:r w:rsidR="00E615F4">
        <w:rPr>
          <w:rFonts w:eastAsia="Arial Unicode MS" w:cs="Arial"/>
          <w:lang w:eastAsia="ar-SA"/>
        </w:rPr>
        <w:t xml:space="preserve">% </w:t>
      </w:r>
      <w:r w:rsidR="007B7D8F">
        <w:rPr>
          <w:rFonts w:eastAsia="Arial Unicode MS" w:cs="Arial"/>
          <w:lang w:eastAsia="ar-SA"/>
        </w:rPr>
        <w:t>en</w:t>
      </w:r>
      <w:r w:rsidR="00681E58" w:rsidRPr="00B22703">
        <w:rPr>
          <w:rFonts w:eastAsia="Arial Unicode MS" w:cs="Arial"/>
          <w:lang w:eastAsia="ar-SA"/>
        </w:rPr>
        <w:t xml:space="preserve"> saucisserie</w:t>
      </w:r>
      <w:r w:rsidR="00681E58">
        <w:rPr>
          <w:rFonts w:eastAsia="Arial Unicode MS" w:cs="Arial"/>
          <w:lang w:eastAsia="ar-SA"/>
        </w:rPr>
        <w:t xml:space="preserve"> selon les données du panel Kantar</w:t>
      </w:r>
      <w:r w:rsidR="007E5026">
        <w:rPr>
          <w:rFonts w:eastAsia="Arial Unicode MS" w:cs="Arial"/>
          <w:lang w:eastAsia="ar-SA"/>
        </w:rPr>
        <w:t>worldpanel</w:t>
      </w:r>
      <w:r w:rsidR="00681E58">
        <w:rPr>
          <w:rFonts w:eastAsia="Arial Unicode MS" w:cs="Arial"/>
          <w:lang w:eastAsia="ar-SA"/>
        </w:rPr>
        <w:t xml:space="preserve"> (</w:t>
      </w:r>
      <w:r w:rsidR="004E3334">
        <w:rPr>
          <w:rFonts w:eastAsia="Arial Unicode MS" w:cs="Arial"/>
          <w:lang w:eastAsia="ar-SA"/>
        </w:rPr>
        <w:t>KWp</w:t>
      </w:r>
      <w:r w:rsidR="00681E58">
        <w:rPr>
          <w:rFonts w:eastAsia="Arial Unicode MS" w:cs="Arial"/>
          <w:lang w:eastAsia="ar-SA"/>
        </w:rPr>
        <w:t>)</w:t>
      </w:r>
      <w:r w:rsidR="00681E58" w:rsidRPr="00DA5D22">
        <w:rPr>
          <w:rFonts w:eastAsia="Arial Unicode MS" w:cs="Arial"/>
          <w:lang w:eastAsia="ar-SA"/>
        </w:rPr>
        <w:t>.</w:t>
      </w:r>
      <w:r w:rsidR="00681E58">
        <w:rPr>
          <w:rFonts w:eastAsia="Arial Unicode MS" w:cs="Arial"/>
          <w:lang w:eastAsia="ar-SA"/>
        </w:rPr>
        <w:t xml:space="preserve"> En 2019</w:t>
      </w:r>
      <w:r w:rsidR="00F91F6A">
        <w:rPr>
          <w:rFonts w:eastAsia="Arial Unicode MS" w:cs="Arial"/>
          <w:lang w:eastAsia="ar-SA"/>
        </w:rPr>
        <w:t xml:space="preserve">, </w:t>
      </w:r>
      <w:r w:rsidR="00F91F6A" w:rsidRPr="00DA5D22">
        <w:rPr>
          <w:rFonts w:eastAsia="Arial Unicode MS" w:cs="Arial"/>
          <w:lang w:eastAsia="ar-SA"/>
        </w:rPr>
        <w:t>la part de flexitariens, terme décrivant une réduction de la consommation de viande par rapport à la norme occidentale (Bittman, 2007), est de 20</w:t>
      </w:r>
      <w:r w:rsidR="002017AD">
        <w:rPr>
          <w:rFonts w:eastAsia="Arial Unicode MS" w:cs="Arial"/>
          <w:lang w:eastAsia="ar-SA"/>
        </w:rPr>
        <w:t> </w:t>
      </w:r>
      <w:r w:rsidR="00F91F6A" w:rsidRPr="00DA5D22">
        <w:rPr>
          <w:rFonts w:eastAsia="Arial Unicode MS" w:cs="Arial"/>
          <w:lang w:eastAsia="ar-SA"/>
        </w:rPr>
        <w:t>%</w:t>
      </w:r>
      <w:r w:rsidR="00F91F6A">
        <w:rPr>
          <w:rFonts w:eastAsia="Arial Unicode MS" w:cs="Arial"/>
          <w:lang w:eastAsia="ar-SA"/>
        </w:rPr>
        <w:t xml:space="preserve"> </w:t>
      </w:r>
      <w:r w:rsidR="009F74FB" w:rsidRPr="00D71861">
        <w:t>(</w:t>
      </w:r>
      <w:r w:rsidR="009F74FB" w:rsidRPr="009F74FB">
        <w:rPr>
          <w:rFonts w:eastAsia="Arial Unicode MS" w:cs="Arial"/>
          <w:lang w:eastAsia="ar-SA"/>
        </w:rPr>
        <w:t>FranceAgrimer, 2019)</w:t>
      </w:r>
      <w:r w:rsidR="00681E58">
        <w:rPr>
          <w:rFonts w:eastAsia="Arial Unicode MS" w:cs="Arial"/>
          <w:lang w:eastAsia="ar-SA"/>
        </w:rPr>
        <w:t>.</w:t>
      </w:r>
    </w:p>
    <w:p w14:paraId="42217C29" w14:textId="77073F96" w:rsidR="00D35132" w:rsidRDefault="00D35132" w:rsidP="00CC116D">
      <w:pPr>
        <w:rPr>
          <w:rFonts w:eastAsia="Arial Unicode MS" w:cs="Arial"/>
          <w:lang w:eastAsia="ar-SA"/>
        </w:rPr>
      </w:pPr>
      <w:r>
        <w:rPr>
          <w:rFonts w:cs="Arial"/>
        </w:rPr>
        <w:t xml:space="preserve">Par </w:t>
      </w:r>
      <w:r w:rsidRPr="002D063D">
        <w:rPr>
          <w:rFonts w:cs="Arial"/>
        </w:rPr>
        <w:t xml:space="preserve">ailleurs, </w:t>
      </w:r>
      <w:r w:rsidR="00A04089" w:rsidRPr="002D063D">
        <w:rPr>
          <w:rFonts w:cs="Arial"/>
        </w:rPr>
        <w:t xml:space="preserve">une part croissante </w:t>
      </w:r>
      <w:r w:rsidR="00A04089">
        <w:rPr>
          <w:rFonts w:cs="Arial"/>
        </w:rPr>
        <w:t>de</w:t>
      </w:r>
      <w:r w:rsidR="00A04089" w:rsidRPr="002D063D">
        <w:rPr>
          <w:rFonts w:cs="Arial"/>
        </w:rPr>
        <w:t xml:space="preserve"> la consommation </w:t>
      </w:r>
      <w:r w:rsidR="00A04089">
        <w:rPr>
          <w:rFonts w:cs="Arial"/>
        </w:rPr>
        <w:t xml:space="preserve">s’effectue </w:t>
      </w:r>
      <w:r w:rsidR="00A04089" w:rsidRPr="002D063D">
        <w:rPr>
          <w:rFonts w:cs="Arial"/>
        </w:rPr>
        <w:t xml:space="preserve">en dehors du domicile </w:t>
      </w:r>
      <w:r w:rsidR="00A04089">
        <w:rPr>
          <w:rFonts w:cs="Arial"/>
        </w:rPr>
        <w:t>sous l’effet de l’urbanisation d</w:t>
      </w:r>
      <w:r w:rsidRPr="002D063D">
        <w:rPr>
          <w:rFonts w:cs="Arial"/>
        </w:rPr>
        <w:t>es modes de vie</w:t>
      </w:r>
      <w:r>
        <w:rPr>
          <w:rFonts w:cs="Arial"/>
        </w:rPr>
        <w:t xml:space="preserve">, </w:t>
      </w:r>
      <w:r w:rsidR="00A04089">
        <w:rPr>
          <w:rFonts w:cs="Arial"/>
        </w:rPr>
        <w:t xml:space="preserve">de </w:t>
      </w:r>
      <w:r>
        <w:rPr>
          <w:rFonts w:cs="Arial"/>
        </w:rPr>
        <w:t>l</w:t>
      </w:r>
      <w:r w:rsidR="00A04089">
        <w:rPr>
          <w:rFonts w:cs="Arial"/>
        </w:rPr>
        <w:t>’augmentation de la</w:t>
      </w:r>
      <w:r>
        <w:rPr>
          <w:rFonts w:cs="Arial"/>
        </w:rPr>
        <w:t xml:space="preserve"> part de femmes</w:t>
      </w:r>
      <w:r w:rsidRPr="002D063D">
        <w:rPr>
          <w:rFonts w:cs="Arial"/>
        </w:rPr>
        <w:t xml:space="preserve"> </w:t>
      </w:r>
      <w:r>
        <w:rPr>
          <w:rFonts w:cs="Arial"/>
        </w:rPr>
        <w:t xml:space="preserve">actives </w:t>
      </w:r>
      <w:r w:rsidR="00A04089">
        <w:rPr>
          <w:rFonts w:cs="Arial"/>
        </w:rPr>
        <w:t>et d</w:t>
      </w:r>
      <w:r>
        <w:rPr>
          <w:rFonts w:cs="Arial"/>
        </w:rPr>
        <w:t>e</w:t>
      </w:r>
      <w:r w:rsidR="00A04089">
        <w:rPr>
          <w:rFonts w:cs="Arial"/>
        </w:rPr>
        <w:t xml:space="preserve"> l’évolution</w:t>
      </w:r>
      <w:r>
        <w:rPr>
          <w:rFonts w:cs="Arial"/>
        </w:rPr>
        <w:t xml:space="preserve"> </w:t>
      </w:r>
      <w:r w:rsidR="00A04089">
        <w:rPr>
          <w:rFonts w:cs="Arial"/>
        </w:rPr>
        <w:t xml:space="preserve">des </w:t>
      </w:r>
      <w:r>
        <w:rPr>
          <w:rFonts w:cs="Arial"/>
        </w:rPr>
        <w:t>parcours d’achat. Ces évolutions</w:t>
      </w:r>
      <w:r w:rsidRPr="00832C50">
        <w:rPr>
          <w:rFonts w:eastAsia="Arial Unicode MS" w:cs="Arial"/>
          <w:lang w:eastAsia="ar-SA"/>
        </w:rPr>
        <w:t xml:space="preserve"> </w:t>
      </w:r>
      <w:r>
        <w:rPr>
          <w:rFonts w:eastAsia="Arial Unicode MS" w:cs="Arial"/>
          <w:lang w:eastAsia="ar-SA"/>
        </w:rPr>
        <w:t>contribuent à réduire le temps de préparation des repas et à faire cro</w:t>
      </w:r>
      <w:r w:rsidR="002017AD">
        <w:rPr>
          <w:rFonts w:eastAsia="Arial Unicode MS" w:cs="Arial"/>
          <w:lang w:eastAsia="ar-SA"/>
        </w:rPr>
        <w:t>î</w:t>
      </w:r>
      <w:r>
        <w:rPr>
          <w:rFonts w:eastAsia="Arial Unicode MS" w:cs="Arial"/>
          <w:lang w:eastAsia="ar-SA"/>
        </w:rPr>
        <w:t>tre</w:t>
      </w:r>
      <w:r w:rsidR="002017AD">
        <w:rPr>
          <w:rFonts w:eastAsia="Arial Unicode MS" w:cs="Arial"/>
          <w:lang w:eastAsia="ar-SA"/>
        </w:rPr>
        <w:t>,</w:t>
      </w:r>
      <w:r>
        <w:rPr>
          <w:rFonts w:eastAsia="Arial Unicode MS" w:cs="Arial"/>
          <w:lang w:eastAsia="ar-SA"/>
        </w:rPr>
        <w:t xml:space="preserve"> dans les dépenses des ménages</w:t>
      </w:r>
      <w:r w:rsidR="00A04089">
        <w:rPr>
          <w:rFonts w:eastAsia="Arial Unicode MS" w:cs="Arial"/>
          <w:lang w:eastAsia="ar-SA"/>
        </w:rPr>
        <w:t>,</w:t>
      </w:r>
      <w:r>
        <w:rPr>
          <w:rFonts w:eastAsia="Arial Unicode MS" w:cs="Arial"/>
          <w:lang w:eastAsia="ar-SA"/>
        </w:rPr>
        <w:t xml:space="preserve"> la part de </w:t>
      </w:r>
      <w:r w:rsidR="0062447B">
        <w:rPr>
          <w:rFonts w:eastAsia="Arial Unicode MS" w:cs="Arial"/>
          <w:lang w:eastAsia="ar-SA"/>
        </w:rPr>
        <w:t xml:space="preserve">produits </w:t>
      </w:r>
      <w:r w:rsidR="00A04089">
        <w:rPr>
          <w:rFonts w:eastAsia="Arial Unicode MS" w:cs="Arial"/>
          <w:lang w:eastAsia="ar-SA"/>
        </w:rPr>
        <w:t xml:space="preserve">élaborés </w:t>
      </w:r>
      <w:r w:rsidR="0062447B">
        <w:rPr>
          <w:rFonts w:eastAsia="Arial Unicode MS" w:cs="Arial"/>
          <w:lang w:eastAsia="ar-SA"/>
        </w:rPr>
        <w:t>traiteurs</w:t>
      </w:r>
      <w:r w:rsidR="00A04089">
        <w:rPr>
          <w:rFonts w:eastAsia="Arial Unicode MS" w:cs="Arial"/>
          <w:lang w:eastAsia="ar-SA"/>
        </w:rPr>
        <w:t xml:space="preserve"> devenus </w:t>
      </w:r>
      <w:r w:rsidR="000C5916">
        <w:rPr>
          <w:rFonts w:eastAsia="Arial Unicode MS" w:cs="Arial"/>
          <w:lang w:eastAsia="ar-SA"/>
        </w:rPr>
        <w:t xml:space="preserve">par ailleurs progressivement </w:t>
      </w:r>
      <w:r w:rsidR="00A04089">
        <w:rPr>
          <w:rFonts w:eastAsia="Arial Unicode MS" w:cs="Arial"/>
          <w:lang w:eastAsia="ar-SA"/>
        </w:rPr>
        <w:t>beaucoup plus accessibles</w:t>
      </w:r>
      <w:r w:rsidR="000C5916">
        <w:rPr>
          <w:rFonts w:eastAsia="Arial Unicode MS" w:cs="Arial"/>
          <w:lang w:eastAsia="ar-SA"/>
        </w:rPr>
        <w:t xml:space="preserve"> en prix</w:t>
      </w:r>
      <w:r w:rsidR="00F3571A">
        <w:rPr>
          <w:rFonts w:eastAsia="Arial Unicode MS" w:cs="Arial"/>
          <w:lang w:eastAsia="ar-SA"/>
        </w:rPr>
        <w:t xml:space="preserve">. </w:t>
      </w:r>
      <w:r w:rsidR="000C5916">
        <w:rPr>
          <w:rFonts w:eastAsia="Arial Unicode MS" w:cs="Arial"/>
          <w:lang w:eastAsia="ar-SA"/>
        </w:rPr>
        <w:t xml:space="preserve">Dans ces produits, </w:t>
      </w:r>
      <w:r w:rsidR="0062447B">
        <w:rPr>
          <w:rFonts w:eastAsia="Arial Unicode MS" w:cs="Arial"/>
          <w:lang w:eastAsia="ar-SA"/>
        </w:rPr>
        <w:t xml:space="preserve">le porc </w:t>
      </w:r>
      <w:r w:rsidR="000C5916">
        <w:rPr>
          <w:rFonts w:eastAsia="Arial Unicode MS" w:cs="Arial"/>
          <w:lang w:eastAsia="ar-SA"/>
        </w:rPr>
        <w:t xml:space="preserve">est un </w:t>
      </w:r>
      <w:r w:rsidR="00CF0879">
        <w:rPr>
          <w:rFonts w:eastAsia="Arial Unicode MS" w:cs="Arial"/>
          <w:lang w:eastAsia="ar-SA"/>
        </w:rPr>
        <w:t>produit a</w:t>
      </w:r>
      <w:r w:rsidR="00E943F6">
        <w:rPr>
          <w:rFonts w:eastAsia="Arial Unicode MS" w:cs="Arial"/>
          <w:lang w:eastAsia="ar-SA"/>
        </w:rPr>
        <w:t>limentaire</w:t>
      </w:r>
      <w:r w:rsidR="00CF0879">
        <w:rPr>
          <w:rFonts w:eastAsia="Arial Unicode MS" w:cs="Arial"/>
          <w:lang w:eastAsia="ar-SA"/>
        </w:rPr>
        <w:t xml:space="preserve"> intermédiaire (PAI) </w:t>
      </w:r>
      <w:r w:rsidR="000C5916">
        <w:rPr>
          <w:rFonts w:eastAsia="Arial Unicode MS" w:cs="Arial"/>
          <w:lang w:eastAsia="ar-SA"/>
        </w:rPr>
        <w:t>intégré dans</w:t>
      </w:r>
      <w:r w:rsidR="00CF0879">
        <w:rPr>
          <w:rFonts w:eastAsia="Arial Unicode MS" w:cs="Arial"/>
          <w:lang w:eastAsia="ar-SA"/>
        </w:rPr>
        <w:t xml:space="preserve"> des processus d’assemblage</w:t>
      </w:r>
      <w:r w:rsidR="000C5916">
        <w:rPr>
          <w:rFonts w:eastAsia="Arial Unicode MS" w:cs="Arial"/>
          <w:lang w:eastAsia="ar-SA"/>
        </w:rPr>
        <w:t xml:space="preserve"> lors de leur fabrication</w:t>
      </w:r>
      <w:r w:rsidR="00CF0879">
        <w:rPr>
          <w:rFonts w:eastAsia="Arial Unicode MS" w:cs="Arial"/>
          <w:lang w:eastAsia="ar-SA"/>
        </w:rPr>
        <w:t>.</w:t>
      </w:r>
      <w:r w:rsidR="000C5916">
        <w:rPr>
          <w:rFonts w:eastAsia="Arial Unicode MS" w:cs="Arial"/>
          <w:lang w:eastAsia="ar-SA"/>
        </w:rPr>
        <w:t xml:space="preserve"> En conséquence, la</w:t>
      </w:r>
      <w:r w:rsidR="000C5916" w:rsidRPr="00E943F6">
        <w:rPr>
          <w:rFonts w:eastAsia="Arial Unicode MS" w:cs="Arial"/>
          <w:lang w:eastAsia="ar-SA"/>
        </w:rPr>
        <w:t xml:space="preserve"> diversification croissante des produits consommés et </w:t>
      </w:r>
      <w:r w:rsidR="000C5916">
        <w:rPr>
          <w:rFonts w:eastAsia="Arial Unicode MS" w:cs="Arial"/>
          <w:lang w:eastAsia="ar-SA"/>
        </w:rPr>
        <w:t xml:space="preserve">la multiplicité des circuits rend la filière </w:t>
      </w:r>
      <w:r w:rsidR="000C5916" w:rsidRPr="00E943F6">
        <w:rPr>
          <w:rFonts w:eastAsia="Arial Unicode MS" w:cs="Arial"/>
          <w:lang w:eastAsia="ar-SA"/>
        </w:rPr>
        <w:t>complexe à appréhender.</w:t>
      </w:r>
    </w:p>
    <w:p w14:paraId="4832575C" w14:textId="34C926E8" w:rsidR="00E47EC7" w:rsidRDefault="00E47EC7" w:rsidP="00CC116D">
      <w:pPr>
        <w:rPr>
          <w:rFonts w:cs="Arial"/>
        </w:rPr>
      </w:pPr>
      <w:bookmarkStart w:id="2" w:name="_ednref1"/>
      <w:bookmarkStart w:id="3" w:name="_ednref3"/>
      <w:bookmarkStart w:id="4" w:name="_ednref2"/>
      <w:r w:rsidRPr="002D063D">
        <w:rPr>
          <w:rFonts w:cs="Arial"/>
        </w:rPr>
        <w:t xml:space="preserve">Dans le même temps, le marché </w:t>
      </w:r>
      <w:r w:rsidR="00453A9A">
        <w:rPr>
          <w:rFonts w:cs="Arial"/>
        </w:rPr>
        <w:t xml:space="preserve">intérieur </w:t>
      </w:r>
      <w:r w:rsidR="00927462">
        <w:rPr>
          <w:rFonts w:cs="Arial"/>
        </w:rPr>
        <w:t xml:space="preserve">du porc </w:t>
      </w:r>
      <w:r w:rsidRPr="002D063D">
        <w:rPr>
          <w:rFonts w:cs="Arial"/>
        </w:rPr>
        <w:t xml:space="preserve">représente un enjeu économique </w:t>
      </w:r>
      <w:r w:rsidR="0062447B">
        <w:rPr>
          <w:rFonts w:cs="Arial"/>
        </w:rPr>
        <w:t xml:space="preserve">important </w:t>
      </w:r>
      <w:r w:rsidRPr="002D063D">
        <w:rPr>
          <w:rFonts w:cs="Arial"/>
        </w:rPr>
        <w:t xml:space="preserve">pour les </w:t>
      </w:r>
      <w:r w:rsidR="0062447B">
        <w:rPr>
          <w:rFonts w:cs="Arial"/>
        </w:rPr>
        <w:t>acteurs</w:t>
      </w:r>
      <w:r w:rsidR="007B7D8F">
        <w:rPr>
          <w:rFonts w:cs="Arial"/>
        </w:rPr>
        <w:t xml:space="preserve"> </w:t>
      </w:r>
      <w:r w:rsidRPr="002D063D">
        <w:rPr>
          <w:rFonts w:cs="Arial"/>
        </w:rPr>
        <w:t>nationaux</w:t>
      </w:r>
      <w:r w:rsidR="0062447B">
        <w:rPr>
          <w:rFonts w:cs="Arial"/>
        </w:rPr>
        <w:t>, notamment abatteurs découpeurs et transformateurs</w:t>
      </w:r>
      <w:r w:rsidRPr="002D063D">
        <w:rPr>
          <w:rFonts w:cs="Arial"/>
        </w:rPr>
        <w:t xml:space="preserve">. </w:t>
      </w:r>
      <w:r w:rsidR="00927462">
        <w:rPr>
          <w:rFonts w:cs="Arial"/>
        </w:rPr>
        <w:t>En effet, l</w:t>
      </w:r>
      <w:r w:rsidRPr="002D063D">
        <w:rPr>
          <w:rFonts w:cs="Arial"/>
        </w:rPr>
        <w:t xml:space="preserve">a filière exerce ses activités dans un contexte </w:t>
      </w:r>
      <w:r w:rsidR="007B7D8F">
        <w:rPr>
          <w:rFonts w:cs="Arial"/>
        </w:rPr>
        <w:t xml:space="preserve">concurrentiel </w:t>
      </w:r>
      <w:r w:rsidRPr="002D063D">
        <w:rPr>
          <w:rFonts w:cs="Arial"/>
        </w:rPr>
        <w:t xml:space="preserve">de plus en plus </w:t>
      </w:r>
      <w:r w:rsidR="00C53BCC">
        <w:rPr>
          <w:rFonts w:cs="Arial"/>
        </w:rPr>
        <w:t>international</w:t>
      </w:r>
      <w:r w:rsidR="00453A9A">
        <w:rPr>
          <w:rFonts w:cs="Arial"/>
        </w:rPr>
        <w:t xml:space="preserve"> </w:t>
      </w:r>
      <w:r w:rsidR="00F91F6A">
        <w:rPr>
          <w:rFonts w:cs="Arial"/>
        </w:rPr>
        <w:t>et l’</w:t>
      </w:r>
      <w:r w:rsidRPr="002D063D">
        <w:rPr>
          <w:rFonts w:cs="Arial"/>
        </w:rPr>
        <w:t xml:space="preserve">effet de crises </w:t>
      </w:r>
      <w:r w:rsidR="00F91F6A">
        <w:rPr>
          <w:rFonts w:cs="Arial"/>
        </w:rPr>
        <w:t>sanitaires</w:t>
      </w:r>
      <w:r w:rsidR="00927462">
        <w:rPr>
          <w:rFonts w:cs="Arial"/>
        </w:rPr>
        <w:t xml:space="preserve"> récente</w:t>
      </w:r>
      <w:r w:rsidR="00F91F6A">
        <w:rPr>
          <w:rFonts w:cs="Arial"/>
        </w:rPr>
        <w:t>s</w:t>
      </w:r>
      <w:r w:rsidR="00927462">
        <w:rPr>
          <w:rFonts w:cs="Arial"/>
        </w:rPr>
        <w:t xml:space="preserve"> </w:t>
      </w:r>
      <w:r w:rsidRPr="002D063D">
        <w:rPr>
          <w:rFonts w:cs="Arial"/>
        </w:rPr>
        <w:t xml:space="preserve">est ressenti d’autant plus violemment que les règles </w:t>
      </w:r>
      <w:r w:rsidR="00F91F6A">
        <w:rPr>
          <w:rFonts w:cs="Arial"/>
        </w:rPr>
        <w:t>d’</w:t>
      </w:r>
      <w:r w:rsidRPr="002D063D">
        <w:rPr>
          <w:rFonts w:cs="Arial"/>
        </w:rPr>
        <w:t>organisation de</w:t>
      </w:r>
      <w:r w:rsidR="00F91F6A">
        <w:rPr>
          <w:rFonts w:cs="Arial"/>
        </w:rPr>
        <w:t>s</w:t>
      </w:r>
      <w:r w:rsidRPr="002D063D">
        <w:rPr>
          <w:rFonts w:cs="Arial"/>
        </w:rPr>
        <w:t xml:space="preserve"> marchés limitent les possibilités d’intervention de l’Etat.</w:t>
      </w:r>
    </w:p>
    <w:p w14:paraId="5F9DB1E0" w14:textId="61E6D330" w:rsidR="00E943F6" w:rsidRPr="00B458E7" w:rsidRDefault="00B458E7" w:rsidP="00CC116D">
      <w:pPr>
        <w:rPr>
          <w:rFonts w:eastAsia="Arial Unicode MS" w:cs="Arial"/>
          <w:lang w:eastAsia="ar-SA"/>
        </w:rPr>
      </w:pPr>
      <w:r>
        <w:rPr>
          <w:rFonts w:eastAsia="Arial Unicode MS" w:cs="Arial"/>
          <w:lang w:eastAsia="ar-SA"/>
        </w:rPr>
        <w:t>Afin de suivre ces changements profonds de consommation, l</w:t>
      </w:r>
      <w:r w:rsidRPr="00927462">
        <w:rPr>
          <w:rFonts w:eastAsia="Arial Unicode MS" w:cs="Arial"/>
          <w:lang w:eastAsia="ar-SA"/>
        </w:rPr>
        <w:t xml:space="preserve">’analyse quantitative </w:t>
      </w:r>
      <w:r>
        <w:rPr>
          <w:rFonts w:eastAsia="Arial Unicode MS" w:cs="Arial"/>
          <w:lang w:eastAsia="ar-SA"/>
        </w:rPr>
        <w:t xml:space="preserve">des produits du porc </w:t>
      </w:r>
      <w:r w:rsidRPr="00927462">
        <w:rPr>
          <w:rFonts w:eastAsia="Arial Unicode MS" w:cs="Arial"/>
          <w:lang w:eastAsia="ar-SA"/>
        </w:rPr>
        <w:t>se révèle essentielle</w:t>
      </w:r>
      <w:r w:rsidR="000C5916">
        <w:rPr>
          <w:rFonts w:eastAsia="Arial Unicode MS" w:cs="Arial"/>
          <w:lang w:eastAsia="ar-SA"/>
        </w:rPr>
        <w:t xml:space="preserve">. En premier lieu car </w:t>
      </w:r>
      <w:r w:rsidRPr="00927462">
        <w:rPr>
          <w:rFonts w:eastAsia="Arial Unicode MS" w:cs="Arial"/>
          <w:lang w:eastAsia="ar-SA"/>
        </w:rPr>
        <w:t xml:space="preserve">les préoccupations des consommateurs remontent </w:t>
      </w:r>
      <w:r w:rsidR="000C5916">
        <w:rPr>
          <w:rFonts w:eastAsia="Arial Unicode MS" w:cs="Arial"/>
          <w:lang w:eastAsia="ar-SA"/>
        </w:rPr>
        <w:t xml:space="preserve">de plus en plus vers l’amont de la filière (bien-être animal, environnement) au travers des </w:t>
      </w:r>
      <w:r w:rsidRPr="00927462">
        <w:rPr>
          <w:rFonts w:eastAsia="Arial Unicode MS" w:cs="Arial"/>
          <w:lang w:eastAsia="ar-SA"/>
        </w:rPr>
        <w:t xml:space="preserve">différents maillons de la chaîne </w:t>
      </w:r>
      <w:r w:rsidR="000C5916">
        <w:rPr>
          <w:rFonts w:eastAsia="Arial Unicode MS" w:cs="Arial"/>
          <w:lang w:eastAsia="ar-SA"/>
        </w:rPr>
        <w:t xml:space="preserve">de transformation </w:t>
      </w:r>
      <w:r w:rsidRPr="00927462">
        <w:rPr>
          <w:rFonts w:eastAsia="Arial Unicode MS" w:cs="Arial"/>
          <w:lang w:eastAsia="ar-SA"/>
        </w:rPr>
        <w:t>et sont susceptibles d’impacter la chaîne de valeur</w:t>
      </w:r>
      <w:r>
        <w:rPr>
          <w:rFonts w:eastAsia="Arial Unicode MS" w:cs="Arial"/>
          <w:lang w:eastAsia="ar-SA"/>
        </w:rPr>
        <w:t xml:space="preserve">. </w:t>
      </w:r>
      <w:r w:rsidR="001D3825" w:rsidRPr="001D3825">
        <w:rPr>
          <w:rFonts w:eastAsia="Arial Unicode MS" w:cs="Arial"/>
          <w:lang w:eastAsia="ar-SA"/>
        </w:rPr>
        <w:t>E</w:t>
      </w:r>
      <w:r w:rsidR="000C5916">
        <w:rPr>
          <w:rFonts w:eastAsia="Arial Unicode MS" w:cs="Arial"/>
          <w:lang w:eastAsia="ar-SA"/>
        </w:rPr>
        <w:t>n second lieu, cette analyse</w:t>
      </w:r>
      <w:r w:rsidR="001D3825" w:rsidRPr="001D3825">
        <w:rPr>
          <w:rFonts w:eastAsia="Arial Unicode MS" w:cs="Arial"/>
          <w:lang w:eastAsia="ar-SA"/>
        </w:rPr>
        <w:t xml:space="preserve"> participe au suivi de l’équilibre des marchés et </w:t>
      </w:r>
      <w:r w:rsidR="001D3825">
        <w:rPr>
          <w:rFonts w:eastAsia="Arial Unicode MS" w:cs="Arial"/>
          <w:lang w:eastAsia="ar-SA"/>
        </w:rPr>
        <w:t>doit permettre d’</w:t>
      </w:r>
      <w:r w:rsidR="001D3825" w:rsidRPr="001D3825">
        <w:rPr>
          <w:rFonts w:eastAsia="Arial Unicode MS" w:cs="Arial"/>
          <w:lang w:eastAsia="ar-SA"/>
        </w:rPr>
        <w:t>approcher la part des utilisations intérieures couverte</w:t>
      </w:r>
      <w:r w:rsidR="001D3825">
        <w:rPr>
          <w:rFonts w:eastAsia="Arial Unicode MS" w:cs="Arial"/>
          <w:lang w:eastAsia="ar-SA"/>
        </w:rPr>
        <w:t>s</w:t>
      </w:r>
      <w:r w:rsidR="001D3825" w:rsidRPr="001D3825">
        <w:rPr>
          <w:rFonts w:eastAsia="Arial Unicode MS" w:cs="Arial"/>
          <w:lang w:eastAsia="ar-SA"/>
        </w:rPr>
        <w:t xml:space="preserve"> par la production nationale pour les grandes catégories de produits.</w:t>
      </w:r>
      <w:r w:rsidR="001D3825">
        <w:rPr>
          <w:rFonts w:eastAsia="Arial Unicode MS" w:cs="Arial"/>
          <w:lang w:eastAsia="ar-SA"/>
        </w:rPr>
        <w:t xml:space="preserve"> </w:t>
      </w:r>
      <w:r w:rsidR="00893A48">
        <w:rPr>
          <w:rFonts w:eastAsia="Arial Unicode MS" w:cs="Arial"/>
          <w:lang w:eastAsia="ar-SA"/>
        </w:rPr>
        <w:t xml:space="preserve">Il s’agira donc de </w:t>
      </w:r>
      <w:r>
        <w:rPr>
          <w:rFonts w:eastAsia="Arial Unicode MS" w:cs="Arial"/>
          <w:lang w:eastAsia="ar-SA"/>
        </w:rPr>
        <w:t>se pencher sur</w:t>
      </w:r>
      <w:r w:rsidRPr="00927462">
        <w:rPr>
          <w:rFonts w:eastAsia="Arial Unicode MS" w:cs="Arial"/>
          <w:lang w:eastAsia="ar-SA"/>
        </w:rPr>
        <w:t xml:space="preserve"> </w:t>
      </w:r>
      <w:r>
        <w:rPr>
          <w:rFonts w:eastAsia="Arial Unicode MS" w:cs="Arial"/>
          <w:lang w:eastAsia="ar-SA"/>
        </w:rPr>
        <w:t xml:space="preserve">les flux </w:t>
      </w:r>
      <w:r w:rsidR="000C5916">
        <w:rPr>
          <w:rFonts w:eastAsia="Arial Unicode MS" w:cs="Arial"/>
          <w:lang w:eastAsia="ar-SA"/>
        </w:rPr>
        <w:t xml:space="preserve">en </w:t>
      </w:r>
      <w:r w:rsidR="00893A48">
        <w:rPr>
          <w:rFonts w:eastAsia="Arial Unicode MS" w:cs="Arial"/>
          <w:lang w:eastAsia="ar-SA"/>
        </w:rPr>
        <w:t xml:space="preserve">tenant compte de </w:t>
      </w:r>
      <w:r>
        <w:rPr>
          <w:rFonts w:eastAsia="Arial Unicode MS" w:cs="Arial"/>
          <w:lang w:eastAsia="ar-SA"/>
        </w:rPr>
        <w:t>la</w:t>
      </w:r>
      <w:r w:rsidRPr="00927462">
        <w:rPr>
          <w:rFonts w:eastAsia="Arial Unicode MS" w:cs="Arial"/>
          <w:lang w:eastAsia="ar-SA"/>
        </w:rPr>
        <w:t xml:space="preserve"> grande diversité d’acteurs tout au long de la chaîne de transformation </w:t>
      </w:r>
      <w:r>
        <w:rPr>
          <w:rFonts w:eastAsia="Arial Unicode MS" w:cs="Arial"/>
          <w:lang w:eastAsia="ar-SA"/>
        </w:rPr>
        <w:t xml:space="preserve">des </w:t>
      </w:r>
      <w:r w:rsidRPr="00927462">
        <w:rPr>
          <w:rFonts w:eastAsia="Arial Unicode MS" w:cs="Arial"/>
          <w:lang w:eastAsia="ar-SA"/>
        </w:rPr>
        <w:t>produit</w:t>
      </w:r>
      <w:r>
        <w:rPr>
          <w:rFonts w:eastAsia="Arial Unicode MS" w:cs="Arial"/>
          <w:lang w:eastAsia="ar-SA"/>
        </w:rPr>
        <w:t>s du porc</w:t>
      </w:r>
      <w:r w:rsidRPr="00927462">
        <w:rPr>
          <w:rFonts w:eastAsia="Arial Unicode MS" w:cs="Arial"/>
          <w:lang w:eastAsia="ar-SA"/>
        </w:rPr>
        <w:t>, de</w:t>
      </w:r>
      <w:r w:rsidR="000C5916">
        <w:rPr>
          <w:rFonts w:eastAsia="Arial Unicode MS" w:cs="Arial"/>
          <w:lang w:eastAsia="ar-SA"/>
        </w:rPr>
        <w:t>puis</w:t>
      </w:r>
      <w:r w:rsidRPr="00927462">
        <w:rPr>
          <w:rFonts w:eastAsia="Arial Unicode MS" w:cs="Arial"/>
          <w:lang w:eastAsia="ar-SA"/>
        </w:rPr>
        <w:t xml:space="preserve"> l’</w:t>
      </w:r>
      <w:r>
        <w:rPr>
          <w:rFonts w:eastAsia="Arial Unicode MS" w:cs="Arial"/>
          <w:lang w:eastAsia="ar-SA"/>
        </w:rPr>
        <w:t>abattage.</w:t>
      </w:r>
      <w:r w:rsidR="00E943F6">
        <w:rPr>
          <w:rFonts w:eastAsia="Arial Unicode MS" w:cs="Arial"/>
          <w:lang w:eastAsia="ar-SA"/>
        </w:rPr>
        <w:t xml:space="preserve"> </w:t>
      </w:r>
    </w:p>
    <w:p w14:paraId="073FF1FF" w14:textId="22AC69F0" w:rsidR="00E66A5C" w:rsidRPr="00DD6A2E" w:rsidRDefault="00E47EC7" w:rsidP="00CC116D">
      <w:pPr>
        <w:rPr>
          <w:rFonts w:cs="Arial"/>
        </w:rPr>
      </w:pPr>
      <w:r w:rsidRPr="00E66A5C">
        <w:rPr>
          <w:rFonts w:eastAsia="Arial Unicode MS" w:cs="Arial"/>
          <w:kern w:val="1"/>
          <w:lang w:eastAsia="ar-SA"/>
        </w:rPr>
        <w:lastRenderedPageBreak/>
        <w:t xml:space="preserve">C'est dans ce contexte </w:t>
      </w:r>
      <w:r w:rsidR="006D66DC">
        <w:t>l</w:t>
      </w:r>
      <w:r w:rsidR="00F822A9">
        <w:t>’IFIP a répondu à l’appel d’offres de FranceAgriMer portant sur</w:t>
      </w:r>
      <w:r w:rsidR="00F822A9" w:rsidRPr="00E66A5C">
        <w:rPr>
          <w:rFonts w:eastAsia="Arial Unicode MS" w:cs="Arial"/>
          <w:kern w:val="1"/>
          <w:lang w:eastAsia="ar-SA"/>
        </w:rPr>
        <w:t xml:space="preserve"> </w:t>
      </w:r>
      <w:r w:rsidRPr="00E66A5C">
        <w:rPr>
          <w:rFonts w:eastAsia="Arial Unicode MS" w:cs="Arial"/>
          <w:kern w:val="1"/>
          <w:lang w:eastAsia="ar-SA"/>
        </w:rPr>
        <w:t xml:space="preserve">une étude </w:t>
      </w:r>
      <w:r w:rsidR="00F91F6A" w:rsidRPr="00E66A5C">
        <w:rPr>
          <w:rFonts w:eastAsia="Arial Unicode MS" w:cs="Arial"/>
          <w:kern w:val="1"/>
          <w:lang w:eastAsia="ar-SA"/>
        </w:rPr>
        <w:t xml:space="preserve">quantitative </w:t>
      </w:r>
      <w:r w:rsidRPr="00E66A5C">
        <w:rPr>
          <w:rFonts w:eastAsia="Arial Unicode MS" w:cs="Arial"/>
          <w:kern w:val="1"/>
          <w:lang w:eastAsia="ar-SA"/>
        </w:rPr>
        <w:t xml:space="preserve">de la consommation </w:t>
      </w:r>
      <w:r w:rsidR="00893A48" w:rsidRPr="00E66A5C">
        <w:rPr>
          <w:rFonts w:eastAsia="Arial Unicode MS" w:cs="Arial"/>
          <w:kern w:val="1"/>
          <w:lang w:eastAsia="ar-SA"/>
        </w:rPr>
        <w:t xml:space="preserve">et de la distribution </w:t>
      </w:r>
      <w:r w:rsidRPr="00E66A5C">
        <w:rPr>
          <w:rFonts w:eastAsia="Arial Unicode MS" w:cs="Arial"/>
          <w:kern w:val="1"/>
          <w:lang w:eastAsia="ar-SA"/>
        </w:rPr>
        <w:t>des produits du porc afin de faire l'état des lieux des connaissances disponibles</w:t>
      </w:r>
      <w:r w:rsidR="00893A48" w:rsidRPr="00E66A5C">
        <w:rPr>
          <w:rFonts w:eastAsia="Arial Unicode MS" w:cs="Arial"/>
          <w:kern w:val="1"/>
          <w:lang w:eastAsia="ar-SA"/>
        </w:rPr>
        <w:t xml:space="preserve"> et</w:t>
      </w:r>
      <w:r w:rsidR="0062447B" w:rsidRPr="00E66A5C">
        <w:rPr>
          <w:rFonts w:eastAsia="Arial Unicode MS" w:cs="Arial"/>
          <w:kern w:val="1"/>
          <w:lang w:eastAsia="ar-SA"/>
        </w:rPr>
        <w:t xml:space="preserve"> de </w:t>
      </w:r>
      <w:r w:rsidR="00893A48" w:rsidRPr="00E66A5C">
        <w:rPr>
          <w:rFonts w:eastAsia="Arial Unicode MS" w:cs="Arial"/>
          <w:kern w:val="1"/>
          <w:lang w:eastAsia="ar-SA"/>
        </w:rPr>
        <w:t>proposer</w:t>
      </w:r>
      <w:r w:rsidR="0062447B" w:rsidRPr="00E66A5C">
        <w:rPr>
          <w:rFonts w:eastAsia="Arial Unicode MS" w:cs="Arial"/>
          <w:kern w:val="1"/>
          <w:lang w:eastAsia="ar-SA"/>
        </w:rPr>
        <w:t xml:space="preserve"> une méthode d’analyse</w:t>
      </w:r>
      <w:r w:rsidR="00C410C8" w:rsidRPr="00E66A5C">
        <w:rPr>
          <w:rFonts w:eastAsia="Arial Unicode MS" w:cs="Arial"/>
          <w:kern w:val="1"/>
          <w:lang w:eastAsia="ar-SA"/>
        </w:rPr>
        <w:t xml:space="preserve"> </w:t>
      </w:r>
      <w:r w:rsidR="00FE26EC" w:rsidRPr="00E66A5C">
        <w:rPr>
          <w:rFonts w:eastAsia="Arial Unicode MS" w:cs="Arial"/>
          <w:kern w:val="1"/>
          <w:lang w:eastAsia="ar-SA"/>
        </w:rPr>
        <w:t>favorisant</w:t>
      </w:r>
      <w:r w:rsidR="00C410C8" w:rsidRPr="00E66A5C">
        <w:rPr>
          <w:rFonts w:eastAsia="Arial Unicode MS" w:cs="Arial"/>
          <w:kern w:val="1"/>
          <w:lang w:eastAsia="ar-SA"/>
        </w:rPr>
        <w:t xml:space="preserve"> l’amélioration des connaissances sur les segments produits et march</w:t>
      </w:r>
      <w:r w:rsidR="00FE1A89" w:rsidRPr="00E66A5C">
        <w:rPr>
          <w:rFonts w:eastAsia="Arial Unicode MS" w:cs="Arial"/>
          <w:kern w:val="1"/>
          <w:lang w:eastAsia="ar-SA"/>
        </w:rPr>
        <w:t>és</w:t>
      </w:r>
      <w:r w:rsidR="00E66A5C">
        <w:rPr>
          <w:rFonts w:eastAsia="Arial Unicode MS" w:cs="Arial"/>
          <w:kern w:val="1"/>
          <w:lang w:eastAsia="ar-SA"/>
        </w:rPr>
        <w:t xml:space="preserve">. </w:t>
      </w:r>
      <w:r w:rsidR="00274916">
        <w:rPr>
          <w:rFonts w:eastAsia="Arial Unicode MS" w:cs="Arial"/>
          <w:kern w:val="1"/>
          <w:lang w:eastAsia="ar-SA"/>
        </w:rPr>
        <w:t>Il s’agit également d’</w:t>
      </w:r>
      <w:r w:rsidR="00274916" w:rsidRPr="00E66A5C">
        <w:rPr>
          <w:rFonts w:eastAsia="Arial Unicode MS" w:cs="Arial"/>
          <w:kern w:val="1"/>
          <w:lang w:eastAsia="ar-SA"/>
        </w:rPr>
        <w:t xml:space="preserve">évaluer la destination des flux d’importations vers les </w:t>
      </w:r>
      <w:r w:rsidR="00274916">
        <w:rPr>
          <w:rFonts w:eastAsia="Arial Unicode MS" w:cs="Arial"/>
          <w:kern w:val="1"/>
          <w:lang w:eastAsia="ar-SA"/>
        </w:rPr>
        <w:t xml:space="preserve">différents opérateurs de la filière </w:t>
      </w:r>
      <w:r w:rsidR="00274916" w:rsidRPr="00E66A5C">
        <w:rPr>
          <w:rFonts w:eastAsia="Arial Unicode MS" w:cs="Arial"/>
          <w:kern w:val="1"/>
          <w:lang w:eastAsia="ar-SA"/>
        </w:rPr>
        <w:t>(négoce, transformation</w:t>
      </w:r>
      <w:r w:rsidR="00274916">
        <w:rPr>
          <w:rFonts w:eastAsia="Arial Unicode MS" w:cs="Arial"/>
          <w:kern w:val="1"/>
          <w:lang w:eastAsia="ar-SA"/>
        </w:rPr>
        <w:t xml:space="preserve"> </w:t>
      </w:r>
      <w:r w:rsidR="00274916" w:rsidRPr="00E66A5C">
        <w:rPr>
          <w:rFonts w:eastAsia="Arial Unicode MS" w:cs="Arial"/>
          <w:kern w:val="1"/>
          <w:lang w:eastAsia="ar-SA"/>
        </w:rPr>
        <w:t>ou consommation finale).</w:t>
      </w:r>
      <w:r w:rsidR="00274916">
        <w:rPr>
          <w:rFonts w:eastAsia="Arial Unicode MS" w:cs="Arial"/>
          <w:kern w:val="1"/>
          <w:lang w:eastAsia="ar-SA"/>
        </w:rPr>
        <w:t xml:space="preserve"> </w:t>
      </w:r>
      <w:r w:rsidR="00274916" w:rsidRPr="00E66A5C">
        <w:rPr>
          <w:rFonts w:eastAsia="Arial Unicode MS" w:cs="Arial"/>
          <w:kern w:val="1"/>
          <w:lang w:eastAsia="ar-SA"/>
        </w:rPr>
        <w:t xml:space="preserve">Ce projet s’inscrit en lien avec les enjeux </w:t>
      </w:r>
      <w:r w:rsidR="006A3537">
        <w:rPr>
          <w:rFonts w:eastAsia="Arial Unicode MS" w:cs="Arial"/>
          <w:kern w:val="1"/>
          <w:lang w:eastAsia="ar-SA"/>
        </w:rPr>
        <w:t xml:space="preserve">de </w:t>
      </w:r>
      <w:r w:rsidR="00274916" w:rsidRPr="00E66A5C">
        <w:rPr>
          <w:rFonts w:eastAsia="Arial Unicode MS" w:cs="Arial"/>
          <w:kern w:val="1"/>
          <w:lang w:eastAsia="ar-SA"/>
        </w:rPr>
        <w:t xml:space="preserve">valorisation de l’offre </w:t>
      </w:r>
      <w:r w:rsidR="006A3537">
        <w:rPr>
          <w:rFonts w:eastAsia="Arial Unicode MS" w:cs="Arial"/>
          <w:kern w:val="1"/>
          <w:lang w:eastAsia="ar-SA"/>
        </w:rPr>
        <w:t>de produits finis dans un contexte de</w:t>
      </w:r>
      <w:r w:rsidR="00274916" w:rsidRPr="00E66A5C">
        <w:rPr>
          <w:rFonts w:eastAsia="Arial Unicode MS" w:cs="Arial"/>
          <w:kern w:val="1"/>
          <w:lang w:eastAsia="ar-SA"/>
        </w:rPr>
        <w:t xml:space="preserve"> baisse de la demande des produits du porc dans l’alimentation</w:t>
      </w:r>
      <w:r w:rsidR="00274916">
        <w:rPr>
          <w:rFonts w:cs="Arial"/>
        </w:rPr>
        <w:t>.</w:t>
      </w:r>
      <w:r w:rsidR="005B5F2D">
        <w:rPr>
          <w:rFonts w:cs="Arial"/>
        </w:rPr>
        <w:t xml:space="preserve"> </w:t>
      </w:r>
    </w:p>
    <w:p w14:paraId="4A116BD5" w14:textId="647447F3" w:rsidR="00FE26EC" w:rsidRDefault="005232BC" w:rsidP="00CC116D">
      <w:pPr>
        <w:rPr>
          <w:rFonts w:cs="Arial"/>
        </w:rPr>
      </w:pPr>
      <w:r>
        <w:rPr>
          <w:rFonts w:cs="Arial"/>
        </w:rPr>
        <w:t>L</w:t>
      </w:r>
      <w:r w:rsidR="00F91F6A">
        <w:rPr>
          <w:rFonts w:cs="Arial"/>
        </w:rPr>
        <w:t>’étude</w:t>
      </w:r>
      <w:r w:rsidR="00E47EC7" w:rsidRPr="002D063D">
        <w:rPr>
          <w:rFonts w:cs="Arial"/>
        </w:rPr>
        <w:t xml:space="preserve"> </w:t>
      </w:r>
      <w:r>
        <w:rPr>
          <w:rFonts w:cs="Arial"/>
        </w:rPr>
        <w:t>vis</w:t>
      </w:r>
      <w:r w:rsidR="003A74D8">
        <w:rPr>
          <w:rFonts w:cs="Arial"/>
        </w:rPr>
        <w:t>e</w:t>
      </w:r>
      <w:r>
        <w:rPr>
          <w:rFonts w:cs="Arial"/>
        </w:rPr>
        <w:t xml:space="preserve"> à </w:t>
      </w:r>
      <w:r w:rsidR="003A74D8">
        <w:rPr>
          <w:rFonts w:cs="Arial"/>
        </w:rPr>
        <w:t>répondre aux</w:t>
      </w:r>
      <w:r w:rsidR="00E47EC7" w:rsidRPr="002D063D">
        <w:rPr>
          <w:rFonts w:cs="Arial"/>
        </w:rPr>
        <w:t xml:space="preserve"> </w:t>
      </w:r>
      <w:r>
        <w:rPr>
          <w:rFonts w:cs="Arial"/>
        </w:rPr>
        <w:t>thématiques suivantes</w:t>
      </w:r>
      <w:r w:rsidR="00E47EC7" w:rsidRPr="002D063D">
        <w:rPr>
          <w:rFonts w:cs="Arial"/>
        </w:rPr>
        <w:t xml:space="preserve"> : </w:t>
      </w:r>
    </w:p>
    <w:p w14:paraId="0503161B" w14:textId="059D0237" w:rsidR="00FE26EC" w:rsidRPr="00CC116D" w:rsidRDefault="002017AD" w:rsidP="00CC116D">
      <w:pPr>
        <w:pStyle w:val="Point"/>
      </w:pPr>
      <w:r w:rsidRPr="00CC116D">
        <w:t>Réaliser</w:t>
      </w:r>
      <w:r w:rsidR="006F7847" w:rsidRPr="00CC116D">
        <w:t xml:space="preserve"> un </w:t>
      </w:r>
      <w:r w:rsidR="005232BC" w:rsidRPr="00CC116D">
        <w:t>état de l’art des</w:t>
      </w:r>
      <w:r w:rsidR="00FE26EC" w:rsidRPr="00CC116D">
        <w:t xml:space="preserve"> connaissances</w:t>
      </w:r>
      <w:r w:rsidR="005232BC" w:rsidRPr="00CC116D">
        <w:t xml:space="preserve"> sur la </w:t>
      </w:r>
      <w:r w:rsidR="006D66DC">
        <w:t xml:space="preserve">quantification de la </w:t>
      </w:r>
      <w:r w:rsidR="00210514" w:rsidRPr="00CC116D">
        <w:t xml:space="preserve">consommation des produits du porc </w:t>
      </w:r>
      <w:r w:rsidR="005232BC" w:rsidRPr="00CC116D">
        <w:t>à partir des études scientifiques et des données économiques</w:t>
      </w:r>
      <w:r w:rsidR="006A3537">
        <w:t xml:space="preserve"> </w:t>
      </w:r>
      <w:r w:rsidR="001A0097" w:rsidRPr="002F40AB">
        <w:t>mettant en avant les différences conceptuelles et pratiques qui séparent les différentes approches</w:t>
      </w:r>
      <w:r w:rsidR="006A3537">
        <w:t xml:space="preserve"> : </w:t>
      </w:r>
      <w:r w:rsidR="001A0097" w:rsidRPr="002F40AB">
        <w:t xml:space="preserve">envisager dans quelle mesure ces sources peuvent être utilisables </w:t>
      </w:r>
      <w:r w:rsidR="0076328B">
        <w:t xml:space="preserve">pour </w:t>
      </w:r>
      <w:r w:rsidR="001A0097" w:rsidRPr="002F40AB">
        <w:t>favoriser la reconstitution de la chaîne de transformation</w:t>
      </w:r>
      <w:r w:rsidR="005232BC" w:rsidRPr="00CC116D">
        <w:t>;</w:t>
      </w:r>
      <w:r w:rsidR="00210514" w:rsidRPr="00CC116D">
        <w:t xml:space="preserve"> </w:t>
      </w:r>
      <w:r w:rsidR="00623A3C" w:rsidRPr="00CC116D">
        <w:t>effectuer</w:t>
      </w:r>
      <w:r w:rsidR="006F7847" w:rsidRPr="00CC116D">
        <w:t xml:space="preserve"> une </w:t>
      </w:r>
      <w:r w:rsidR="00210514" w:rsidRPr="00CC116D">
        <w:t>analyse c</w:t>
      </w:r>
      <w:r w:rsidR="00FE26EC" w:rsidRPr="00CC116D">
        <w:t xml:space="preserve">ritique </w:t>
      </w:r>
      <w:r w:rsidR="006F7847" w:rsidRPr="00CC116D">
        <w:t>des données</w:t>
      </w:r>
      <w:r w:rsidR="005232BC" w:rsidRPr="00CC116D">
        <w:t xml:space="preserve">, </w:t>
      </w:r>
      <w:r w:rsidR="006F7847" w:rsidRPr="00CC116D">
        <w:t>comprendre et expliciter la source des incohérences dans les valeurs afin d’éclairer et estimer la réalité.</w:t>
      </w:r>
    </w:p>
    <w:p w14:paraId="25046D6A" w14:textId="130E54F2" w:rsidR="00AE68AD" w:rsidRPr="00CC116D" w:rsidRDefault="002017AD" w:rsidP="00CC116D">
      <w:pPr>
        <w:pStyle w:val="Point"/>
      </w:pPr>
      <w:r w:rsidRPr="00CC116D">
        <w:t>Au</w:t>
      </w:r>
      <w:r w:rsidR="00E66A5C" w:rsidRPr="00CC116D">
        <w:t xml:space="preserve"> sein des couples produits et marchés pour lesquels les données sont lacunaires ou manquantes, il s’agira d’</w:t>
      </w:r>
      <w:r w:rsidR="00893A48" w:rsidRPr="00CC116D">
        <w:t xml:space="preserve">identifier les indicateurs et coefficients de transformation mobilisables </w:t>
      </w:r>
      <w:r w:rsidR="00AE68AD" w:rsidRPr="00CC116D">
        <w:t xml:space="preserve">pour </w:t>
      </w:r>
      <w:r w:rsidR="00893A48" w:rsidRPr="00CC116D">
        <w:t>corriger les</w:t>
      </w:r>
      <w:r w:rsidR="00E66A5C" w:rsidRPr="00CC116D">
        <w:t xml:space="preserve"> écarts,</w:t>
      </w:r>
      <w:r w:rsidR="00AE68AD" w:rsidRPr="00CC116D">
        <w:t xml:space="preserve"> </w:t>
      </w:r>
      <w:r w:rsidR="00227C23">
        <w:t xml:space="preserve">effectuer une analyse de l’offre des produits d’assemblage et de mélange intégrant du porc ; </w:t>
      </w:r>
      <w:r w:rsidR="00893A48" w:rsidRPr="00CC116D">
        <w:t xml:space="preserve">conduire une enquête à dire d’expert et confronter les résultats avec l’analyse ; établir les limites de validité de ces données et en déduire les </w:t>
      </w:r>
      <w:r w:rsidR="00771F39" w:rsidRPr="00CC116D">
        <w:t>niveau</w:t>
      </w:r>
      <w:r w:rsidR="00893A48" w:rsidRPr="00CC116D">
        <w:t>x</w:t>
      </w:r>
      <w:r w:rsidR="00771F39" w:rsidRPr="00CC116D">
        <w:t xml:space="preserve"> d’incertitude associé</w:t>
      </w:r>
      <w:r w:rsidR="00893A48" w:rsidRPr="00CC116D">
        <w:t>s</w:t>
      </w:r>
      <w:r w:rsidR="00771F39" w:rsidRPr="00CC116D">
        <w:t>,</w:t>
      </w:r>
    </w:p>
    <w:bookmarkEnd w:id="2"/>
    <w:bookmarkEnd w:id="3"/>
    <w:bookmarkEnd w:id="4"/>
    <w:p w14:paraId="7247A9AD" w14:textId="5E90F58E" w:rsidR="00471F8B" w:rsidRDefault="00471F8B" w:rsidP="00A305CD">
      <w:pPr>
        <w:pStyle w:val="Point"/>
        <w:numPr>
          <w:ilvl w:val="0"/>
          <w:numId w:val="14"/>
        </w:numPr>
        <w:ind w:left="426" w:hanging="283"/>
      </w:pPr>
      <w:r w:rsidRPr="002F40AB">
        <w:t xml:space="preserve">Recenser les flux de produits par type de pièce primaire </w:t>
      </w:r>
      <w:r>
        <w:t>et e</w:t>
      </w:r>
      <w:r w:rsidR="002017AD" w:rsidRPr="00CC116D">
        <w:t>xaminer</w:t>
      </w:r>
      <w:r w:rsidR="00905585" w:rsidRPr="00CC116D">
        <w:t xml:space="preserve"> les flux de </w:t>
      </w:r>
      <w:r w:rsidR="005B5F2D">
        <w:t xml:space="preserve">matière </w:t>
      </w:r>
      <w:r w:rsidR="00905585" w:rsidRPr="00CC116D">
        <w:t xml:space="preserve">et la manière dont </w:t>
      </w:r>
      <w:r w:rsidR="00E66A5C" w:rsidRPr="00CC116D">
        <w:t>ils</w:t>
      </w:r>
      <w:r w:rsidR="00905585" w:rsidRPr="00CC116D">
        <w:t xml:space="preserve"> évoluent</w:t>
      </w:r>
      <w:r w:rsidR="00CF0879" w:rsidRPr="00CC116D">
        <w:t xml:space="preserve"> à mesure qu’</w:t>
      </w:r>
      <w:r w:rsidR="00E66A5C" w:rsidRPr="00CC116D">
        <w:t>ils</w:t>
      </w:r>
      <w:r w:rsidR="00CF0879" w:rsidRPr="00CC116D">
        <w:t xml:space="preserve"> passent dans la chaîne de transformation alimentaire partant de la carcasse jusqu’aux produits finis, viande, charcuterie et produits </w:t>
      </w:r>
      <w:r w:rsidR="00FB02DB" w:rsidRPr="00CC116D">
        <w:t xml:space="preserve">traiteurs </w:t>
      </w:r>
      <w:r w:rsidR="00E66A5C" w:rsidRPr="00CC116D">
        <w:t xml:space="preserve">en prenant appui sur </w:t>
      </w:r>
      <w:r w:rsidRPr="002F40AB">
        <w:t>un outil d’aide à la compréhension des systèmes soit l’analyse des flux de matière (AFM)</w:t>
      </w:r>
      <w:r w:rsidR="00FB02DB" w:rsidRPr="00CC116D">
        <w:t>;</w:t>
      </w:r>
      <w:r w:rsidR="00CF0879" w:rsidRPr="00CC116D">
        <w:t xml:space="preserve"> </w:t>
      </w:r>
      <w:r w:rsidRPr="002F40AB">
        <w:t>effectuer une estimation des flux de produits par type de pièce primaire établir les limites de validité de ces données et en déduire les niveaux d’incertitude associés à partir de l’identification et de l’évaluation des indicateurs de transformation mobilisables ; approcher la composition des produits de mélanges et d’assemblage intégrant du porc</w:t>
      </w:r>
      <w:r>
        <w:t>.</w:t>
      </w:r>
    </w:p>
    <w:p w14:paraId="1703824F" w14:textId="7B57622E" w:rsidR="006A3537" w:rsidRDefault="006A3537" w:rsidP="006A3537">
      <w:pPr>
        <w:pStyle w:val="Point"/>
        <w:numPr>
          <w:ilvl w:val="0"/>
          <w:numId w:val="0"/>
        </w:numPr>
      </w:pPr>
      <w:r>
        <w:t>La cartographie des flux de produits du porc doit être établie pour le territoire de la France métropolitaine et pour l’année civile 2018.</w:t>
      </w:r>
    </w:p>
    <w:p w14:paraId="4A1170FF" w14:textId="1A28CCB1" w:rsidR="001D4234" w:rsidRDefault="001D4234" w:rsidP="001D4234">
      <w:pPr>
        <w:pStyle w:val="Point"/>
        <w:numPr>
          <w:ilvl w:val="0"/>
          <w:numId w:val="0"/>
        </w:numPr>
        <w:ind w:left="420" w:hanging="360"/>
      </w:pPr>
    </w:p>
    <w:p w14:paraId="2A4164EA" w14:textId="29C92AD8" w:rsidR="001D4234" w:rsidRDefault="001D4234" w:rsidP="001D4234">
      <w:pPr>
        <w:pStyle w:val="Point"/>
        <w:numPr>
          <w:ilvl w:val="0"/>
          <w:numId w:val="0"/>
        </w:numPr>
        <w:ind w:left="420" w:hanging="360"/>
      </w:pPr>
    </w:p>
    <w:p w14:paraId="257D5F09" w14:textId="55B3A972" w:rsidR="001D4234" w:rsidRDefault="001D4234" w:rsidP="001D4234">
      <w:pPr>
        <w:pStyle w:val="Point"/>
        <w:numPr>
          <w:ilvl w:val="0"/>
          <w:numId w:val="0"/>
        </w:numPr>
        <w:ind w:left="420" w:hanging="360"/>
      </w:pPr>
    </w:p>
    <w:p w14:paraId="687857B3" w14:textId="6BC94D55" w:rsidR="001D4234" w:rsidRDefault="001D4234" w:rsidP="001D4234">
      <w:pPr>
        <w:pStyle w:val="Point"/>
        <w:numPr>
          <w:ilvl w:val="0"/>
          <w:numId w:val="0"/>
        </w:numPr>
        <w:ind w:left="420" w:hanging="360"/>
      </w:pPr>
    </w:p>
    <w:p w14:paraId="24A8B7E2" w14:textId="77A31245" w:rsidR="001D4234" w:rsidRDefault="001D4234" w:rsidP="001D4234">
      <w:pPr>
        <w:pStyle w:val="Point"/>
        <w:numPr>
          <w:ilvl w:val="0"/>
          <w:numId w:val="0"/>
        </w:numPr>
        <w:ind w:left="420" w:hanging="360"/>
      </w:pPr>
    </w:p>
    <w:p w14:paraId="4600D19C" w14:textId="287620EB" w:rsidR="001D4234" w:rsidRDefault="001D4234" w:rsidP="001D4234">
      <w:pPr>
        <w:pStyle w:val="Point"/>
        <w:numPr>
          <w:ilvl w:val="0"/>
          <w:numId w:val="0"/>
        </w:numPr>
        <w:ind w:left="420" w:hanging="360"/>
      </w:pPr>
    </w:p>
    <w:p w14:paraId="383ED532" w14:textId="77777777" w:rsidR="0026673D" w:rsidRDefault="0026673D" w:rsidP="001D4234">
      <w:pPr>
        <w:pStyle w:val="Point"/>
        <w:numPr>
          <w:ilvl w:val="0"/>
          <w:numId w:val="0"/>
        </w:numPr>
        <w:ind w:left="420" w:hanging="360"/>
        <w:sectPr w:rsidR="0026673D" w:rsidSect="00B73F4D">
          <w:footerReference w:type="default" r:id="rId15"/>
          <w:pgSz w:w="11906" w:h="16838" w:code="9"/>
          <w:pgMar w:top="1304" w:right="1133" w:bottom="1304" w:left="1418" w:header="567" w:footer="709" w:gutter="0"/>
          <w:pgNumType w:start="1"/>
          <w:cols w:space="708"/>
          <w:docGrid w:linePitch="360"/>
        </w:sectPr>
      </w:pPr>
    </w:p>
    <w:p w14:paraId="5457E690" w14:textId="77BE7FEA" w:rsidR="008150C6" w:rsidRDefault="0025662B" w:rsidP="005C769C">
      <w:pPr>
        <w:pStyle w:val="PARTIE"/>
      </w:pPr>
      <w:bookmarkStart w:id="5" w:name="_Toc78131538"/>
      <w:r>
        <w:lastRenderedPageBreak/>
        <w:t xml:space="preserve">Partie 1 : </w:t>
      </w:r>
      <w:r w:rsidR="008150C6" w:rsidRPr="00334F43">
        <w:t>Etat de l’art, sources de données de quantification de la consommation et limites de validité</w:t>
      </w:r>
      <w:bookmarkEnd w:id="5"/>
    </w:p>
    <w:p w14:paraId="3A2F40E6" w14:textId="77777777" w:rsidR="00E221FE" w:rsidRDefault="00575CF5" w:rsidP="00E00E47">
      <w:r w:rsidRPr="002D063D">
        <w:t>L'objet de ce</w:t>
      </w:r>
      <w:r w:rsidR="00771E6F">
        <w:t>tte première partie</w:t>
      </w:r>
      <w:r w:rsidRPr="002D063D">
        <w:t xml:space="preserve"> est de fournir </w:t>
      </w:r>
      <w:r>
        <w:t>de</w:t>
      </w:r>
      <w:r w:rsidRPr="002D063D">
        <w:t xml:space="preserve">s éléments de cadrage sur la consommation des </w:t>
      </w:r>
      <w:r>
        <w:t xml:space="preserve">produits du porc </w:t>
      </w:r>
      <w:r w:rsidRPr="002D063D">
        <w:t xml:space="preserve">en </w:t>
      </w:r>
      <w:r>
        <w:t xml:space="preserve">France à partir </w:t>
      </w:r>
      <w:r w:rsidRPr="002D063D">
        <w:t>de données descriptives tirées des statistiques nationales</w:t>
      </w:r>
      <w:r>
        <w:t xml:space="preserve"> ou européennes</w:t>
      </w:r>
      <w:r w:rsidRPr="002D063D">
        <w:t>, et des enquêtes publiques ou privées représentatives.</w:t>
      </w:r>
      <w:r>
        <w:t xml:space="preserve"> </w:t>
      </w:r>
      <w:r w:rsidR="00771E6F" w:rsidRPr="00771E6F">
        <w:t xml:space="preserve">Les différences de concepts et de définitions entre les </w:t>
      </w:r>
      <w:r w:rsidR="00771E6F">
        <w:t xml:space="preserve">différentes sources </w:t>
      </w:r>
      <w:r w:rsidR="00771E6F" w:rsidRPr="00771E6F">
        <w:t xml:space="preserve">de données et les </w:t>
      </w:r>
      <w:r w:rsidR="00771E6F">
        <w:t xml:space="preserve">biais statistiques ne les rendent pas </w:t>
      </w:r>
      <w:r w:rsidR="00771E6F" w:rsidRPr="00771E6F">
        <w:t xml:space="preserve">directement comparables. </w:t>
      </w:r>
      <w:r w:rsidR="00771E6F">
        <w:t xml:space="preserve">Aussi, il s’agira surtout </w:t>
      </w:r>
      <w:r w:rsidR="00771E6F" w:rsidRPr="00771E6F">
        <w:t>d'analyser les différences conceptuelles et pratiques qui séparent les d</w:t>
      </w:r>
      <w:r w:rsidR="00771E6F">
        <w:t>ifférentes</w:t>
      </w:r>
      <w:r w:rsidR="00771E6F" w:rsidRPr="00771E6F">
        <w:t xml:space="preserve"> approches et d'envisager </w:t>
      </w:r>
      <w:r w:rsidR="00771E6F">
        <w:t xml:space="preserve">dans quelle mesure ces sources peuvent être </w:t>
      </w:r>
      <w:r w:rsidR="00771E6F" w:rsidRPr="00771E6F">
        <w:t>utilis</w:t>
      </w:r>
      <w:r w:rsidR="00771E6F">
        <w:t>ables</w:t>
      </w:r>
      <w:r w:rsidR="00771E6F" w:rsidRPr="00771E6F">
        <w:t xml:space="preserve"> pour </w:t>
      </w:r>
      <w:r w:rsidR="00771E6F">
        <w:t>se</w:t>
      </w:r>
      <w:r w:rsidR="00771E6F" w:rsidRPr="00771E6F">
        <w:t xml:space="preserve"> compléter l</w:t>
      </w:r>
      <w:r w:rsidR="00771E6F">
        <w:t>es unes par rapport aux</w:t>
      </w:r>
      <w:r w:rsidR="00771E6F" w:rsidRPr="00771E6F">
        <w:t xml:space="preserve"> autre</w:t>
      </w:r>
      <w:r w:rsidR="00771E6F">
        <w:t>s</w:t>
      </w:r>
      <w:r w:rsidR="001B5EFE">
        <w:t xml:space="preserve"> et favoriser la</w:t>
      </w:r>
      <w:r w:rsidR="001B5EFE" w:rsidRPr="00307D39">
        <w:t xml:space="preserve"> reconstitution de la cha</w:t>
      </w:r>
      <w:r w:rsidR="001B5EFE">
        <w:t>î</w:t>
      </w:r>
      <w:r w:rsidR="001B5EFE" w:rsidRPr="00307D39">
        <w:t xml:space="preserve">ne </w:t>
      </w:r>
      <w:r w:rsidR="001B5EFE">
        <w:t>de transformation</w:t>
      </w:r>
      <w:r w:rsidR="005D5F52">
        <w:t>.</w:t>
      </w:r>
    </w:p>
    <w:p w14:paraId="4AA4A0BB" w14:textId="29104B55" w:rsidR="008E6035" w:rsidRPr="005C769C" w:rsidRDefault="008150C6" w:rsidP="00AA28BC">
      <w:pPr>
        <w:pStyle w:val="Titre1"/>
        <w:numPr>
          <w:ilvl w:val="0"/>
          <w:numId w:val="9"/>
        </w:numPr>
        <w:rPr>
          <w:rFonts w:eastAsiaTheme="minorHAnsi"/>
        </w:rPr>
      </w:pPr>
      <w:bookmarkStart w:id="6" w:name="_Toc78131539"/>
      <w:r w:rsidRPr="005C769C">
        <w:rPr>
          <w:rFonts w:eastAsiaTheme="minorHAnsi"/>
        </w:rPr>
        <w:t>Données de bilan de la consommation des viandes</w:t>
      </w:r>
      <w:bookmarkEnd w:id="6"/>
      <w:r w:rsidRPr="005C769C">
        <w:rPr>
          <w:rFonts w:eastAsiaTheme="minorHAnsi"/>
        </w:rPr>
        <w:t xml:space="preserve"> </w:t>
      </w:r>
    </w:p>
    <w:p w14:paraId="07D2DD17" w14:textId="48CB8E4A" w:rsidR="007242A8" w:rsidRDefault="00EE4279" w:rsidP="00A63F35">
      <w:pPr>
        <w:pStyle w:val="Titre2"/>
      </w:pPr>
      <w:bookmarkStart w:id="7" w:name="_Toc78131540"/>
      <w:r w:rsidRPr="00334F43">
        <w:t>Approvisionnement du marché français</w:t>
      </w:r>
      <w:bookmarkEnd w:id="7"/>
    </w:p>
    <w:p w14:paraId="79FAFC0C" w14:textId="574CD79B" w:rsidR="00334F43" w:rsidRPr="005B5F2D" w:rsidRDefault="00533011" w:rsidP="00B407F0">
      <w:pPr>
        <w:rPr>
          <w:lang w:eastAsia="ar-SA"/>
        </w:rPr>
      </w:pPr>
      <w:r w:rsidRPr="005B5F2D">
        <w:rPr>
          <w:lang w:eastAsia="ar-SA"/>
        </w:rPr>
        <w:t xml:space="preserve">Dans la mesure où les données </w:t>
      </w:r>
      <w:r w:rsidR="005B5F2D" w:rsidRPr="005B5F2D">
        <w:rPr>
          <w:lang w:eastAsia="ar-SA"/>
        </w:rPr>
        <w:t>de production des élevages français</w:t>
      </w:r>
      <w:r w:rsidRPr="005B5F2D">
        <w:rPr>
          <w:lang w:eastAsia="ar-SA"/>
        </w:rPr>
        <w:t xml:space="preserve"> fournissent des éléments de contexte pour expliquer le niveau de l’offre par rapport à la demande, celles-ci font l’objet d’une rapide présentation. </w:t>
      </w:r>
      <w:r w:rsidR="0060208C" w:rsidRPr="005B5F2D">
        <w:rPr>
          <w:lang w:eastAsia="ar-SA"/>
        </w:rPr>
        <w:t xml:space="preserve">Sont pris en </w:t>
      </w:r>
      <w:r w:rsidR="00921546" w:rsidRPr="005B5F2D">
        <w:rPr>
          <w:lang w:eastAsia="ar-SA"/>
        </w:rPr>
        <w:t>compte l</w:t>
      </w:r>
      <w:r w:rsidR="0060208C" w:rsidRPr="005B5F2D">
        <w:rPr>
          <w:lang w:eastAsia="ar-SA"/>
        </w:rPr>
        <w:t xml:space="preserve">es porcs </w:t>
      </w:r>
      <w:r w:rsidR="005B5F2D">
        <w:rPr>
          <w:lang w:eastAsia="ar-SA"/>
        </w:rPr>
        <w:t>charcutiers et de</w:t>
      </w:r>
      <w:r w:rsidR="005B5F2D" w:rsidRPr="005B5F2D">
        <w:rPr>
          <w:lang w:eastAsia="ar-SA"/>
        </w:rPr>
        <w:t xml:space="preserve"> réformes</w:t>
      </w:r>
      <w:r w:rsidR="005731F7">
        <w:rPr>
          <w:lang w:eastAsia="ar-SA"/>
        </w:rPr>
        <w:t xml:space="preserve"> afin</w:t>
      </w:r>
      <w:r w:rsidR="005B5F2D" w:rsidRPr="005B5F2D">
        <w:rPr>
          <w:lang w:eastAsia="ar-SA"/>
        </w:rPr>
        <w:t xml:space="preserve"> d</w:t>
      </w:r>
      <w:r w:rsidR="005731F7">
        <w:rPr>
          <w:lang w:eastAsia="ar-SA"/>
        </w:rPr>
        <w:t>’effectuer une</w:t>
      </w:r>
      <w:r w:rsidR="005B5F2D" w:rsidRPr="005B5F2D">
        <w:rPr>
          <w:lang w:eastAsia="ar-SA"/>
        </w:rPr>
        <w:t xml:space="preserve"> différenciation après la phase d’abattage.</w:t>
      </w:r>
    </w:p>
    <w:p w14:paraId="587A8CC1" w14:textId="5EB709F2" w:rsidR="00765961" w:rsidRDefault="00765961" w:rsidP="00B407F0">
      <w:r w:rsidRPr="00E00E47">
        <w:rPr>
          <w:noProof/>
        </w:rPr>
        <w:drawing>
          <wp:anchor distT="0" distB="0" distL="114300" distR="114300" simplePos="0" relativeHeight="251658242" behindDoc="1" locked="0" layoutInCell="1" allowOverlap="1" wp14:anchorId="37151E73" wp14:editId="6B85BF82">
            <wp:simplePos x="0" y="0"/>
            <wp:positionH relativeFrom="margin">
              <wp:posOffset>1043305</wp:posOffset>
            </wp:positionH>
            <wp:positionV relativeFrom="paragraph">
              <wp:posOffset>541655</wp:posOffset>
            </wp:positionV>
            <wp:extent cx="3677285" cy="2114550"/>
            <wp:effectExtent l="0" t="0" r="0" b="0"/>
            <wp:wrapTopAndBottom/>
            <wp:docPr id="18" name="Graphique 18">
              <a:extLst xmlns:a="http://schemas.openxmlformats.org/drawingml/2006/main">
                <a:ext uri="{FF2B5EF4-FFF2-40B4-BE49-F238E27FC236}">
                  <a16:creationId xmlns:a16="http://schemas.microsoft.com/office/drawing/2014/main" id="{11534B22-4669-4DE0-AD88-9F94730717F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margin">
              <wp14:pctWidth>0</wp14:pctWidth>
            </wp14:sizeRelH>
            <wp14:sizeRelV relativeFrom="margin">
              <wp14:pctHeight>0</wp14:pctHeight>
            </wp14:sizeRelV>
          </wp:anchor>
        </w:drawing>
      </w:r>
      <w:r w:rsidR="00533011" w:rsidRPr="00E00E47">
        <w:t xml:space="preserve">Après </w:t>
      </w:r>
      <w:r w:rsidR="005B5F2D">
        <w:t>une tendance à la baisse depuis plusieurs années des abattages en têtes</w:t>
      </w:r>
      <w:r w:rsidR="00533011" w:rsidRPr="00E00E47">
        <w:t>, les données d’abattage représentent 23,5 millions de porc</w:t>
      </w:r>
      <w:r w:rsidR="00985C0E">
        <w:t>ins</w:t>
      </w:r>
      <w:r w:rsidR="00533011" w:rsidRPr="00E00E47">
        <w:t xml:space="preserve"> en 2018</w:t>
      </w:r>
      <w:r w:rsidR="004A0C19" w:rsidRPr="00E00E47">
        <w:t xml:space="preserve"> et sont relativement stable à +</w:t>
      </w:r>
      <w:r w:rsidR="00E00E47">
        <w:t> </w:t>
      </w:r>
      <w:r w:rsidR="00533011" w:rsidRPr="00E00E47">
        <w:t>0,3</w:t>
      </w:r>
      <w:r w:rsidR="00E00E47">
        <w:t> </w:t>
      </w:r>
      <w:r w:rsidR="00533011" w:rsidRPr="00E00E47">
        <w:t xml:space="preserve">% </w:t>
      </w:r>
      <w:r w:rsidR="00E0201C">
        <w:t>entre 2018 et 2017</w:t>
      </w:r>
      <w:r w:rsidR="00533011" w:rsidRPr="00E00E47">
        <w:t xml:space="preserve"> pour un volume de 2,18 millions de tec, soit 9</w:t>
      </w:r>
      <w:r w:rsidR="00E00E47">
        <w:t> </w:t>
      </w:r>
      <w:r w:rsidR="00533011" w:rsidRPr="00E00E47">
        <w:t>% de la production européenne</w:t>
      </w:r>
      <w:r w:rsidR="00B407F0">
        <w:t>.</w:t>
      </w:r>
    </w:p>
    <w:p w14:paraId="240DD94F" w14:textId="7CA169D5" w:rsidR="00187C22" w:rsidRPr="00187C22" w:rsidRDefault="00695391" w:rsidP="00187C22">
      <w:pPr>
        <w:pStyle w:val="figure"/>
        <w:rPr>
          <w:rStyle w:val="figureCar"/>
          <w:b/>
          <w:bCs/>
          <w:iCs/>
        </w:rPr>
      </w:pPr>
      <w:bookmarkStart w:id="8" w:name="_Ref69652188"/>
      <w:bookmarkStart w:id="9" w:name="_Ref58608639"/>
      <w:bookmarkStart w:id="10" w:name="_Ref58608675"/>
      <w:bookmarkStart w:id="11" w:name="_Ref58827840"/>
      <w:bookmarkStart w:id="12" w:name="_Toc69511393"/>
      <w:r w:rsidRPr="00187C22">
        <w:rPr>
          <w:rStyle w:val="figureCar"/>
          <w:b/>
          <w:bCs/>
          <w:iCs/>
        </w:rPr>
        <w:t xml:space="preserve">Figure </w:t>
      </w:r>
      <w:r w:rsidRPr="00187C22">
        <w:rPr>
          <w:rStyle w:val="figureCar"/>
          <w:b/>
          <w:bCs/>
          <w:iCs/>
        </w:rPr>
        <w:fldChar w:fldCharType="begin"/>
      </w:r>
      <w:r w:rsidRPr="00187C22">
        <w:rPr>
          <w:rStyle w:val="figureCar"/>
          <w:b/>
          <w:bCs/>
          <w:iCs/>
        </w:rPr>
        <w:instrText xml:space="preserve"> SEQ Figure \* ARABIC </w:instrText>
      </w:r>
      <w:r w:rsidRPr="00187C22">
        <w:rPr>
          <w:rStyle w:val="figureCar"/>
          <w:b/>
          <w:bCs/>
          <w:iCs/>
        </w:rPr>
        <w:fldChar w:fldCharType="separate"/>
      </w:r>
      <w:r w:rsidR="0007597F">
        <w:rPr>
          <w:rStyle w:val="figureCar"/>
          <w:b/>
          <w:bCs/>
          <w:iCs/>
          <w:noProof/>
        </w:rPr>
        <w:t>1</w:t>
      </w:r>
      <w:r w:rsidRPr="00187C22">
        <w:rPr>
          <w:rStyle w:val="figureCar"/>
          <w:b/>
          <w:bCs/>
          <w:iCs/>
        </w:rPr>
        <w:fldChar w:fldCharType="end"/>
      </w:r>
      <w:bookmarkEnd w:id="8"/>
      <w:r w:rsidR="008B1AE1" w:rsidRPr="00187C22">
        <w:t xml:space="preserve"> : </w:t>
      </w:r>
      <w:r w:rsidR="00EA4D14" w:rsidRPr="00187C22">
        <w:rPr>
          <w:rStyle w:val="figureCar"/>
          <w:b/>
          <w:bCs/>
          <w:iCs/>
        </w:rPr>
        <w:t xml:space="preserve">Evolution de la production </w:t>
      </w:r>
      <w:r w:rsidR="0069631B">
        <w:rPr>
          <w:rStyle w:val="figureCar"/>
          <w:b/>
          <w:bCs/>
          <w:iCs/>
        </w:rPr>
        <w:t xml:space="preserve">porcine </w:t>
      </w:r>
      <w:r w:rsidR="00EA4D14" w:rsidRPr="00187C22">
        <w:rPr>
          <w:rStyle w:val="figureCar"/>
          <w:b/>
          <w:bCs/>
          <w:iCs/>
        </w:rPr>
        <w:t>française 2000 – 2018</w:t>
      </w:r>
      <w:bookmarkEnd w:id="9"/>
      <w:bookmarkEnd w:id="10"/>
      <w:bookmarkEnd w:id="11"/>
      <w:bookmarkEnd w:id="12"/>
    </w:p>
    <w:p w14:paraId="7F30EFFA" w14:textId="13D3165E" w:rsidR="003A4CBE" w:rsidRPr="00187C22" w:rsidRDefault="00DF4729" w:rsidP="003238A3">
      <w:pPr>
        <w:pStyle w:val="Lgende"/>
        <w:rPr>
          <w:rStyle w:val="LgendeCar"/>
          <w:bCs/>
          <w:i/>
          <w:iCs/>
        </w:rPr>
      </w:pPr>
      <w:r w:rsidRPr="00187C22">
        <w:t>(Ifip d’après SSP- Agreste).</w:t>
      </w:r>
      <w:r w:rsidRPr="00187C22">
        <w:rPr>
          <w:rStyle w:val="LgendeCar"/>
          <w:bCs/>
          <w:i/>
          <w:iCs/>
        </w:rPr>
        <w:t xml:space="preserve"> </w:t>
      </w:r>
    </w:p>
    <w:p w14:paraId="28E781D0" w14:textId="7654F3A3" w:rsidR="0026673D" w:rsidRDefault="00765961" w:rsidP="00B407F0">
      <w:r w:rsidRPr="00EA4D14">
        <w:t>C</w:t>
      </w:r>
      <w:r w:rsidR="00E0201C">
        <w:t>ette hausse trouve son origine dans l’augmentation</w:t>
      </w:r>
      <w:r w:rsidRPr="00EA4D14">
        <w:t xml:space="preserve"> des abattages (+</w:t>
      </w:r>
      <w:r w:rsidR="00E00E47">
        <w:t> </w:t>
      </w:r>
      <w:r w:rsidRPr="00EA4D14">
        <w:t>0,4</w:t>
      </w:r>
      <w:r w:rsidR="00E00E47">
        <w:t> </w:t>
      </w:r>
      <w:r w:rsidRPr="00EA4D14">
        <w:t xml:space="preserve">%) et </w:t>
      </w:r>
      <w:r w:rsidR="00D47CAF">
        <w:t>un</w:t>
      </w:r>
      <w:r w:rsidRPr="00EA4D14">
        <w:t xml:space="preserve"> solde </w:t>
      </w:r>
      <w:r w:rsidR="00D47CAF">
        <w:t>en</w:t>
      </w:r>
      <w:r w:rsidRPr="00EA4D14">
        <w:t xml:space="preserve"> commerce extérieur des porcs vivants</w:t>
      </w:r>
      <w:r w:rsidR="00D47CAF">
        <w:t xml:space="preserve"> </w:t>
      </w:r>
      <w:r w:rsidR="00D47CAF" w:rsidRPr="00EA4D14">
        <w:t>excédentaire</w:t>
      </w:r>
      <w:r w:rsidRPr="00EA4D14">
        <w:t xml:space="preserve"> (580,3 milliers de porcs exportés et 171 milliers de porcs importés).</w:t>
      </w:r>
      <w:r>
        <w:t xml:space="preserve"> En</w:t>
      </w:r>
      <w:r w:rsidRPr="00533011">
        <w:t xml:space="preserve"> 2018, le marché mondial est peu porteur</w:t>
      </w:r>
      <w:r>
        <w:t xml:space="preserve"> et l’</w:t>
      </w:r>
      <w:r w:rsidRPr="00533011">
        <w:t>offre porcine est importante</w:t>
      </w:r>
      <w:r>
        <w:t xml:space="preserve"> alors que 2017 </w:t>
      </w:r>
      <w:r w:rsidR="00CE26B1">
        <w:t>se serait</w:t>
      </w:r>
      <w:r>
        <w:t xml:space="preserve"> clos à stock nul</w:t>
      </w:r>
      <w:r w:rsidR="00CE26B1">
        <w:t xml:space="preserve"> selon Agreste compte tenu de l’importance des exportations vers les pays tiers en 2017</w:t>
      </w:r>
      <w:r w:rsidRPr="00533011">
        <w:t>.</w:t>
      </w:r>
      <w:r w:rsidR="0026673D">
        <w:t xml:space="preserve"> </w:t>
      </w:r>
      <w:r w:rsidR="0070286A">
        <w:t>L</w:t>
      </w:r>
      <w:r w:rsidR="004A0C19">
        <w:t>’</w:t>
      </w:r>
      <w:r w:rsidR="009C6FF7">
        <w:t>a</w:t>
      </w:r>
      <w:r w:rsidR="009C6FF7" w:rsidRPr="007242A8">
        <w:t xml:space="preserve">lourdissement des porcs </w:t>
      </w:r>
      <w:r w:rsidR="004A0C19">
        <w:t>entre 2014 et 2018</w:t>
      </w:r>
      <w:r w:rsidR="0070286A">
        <w:t xml:space="preserve">, évolution déjà ancrée depuis de nombreuses années, </w:t>
      </w:r>
      <w:r w:rsidR="004A0C19">
        <w:t xml:space="preserve">donne </w:t>
      </w:r>
      <w:r w:rsidR="009C6FF7" w:rsidRPr="007242A8">
        <w:t>un gain de poids moyen de 4,4</w:t>
      </w:r>
      <w:r w:rsidR="00E00E47">
        <w:t> </w:t>
      </w:r>
      <w:r w:rsidR="009C6FF7" w:rsidRPr="007242A8">
        <w:t>%</w:t>
      </w:r>
      <w:r w:rsidR="009C6FF7">
        <w:t xml:space="preserve"> </w:t>
      </w:r>
      <w:r w:rsidR="004A0C19">
        <w:t>pour</w:t>
      </w:r>
      <w:r w:rsidR="009C6FF7">
        <w:t xml:space="preserve"> un</w:t>
      </w:r>
      <w:r w:rsidR="009C6FF7" w:rsidRPr="007242A8">
        <w:t xml:space="preserve"> poids moyen carcasse stabilisé en 2018 à un niveau </w:t>
      </w:r>
      <w:r w:rsidR="009C6FF7">
        <w:t>de</w:t>
      </w:r>
      <w:r w:rsidR="009C6FF7" w:rsidRPr="007242A8">
        <w:t xml:space="preserve"> 92,7</w:t>
      </w:r>
      <w:r w:rsidR="00E00E47">
        <w:t> </w:t>
      </w:r>
      <w:r w:rsidR="009C6FF7" w:rsidRPr="007242A8">
        <w:t>kg/an.</w:t>
      </w:r>
      <w:r w:rsidR="004A0C19">
        <w:t xml:space="preserve"> </w:t>
      </w:r>
      <w:r w:rsidR="007242A8" w:rsidRPr="007242A8">
        <w:t xml:space="preserve">La gamme de poids d'abattage dans l'Union </w:t>
      </w:r>
      <w:r w:rsidR="00E00E47">
        <w:t>e</w:t>
      </w:r>
      <w:r w:rsidR="007242A8" w:rsidRPr="007242A8">
        <w:t>uropéenne varie de 75 à 130</w:t>
      </w:r>
      <w:r w:rsidR="005B2E2D">
        <w:t> </w:t>
      </w:r>
      <w:r w:rsidR="007242A8" w:rsidRPr="007242A8">
        <w:t>kg de carcasse chaude et augmente régulièrement depuis 15 ans.</w:t>
      </w:r>
      <w:r w:rsidR="009A0D9E">
        <w:t xml:space="preserve"> </w:t>
      </w:r>
    </w:p>
    <w:p w14:paraId="28E71FC9" w14:textId="2B71AF50" w:rsidR="00FB02DB" w:rsidRPr="005C769C" w:rsidRDefault="00DB056E" w:rsidP="00A63F35">
      <w:pPr>
        <w:pStyle w:val="Titre2"/>
      </w:pPr>
      <w:bookmarkStart w:id="13" w:name="_Toc78131541"/>
      <w:r w:rsidRPr="005C769C">
        <w:t>Evolution de la consommation apparente toutes espèces</w:t>
      </w:r>
      <w:bookmarkEnd w:id="13"/>
      <w:r w:rsidRPr="005C769C">
        <w:t xml:space="preserve"> </w:t>
      </w:r>
    </w:p>
    <w:p w14:paraId="1E74E006" w14:textId="6655E3EF" w:rsidR="00765961" w:rsidRPr="00325A1D" w:rsidRDefault="008E6035" w:rsidP="00765961">
      <w:r w:rsidRPr="00FB02DB">
        <w:t xml:space="preserve">Les bases de données statistiques les plus couramment utilisées sont celles </w:t>
      </w:r>
      <w:r w:rsidR="009079C6">
        <w:t xml:space="preserve">issues </w:t>
      </w:r>
      <w:r w:rsidRPr="00FB02DB">
        <w:t xml:space="preserve">des bilans </w:t>
      </w:r>
      <w:r w:rsidR="00CE26B1">
        <w:t>d’approvisionnement alimentaire</w:t>
      </w:r>
      <w:r w:rsidRPr="00FB02DB">
        <w:t>. Ceux-ci fournissent des estimations des quantités disponibles</w:t>
      </w:r>
      <w:r w:rsidR="00771E6F" w:rsidRPr="00FB02DB">
        <w:t xml:space="preserve"> </w:t>
      </w:r>
      <w:r w:rsidR="00771E6F" w:rsidRPr="00FB02DB">
        <w:lastRenderedPageBreak/>
        <w:t>totales</w:t>
      </w:r>
      <w:r w:rsidRPr="00FB02DB">
        <w:t xml:space="preserve"> pour </w:t>
      </w:r>
      <w:r w:rsidR="00CE26B1">
        <w:t xml:space="preserve">les consommations </w:t>
      </w:r>
      <w:r w:rsidR="006A3537">
        <w:t xml:space="preserve">finales </w:t>
      </w:r>
      <w:r w:rsidRPr="00FB02DB">
        <w:t>pour une période déterminée</w:t>
      </w:r>
      <w:r w:rsidR="00771E6F" w:rsidRPr="00FB02DB">
        <w:t xml:space="preserve"> </w:t>
      </w:r>
      <w:r w:rsidR="00DB056E" w:rsidRPr="00FB02DB">
        <w:t xml:space="preserve">sur l’ensemble du territoire national. Calculées à partir des données d’abattage, </w:t>
      </w:r>
      <w:r w:rsidR="00CE26B1">
        <w:t>du</w:t>
      </w:r>
      <w:r w:rsidR="004A0C19">
        <w:t xml:space="preserve"> solde</w:t>
      </w:r>
      <w:r w:rsidR="00DB056E" w:rsidRPr="00FB02DB">
        <w:t xml:space="preserve"> du commerce extérieur </w:t>
      </w:r>
      <w:r w:rsidR="00334F43" w:rsidRPr="00FB02DB">
        <w:t xml:space="preserve">soient </w:t>
      </w:r>
      <w:r w:rsidR="00DB056E" w:rsidRPr="00FB02DB">
        <w:t xml:space="preserve">importations et exportations, </w:t>
      </w:r>
      <w:r w:rsidR="004A0C19">
        <w:t>la consommation</w:t>
      </w:r>
      <w:r w:rsidR="00325A1D">
        <w:t xml:space="preserve"> par bilan</w:t>
      </w:r>
      <w:r w:rsidR="004A0C19">
        <w:t xml:space="preserve"> est calculée en tenant compte </w:t>
      </w:r>
      <w:r w:rsidR="00DB056E" w:rsidRPr="00FB02DB">
        <w:t>des variations de stocks, et des usages non alimentaires</w:t>
      </w:r>
      <w:r w:rsidR="004A0C19">
        <w:t xml:space="preserve"> dans la mesure où ces éléments sont connus</w:t>
      </w:r>
      <w:r w:rsidR="00334F43" w:rsidRPr="00FB02DB">
        <w:t>. La formule suivante s’applique</w:t>
      </w:r>
      <w:r w:rsidR="003C5058">
        <w:t> :</w:t>
      </w:r>
      <w:r w:rsidR="00325A1D">
        <w:t xml:space="preserve"> </w:t>
      </w:r>
      <w:r w:rsidRPr="003C5058">
        <w:rPr>
          <w:rFonts w:cs="Arial"/>
          <w:i/>
          <w:sz w:val="20"/>
          <w:szCs w:val="20"/>
        </w:rPr>
        <w:t>« </w:t>
      </w:r>
      <w:r w:rsidR="00A74BCB" w:rsidRPr="003C5058">
        <w:rPr>
          <w:rFonts w:cs="Arial"/>
          <w:i/>
          <w:sz w:val="20"/>
          <w:szCs w:val="20"/>
        </w:rPr>
        <w:t>Consommation</w:t>
      </w:r>
      <w:r w:rsidR="00CE26B1">
        <w:rPr>
          <w:rFonts w:cs="Arial"/>
          <w:i/>
          <w:sz w:val="20"/>
          <w:szCs w:val="20"/>
        </w:rPr>
        <w:t xml:space="preserve"> indigène brute</w:t>
      </w:r>
      <w:r w:rsidR="00334F43" w:rsidRPr="003C5058">
        <w:rPr>
          <w:rFonts w:cs="Arial"/>
          <w:i/>
          <w:sz w:val="20"/>
          <w:szCs w:val="20"/>
        </w:rPr>
        <w:t xml:space="preserve"> = abattages + importations viandes – exportations viandes + stock début – stock fin</w:t>
      </w:r>
      <w:r w:rsidRPr="003C5058">
        <w:rPr>
          <w:rFonts w:cs="Arial"/>
          <w:i/>
          <w:sz w:val="20"/>
          <w:szCs w:val="20"/>
        </w:rPr>
        <w:t> »</w:t>
      </w:r>
      <w:r w:rsidR="00334F43" w:rsidRPr="003C5058">
        <w:rPr>
          <w:rFonts w:cs="Arial"/>
          <w:i/>
          <w:sz w:val="20"/>
          <w:szCs w:val="20"/>
        </w:rPr>
        <w:t>.</w:t>
      </w:r>
      <w:r w:rsidRPr="003C5058">
        <w:rPr>
          <w:rFonts w:cs="Arial"/>
          <w:i/>
          <w:sz w:val="20"/>
          <w:szCs w:val="20"/>
        </w:rPr>
        <w:t xml:space="preserve"> </w:t>
      </w:r>
      <w:r w:rsidR="00CE26B1" w:rsidRPr="00E00E47">
        <w:t xml:space="preserve">Ces disponibilités </w:t>
      </w:r>
      <w:r w:rsidR="00CE26B1">
        <w:t>à l’échelle de la France (</w:t>
      </w:r>
      <w:r w:rsidR="00CE26B1" w:rsidRPr="00471F8B">
        <w:t>métropolitain</w:t>
      </w:r>
      <w:r w:rsidR="00471F8B">
        <w:t>e et DOM</w:t>
      </w:r>
      <w:r w:rsidR="00CE26B1">
        <w:t xml:space="preserve">) </w:t>
      </w:r>
      <w:r w:rsidR="00CE26B1" w:rsidRPr="00E00E47">
        <w:t xml:space="preserve">sont divisées par la population totale pour fournir une </w:t>
      </w:r>
      <w:r w:rsidR="00CE26B1">
        <w:t>disponibilité</w:t>
      </w:r>
      <w:r w:rsidR="00CE26B1" w:rsidRPr="00E00E47">
        <w:t xml:space="preserve"> par personne en quantité (Insee, France métropolitaine et DOM au 1er janvier 2019). Les stocks de début et de fin d’année correspondent à la viande produite et conservée par les différents acteurs</w:t>
      </w:r>
      <w:r w:rsidR="00187C22">
        <w:t> </w:t>
      </w:r>
      <w:r w:rsidR="00CE26B1" w:rsidRPr="00E00E47">
        <w:t xml:space="preserve">: commerce, entrepôts de transformation et abattoirs. </w:t>
      </w:r>
      <w:r w:rsidR="00771E6F" w:rsidRPr="00E00E47">
        <w:t>L</w:t>
      </w:r>
      <w:r w:rsidR="00DB056E" w:rsidRPr="00E00E47">
        <w:t xml:space="preserve">a consommation par bilan comprend donc toute la viande </w:t>
      </w:r>
      <w:r w:rsidR="004F5C8A">
        <w:t>destinée</w:t>
      </w:r>
      <w:r w:rsidR="00DB056E" w:rsidRPr="00E00E47">
        <w:t xml:space="preserve"> à la consommation, à domicile et hors foyer, </w:t>
      </w:r>
      <w:r w:rsidR="00325A1D">
        <w:t>sous la forme</w:t>
      </w:r>
      <w:r w:rsidR="00DB056E" w:rsidRPr="00E00E47">
        <w:t xml:space="preserve"> </w:t>
      </w:r>
      <w:r w:rsidR="00325A1D">
        <w:t xml:space="preserve">de </w:t>
      </w:r>
      <w:r w:rsidR="00DB056E" w:rsidRPr="00E00E47">
        <w:t>viande fra</w:t>
      </w:r>
      <w:r w:rsidR="00325A1D">
        <w:t>î</w:t>
      </w:r>
      <w:r w:rsidR="00DB056E" w:rsidRPr="00E00E47">
        <w:t>che</w:t>
      </w:r>
      <w:r w:rsidR="00325A1D">
        <w:t>, de produits transformés de charcuterie salaisons</w:t>
      </w:r>
      <w:r w:rsidR="00DB056E" w:rsidRPr="00E00E47">
        <w:t xml:space="preserve"> ou sous forme de </w:t>
      </w:r>
      <w:r w:rsidR="00325A1D">
        <w:t>produits traiteurs (</w:t>
      </w:r>
      <w:r w:rsidR="004F5C8A">
        <w:t xml:space="preserve">notamment </w:t>
      </w:r>
      <w:r w:rsidR="00DB056E" w:rsidRPr="00E00E47">
        <w:t>plats cuisinés</w:t>
      </w:r>
      <w:r w:rsidR="00325A1D">
        <w:t>)</w:t>
      </w:r>
      <w:r w:rsidR="00DB056E" w:rsidRPr="00E00E47">
        <w:t>.</w:t>
      </w:r>
      <w:r w:rsidR="00FB02DB" w:rsidRPr="00E00E47">
        <w:t xml:space="preserve"> </w:t>
      </w:r>
      <w:r w:rsidR="0078548B" w:rsidRPr="00E00E47">
        <w:t xml:space="preserve">La tonne-équivalent-carcasse (tec) est </w:t>
      </w:r>
      <w:r w:rsidR="004F5C8A">
        <w:t>l’</w:t>
      </w:r>
      <w:r w:rsidR="0078548B" w:rsidRPr="00E00E47">
        <w:t xml:space="preserve">unité employée pour pouvoir agréger des données en poids concernant des animaux vivants et des viandes </w:t>
      </w:r>
      <w:r w:rsidR="009079C6" w:rsidRPr="00E00E47">
        <w:t>quelle que soit leur présentation</w:t>
      </w:r>
      <w:r w:rsidR="0078548B" w:rsidRPr="00E00E47">
        <w:t> : carcasses, morceaux désossés ou non, viandes séchées</w:t>
      </w:r>
      <w:r w:rsidR="006A3537">
        <w:t>.</w:t>
      </w:r>
      <w:r w:rsidR="004A0C19" w:rsidRPr="00E00E47">
        <w:t>..</w:t>
      </w:r>
      <w:r w:rsidR="00D14A16">
        <w:t xml:space="preserve"> </w:t>
      </w:r>
      <w:r w:rsidR="004F5C8A">
        <w:t>E</w:t>
      </w:r>
      <w:r w:rsidR="00D14A16">
        <w:t>lle ne</w:t>
      </w:r>
      <w:r w:rsidR="006A3537">
        <w:t xml:space="preserve"> comptabilise donc pas </w:t>
      </w:r>
      <w:r w:rsidR="00D14A16">
        <w:t>la fraction des abats consommés ou intégrés dans les process de transformation en charcuterie.</w:t>
      </w:r>
      <w:r w:rsidR="0078548B" w:rsidRPr="00E00E47">
        <w:t xml:space="preserve"> </w:t>
      </w:r>
      <w:r w:rsidR="006A3537">
        <w:t>U</w:t>
      </w:r>
      <w:r w:rsidR="0078548B" w:rsidRPr="00E00E47">
        <w:t>n coefficient propre à chaque forme du produit</w:t>
      </w:r>
      <w:r w:rsidR="006A3537">
        <w:t xml:space="preserve"> est appliqué au poids brut</w:t>
      </w:r>
      <w:r w:rsidR="0078548B" w:rsidRPr="00E00E47">
        <w:t>.</w:t>
      </w:r>
    </w:p>
    <w:p w14:paraId="08A6DEB6" w14:textId="3085AE4C" w:rsidR="00E00E47" w:rsidRPr="00E07799" w:rsidRDefault="002E750F" w:rsidP="00E00E47">
      <w:pPr>
        <w:rPr>
          <w:rFonts w:cs="Arial"/>
        </w:rPr>
      </w:pPr>
      <w:r>
        <w:rPr>
          <w:rFonts w:cs="Arial"/>
          <w:noProof/>
        </w:rPr>
        <mc:AlternateContent>
          <mc:Choice Requires="wpg">
            <w:drawing>
              <wp:anchor distT="0" distB="0" distL="114300" distR="114300" simplePos="0" relativeHeight="251658249" behindDoc="0" locked="0" layoutInCell="1" allowOverlap="1" wp14:anchorId="27B542AD" wp14:editId="6D883E8A">
                <wp:simplePos x="0" y="0"/>
                <wp:positionH relativeFrom="column">
                  <wp:posOffset>774065</wp:posOffset>
                </wp:positionH>
                <wp:positionV relativeFrom="paragraph">
                  <wp:posOffset>1664409</wp:posOffset>
                </wp:positionV>
                <wp:extent cx="3639185" cy="2812415"/>
                <wp:effectExtent l="0" t="0" r="0" b="0"/>
                <wp:wrapTopAndBottom/>
                <wp:docPr id="12" name="Groupe 12"/>
                <wp:cNvGraphicFramePr/>
                <a:graphic xmlns:a="http://schemas.openxmlformats.org/drawingml/2006/main">
                  <a:graphicData uri="http://schemas.microsoft.com/office/word/2010/wordprocessingGroup">
                    <wpg:wgp>
                      <wpg:cNvGrpSpPr/>
                      <wpg:grpSpPr>
                        <a:xfrm>
                          <a:off x="0" y="0"/>
                          <a:ext cx="3639185" cy="2812415"/>
                          <a:chOff x="19050" y="114300"/>
                          <a:chExt cx="3639185" cy="2812415"/>
                        </a:xfrm>
                      </wpg:grpSpPr>
                      <wpg:graphicFrame>
                        <wpg:cNvPr id="25" name="Graphique 25">
                          <a:extLst>
                            <a:ext uri="{FF2B5EF4-FFF2-40B4-BE49-F238E27FC236}">
                              <a16:creationId xmlns:a16="http://schemas.microsoft.com/office/drawing/2014/main" id="{3BB7F470-3C23-44DB-B56F-A7E229BDF146}"/>
                            </a:ext>
                          </a:extLst>
                        </wpg:cNvPr>
                        <wpg:cNvFrPr/>
                        <wpg:xfrm>
                          <a:off x="19050" y="257175"/>
                          <a:ext cx="3639185" cy="2669540"/>
                        </wpg:xfrm>
                        <a:graphic>
                          <a:graphicData uri="http://schemas.openxmlformats.org/drawingml/2006/chart">
                            <c:chart xmlns:c="http://schemas.openxmlformats.org/drawingml/2006/chart" xmlns:r="http://schemas.openxmlformats.org/officeDocument/2006/relationships" r:id="rId17"/>
                          </a:graphicData>
                        </a:graphic>
                      </wpg:graphicFrame>
                      <wps:wsp>
                        <wps:cNvPr id="29" name="Connecteur droit 29"/>
                        <wps:cNvCnPr/>
                        <wps:spPr>
                          <a:xfrm flipH="1" flipV="1">
                            <a:off x="2362200" y="114300"/>
                            <a:ext cx="9525" cy="2271550"/>
                          </a:xfrm>
                          <a:prstGeom prst="line">
                            <a:avLst/>
                          </a:prstGeom>
                          <a:ln>
                            <a:solidFill>
                              <a:schemeClr val="tx1">
                                <a:lumMod val="65000"/>
                                <a:lumOff val="3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42" name="Connecteur droit 42"/>
                        <wps:cNvCnPr/>
                        <wps:spPr>
                          <a:xfrm flipH="1" flipV="1">
                            <a:off x="3476625" y="114300"/>
                            <a:ext cx="9525" cy="2271550"/>
                          </a:xfrm>
                          <a:prstGeom prst="line">
                            <a:avLst/>
                          </a:prstGeom>
                          <a:ln>
                            <a:solidFill>
                              <a:schemeClr val="tx1">
                                <a:lumMod val="65000"/>
                                <a:lumOff val="35000"/>
                              </a:schemeClr>
                            </a:solidFill>
                            <a:prstDash val="sysDas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7BCD25A" id="Groupe 12" o:spid="_x0000_s1026" style="position:absolute;margin-left:60.95pt;margin-top:131.05pt;width:286.55pt;height:221.45pt;z-index:251658249;mso-width-relative:margin;mso-height-relative:margin" coordorigin="190,1143" coordsize="36391,28124" o:gfxdata="UEsDBBQABgAIAAAAIQB03DVwMAEAAOUCAAATAAAAW0NvbnRlbnRfVHlwZXNdLnhtbKySy27CMBBF&#10;95X6D5a3VWxgUVUVgUVDl21V0Q+w7MlDjR/ymAB/30kIC6pSWLCy7Jl7z/XY8+XOtqyDiI13OZ+K&#10;CWfgtDeNq3L+tX7NnjjDpJxRrXeQ8z0gXy7u7+brfQBkpHaY8zql8Cwl6hqsQuEDOKqUPlqVaBsr&#10;GZT+VhXI2WTyKLV3CVzKUu/BF/MCSrVpE1vt6PiQJEKLnL0cGntWzlUIbaNVoqSyc+YXJRsJgpRD&#10;D9ZNwAeKweWfhL5yHjDq3mk0sTHAPlRMb8pSDGkiSpj5wmvxv0cf0mLmy7LRIIqIq0F1zHTOW9fE&#10;Qjks0ysQp9MeccbrjaUZCxPVlh7TtmIwvAQf25FuOehuHgBrRY9+MYbfugjdFbc/GXBBsk/oju5y&#10;+KSLHwA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AKOwmCD&#10;BQAA4iQAABkAAABkcnMvZHJhd2luZ3MvZHJhd2luZzEueG1s7Frbbts4EP0VQu+tKepuxAHS7GZR&#10;oNsaSdGHfaMlyhZCkQJJx06/foeiFEt1NjdnF5vWDhDLvAyHw8uZmaOTfLrWTF2taMM02tZc6Gk+&#10;81bGNNPJROcrVlP9XjZMQF0pVU0N/FTLSaHophLLmk8IxvEkX1FlvNOTvFBTxfhV9Z2diXwlVS+z&#10;UC+V+psbqRNeKlm7Yban+H2cZAE5mdhRt670FkoDkkWRK709dd+7bkbuuicJ9rO97iGOMn/cve+k&#10;G1TTXMmZ5yHDtoZX4hqenURxc9XMlXvOP9/MFaqKmednWZz6HhK0ZjPvK3RiyPcmd81sH2S2H+QW&#10;2oIkOtXNJ5lf96tBX2C3mlYCRpTnKyqW7EwpuVkxWmg7Aozc2gs0dOq2v4a6a6vRYvOnLEBhujay&#10;1WpbqrpbzBerZGcnyxLBVElMcBSGHrqdeWmWhSSymtEp2AflUB9EUB15KId6gtMgw63mdGr1sA0b&#10;pc0fTB6sE7KCZp5iud2/dEpvPmljjbQbwhYLeVFxfqgB2ilycagYtJl5WQQm22nWSq4rwxTiVQ02&#10;xfbjbGrX/ndRtE0Mrbh7hgly0W0Gu+RuR9qdWMCpodMFfMNGcHfCi5ccbRRtZp6QgnmIfxR2D6Yk&#10;TeH8tD8ISWPsITWsWQxraHuNzLzcKA+tG1UtV7Bc/Uk5g+15UXXr5TS2unNtrswtZ4dq35qsOVSK&#10;1cieKcqXopuIMnzm4Xb9ClZeQqX+DrPqlszuPbsgdOr+QTWHkzzzSvXu4tJzbaGxhxbWFKiyspA2&#10;qrqGIyvkVfvkoaJSBs6PG0dLXhV2E1u57c3OzrlCNxQ0WSydQfm6hmPvyuJop81d8/ZcjCRxaiqB&#10;zG3DSprD6GeqotxDDRVSw09M8Acc4xC++z849E1l8tUFrSsO6gVQYPFDM1jYbsvm+pVFgkmVM6k5&#10;nUuV2/Nt2tmAia29u5PQ7//2VtR96QjS3EEZFXU7BHDoBbd1i52PoBzpAGmAcgBSSTyGqftRzrbr&#10;Gg66x3EUvjLKkTHKEXv7WGjuoOYXRTmfgF1gm/uxH2GAtPZO6WEu87M0TnqY87GfHGHO+pPOgznC&#10;XIsQuvmFYQ5HT4c5xBRcwJ1v8ADcme0DcAfew7r+Al5qi4zghzo3CjDi50LBD5KtyxEMPuhuPGcd&#10;Wg/jaP99x2bohSBm0A2j69ES/N89kTgl+wEzTkkQPMUTSSGydu0GjogfpXFX2kfrh4bbwdgRCY6O&#10;CImS1DoX1hEhJEzwD35IFODUXrTHcHuc1zr6Icdw+zXC7Vt9F2tD2rSQG5sIhIQI1QYqIOxtP53v&#10;/9bj62+SQ5aJs7eEbFGYRPtBcpKFOH0asvk43IO2NMFhV/pa0Aa5kmEmOTxCG/Ehwk5jB21+nBBw&#10;u8YxdpKkAcTgR2w7YhswUsdU8gtSyY9FdIslaVMVwwQy+WlD5y83ldDvcgpshNBvCeV8nGbJPkxB&#10;ZNCV9jB1fyYZ8pfZPSgH/N0PdOsBARxc5A7g/gLK6DG6FO75e+lLu11fmbAMCQ4SoK1sAOWnKfE7&#10;pqLP5PoRScK0ZyxDDPn1zp1764xlR4X8Jwwh8GLn8o4aE9ImPss3wu/ZTcfFVZO3l2WTz3NI8Fh2&#10;zcfJLok4bHFWAgVlCf98brRrC7xtHwU0eVtvU0KPkoFWvqUBgQy8ZgpYRh9ey3DJ41EeTi0Xd4HI&#10;P8ccrCyBDnc8OMzpX2H4GB0wfOeUVwtVjWjDC8g4OsowxAE8PZs2/FrV8E7LZ7ZBl7Km8ELEgJMk&#10;wEkGMAC86wGigz3hPpz0MSc5TN19FEWVM7SgGt7lwBgxgTI8wgF4kUEUc6qopXbv527tyj9s6Ney&#10;yhs09c56z2dnJ8N3mk7/BgAA//8DAFBLAwQUAAYACAAAACEA4nALRJIDAABECwAADgAAAGRycy9l&#10;Mm9Eb2MueG1s7FZNj9s2EL0XyH8gdNfqW14L6w3itbUN0CZB0/bOUJQlQBIVkl7bCPrfOxxS2sbe&#10;dpMUueUi82uGM++9Gfrm5bHvyAOXqhXDyouuQo/wgYmqHXYr74/fS//aI0rToaKdGPjKO3Hlvbx9&#10;8dPNYSx4LBrRVVwScDKo4jCuvEbrsQgCxRreU3UlRj7AZi1kTzVM5S6oJD2A974L4jDMg4OQ1SgF&#10;40rB6sZuerfov64502/rWnFNupUHsWn8Svx+MN/g9oYWO0nHpmUuDPoNUfS0HeDS2dWGakr2sr1w&#10;1bdMCiVqfcVEH4i6bhnHHCCbKDzL5l6K/Yi57IrDbpxhAmjPcPpmt+zNwztJ2gq4iz0y0B44wms5&#10;gQVA5zDuCjh0L8f34zvpFnZ2ZhI+1rI3v5AKOSKupxlXftSEwWKSJ8voOvMIg734OorTKLPIswbo&#10;MXbRMsyAH9iPojQJHTGs2T7jIpgiCEygc1x2gqyWEpKa83DJxhDMlKw59XHPCayZRCDoX5R2I8vh&#10;p7KM19m2TP0SRn4arlN/vU2Xfhkn19t4Ud7FSf6XsY7ygklONVTD62rSU5R/GV9O2UYJaYCKQmI+&#10;Jev1okwXoZ/APX6abtb+OstL/9ViG8fL9aaMUrgdqAEwIPrpF7NAWJDkGYJSzjyekfdIQpwtooXj&#10;6GkW83yZpUgTXjF5cqVk4HPDfy2F52ubNVRqgJUVOHJ4sgs0v9STcwDlf1Y+TziwpbkRbN/zQdte&#10;I3mH1KqmHZVHZGHqRr6uIgf+PzJGEmYwnDg/1yM0PPVY0+oiqK+q6fcNHTm2CmXKdZL5cpL5nRgG&#10;aIZ8L0klRatJvDRBH0Y8fjc4SahCQZUb9gyhpO7a8WcoSQ9Hf5qR2XO1DqKPoQdfVO0kmGVmygxr&#10;Pl5EGdS31eiklVEqfc9FT8xg5XXtYDKgBX0A6dqj0xGz3A3mq0TXVmXbdTgxzwS/6yR5oNDg9dHG&#10;1+37X0Vl1/IsnLoJLJtug0eTaRlqBh8b4wVJ++wCc/+GqsYaqZMyE5eGiQeInSDDkT510GtMrL/x&#10;GqrXdDbMab7DeqKMgaom3eBpY1ZDXrNh+LyhO29MOT52X2M8W+DNYtCzcd8OQj51uwHYElPb8xMC&#10;Nm8DwQdRnVBMCA0o3Irsu0s9nZ+vC6nD1v+VepIu8tyo+eyB+iH1H1J3NYBSx0YPf9Wwk/zXc/D4&#10;5/f2bwAAAP//AwBQSwMEFAAGAAgAAAAhANamkPbxEAAAa2MAABUAAABkcnMvY2hhcnRzL2NoYXJ0&#10;MS54bWzsXVtz2ziWft+q+Q9adarmYUc0AfACuNqZsuV4OtPpaVcn3Q+zNQ+0RNvaUKSapBK7p+a/&#10;zwfiQkrxcWSns7mMohQjkQAInBtwPhycfPvnm2UxepPXzaIqj8YsCMejvJxV80V5dTT++dXZRI5H&#10;TZuV86yoyvxofJs34z8//cN/fTs7nF1ndftylc3yERopm8PZ0fi6bVeHBwfN7DpfZk1QrfISzy6r&#10;epm1+FlfHczr7C0aXxYHPAyTg66RsW0ge0QDy2xRuvr1LvWry8vFLD+tZutlXramF3VeZC0o0Fwv&#10;Vo1rbcaSmr/T4nIxq6umumyDWbU8MI25QaExFh/4UT0FkeZZmzMVRqM3WXE0DscH+maRlVfmxmU9&#10;OfvJ3KyrdTnP59OqLsGOQfnl7PC4aPO6RFPTqmzRa0uv5U4UX2b16/Vqgu6uMMiLRbFob7thj59+&#10;i7an1xXoMfop/3W9qPPmaDxjUU+C6KEECNMDecAtXzFYFh027W2RmwGxkOvRHvj3dl04y4riIpu9&#10;1rQZFPZF++e64jYxdK1OjPSXbN1WrxZtkZ/mRd7m8wEdZ4eromqP6zzTBYvstlq3+tsyK9dZ8cL/&#10;Nk9eZfVV3prqixIsMVy6+aGa27Hk86vc3Ly96+aNqauCJI5EKEOeCMZinqhnk25gs8NbUyIKZKxi&#10;oZhII8aFFNKXeGu7H0gVShYlcZpKwRKWMvPia/88ljJN0ziJ0VQUWipvj+1gOOxiUeZTrcKaBleQ&#10;vhXU0rRnFL6em5e8yerbaVVUG0IJRuW1rrmY24Fa2a7qeV7bbpn67Y0u17T1T/ml/nb59I//e34+&#10;HfGQh8FN0dz84zy7ykci/uN/P/nuCY++RTe7gqgyzWBJdKVVO4V+WH7Y0a/aEd6utUqXePP0vKpn&#10;I/zRDbyBkOla3T99Q7jnOoKvtmerc4wkOyzK0dujMdfkQ4PZYVMVi/nZoii6H9qi5dPCDu3iinVl&#10;ivUSvDfDTeMQNbV0o64rbn4NW1rVTXuaNZZ13UtspaI0ve36o3lXvzY0bm6XFxXMtDYhJcxwV35Y&#10;YH7ecdHzIjGUv1hfXBS5ON1gR4PmOyuU37Qvmq4evo3W9eJo/M+pEDKcTqNJfJo8m0Shmk5Ongk+&#10;eZbyU65SEYvp9F+9dUgeah1YNLAMyeG6XPy6zp9bAv4T9NN/2ORZxKNJxNl0cgxhn6hn8hl6dqqS&#10;s7N/2cGjzx213CjATkuF+YuLotESob/ofz1ZuDJ0oXXfyvIkCSKmWJzIBErHWJq+o7WTNIA6iyjk&#10;PGJQTBU5tUVPNk0KbvRvbK6rty/yq7ycf59bA2A1Rz/5JbNstiKu702z9m/Z0hqdQdmXeX3n/fO8&#10;nuk5ohOXQfmTThpeLn7bbMoRcHY4EINnSSzSYzY5Tc6mk+gyiSfqVLFJisFOIxXF8uRkIAbxg8XA&#10;TRBOED8n8YO0P078rLhpBdMmo6y08cAItWnZuAEDYe7kl5f5TGuhthowTVbz2xvTwkU1vz2vR2/r&#10;bHU0bn5dZ3U+HhXPS0zSQjIYm1Hb/cACI8aPevjkYvgkK2fXFVZHs7Y2pm11jHnybNG9Nzs07+k6&#10;2rQv9Wzd9Xql79jBzPPLn9CV5jcsErs3X+DLo8xkspuZ1AuyctTervJLrDCPxsf1IivGo1VWVg1+&#10;Yu44CZMQ6uc/WLWsFu3s+ixbLopbkAg39LqgyVu78soOZ83v3CRYaUjTGXpLLCj3eVZnmmB6qXc0&#10;9ss8FAdVwWrDYrB8N3MwUOOv2RzAWrPY0iTDOuIF1ih2KdwZRBDuLrvvDP4s66YzN8Pfv9T4yxMe&#10;Hz75y5N4hwWHsPTfXnGocHOtoVccZk2idUOvQhSjSnBXglMlhCshqBKRK9GNoV/z9P2IXYmYaiNx&#10;JRKqROpKpFQJ6UpIqoRyJRRVgrllXEgT1VE1JKnKHFlDkqzM0TUk6QoPyLAvJAnLHGVDkrLMkTYk&#10;ScscbUOStswRNySJyxx1Q5K63FGXkdTljrqMpC531GUkdbmjLiOpyx11GUld7qjLSOpyR11GUpc7&#10;6jKSutxRl5HUxarRCAPboq6esb2LYn50Lg6+WkuEJZiuWq6Xu/k+MEjfDQ0SKnoPyIAoU7ifT8Og&#10;Y+LgDl6y4SFRBgtTN6l/bpRhGHDJIxnLNE7DhNPS4GswLJd5xJVIZSwYLcteNkIWqDSNQsa4UpEg&#10;mewlJeQBjxWc3DCMkwieCDUMLzj0SJ3gKBXg1aEfrCS74eRIpcGg06hJCrAXqzAOQhmlUZwmPGVM&#10;kmLmpSwUAXx4AAZmwNRAvb1kIOZu5Gdew3cmp7enQG525IC3rw/omOOzkoEXuyiRipOK6+2vSoIE&#10;b0pUBIcN3jvJEm+OUSOMYtYLIP0Sx/j79Maxenfh8PYaPcEYAdqIJOUAdjhtypz9xltYGrOe4aTQ&#10;enuu4mAw2AjvomTK23fFAVu5XgkZ0XOPt/eKBTJMVaiwKu+Iu2Ut+zWJt/9KBNZgiChKBFf0WJxa&#10;7847Pz/gLXS7jsEqCsIEbn5iZUnSVs/zW/c+AUgAhyaOJVP0nOh0uyOrikEimFUmwnjLjGHm6E2+&#10;+eFmFDuVNMuqah3sZ9CMOx34zwHHEY90pC2yuA0wWkhkADDaOw8BGJ9/CMD4S1VkcOnzTfUxM7+d&#10;p80Px7THA4ztjbbVwAkGAKN0nnN3+8fLSwPxMHf7QbjjbaNByA5MM2iE7rnFHz4AeUyNTN7dwo15&#10;2HgIStob1m9+BzG5D4L9hBQCqfoB3gmyfrY6GT1SJ39XbBVbHTHWN1GivyjO/H6HBUQncZAyJSIe&#10;yjiCSQYWa4t0lB9u1+DGHlud5cMdyM8ZW40fK37/KdhqB+TuiK1qZ3xzhuC7TQV7bHW41bLHVvfY&#10;aofJ693i3kvxLinpUHqfhHQvPNJA+nXe/yB9Mu9uvBc5UKTH5bECGhTx2MAeW90QA++r77HVDbp8&#10;Wdgq3D5gq88/PbYKXIXrBS2iCkLBJKmxHmgHuCcSjQWyKEyBlpLWqMdWeYBYIR5LBbiRKfodzsIB&#10;sA14CghNyhigT5SS2IezeAyopkQcEtBTGUUckUebLnFvRZ0FZIwFDBCPf897LSLwEfRKwD1AoCBi&#10;ayKyhrOQjEWIydBDlinA6ISGAh0eA/g56EqKmKccuBU1DG9AEfMRaIdbCRnKRISC5KA3qIypAAga&#10;sEnBpRD3bEx5pmPojrIJgm7ooQ+wVgSaIR5FRu5KDqVnO6oknEupgERpdpJVPN9BLxmzVHKRCI2f&#10;knOSB1tZCJQdEtKNA8hXsgV59aLi98I0V0IAuaHSYD/HC8mODVkP4Bh7EIiz6xSMrNLzHnsQTCQa&#10;jAtDkcY0fOewV8aSwOptBPdUCFIZPfYKeQysbGG7AGpJSrHHXiHvQSpYGvoLNRaPvTLOA8GTCLFr&#10;QqTYZiBreOZzEcihepGi32/FoQo9YK/oHAMmX++WO8A+A6GEUgmPUgRI0gak36BDFcCtQA4QcCVg&#10;GEjZ6zfsuMJWFsKVwF/I4PZmLrCDrwhtTR7pWhNoq41RHaCt9s5D0Na/fgjaelLl68v/+SXP1pvi&#10;BLZR266/L97qI5U28VZMel9KnGeHD3SxZztHnX62yKV8pHx/POQSu0XvIJdJwLGqE5izY1gqFbsS&#10;e+CyCd53dOJzBi7VY6VvD1z2wfBmv+qujRsfO79pavd4pp769rGid21vAKvbx4r6eFPn/SvSvXIr&#10;fxpBcF4eHYbhFvmK9GLcAl+RiIBz2ej1u/PQ9njmBuLm/WM6vm4fKzo8+dVDCz4W6GuJFYVjBTzz&#10;r58ezwwDADs4MWevtE/uY0XJAFRvwrCGBi7g/gKb2vT/erZ6k6ZDE7HaBkraXWmMyZs4EQBUTZSG&#10;VrsradCcyZMI1cNxsP5D9sqZQCnhCyCQU9orJwEmbxLDIEYcIE7z2CsJt3gTGQaIuBt8SLPrEUwM&#10;BOfalESQHoC8KKbjez2CKSONxMLdAVLWfSiG+GhRBLqlEQ61IjCz+9CbJx7BVEC9ANkCiUWQbBxz&#10;Ginz0flSBQDwklC6P/ToPeMR3CziGGGHrPvLyfnSI5gSQb+xjk7EwbfuQ79lwHomANgD4dIfIPck&#10;xRzvwRYGQA56FGpoVdxDMcd8GQPAhAC7GjRu76P/MRaUTxEpCxQNV3qa9ggm3gJkFWeLdTgOrvfE&#10;0jv8Wgpg/ZHSR5W7Kzl6D2DKMMC2AzB1f6UI5oNHJTYUoiiVQP3NlUTiPYKJt9AGyis6ouvV8A+p&#10;hH4LLE0guoNPStoGj2amElsVw+7THXPsTiGHKWwcos5htrCfsGVPvi448/iRDjcBZwoTaTiAM+2d&#10;h8CZ338InPnjm0XZTGbZqsa/m9L9URDNi6tHxwdtgoXzjxEnak+o92GUwzPuv2uc6EenQwftuaP6&#10;X1Y06Mkjlez/F1OVARYFCfa4sEcXYw9c7EHVPsXOlwyqTh8rfntQdRtU/QArt48G3UeD7k/am9P6&#10;pDfooQbSG/AeJrn4dx7GHj3tIRzvy28HZwyKOMrSQJD31fcn7TcgY+8s70/aD7OMwY8Devr9p0dP&#10;cWQW8Yr9Z9Mt7FXAASv6RHVfWn+jajgw9Z6Dy96kAYrYaJSEa5wi4hAu4v8GH6oXvcXbsYID0AAG&#10;DlFNRQNoDj/bvYbDU3av4bFTnHEWiMIFBor4Dv0hYWOPnWpsCKGlIkYKAPOhiOXBU8BUCcIxI32Y&#10;Gh9gtWQVx2ZgQzpgVB9eNqwkwTBvcNNYH/GOBI7Mv69jju+6ikC4qFLmJaSgeHuMGkJwxIna0Qt6&#10;KI71KbIZRECbgcsbXJuUcb/blUgAoQDGEC5gCEazxTE/wVAQwInO2cGTM7/HTpMt3duC3wba6tIs&#10;JORehw/2vKeI4228rW0k2b25j3dWH4+NRsDSKTHz22cRsGCykGNghL2VoXEQNGmd8j6gimPg+6p8&#10;XWjo6SM9ZYuG+pSIn1m6MTCp79q7mQ2yG5caMuahzpqQ2hjUrQeIXo80vovmNrKaIgvPcZd8dKt8&#10;31Azy1DjSp/7quoFsiZ2aYBNnNJyUf6QdVAk2h0UnHeZZTfSK2Y355XNU3ZhgGYEFp8t21Gfoudo&#10;/M2fvvkGewtI1NdUa6RoRHKz1/ncJwVeZv9X1a8Ws9c/IO+naR0Jak1r6Mr2M5cHFOFBqANAxPeg&#10;RAjnq8pUNCf69QF/ndsUQeXalG+nNq2vLnxi0y4BZ3ciUmcTeFTe0q3shXXVpd/TSabxBWkIf9Nd&#10;Q5cekmoQREN6UlzXNgMqklLXi9dIBFhWL7tv49FF1uSa/brcYwf5cbCQPBtkHfwuL97k4Fk2+VtW&#10;19VbQ43PLjGhznLdHNt8qJ36OS1Ddiv9zCXm0xmX/57XVuD0rw3VKC6K4+KqNPdmyD8J5kNNLwrk&#10;r0BmRnNfZ5Ts7ltZfvl6sTJPXNC51Yv+gc39UVY/rIt28eJNARUYvBgq67UfqVPuNAP9gAbafY8Z&#10;0FkfLEGwt2s6DM00bzU3HmIpCtPCHZZibyI0afYm4oszEf3Eeo+J6B6d5O3bPLe6c2F+WI3S8+DP&#10;5cKbBn0beuW12M1pG9liNlN3+0eYxDayaqOdYRJ4/f2XRfNjWdjMI9aqzBfN6gSpW183x3Zav8pW&#10;pnt6BXUKW9P8iAkN64Mtm+MSqpOd9HOw7yNSwu6aEnxzat1ZR6RedCCpxKeaRe+e8h46K97VCvj7&#10;Qel3sVTS/7FCcZq12ahGpvCjcf18bvw3PZX9vNL/gcMmj4d19Fy2xiL75XW2woToW+imLT0H+f8j&#10;4+m/AQAA//8DAFBLAwQUAAYACAAAACEAaiJHNOAAAAALAQAADwAAAGRycy9kb3ducmV2LnhtbEyP&#10;TUvDQBCG74L/YRnBm90k0mjTbEop6qkIbQXpbZudJqHZ2ZDdJum/dzzpbV7m4f3IV5NtxYC9bxwp&#10;iGcRCKTSmYYqBV+H96dXED5oMrp1hApu6GFV3N/lOjNupB0O+1AJNiGfaQV1CF0mpS9rtNrPXIfE&#10;v7PrrQ4s+0qaXo9sbluZRFEqrW6IE2rd4abG8rK/WgUfox7Xz/HbsL2cN7fjYf75vY1RqceHab0E&#10;EXAKfzD81ufqUHCnk7uS8aJlncQLRhUkaRKDYCJdzHndScFLxIcscvl/Q/EDAAD//wMAUEsDBBQA&#10;BgAIAAAAIQCrFs1GuQAAACIBAAAZAAAAZHJzL19yZWxzL2Uyb0RvYy54bWwucmVsc4SPzQrCMBCE&#10;74LvEPZu03oQkSa9iNCr1AdY0u0PtknIRrFvb9CLguBxdphvdsrqMU/iToFHZxUUWQ6CrHHtaHsF&#10;l+a02YPgiLbFyVlSsBBDpder8kwTxhTiYfQsEsWygiFGf5CSzUAzcuY82eR0LswYkwy99Giu2JPc&#10;5vlOhk8G6C+mqFsFoW4LEM3iU/N/tuu60dDRmdtMNv6okGbAEBMQQ09RwUvy+1pk6VOQupRfy/QT&#10;AAD//wMAUEsDBBQABgAIAAAAIQDUgIfaJAEAABMCAAAgAAAAZHJzL2NoYXJ0cy9fcmVscy9jaGFy&#10;dDEueG1sLnJlbHOskc9KAzEQxu+C7xACHrvZXaRI6bYH/0APotT2tpcxmf2ju0nIpLp9pD5HX8yx&#10;ULRQ8OJtZkK++X7zTedD34kPDNQ6W8gsSaVAq51pbV3I9ephdCMFRbAGOmexkFskOZ9dXkyX2EHk&#10;T9S0ngSrWCpkE6OfKEW6wR4ocR4tv1Qu9BC5DbXyoN+hRpWn6ViF3xpydqIpFqaQYWFyKVZbz5v/&#10;1nZV1Wq8c3rTo41nVijdQIhrwvDSgGcSsYJQYyxkkigT4JOp6VhkCVuX6ryr7D9duQ6fXt9Qxx8/&#10;VdshH1LdTspvu1Sa1sXyiEZlmo2u8nS5320sZ8Blfp2Oy+ew3xGjH4LhYR3AN0jJ0NFw1H50ho95&#10;P0QMFg586iTK2RcAAAD//wMAUEsBAi0AFAAGAAgAAAAhAHTcNXAwAQAA5QIAABMAAAAAAAAAAAAA&#10;AAAAAAAAAFtDb250ZW50X1R5cGVzXS54bWxQSwECLQAUAAYACAAAACEAOP0h/9YAAACUAQAACwAA&#10;AAAAAAAAAAAAAABhAQAAX3JlbHMvLnJlbHNQSwECLQAUAAYACAAAACEAAo7CYIMFAADiJAAAGQAA&#10;AAAAAAAAAAAAAABgAgAAZHJzL2RyYXdpbmdzL2RyYXdpbmcxLnhtbFBLAQItABQABgAIAAAAIQDi&#10;cAtEkgMAAEQLAAAOAAAAAAAAAAAAAAAAABoIAABkcnMvZTJvRG9jLnhtbFBLAQItABQABgAIAAAA&#10;IQDWppD28RAAAGtjAAAVAAAAAAAAAAAAAAAAANgLAABkcnMvY2hhcnRzL2NoYXJ0MS54bWxQSwEC&#10;LQAUAAYACAAAACEAaiJHNOAAAAALAQAADwAAAAAAAAAAAAAAAAD8HAAAZHJzL2Rvd25yZXYueG1s&#10;UEsBAi0AFAAGAAgAAAAhAKsWzUa5AAAAIgEAABkAAAAAAAAAAAAAAAAACR4AAGRycy9fcmVscy9l&#10;Mm9Eb2MueG1sLnJlbHNQSwECLQAUAAYACAAAACEA1ICH2iQBAAATAgAAIAAAAAAAAAAAAAAAAAD5&#10;HgAAZHJzL2NoYXJ0cy9fcmVscy9jaGFydDEueG1sLnJlbHNQSwUGAAAAAAgACAASAgAAW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que 25" o:spid="_x0000_s1027" type="#_x0000_t75" style="position:absolute;left:373;top:3154;width:35479;height:257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nGkwgAAANsAAAAPAAAAZHJzL2Rvd25yZXYueG1sRI9fa8Iw&#10;FMXfB36HcAXf1tQ6x6iNIsKGe6xu75fm2hSbm9JEW/vpl8Fgj4fz58cpdqNtxZ163zhWsExSEMSV&#10;0w3XCr7O789vIHxA1tg6JgUP8rDbzp4KzLUbuKT7KdQijrDPUYEJocul9JUhiz5xHXH0Lq63GKLs&#10;a6l7HOK4bWWWpq/SYsORYLCjg6HqerrZyP0YssZM5TlbfdYvy2nfXfl7rdRiPu43IAKN4T/81z5q&#10;Bdkafr/EHyC3PwAAAP//AwBQSwECLQAUAAYACAAAACEA2+H2y+4AAACFAQAAEwAAAAAAAAAAAAAA&#10;AAAAAAAAW0NvbnRlbnRfVHlwZXNdLnhtbFBLAQItABQABgAIAAAAIQBa9CxbvwAAABUBAAALAAAA&#10;AAAAAAAAAAAAAB8BAABfcmVscy8ucmVsc1BLAQItABQABgAIAAAAIQCkhnGkwgAAANsAAAAPAAAA&#10;AAAAAAAAAAAAAAcCAABkcnMvZG93bnJldi54bWxQSwUGAAAAAAMAAwC3AAAA9gIAAAAA&#10;">
                  <v:imagedata r:id="rId20" o:title=""/>
                  <o:lock v:ext="edit" aspectratio="f"/>
                </v:shape>
                <v:line id="Connecteur droit 29" o:spid="_x0000_s1028" style="position:absolute;flip:x y;visibility:visible;mso-wrap-style:square" from="23622,1143" to="23717,2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doxxAAAANsAAAAPAAAAZHJzL2Rvd25yZXYueG1sRI9Pi8Iw&#10;FMTvC36H8IS92VQP61qNIoLiwYOrIh6fzesfbV5qE7V++82CsMdhZn7DTGatqcSDGldaVtCPYhDE&#10;qdUl5woO+2XvG4TzyBory6TgRQ5m087HBBNtn/xDj53PRYCwS1BB4X2dSOnSggy6yNbEwctsY9AH&#10;2eRSN/gMcFPJQRx/SYMlh4UCa1oUlF53d6Pg5OtsmF36eMsWx82qxfx6Hm6V+uy28zEIT63/D7/b&#10;a61gMIK/L+EHyOkvAAAA//8DAFBLAQItABQABgAIAAAAIQDb4fbL7gAAAIUBAAATAAAAAAAAAAAA&#10;AAAAAAAAAABbQ29udGVudF9UeXBlc10ueG1sUEsBAi0AFAAGAAgAAAAhAFr0LFu/AAAAFQEAAAsA&#10;AAAAAAAAAAAAAAAAHwEAAF9yZWxzLy5yZWxzUEsBAi0AFAAGAAgAAAAhACoR2jHEAAAA2wAAAA8A&#10;AAAAAAAAAAAAAAAABwIAAGRycy9kb3ducmV2LnhtbFBLBQYAAAAAAwADALcAAAD4AgAAAAA=&#10;" strokecolor="#5a5a5a [2109]" strokeweight=".5pt">
                  <v:stroke dashstyle="3 1" joinstyle="miter"/>
                </v:line>
                <v:line id="Connecteur droit 42" o:spid="_x0000_s1029" style="position:absolute;flip:x y;visibility:visible;mso-wrap-style:square" from="34766,1143" to="34861,23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q3gwwAAANsAAAAPAAAAZHJzL2Rvd25yZXYueG1sRI9Pi8Iw&#10;FMTvgt8hPGFv21RZVqlGEUHx4GFXRTw+m9c/2rzUJmr99mZhweMwM79hJrPWVOJOjSstK+hHMQji&#10;1OqScwX73fJzBMJ5ZI2VZVLwJAezabczwUTbB//SfetzESDsElRQeF8nUrq0IIMusjVx8DLbGPRB&#10;NrnUDT4C3FRyEMff0mDJYaHAmhYFpZftzSg4+jobZuc+XrPFYbNqMb+chj9KffTa+RiEp9a/w//t&#10;tVbwNYC/L+EHyOkLAAD//wMAUEsBAi0AFAAGAAgAAAAhANvh9svuAAAAhQEAABMAAAAAAAAAAAAA&#10;AAAAAAAAAFtDb250ZW50X1R5cGVzXS54bWxQSwECLQAUAAYACAAAACEAWvQsW78AAAAVAQAACwAA&#10;AAAAAAAAAAAAAAAfAQAAX3JlbHMvLnJlbHNQSwECLQAUAAYACAAAACEA+Wqt4MMAAADbAAAADwAA&#10;AAAAAAAAAAAAAAAHAgAAZHJzL2Rvd25yZXYueG1sUEsFBgAAAAADAAMAtwAAAPcCAAAAAA==&#10;" strokecolor="#5a5a5a [2109]" strokeweight=".5pt">
                  <v:stroke dashstyle="3 1" joinstyle="miter"/>
                </v:line>
                <w10:wrap type="topAndBottom"/>
              </v:group>
            </w:pict>
          </mc:Fallback>
        </mc:AlternateContent>
      </w:r>
      <w:r w:rsidR="00771E6F">
        <w:rPr>
          <w:rFonts w:cs="Arial"/>
        </w:rPr>
        <w:t xml:space="preserve">En ce qui concerne </w:t>
      </w:r>
      <w:r w:rsidR="003A432B">
        <w:rPr>
          <w:rFonts w:cs="Arial"/>
        </w:rPr>
        <w:t xml:space="preserve">les </w:t>
      </w:r>
      <w:r w:rsidR="00771E6F" w:rsidRPr="008F77BE">
        <w:rPr>
          <w:rFonts w:cs="Arial"/>
        </w:rPr>
        <w:t>viandes de boucherie</w:t>
      </w:r>
      <w:r w:rsidR="00B76D09">
        <w:rPr>
          <w:rFonts w:cs="Arial"/>
        </w:rPr>
        <w:t xml:space="preserve"> dont le porc</w:t>
      </w:r>
      <w:r w:rsidR="00771E6F">
        <w:rPr>
          <w:rFonts w:cs="Arial"/>
        </w:rPr>
        <w:t xml:space="preserve">, </w:t>
      </w:r>
      <w:r w:rsidR="00B76D09">
        <w:rPr>
          <w:rFonts w:cs="Arial"/>
        </w:rPr>
        <w:t xml:space="preserve">depuis les </w:t>
      </w:r>
      <w:r w:rsidR="008F77BE" w:rsidRPr="008F77BE">
        <w:rPr>
          <w:rFonts w:cs="Arial"/>
        </w:rPr>
        <w:t xml:space="preserve">années 1980, </w:t>
      </w:r>
      <w:r w:rsidR="00771E6F">
        <w:rPr>
          <w:rFonts w:cs="Arial"/>
        </w:rPr>
        <w:t xml:space="preserve">elles </w:t>
      </w:r>
      <w:r w:rsidR="008F77BE" w:rsidRPr="008F77BE">
        <w:rPr>
          <w:rFonts w:cs="Arial"/>
        </w:rPr>
        <w:t xml:space="preserve">ont décliné avec un </w:t>
      </w:r>
      <w:r w:rsidR="00765961" w:rsidRPr="008F77BE">
        <w:rPr>
          <w:rFonts w:cs="Arial"/>
        </w:rPr>
        <w:t>rythme d’environ 12</w:t>
      </w:r>
      <w:r w:rsidR="005B2E2D">
        <w:rPr>
          <w:rFonts w:cs="Arial"/>
        </w:rPr>
        <w:t> </w:t>
      </w:r>
      <w:r w:rsidR="00765961" w:rsidRPr="008F77BE">
        <w:rPr>
          <w:rFonts w:cs="Arial"/>
        </w:rPr>
        <w:t>% en 10 ans au profit d</w:t>
      </w:r>
      <w:r w:rsidR="00765961">
        <w:rPr>
          <w:rFonts w:cs="Arial"/>
        </w:rPr>
        <w:t>e</w:t>
      </w:r>
      <w:r w:rsidR="00765961" w:rsidRPr="008F77BE">
        <w:rPr>
          <w:rFonts w:cs="Arial"/>
        </w:rPr>
        <w:t xml:space="preserve"> la volaille. Depuis 2004, le porc recule à un rythme relativement modéré avec à peine 5</w:t>
      </w:r>
      <w:r w:rsidR="005B2E2D">
        <w:rPr>
          <w:rFonts w:cs="Arial"/>
        </w:rPr>
        <w:t> </w:t>
      </w:r>
      <w:r w:rsidR="00765961" w:rsidRPr="008F77BE">
        <w:rPr>
          <w:rFonts w:cs="Arial"/>
        </w:rPr>
        <w:t>% en 10 ans.</w:t>
      </w:r>
      <w:r w:rsidR="00765961">
        <w:rPr>
          <w:rFonts w:cs="Arial"/>
        </w:rPr>
        <w:t xml:space="preserve"> Cependant, en</w:t>
      </w:r>
      <w:r w:rsidR="00765961" w:rsidRPr="00EB3BDB">
        <w:rPr>
          <w:rFonts w:cs="Arial"/>
        </w:rPr>
        <w:t xml:space="preserve"> 2018,</w:t>
      </w:r>
      <w:r w:rsidR="00E00E47" w:rsidRPr="00E00E47">
        <w:rPr>
          <w:rFonts w:cs="Arial"/>
          <w:noProof/>
        </w:rPr>
        <w:t xml:space="preserve"> </w:t>
      </w:r>
      <w:r w:rsidR="00E00E47" w:rsidRPr="00EB3BDB">
        <w:rPr>
          <w:rFonts w:cs="Arial"/>
        </w:rPr>
        <w:t>dans le prolongement de l’augmentation</w:t>
      </w:r>
      <w:r w:rsidR="00E00E47">
        <w:rPr>
          <w:rFonts w:cs="Arial"/>
        </w:rPr>
        <w:t xml:space="preserve"> </w:t>
      </w:r>
      <w:r w:rsidR="00E00E47" w:rsidRPr="00EB3BDB">
        <w:rPr>
          <w:rFonts w:cs="Arial"/>
        </w:rPr>
        <w:t xml:space="preserve">continue enregistrée depuis cinq ans, la consommation </w:t>
      </w:r>
      <w:r w:rsidR="00E00E47">
        <w:rPr>
          <w:rFonts w:cs="Arial"/>
        </w:rPr>
        <w:t xml:space="preserve">totale </w:t>
      </w:r>
      <w:r w:rsidR="00E00E47" w:rsidRPr="00EB3BDB">
        <w:rPr>
          <w:rFonts w:cs="Arial"/>
        </w:rPr>
        <w:t>de viande mise à disposition sur le marché intérieur, progresse légèrement (+ 0,</w:t>
      </w:r>
      <w:r w:rsidR="00E00E47">
        <w:rPr>
          <w:rFonts w:cs="Arial"/>
        </w:rPr>
        <w:t>5</w:t>
      </w:r>
      <w:r w:rsidR="005B2E2D">
        <w:rPr>
          <w:rFonts w:cs="Arial"/>
        </w:rPr>
        <w:t> </w:t>
      </w:r>
      <w:r w:rsidR="00E00E47" w:rsidRPr="00EB3BDB">
        <w:rPr>
          <w:rFonts w:cs="Arial"/>
        </w:rPr>
        <w:t>% par rapport à 2017)</w:t>
      </w:r>
      <w:r w:rsidR="00E00E47">
        <w:rPr>
          <w:rFonts w:cs="Arial"/>
        </w:rPr>
        <w:t xml:space="preserve"> </w:t>
      </w:r>
      <w:r w:rsidR="00E00E47" w:rsidRPr="00EB3BDB">
        <w:rPr>
          <w:rFonts w:cs="Arial"/>
        </w:rPr>
        <w:t xml:space="preserve">interrompant ainsi la tendance à la stagnation, voire à la baisse, observée depuis 2014. </w:t>
      </w:r>
      <w:r w:rsidR="00E00E47">
        <w:rPr>
          <w:rFonts w:cs="Arial"/>
        </w:rPr>
        <w:t xml:space="preserve">Cette </w:t>
      </w:r>
      <w:r w:rsidR="006A3537">
        <w:rPr>
          <w:rFonts w:cs="Arial"/>
        </w:rPr>
        <w:t xml:space="preserve">érosion de la consommation plus limitée dans les bilans d’approvisionnement que dans les données de consommation à domicile </w:t>
      </w:r>
      <w:r w:rsidR="00E00E47">
        <w:rPr>
          <w:rFonts w:cs="Arial"/>
        </w:rPr>
        <w:t>pourrait s’expliquer par le développement de la restauration hors domicile</w:t>
      </w:r>
      <w:r w:rsidR="00D06B31">
        <w:rPr>
          <w:rFonts w:cs="Arial"/>
        </w:rPr>
        <w:t xml:space="preserve">. </w:t>
      </w:r>
    </w:p>
    <w:p w14:paraId="7BF7C716" w14:textId="13875683" w:rsidR="005267CA" w:rsidRPr="005267CA" w:rsidRDefault="00695391" w:rsidP="005267CA">
      <w:pPr>
        <w:pStyle w:val="figure"/>
        <w:rPr>
          <w:rStyle w:val="figureCar"/>
          <w:b/>
          <w:bCs/>
        </w:rPr>
      </w:pPr>
      <w:bookmarkStart w:id="14" w:name="_Ref58827960"/>
      <w:bookmarkStart w:id="15" w:name="_Toc69511394"/>
      <w:r w:rsidRPr="005267CA">
        <w:rPr>
          <w:rStyle w:val="figureCar"/>
          <w:b/>
          <w:bCs/>
        </w:rPr>
        <w:t xml:space="preserve">Figure </w:t>
      </w:r>
      <w:r w:rsidRPr="005267CA">
        <w:rPr>
          <w:rStyle w:val="figureCar"/>
          <w:b/>
          <w:bCs/>
        </w:rPr>
        <w:fldChar w:fldCharType="begin"/>
      </w:r>
      <w:r w:rsidRPr="005267CA">
        <w:rPr>
          <w:rStyle w:val="figureCar"/>
          <w:b/>
          <w:bCs/>
        </w:rPr>
        <w:instrText xml:space="preserve"> SEQ Figure \* ARABIC </w:instrText>
      </w:r>
      <w:r w:rsidRPr="005267CA">
        <w:rPr>
          <w:rStyle w:val="figureCar"/>
          <w:b/>
          <w:bCs/>
        </w:rPr>
        <w:fldChar w:fldCharType="separate"/>
      </w:r>
      <w:r w:rsidR="0007597F">
        <w:rPr>
          <w:rStyle w:val="figureCar"/>
          <w:b/>
          <w:bCs/>
          <w:noProof/>
        </w:rPr>
        <w:t>2</w:t>
      </w:r>
      <w:r w:rsidRPr="005267CA">
        <w:rPr>
          <w:rStyle w:val="figureCar"/>
          <w:b/>
          <w:bCs/>
        </w:rPr>
        <w:fldChar w:fldCharType="end"/>
      </w:r>
      <w:r w:rsidRPr="005267CA">
        <w:rPr>
          <w:rStyle w:val="figureCar"/>
          <w:b/>
          <w:bCs/>
        </w:rPr>
        <w:t> :</w:t>
      </w:r>
      <w:r w:rsidRPr="005267CA">
        <w:rPr>
          <w:b w:val="0"/>
          <w:bCs w:val="0"/>
        </w:rPr>
        <w:t xml:space="preserve"> </w:t>
      </w:r>
      <w:r w:rsidR="00E07799" w:rsidRPr="005267CA">
        <w:rPr>
          <w:rStyle w:val="figureCar"/>
          <w:b/>
          <w:bCs/>
        </w:rPr>
        <w:t>Evolution de la consommation des viandes</w:t>
      </w:r>
      <w:r w:rsidR="002647D7" w:rsidRPr="005267CA">
        <w:rPr>
          <w:rStyle w:val="figureCar"/>
          <w:b/>
          <w:bCs/>
        </w:rPr>
        <w:t xml:space="preserve"> par habitant</w:t>
      </w:r>
      <w:r w:rsidR="00E07799" w:rsidRPr="005267CA">
        <w:rPr>
          <w:rStyle w:val="figureCar"/>
          <w:b/>
          <w:bCs/>
        </w:rPr>
        <w:t xml:space="preserve"> en France 1990 – 2018</w:t>
      </w:r>
      <w:r w:rsidR="002647D7" w:rsidRPr="005267CA">
        <w:rPr>
          <w:rStyle w:val="figureCar"/>
          <w:b/>
          <w:bCs/>
        </w:rPr>
        <w:t xml:space="preserve"> en kg équivalent carcasse par habitant par an.</w:t>
      </w:r>
      <w:bookmarkEnd w:id="14"/>
      <w:bookmarkEnd w:id="15"/>
    </w:p>
    <w:p w14:paraId="48F0677D" w14:textId="234B9747" w:rsidR="002732BB" w:rsidRDefault="00E00E47" w:rsidP="00695391">
      <w:pPr>
        <w:pStyle w:val="Lgende"/>
      </w:pPr>
      <w:r w:rsidRPr="00695391">
        <w:t>S</w:t>
      </w:r>
      <w:r w:rsidR="00E07799" w:rsidRPr="00695391">
        <w:t>ource</w:t>
      </w:r>
      <w:r w:rsidR="00765961" w:rsidRPr="00695391">
        <w:t>s</w:t>
      </w:r>
      <w:r w:rsidR="00E07799" w:rsidRPr="00695391">
        <w:t xml:space="preserve"> : </w:t>
      </w:r>
      <w:r w:rsidR="00857A1E">
        <w:t>E</w:t>
      </w:r>
      <w:r w:rsidR="00E07799" w:rsidRPr="00695391">
        <w:t>stimations IFIP d’après SSP, ITAVI, Institut de l'Elevage.</w:t>
      </w:r>
      <w:r w:rsidR="000C72B3" w:rsidRPr="00695391">
        <w:t xml:space="preserve"> France</w:t>
      </w:r>
      <w:r w:rsidR="00CF720F" w:rsidRPr="00695391">
        <w:t xml:space="preserve"> y compris DOM à partir de 1996 </w:t>
      </w:r>
      <w:r w:rsidR="00857A1E">
        <w:t>-</w:t>
      </w:r>
      <w:r w:rsidR="00CF720F" w:rsidRPr="00695391">
        <w:t>1997 pour la volaille</w:t>
      </w:r>
    </w:p>
    <w:p w14:paraId="66662D9E" w14:textId="25A13D0B" w:rsidR="00BB35EF" w:rsidRDefault="00257A97" w:rsidP="003C5058">
      <w:pPr>
        <w:rPr>
          <w:rFonts w:cs="Arial"/>
        </w:rPr>
      </w:pPr>
      <w:r>
        <w:rPr>
          <w:rFonts w:cs="Arial"/>
        </w:rPr>
        <w:t>Les constats sont cependant</w:t>
      </w:r>
      <w:r w:rsidRPr="00EB3BDB">
        <w:rPr>
          <w:rFonts w:cs="Arial"/>
        </w:rPr>
        <w:t xml:space="preserve"> contrasté</w:t>
      </w:r>
      <w:r>
        <w:rPr>
          <w:rFonts w:cs="Arial"/>
        </w:rPr>
        <w:t>s</w:t>
      </w:r>
      <w:r w:rsidRPr="00EB3BDB">
        <w:rPr>
          <w:rFonts w:cs="Arial"/>
        </w:rPr>
        <w:t xml:space="preserve"> selon les types de viande</w:t>
      </w:r>
      <w:r w:rsidR="009F57F7">
        <w:rPr>
          <w:rFonts w:cs="Arial"/>
        </w:rPr>
        <w:t xml:space="preserve">. </w:t>
      </w:r>
      <w:r w:rsidR="0042703E">
        <w:rPr>
          <w:rFonts w:cs="Arial"/>
        </w:rPr>
        <w:t>L</w:t>
      </w:r>
      <w:r w:rsidR="000C72B3">
        <w:rPr>
          <w:rFonts w:cs="Arial"/>
        </w:rPr>
        <w:t>e</w:t>
      </w:r>
      <w:r w:rsidR="0042703E">
        <w:rPr>
          <w:rFonts w:cs="Arial"/>
        </w:rPr>
        <w:t xml:space="preserve"> porc</w:t>
      </w:r>
      <w:r w:rsidR="000C72B3">
        <w:rPr>
          <w:rFonts w:cs="Arial"/>
        </w:rPr>
        <w:t xml:space="preserve"> </w:t>
      </w:r>
      <w:r w:rsidR="000C72B3" w:rsidRPr="000C72B3">
        <w:rPr>
          <w:rFonts w:cs="Arial"/>
        </w:rPr>
        <w:t>reste la principale viande consommée</w:t>
      </w:r>
      <w:r w:rsidR="0042703E">
        <w:rPr>
          <w:rFonts w:cs="Arial"/>
        </w:rPr>
        <w:t xml:space="preserve"> </w:t>
      </w:r>
      <w:r w:rsidR="000C72B3">
        <w:rPr>
          <w:rFonts w:cs="Arial"/>
        </w:rPr>
        <w:t>et s’établirait à</w:t>
      </w:r>
      <w:r w:rsidR="000C72B3" w:rsidRPr="000C72B3">
        <w:rPr>
          <w:rFonts w:cs="Arial"/>
        </w:rPr>
        <w:t xml:space="preserve"> plus de </w:t>
      </w:r>
      <w:r w:rsidR="000C72B3" w:rsidRPr="007F7CA1">
        <w:rPr>
          <w:rFonts w:cs="Arial"/>
          <w:b/>
        </w:rPr>
        <w:t xml:space="preserve">33 kg </w:t>
      </w:r>
      <w:r w:rsidR="00471F8B">
        <w:rPr>
          <w:rFonts w:cs="Arial"/>
          <w:b/>
        </w:rPr>
        <w:t xml:space="preserve">équivalent </w:t>
      </w:r>
      <w:r w:rsidR="00E4286D">
        <w:rPr>
          <w:rFonts w:cs="Arial"/>
          <w:b/>
        </w:rPr>
        <w:t>c</w:t>
      </w:r>
      <w:r w:rsidR="00471F8B">
        <w:rPr>
          <w:rFonts w:cs="Arial"/>
          <w:b/>
        </w:rPr>
        <w:t>arcasse</w:t>
      </w:r>
      <w:r w:rsidR="00E4286D">
        <w:rPr>
          <w:rFonts w:cs="Arial"/>
          <w:b/>
        </w:rPr>
        <w:t xml:space="preserve"> </w:t>
      </w:r>
      <w:r w:rsidR="000C72B3" w:rsidRPr="007F7CA1">
        <w:rPr>
          <w:rFonts w:cs="Arial"/>
          <w:b/>
        </w:rPr>
        <w:t>par habitant en 2018 e</w:t>
      </w:r>
      <w:r w:rsidR="00630EAB" w:rsidRPr="007F7CA1">
        <w:rPr>
          <w:rFonts w:cs="Arial"/>
          <w:b/>
        </w:rPr>
        <w:t>n</w:t>
      </w:r>
      <w:r w:rsidR="000C72B3" w:rsidRPr="007F7CA1">
        <w:rPr>
          <w:rFonts w:cs="Arial"/>
          <w:b/>
        </w:rPr>
        <w:t xml:space="preserve"> </w:t>
      </w:r>
      <w:r w:rsidR="0042703E" w:rsidRPr="007F7CA1">
        <w:rPr>
          <w:rFonts w:cs="Arial"/>
          <w:b/>
        </w:rPr>
        <w:t xml:space="preserve">recul </w:t>
      </w:r>
      <w:r w:rsidR="000C72B3" w:rsidRPr="007F7CA1">
        <w:rPr>
          <w:rFonts w:cs="Arial"/>
          <w:b/>
        </w:rPr>
        <w:t>de 0,3</w:t>
      </w:r>
      <w:r w:rsidR="005B2E2D">
        <w:rPr>
          <w:rFonts w:cs="Arial"/>
          <w:b/>
        </w:rPr>
        <w:t> </w:t>
      </w:r>
      <w:r w:rsidR="000C72B3" w:rsidRPr="007F7CA1">
        <w:rPr>
          <w:rFonts w:cs="Arial"/>
          <w:b/>
        </w:rPr>
        <w:t>% par rapport à 2017</w:t>
      </w:r>
      <w:r w:rsidR="000C72B3">
        <w:rPr>
          <w:rFonts w:cs="Arial"/>
        </w:rPr>
        <w:t>. L</w:t>
      </w:r>
      <w:r w:rsidR="008C33C2" w:rsidRPr="00EB3BDB">
        <w:rPr>
          <w:rFonts w:cs="Arial"/>
        </w:rPr>
        <w:t xml:space="preserve">a volaille </w:t>
      </w:r>
      <w:r w:rsidR="00210E2B">
        <w:rPr>
          <w:rFonts w:cs="Arial"/>
        </w:rPr>
        <w:t xml:space="preserve">qui </w:t>
      </w:r>
      <w:r>
        <w:rPr>
          <w:rFonts w:cs="Arial"/>
        </w:rPr>
        <w:t>creuse l’écart depuis 2010</w:t>
      </w:r>
      <w:r w:rsidR="009F57F7">
        <w:rPr>
          <w:rFonts w:cs="Arial"/>
        </w:rPr>
        <w:t xml:space="preserve"> à </w:t>
      </w:r>
      <w:r w:rsidR="009F57F7" w:rsidRPr="009F57F7">
        <w:rPr>
          <w:rFonts w:cs="Arial"/>
        </w:rPr>
        <w:t>+1,9</w:t>
      </w:r>
      <w:r w:rsidR="005B2E2D">
        <w:rPr>
          <w:rFonts w:cs="Arial"/>
        </w:rPr>
        <w:t> </w:t>
      </w:r>
      <w:r w:rsidR="009F57F7" w:rsidRPr="009F57F7">
        <w:rPr>
          <w:rFonts w:cs="Arial"/>
        </w:rPr>
        <w:t xml:space="preserve">% par an en </w:t>
      </w:r>
      <w:r w:rsidR="009F57F7" w:rsidRPr="009F57F7">
        <w:rPr>
          <w:rFonts w:cs="Arial"/>
        </w:rPr>
        <w:lastRenderedPageBreak/>
        <w:t>moyenne</w:t>
      </w:r>
      <w:r w:rsidR="00210E2B">
        <w:rPr>
          <w:rFonts w:cs="Arial"/>
        </w:rPr>
        <w:t>,</w:t>
      </w:r>
      <w:r>
        <w:rPr>
          <w:rFonts w:cs="Arial"/>
        </w:rPr>
        <w:t xml:space="preserve"> </w:t>
      </w:r>
      <w:r w:rsidR="008C33C2" w:rsidRPr="00EB3BDB">
        <w:rPr>
          <w:rFonts w:cs="Arial"/>
        </w:rPr>
        <w:t xml:space="preserve">continuerait de progresser </w:t>
      </w:r>
      <w:r w:rsidR="00630EAB">
        <w:rPr>
          <w:rFonts w:cs="Arial"/>
        </w:rPr>
        <w:t xml:space="preserve">mais </w:t>
      </w:r>
      <w:r w:rsidR="009F57F7">
        <w:rPr>
          <w:rFonts w:cs="Arial"/>
        </w:rPr>
        <w:t xml:space="preserve">plus lentement </w:t>
      </w:r>
      <w:r w:rsidR="00630EAB">
        <w:rPr>
          <w:rFonts w:cs="Arial"/>
        </w:rPr>
        <w:t>à</w:t>
      </w:r>
      <w:r w:rsidR="00BB35EF">
        <w:rPr>
          <w:rFonts w:cs="Arial"/>
        </w:rPr>
        <w:t xml:space="preserve"> </w:t>
      </w:r>
      <w:r w:rsidR="008C33C2" w:rsidRPr="00EB3BDB">
        <w:rPr>
          <w:rFonts w:cs="Arial"/>
        </w:rPr>
        <w:t>+</w:t>
      </w:r>
      <w:r>
        <w:rPr>
          <w:rFonts w:cs="Arial"/>
        </w:rPr>
        <w:t>0,4</w:t>
      </w:r>
      <w:r w:rsidR="005B2E2D">
        <w:rPr>
          <w:rFonts w:cs="Arial"/>
        </w:rPr>
        <w:t> </w:t>
      </w:r>
      <w:r w:rsidR="008C33C2" w:rsidRPr="00EB3BDB">
        <w:rPr>
          <w:rFonts w:cs="Arial"/>
        </w:rPr>
        <w:t>%</w:t>
      </w:r>
      <w:r w:rsidR="00BB35EF">
        <w:rPr>
          <w:rFonts w:cs="Arial"/>
        </w:rPr>
        <w:t>,</w:t>
      </w:r>
      <w:r w:rsidR="008C33C2">
        <w:rPr>
          <w:rFonts w:cs="Arial"/>
        </w:rPr>
        <w:t xml:space="preserve"> </w:t>
      </w:r>
      <w:r>
        <w:rPr>
          <w:rFonts w:cs="Arial"/>
        </w:rPr>
        <w:t xml:space="preserve">entre 2018 et 2017. </w:t>
      </w:r>
      <w:r w:rsidR="00EB3BDB" w:rsidRPr="00EB3BDB">
        <w:rPr>
          <w:rFonts w:cs="Arial"/>
        </w:rPr>
        <w:t xml:space="preserve">La consommation de viande de </w:t>
      </w:r>
      <w:r w:rsidR="00BB35EF">
        <w:rPr>
          <w:rFonts w:cs="Arial"/>
        </w:rPr>
        <w:t>bœuf et veau</w:t>
      </w:r>
      <w:r w:rsidR="00EB3BDB" w:rsidRPr="00EB3BDB">
        <w:rPr>
          <w:rFonts w:cs="Arial"/>
        </w:rPr>
        <w:t xml:space="preserve">, </w:t>
      </w:r>
      <w:r w:rsidR="000C72B3">
        <w:rPr>
          <w:rFonts w:cs="Arial"/>
        </w:rPr>
        <w:t xml:space="preserve">soit </w:t>
      </w:r>
      <w:r w:rsidR="00BB35EF">
        <w:rPr>
          <w:rFonts w:cs="Arial"/>
        </w:rPr>
        <w:t>30</w:t>
      </w:r>
      <w:r w:rsidR="005B2E2D">
        <w:rPr>
          <w:rFonts w:cs="Arial"/>
        </w:rPr>
        <w:t> </w:t>
      </w:r>
      <w:r w:rsidR="00BB35EF">
        <w:rPr>
          <w:rFonts w:cs="Arial"/>
        </w:rPr>
        <w:t>%</w:t>
      </w:r>
      <w:r w:rsidR="00EB3BDB" w:rsidRPr="00EB3BDB">
        <w:rPr>
          <w:rFonts w:cs="Arial"/>
        </w:rPr>
        <w:t xml:space="preserve"> de l’ensemble des viandes consommées</w:t>
      </w:r>
      <w:r w:rsidR="00210E2B">
        <w:rPr>
          <w:rFonts w:cs="Arial"/>
        </w:rPr>
        <w:t xml:space="preserve"> en 2018</w:t>
      </w:r>
      <w:r w:rsidR="00EB3BDB" w:rsidRPr="00EB3BDB">
        <w:rPr>
          <w:rFonts w:cs="Arial"/>
        </w:rPr>
        <w:t>, se redresse</w:t>
      </w:r>
      <w:r w:rsidR="004A0C19">
        <w:rPr>
          <w:rFonts w:cs="Arial"/>
        </w:rPr>
        <w:t>rait</w:t>
      </w:r>
      <w:r w:rsidR="00EB3BDB" w:rsidRPr="00EB3BDB">
        <w:rPr>
          <w:rFonts w:cs="Arial"/>
        </w:rPr>
        <w:t xml:space="preserve"> </w:t>
      </w:r>
      <w:r w:rsidR="009F57F7">
        <w:rPr>
          <w:rFonts w:cs="Arial"/>
        </w:rPr>
        <w:t xml:space="preserve">à </w:t>
      </w:r>
      <w:r w:rsidR="00EB3BDB" w:rsidRPr="00EB3BDB">
        <w:rPr>
          <w:rFonts w:cs="Arial"/>
        </w:rPr>
        <w:t>+1,</w:t>
      </w:r>
      <w:r w:rsidR="00BB35EF">
        <w:rPr>
          <w:rFonts w:cs="Arial"/>
        </w:rPr>
        <w:t>8</w:t>
      </w:r>
      <w:r w:rsidR="005B2E2D">
        <w:rPr>
          <w:rFonts w:cs="Arial"/>
        </w:rPr>
        <w:t> </w:t>
      </w:r>
      <w:r w:rsidR="00EB3BDB" w:rsidRPr="00EB3BDB">
        <w:rPr>
          <w:rFonts w:cs="Arial"/>
        </w:rPr>
        <w:t>%</w:t>
      </w:r>
      <w:r w:rsidR="00BB35EF">
        <w:rPr>
          <w:rFonts w:cs="Arial"/>
        </w:rPr>
        <w:t>.</w:t>
      </w:r>
    </w:p>
    <w:p w14:paraId="39E57AED" w14:textId="3F8A9DE9" w:rsidR="000C72B3" w:rsidRPr="00BB35EF" w:rsidRDefault="000C72B3" w:rsidP="003C5058">
      <w:pPr>
        <w:rPr>
          <w:rFonts w:cs="Arial"/>
        </w:rPr>
      </w:pPr>
      <w:r w:rsidRPr="00FB02DB">
        <w:rPr>
          <w:rFonts w:cs="Arial"/>
        </w:rPr>
        <w:t xml:space="preserve">Ces données </w:t>
      </w:r>
      <w:r w:rsidR="006A3537">
        <w:rPr>
          <w:rFonts w:cs="Arial"/>
        </w:rPr>
        <w:t>exprimées en équivalent carcasse surestiment la consommation alimentaire</w:t>
      </w:r>
      <w:r w:rsidR="006A3537" w:rsidRPr="00FB02DB">
        <w:rPr>
          <w:rFonts w:cs="Arial"/>
        </w:rPr>
        <w:t xml:space="preserve"> </w:t>
      </w:r>
      <w:r w:rsidRPr="00FB02DB">
        <w:rPr>
          <w:rFonts w:cs="Arial"/>
        </w:rPr>
        <w:t>car les pertes aux différents stades, depuis la production jusqu'</w:t>
      </w:r>
      <w:r w:rsidR="00801EC5">
        <w:rPr>
          <w:rFonts w:cs="Arial"/>
        </w:rPr>
        <w:t xml:space="preserve">au </w:t>
      </w:r>
      <w:r w:rsidRPr="00FB02DB">
        <w:rPr>
          <w:rFonts w:cs="Arial"/>
        </w:rPr>
        <w:t>consommateur</w:t>
      </w:r>
      <w:r w:rsidR="004A0C19">
        <w:rPr>
          <w:rFonts w:cs="Arial"/>
        </w:rPr>
        <w:t xml:space="preserve"> ainsi que les stocks</w:t>
      </w:r>
      <w:r w:rsidR="006E1CC2">
        <w:rPr>
          <w:rFonts w:cs="Arial"/>
        </w:rPr>
        <w:t>,</w:t>
      </w:r>
      <w:r w:rsidR="004A0C19">
        <w:rPr>
          <w:rFonts w:cs="Arial"/>
        </w:rPr>
        <w:t xml:space="preserve"> </w:t>
      </w:r>
      <w:r w:rsidRPr="00FB02DB">
        <w:rPr>
          <w:rFonts w:cs="Arial"/>
        </w:rPr>
        <w:t xml:space="preserve">ne sont pas </w:t>
      </w:r>
      <w:r w:rsidR="00223F72" w:rsidRPr="00FB02DB">
        <w:rPr>
          <w:rFonts w:cs="Arial"/>
        </w:rPr>
        <w:t>évalué</w:t>
      </w:r>
      <w:r w:rsidR="006A3537">
        <w:rPr>
          <w:rFonts w:cs="Arial"/>
        </w:rPr>
        <w:t>e</w:t>
      </w:r>
      <w:r w:rsidR="00223F72" w:rsidRPr="00FB02DB">
        <w:rPr>
          <w:rFonts w:cs="Arial"/>
        </w:rPr>
        <w:t>s</w:t>
      </w:r>
      <w:r w:rsidR="004A0C19">
        <w:rPr>
          <w:rFonts w:cs="Arial"/>
        </w:rPr>
        <w:t xml:space="preserve"> de manière précise</w:t>
      </w:r>
      <w:r w:rsidRPr="00FB02DB">
        <w:rPr>
          <w:rFonts w:cs="Arial"/>
        </w:rPr>
        <w:t>. Par ailleurs, il s'agit de moyennes nationales qui ne tiennent pas compte de différents facteurs liés à l'alimentation comme l'âge, le sexe ou le niveau socioculturel. Ainsi, ces données ne peuvent pas être assimilées aux consommations totales, et encore moins aux consommations individuelles</w:t>
      </w:r>
      <w:r>
        <w:rPr>
          <w:rFonts w:cs="Arial"/>
        </w:rPr>
        <w:t>. En revanche, elles permettent de dégager des tendances.</w:t>
      </w:r>
    </w:p>
    <w:bookmarkStart w:id="16" w:name="_Toc78131542"/>
    <w:p w14:paraId="233A18A5" w14:textId="4F71540E" w:rsidR="00575CF5" w:rsidRPr="005C769C" w:rsidRDefault="008F77BE" w:rsidP="00AA28BC">
      <w:pPr>
        <w:pStyle w:val="Titre1"/>
        <w:numPr>
          <w:ilvl w:val="0"/>
          <w:numId w:val="9"/>
        </w:numPr>
        <w:rPr>
          <w:rFonts w:eastAsiaTheme="minorHAnsi"/>
        </w:rPr>
      </w:pPr>
      <w:r w:rsidRPr="005C769C">
        <w:rPr>
          <w:rFonts w:eastAsiaTheme="minorHAnsi"/>
          <w:noProof/>
        </w:rPr>
        <mc:AlternateContent>
          <mc:Choice Requires="wps">
            <w:drawing>
              <wp:anchor distT="0" distB="0" distL="114300" distR="114300" simplePos="0" relativeHeight="251658245" behindDoc="0" locked="0" layoutInCell="1" allowOverlap="1" wp14:anchorId="69A613F4" wp14:editId="541C36DC">
                <wp:simplePos x="0" y="0"/>
                <wp:positionH relativeFrom="column">
                  <wp:posOffset>635</wp:posOffset>
                </wp:positionH>
                <wp:positionV relativeFrom="paragraph">
                  <wp:posOffset>10267950</wp:posOffset>
                </wp:positionV>
                <wp:extent cx="2484769" cy="246221"/>
                <wp:effectExtent l="0" t="0" r="0" b="0"/>
                <wp:wrapNone/>
                <wp:docPr id="22" name="ZoneTexte 8"/>
                <wp:cNvGraphicFramePr/>
                <a:graphic xmlns:a="http://schemas.openxmlformats.org/drawingml/2006/main">
                  <a:graphicData uri="http://schemas.microsoft.com/office/word/2010/wordprocessingShape">
                    <wps:wsp>
                      <wps:cNvSpPr txBox="1"/>
                      <wps:spPr>
                        <a:xfrm>
                          <a:off x="0" y="0"/>
                          <a:ext cx="2484769" cy="246221"/>
                        </a:xfrm>
                        <a:prstGeom prst="rect">
                          <a:avLst/>
                        </a:prstGeom>
                        <a:noFill/>
                      </wps:spPr>
                      <wps:txbx>
                        <w:txbxContent>
                          <w:p w14:paraId="6D55DAA0" w14:textId="77777777" w:rsidR="00741BFF" w:rsidRDefault="00741BFF" w:rsidP="008F77BE">
                            <w:pPr>
                              <w:rPr>
                                <w:sz w:val="24"/>
                                <w:szCs w:val="24"/>
                              </w:rPr>
                            </w:pPr>
                            <w:r>
                              <w:rPr>
                                <w:rFonts w:cs="Arial"/>
                                <w:i/>
                                <w:iCs/>
                                <w:color w:val="000000" w:themeColor="text1"/>
                                <w:kern w:val="24"/>
                                <w:sz w:val="20"/>
                                <w:szCs w:val="20"/>
                              </w:rPr>
                              <w:t xml:space="preserve">Source : Ifip d’après SSP. </w:t>
                            </w:r>
                          </w:p>
                        </w:txbxContent>
                      </wps:txbx>
                      <wps:bodyPr wrap="square" rtlCol="0">
                        <a:spAutoFit/>
                      </wps:bodyPr>
                    </wps:wsp>
                  </a:graphicData>
                </a:graphic>
              </wp:anchor>
            </w:drawing>
          </mc:Choice>
          <mc:Fallback>
            <w:pict>
              <v:shape w14:anchorId="69A613F4" id="ZoneTexte 8" o:spid="_x0000_s1030" type="#_x0000_t202" style="position:absolute;left:0;text-align:left;margin-left:.05pt;margin-top:808.5pt;width:195.65pt;height:19.4pt;z-index:2516582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3s3mwEAABcDAAAOAAAAZHJzL2Uyb0RvYy54bWysUk1v2zAMvQ/YfxB0b5waQZoZcYqtRXcZ&#10;tgHtLrspshQLsESNVGLn349SPjp0t2EXfZDU43uPWt9PfhAHg+QgtPJ2NpfCBA2dC7tW/nh5ullJ&#10;QUmFTg0QTCuPhuT95v279RgbU0MPQ2dQMEigZoyt7FOKTVWR7o1XNINoAictoFeJr7irOlQjo/uh&#10;qufzZTUCdhFBGyKOPp6SclPwrTU6fbOWTBJDK5lbKiuWdZvXarNWzQ5V7J0+01D/wMIrF7jpFepR&#10;JSX26P6C8k4jENg00+ArsNZpUzSwmtv5GzXPvYqmaGFzKF5tov8Hq78evqNwXSvrWoqgPM/oJ0/q&#10;xUzJiFX2Z4zUcNlz5MI0fYKJ53yJEwez7MmizzsLEpxnp49XdxlJaA7Wi9XibvlBCs25erGs6wJT&#10;vb6OSOmzAS/yoZXI0yumqsMXSsyESy8luVmAJzcMOZ4pnqjkU5q2U5G0uNDcQndk9iPPuZX0a6/Q&#10;SIFpeIDyLTIYxY/7xIClT0Y5vTmDs/ul/fmn5PH+eS9Vr/958xsAAP//AwBQSwMEFAAGAAgAAAAh&#10;AAayoMDeAAAACgEAAA8AAABkcnMvZG93bnJldi54bWxMj81OwzAQhO9IvIO1SNyoEyClDXGqih+J&#10;Qy+UcN/G2zgitqN426Rvj3OCy0qzs5r9pthMthNnGkLrnYJ0kYAgV3vdukZB9fV+twIRGJ3GzjtS&#10;cKEAm/L6qsBc+9F90nnPjYghLuSowDD3uZShNmQxLHxPLnpHP1jkKIdG6gHHGG47eZ8kS2mxdfGD&#10;wZ5eDNU/+5NVwKy36aV6s+Hje9q9jiapM6yUur2Zts8gmCb+O4YZP6JDGZkO/uR0EN2sBce5TJ9i&#10;peg/rNNHEId5lWUrkGUh/1cofwEAAP//AwBQSwECLQAUAAYACAAAACEAtoM4kv4AAADhAQAAEwAA&#10;AAAAAAAAAAAAAAAAAAAAW0NvbnRlbnRfVHlwZXNdLnhtbFBLAQItABQABgAIAAAAIQA4/SH/1gAA&#10;AJQBAAALAAAAAAAAAAAAAAAAAC8BAABfcmVscy8ucmVsc1BLAQItABQABgAIAAAAIQA3L3s3mwEA&#10;ABcDAAAOAAAAAAAAAAAAAAAAAC4CAABkcnMvZTJvRG9jLnhtbFBLAQItABQABgAIAAAAIQAGsqDA&#10;3gAAAAoBAAAPAAAAAAAAAAAAAAAAAPUDAABkcnMvZG93bnJldi54bWxQSwUGAAAAAAQABADzAAAA&#10;AAUAAAAA&#10;" filled="f" stroked="f">
                <v:textbox style="mso-fit-shape-to-text:t">
                  <w:txbxContent>
                    <w:p w14:paraId="6D55DAA0" w14:textId="77777777" w:rsidR="00741BFF" w:rsidRDefault="00741BFF" w:rsidP="008F77BE">
                      <w:pPr>
                        <w:rPr>
                          <w:sz w:val="24"/>
                          <w:szCs w:val="24"/>
                        </w:rPr>
                      </w:pPr>
                      <w:r>
                        <w:rPr>
                          <w:rFonts w:cs="Arial"/>
                          <w:i/>
                          <w:iCs/>
                          <w:color w:val="000000" w:themeColor="text1"/>
                          <w:kern w:val="24"/>
                          <w:sz w:val="20"/>
                          <w:szCs w:val="20"/>
                        </w:rPr>
                        <w:t xml:space="preserve">Source : Ifip d’après SSP. </w:t>
                      </w:r>
                    </w:p>
                  </w:txbxContent>
                </v:textbox>
              </v:shape>
            </w:pict>
          </mc:Fallback>
        </mc:AlternateContent>
      </w:r>
      <w:r w:rsidRPr="005C769C">
        <w:rPr>
          <w:rFonts w:eastAsiaTheme="minorHAnsi"/>
          <w:noProof/>
        </w:rPr>
        <mc:AlternateContent>
          <mc:Choice Requires="wps">
            <w:drawing>
              <wp:anchor distT="0" distB="0" distL="114300" distR="114300" simplePos="0" relativeHeight="251658246" behindDoc="0" locked="0" layoutInCell="1" allowOverlap="1" wp14:anchorId="11C7047E" wp14:editId="597172FB">
                <wp:simplePos x="0" y="0"/>
                <wp:positionH relativeFrom="column">
                  <wp:posOffset>12230735</wp:posOffset>
                </wp:positionH>
                <wp:positionV relativeFrom="paragraph">
                  <wp:posOffset>2876550</wp:posOffset>
                </wp:positionV>
                <wp:extent cx="5198460" cy="1815882"/>
                <wp:effectExtent l="0" t="0" r="0" b="0"/>
                <wp:wrapNone/>
                <wp:docPr id="23" name="ZoneTexte 9"/>
                <wp:cNvGraphicFramePr/>
                <a:graphic xmlns:a="http://schemas.openxmlformats.org/drawingml/2006/main">
                  <a:graphicData uri="http://schemas.microsoft.com/office/word/2010/wordprocessingShape">
                    <wps:wsp>
                      <wps:cNvSpPr txBox="1"/>
                      <wps:spPr>
                        <a:xfrm>
                          <a:off x="0" y="0"/>
                          <a:ext cx="5198460" cy="1815882"/>
                        </a:xfrm>
                        <a:prstGeom prst="rect">
                          <a:avLst/>
                        </a:prstGeom>
                        <a:noFill/>
                      </wps:spPr>
                      <wps:txbx>
                        <w:txbxContent>
                          <w:p w14:paraId="548889A4" w14:textId="77777777" w:rsidR="00741BFF" w:rsidRDefault="00741BFF" w:rsidP="00AA28BC">
                            <w:pPr>
                              <w:pStyle w:val="Paragraphedeliste"/>
                              <w:numPr>
                                <w:ilvl w:val="0"/>
                                <w:numId w:val="6"/>
                              </w:numPr>
                              <w:suppressAutoHyphens w:val="0"/>
                              <w:spacing w:before="0"/>
                              <w:jc w:val="left"/>
                              <w:rPr>
                                <w:rFonts w:eastAsia="Times New Roman"/>
                                <w:sz w:val="28"/>
                              </w:rPr>
                            </w:pPr>
                            <w:r>
                              <w:rPr>
                                <w:b/>
                                <w:bCs/>
                                <w:color w:val="000000" w:themeColor="text1"/>
                                <w:kern w:val="24"/>
                                <w:sz w:val="28"/>
                                <w:szCs w:val="28"/>
                              </w:rPr>
                              <w:t xml:space="preserve">Baisse de la consommation des viandes de boucherie </w:t>
                            </w:r>
                          </w:p>
                          <w:p w14:paraId="1515290E" w14:textId="77777777" w:rsidR="00741BFF" w:rsidRDefault="00741BFF" w:rsidP="008F77BE">
                            <w:pPr>
                              <w:ind w:left="274"/>
                              <w:rPr>
                                <w:rFonts w:eastAsiaTheme="minorEastAsia"/>
                              </w:rPr>
                            </w:pPr>
                            <w:r>
                              <w:rPr>
                                <w:rFonts w:cs="Arial"/>
                                <w:color w:val="000000" w:themeColor="text1"/>
                                <w:kern w:val="24"/>
                                <w:sz w:val="28"/>
                                <w:szCs w:val="28"/>
                              </w:rPr>
                              <w:t xml:space="preserve">À partir des années 1980, le bœuf et autres viandes de boucherie (veau..) ont décliné avec un rythme d’environ </w:t>
                            </w:r>
                            <w:r>
                              <w:rPr>
                                <w:rFonts w:cs="Arial"/>
                                <w:b/>
                                <w:bCs/>
                                <w:color w:val="002060"/>
                                <w:kern w:val="24"/>
                                <w:sz w:val="28"/>
                                <w:szCs w:val="28"/>
                              </w:rPr>
                              <w:t>12%</w:t>
                            </w:r>
                            <w:r>
                              <w:rPr>
                                <w:rFonts w:cs="Arial"/>
                                <w:color w:val="000000" w:themeColor="text1"/>
                                <w:kern w:val="24"/>
                                <w:sz w:val="28"/>
                                <w:szCs w:val="28"/>
                              </w:rPr>
                              <w:t xml:space="preserve"> en 10 ans au profit du porc et de la volaille. </w:t>
                            </w:r>
                          </w:p>
                          <w:p w14:paraId="67D4B4B5" w14:textId="77777777" w:rsidR="00741BFF" w:rsidRDefault="00741BFF" w:rsidP="008F77BE">
                            <w:pPr>
                              <w:ind w:left="274"/>
                            </w:pPr>
                            <w:r>
                              <w:rPr>
                                <w:rFonts w:cs="Arial"/>
                                <w:color w:val="000000" w:themeColor="text1"/>
                                <w:kern w:val="24"/>
                                <w:sz w:val="28"/>
                                <w:szCs w:val="28"/>
                              </w:rPr>
                              <w:t xml:space="preserve">Depuis 2004, le porc recule à un </w:t>
                            </w:r>
                            <w:r>
                              <w:rPr>
                                <w:rFonts w:cs="Arial"/>
                                <w:b/>
                                <w:bCs/>
                                <w:color w:val="002060"/>
                                <w:kern w:val="24"/>
                                <w:sz w:val="28"/>
                                <w:szCs w:val="28"/>
                              </w:rPr>
                              <w:t>rythme relativement modéré avec à peine 5% en 10 ans</w:t>
                            </w:r>
                            <w:r>
                              <w:rPr>
                                <w:rFonts w:cs="Arial"/>
                                <w:color w:val="000000" w:themeColor="text1"/>
                                <w:kern w:val="24"/>
                                <w:sz w:val="28"/>
                                <w:szCs w:val="28"/>
                              </w:rPr>
                              <w:t xml:space="preserve">. </w:t>
                            </w:r>
                          </w:p>
                        </w:txbxContent>
                      </wps:txbx>
                      <wps:bodyPr wrap="square" rtlCol="0">
                        <a:spAutoFit/>
                      </wps:bodyPr>
                    </wps:wsp>
                  </a:graphicData>
                </a:graphic>
              </wp:anchor>
            </w:drawing>
          </mc:Choice>
          <mc:Fallback>
            <w:pict>
              <v:shape w14:anchorId="11C7047E" id="ZoneTexte 9" o:spid="_x0000_s1031" type="#_x0000_t202" style="position:absolute;left:0;text-align:left;margin-left:963.05pt;margin-top:226.5pt;width:409.35pt;height:143pt;z-index:25165824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e7UmwEAABgDAAAOAAAAZHJzL2Uyb0RvYy54bWysUk1P4zAQvSPtf7B836bpUhSipmh3EVwQ&#10;IAEXbq5jN5Zij9fjNum/Z+x+gOCG9jK2Z8bP773x4mq0PduqgAZcw8vJlDPlJLTGrRv+8nzzs+IM&#10;o3Ct6MGphu8U8qvlj7PF4Gs1gw76VgVGIA7rwTe8i9HXRYGyU1bgBLxyVNQQrIh0DOuiDWIgdNsX&#10;s+n0ohggtD6AVIiUvd4X+TLja61kfNAaVWR9w4lbzDHkuEqxWC5EvQ7Cd0YeaIhvsLDCOHr0BHUt&#10;omCbYL5AWSMDIOg4kWAL0NpIlTWQmnL6Sc1TJ7zKWsgc9Ceb8P/ByvvtY2CmbfjsF2dOWJrRK03q&#10;WY1Rscvkz+CxprYnT41x/AMjzfmYR0om2aMONq0kiFGdnN6d3CUkJik5Ly+r8wsqSaqVVTmvqlnC&#10;Kd6v+4DxVoFladPwQOPLrortHcZ967ElvebgxvR9yieOey5pF8fVmDXNjzxX0O6I/kCDbjj+24ig&#10;OAux/wv5XyQw9L83kQDzOwllf+cATvZnpoevkub78Zy73j/08g0AAP//AwBQSwMEFAAGAAgAAAAh&#10;AEW4z5vhAAAADQEAAA8AAABkcnMvZG93bnJldi54bWxMj8tOwzAQRfdI/IM1SOyokzRtaYhTVTwk&#10;FmwoYT+NTRwRj6PYbdK/Z1jB8mqu7pxT7mbXi7MZQ+dJQbpIQBhqvO6oVVB/vNzdgwgRSWPvySi4&#10;mAC76vqqxEL7id7N+RBbwSMUClRgYxwKKUNjjcOw8IMhvn350WHkOLZSjzjxuOtlliRr6bAj/mBx&#10;MI/WNN+Hk1MQo96nl/rZhdfP+e1pskmzwlqp25t5/wAimjn+leEXn9GhYqajP5EOoue8zdYpdxXk&#10;qyVbcSXb5DnrHBVsltsEZFXK/xbVDwAAAP//AwBQSwECLQAUAAYACAAAACEAtoM4kv4AAADhAQAA&#10;EwAAAAAAAAAAAAAAAAAAAAAAW0NvbnRlbnRfVHlwZXNdLnhtbFBLAQItABQABgAIAAAAIQA4/SH/&#10;1gAAAJQBAAALAAAAAAAAAAAAAAAAAC8BAABfcmVscy8ucmVsc1BLAQItABQABgAIAAAAIQD6Ge7U&#10;mwEAABgDAAAOAAAAAAAAAAAAAAAAAC4CAABkcnMvZTJvRG9jLnhtbFBLAQItABQABgAIAAAAIQBF&#10;uM+b4QAAAA0BAAAPAAAAAAAAAAAAAAAAAPUDAABkcnMvZG93bnJldi54bWxQSwUGAAAAAAQABADz&#10;AAAAAwUAAAAA&#10;" filled="f" stroked="f">
                <v:textbox style="mso-fit-shape-to-text:t">
                  <w:txbxContent>
                    <w:p w14:paraId="548889A4" w14:textId="77777777" w:rsidR="00741BFF" w:rsidRDefault="00741BFF" w:rsidP="00AA28BC">
                      <w:pPr>
                        <w:pStyle w:val="Paragraphedeliste"/>
                        <w:numPr>
                          <w:ilvl w:val="0"/>
                          <w:numId w:val="6"/>
                        </w:numPr>
                        <w:suppressAutoHyphens w:val="0"/>
                        <w:spacing w:before="0"/>
                        <w:jc w:val="left"/>
                        <w:rPr>
                          <w:rFonts w:eastAsia="Times New Roman"/>
                          <w:sz w:val="28"/>
                        </w:rPr>
                      </w:pPr>
                      <w:r>
                        <w:rPr>
                          <w:b/>
                          <w:bCs/>
                          <w:color w:val="000000" w:themeColor="text1"/>
                          <w:kern w:val="24"/>
                          <w:sz w:val="28"/>
                          <w:szCs w:val="28"/>
                        </w:rPr>
                        <w:t xml:space="preserve">Baisse de la consommation des viandes de boucherie </w:t>
                      </w:r>
                    </w:p>
                    <w:p w14:paraId="1515290E" w14:textId="77777777" w:rsidR="00741BFF" w:rsidRDefault="00741BFF" w:rsidP="008F77BE">
                      <w:pPr>
                        <w:ind w:left="274"/>
                        <w:rPr>
                          <w:rFonts w:eastAsiaTheme="minorEastAsia"/>
                        </w:rPr>
                      </w:pPr>
                      <w:r>
                        <w:rPr>
                          <w:rFonts w:cs="Arial"/>
                          <w:color w:val="000000" w:themeColor="text1"/>
                          <w:kern w:val="24"/>
                          <w:sz w:val="28"/>
                          <w:szCs w:val="28"/>
                        </w:rPr>
                        <w:t xml:space="preserve">À partir des années 1980, le bœuf et autres viandes de boucherie (veau..) ont décliné avec un rythme d’environ </w:t>
                      </w:r>
                      <w:r>
                        <w:rPr>
                          <w:rFonts w:cs="Arial"/>
                          <w:b/>
                          <w:bCs/>
                          <w:color w:val="002060"/>
                          <w:kern w:val="24"/>
                          <w:sz w:val="28"/>
                          <w:szCs w:val="28"/>
                        </w:rPr>
                        <w:t>12%</w:t>
                      </w:r>
                      <w:r>
                        <w:rPr>
                          <w:rFonts w:cs="Arial"/>
                          <w:color w:val="000000" w:themeColor="text1"/>
                          <w:kern w:val="24"/>
                          <w:sz w:val="28"/>
                          <w:szCs w:val="28"/>
                        </w:rPr>
                        <w:t xml:space="preserve"> en 10 ans au profit du porc et de la volaille. </w:t>
                      </w:r>
                    </w:p>
                    <w:p w14:paraId="67D4B4B5" w14:textId="77777777" w:rsidR="00741BFF" w:rsidRDefault="00741BFF" w:rsidP="008F77BE">
                      <w:pPr>
                        <w:ind w:left="274"/>
                      </w:pPr>
                      <w:r>
                        <w:rPr>
                          <w:rFonts w:cs="Arial"/>
                          <w:color w:val="000000" w:themeColor="text1"/>
                          <w:kern w:val="24"/>
                          <w:sz w:val="28"/>
                          <w:szCs w:val="28"/>
                        </w:rPr>
                        <w:t xml:space="preserve">Depuis 2004, le porc recule à un </w:t>
                      </w:r>
                      <w:r>
                        <w:rPr>
                          <w:rFonts w:cs="Arial"/>
                          <w:b/>
                          <w:bCs/>
                          <w:color w:val="002060"/>
                          <w:kern w:val="24"/>
                          <w:sz w:val="28"/>
                          <w:szCs w:val="28"/>
                        </w:rPr>
                        <w:t>rythme relativement modéré avec à peine 5% en 10 ans</w:t>
                      </w:r>
                      <w:r>
                        <w:rPr>
                          <w:rFonts w:cs="Arial"/>
                          <w:color w:val="000000" w:themeColor="text1"/>
                          <w:kern w:val="24"/>
                          <w:sz w:val="28"/>
                          <w:szCs w:val="28"/>
                        </w:rPr>
                        <w:t xml:space="preserve">. </w:t>
                      </w:r>
                    </w:p>
                  </w:txbxContent>
                </v:textbox>
              </v:shape>
            </w:pict>
          </mc:Fallback>
        </mc:AlternateContent>
      </w:r>
      <w:r w:rsidR="008150C6" w:rsidRPr="005C769C">
        <w:rPr>
          <w:rFonts w:eastAsiaTheme="minorHAnsi"/>
        </w:rPr>
        <w:t xml:space="preserve">Données statistiques </w:t>
      </w:r>
      <w:r w:rsidR="00777392" w:rsidRPr="005C769C">
        <w:rPr>
          <w:rFonts w:eastAsiaTheme="minorHAnsi"/>
        </w:rPr>
        <w:t>économiques publiques</w:t>
      </w:r>
      <w:bookmarkEnd w:id="16"/>
    </w:p>
    <w:p w14:paraId="23CC72DB" w14:textId="03B8CD0C" w:rsidR="00777392" w:rsidRPr="00801EC5" w:rsidRDefault="00777392" w:rsidP="003C5058">
      <w:pPr>
        <w:rPr>
          <w:rFonts w:cs="Arial"/>
        </w:rPr>
      </w:pPr>
      <w:r w:rsidRPr="00777392">
        <w:rPr>
          <w:rFonts w:cs="Arial"/>
        </w:rPr>
        <w:t>Les données de production</w:t>
      </w:r>
      <w:r>
        <w:rPr>
          <w:rFonts w:cs="Arial"/>
        </w:rPr>
        <w:t xml:space="preserve"> appariées aux données</w:t>
      </w:r>
      <w:r w:rsidRPr="00777392">
        <w:rPr>
          <w:rFonts w:cs="Arial"/>
        </w:rPr>
        <w:t xml:space="preserve"> d’export</w:t>
      </w:r>
      <w:r>
        <w:rPr>
          <w:rFonts w:cs="Arial"/>
        </w:rPr>
        <w:t>ations</w:t>
      </w:r>
      <w:r w:rsidRPr="00777392">
        <w:rPr>
          <w:rFonts w:cs="Arial"/>
        </w:rPr>
        <w:t xml:space="preserve"> et d’import</w:t>
      </w:r>
      <w:r>
        <w:rPr>
          <w:rFonts w:cs="Arial"/>
        </w:rPr>
        <w:t xml:space="preserve">ations peuvent être également utilisées </w:t>
      </w:r>
      <w:r w:rsidRPr="00777392">
        <w:rPr>
          <w:rFonts w:cs="Arial"/>
        </w:rPr>
        <w:t>pou</w:t>
      </w:r>
      <w:r>
        <w:rPr>
          <w:rFonts w:cs="Arial"/>
        </w:rPr>
        <w:t>r en déduire par différence des données permettant de reconstituer la</w:t>
      </w:r>
      <w:r w:rsidRPr="00777392">
        <w:rPr>
          <w:rFonts w:cs="Arial"/>
        </w:rPr>
        <w:t xml:space="preserve"> consommation apparente. </w:t>
      </w:r>
      <w:r>
        <w:rPr>
          <w:rFonts w:cs="Arial"/>
        </w:rPr>
        <w:t xml:space="preserve">Celles-ci correspondent </w:t>
      </w:r>
      <w:r w:rsidRPr="00777392">
        <w:rPr>
          <w:rFonts w:cs="Arial"/>
        </w:rPr>
        <w:t xml:space="preserve">aux besoins nécessaires au stade de la production, pour satisfaire un certain </w:t>
      </w:r>
      <w:r w:rsidRPr="00C53BCC">
        <w:rPr>
          <w:rFonts w:cs="Arial"/>
        </w:rPr>
        <w:t>niveau</w:t>
      </w:r>
      <w:r w:rsidRPr="00777392">
        <w:rPr>
          <w:rFonts w:cs="Arial"/>
        </w:rPr>
        <w:t xml:space="preserve"> de consommation alimentaire.</w:t>
      </w:r>
    </w:p>
    <w:p w14:paraId="318FCE49" w14:textId="4CD26ACE" w:rsidR="008150C6" w:rsidRDefault="008150C6" w:rsidP="00A63F35">
      <w:pPr>
        <w:pStyle w:val="Titre2"/>
      </w:pPr>
      <w:bookmarkStart w:id="17" w:name="_Toc78131543"/>
      <w:r w:rsidRPr="008150C6">
        <w:t>Enquête Import / Export</w:t>
      </w:r>
      <w:bookmarkEnd w:id="17"/>
      <w:r w:rsidRPr="008150C6">
        <w:t xml:space="preserve"> </w:t>
      </w:r>
    </w:p>
    <w:p w14:paraId="541C62D6" w14:textId="3196C3DD" w:rsidR="005128CF" w:rsidRDefault="008D6C8F" w:rsidP="003C5058">
      <w:pPr>
        <w:rPr>
          <w:rFonts w:cs="Arial"/>
        </w:rPr>
      </w:pPr>
      <w:r w:rsidRPr="008D6C8F">
        <w:rPr>
          <w:rFonts w:cs="Arial"/>
        </w:rPr>
        <w:t>Les</w:t>
      </w:r>
      <w:r w:rsidR="007E108F" w:rsidRPr="008D6C8F">
        <w:rPr>
          <w:rFonts w:cs="Arial"/>
        </w:rPr>
        <w:t xml:space="preserve"> sources de données commerciales </w:t>
      </w:r>
      <w:r w:rsidRPr="008D6C8F">
        <w:rPr>
          <w:rFonts w:cs="Arial"/>
        </w:rPr>
        <w:t xml:space="preserve">consultées dans cette étude </w:t>
      </w:r>
      <w:r w:rsidR="007E108F" w:rsidRPr="008D6C8F">
        <w:rPr>
          <w:rFonts w:cs="Arial"/>
        </w:rPr>
        <w:t xml:space="preserve">sont les statistiques communautaires Eurostat </w:t>
      </w:r>
      <w:r>
        <w:rPr>
          <w:rFonts w:cs="Arial"/>
        </w:rPr>
        <w:t>dans la mesure où</w:t>
      </w:r>
      <w:r w:rsidRPr="008D6C8F">
        <w:rPr>
          <w:rFonts w:cs="Arial"/>
        </w:rPr>
        <w:t xml:space="preserve"> cet organisme est amené à collecter </w:t>
      </w:r>
      <w:r w:rsidR="007E108F" w:rsidRPr="008D6C8F">
        <w:rPr>
          <w:rFonts w:cs="Arial"/>
        </w:rPr>
        <w:t xml:space="preserve">les statistiques nationales issues </w:t>
      </w:r>
      <w:r w:rsidRPr="008D6C8F">
        <w:rPr>
          <w:rFonts w:cs="Arial"/>
        </w:rPr>
        <w:t>des différents partenai</w:t>
      </w:r>
      <w:r>
        <w:rPr>
          <w:rFonts w:cs="Arial"/>
        </w:rPr>
        <w:t>r</w:t>
      </w:r>
      <w:r w:rsidRPr="008D6C8F">
        <w:rPr>
          <w:rFonts w:cs="Arial"/>
        </w:rPr>
        <w:t>es commerciaux et pour la France</w:t>
      </w:r>
      <w:r w:rsidR="003C5058">
        <w:rPr>
          <w:rFonts w:cs="Arial"/>
        </w:rPr>
        <w:t>, les données issues</w:t>
      </w:r>
      <w:r w:rsidRPr="008D6C8F">
        <w:rPr>
          <w:rFonts w:cs="Arial"/>
        </w:rPr>
        <w:t xml:space="preserve"> de </w:t>
      </w:r>
      <w:r>
        <w:rPr>
          <w:rFonts w:cs="Arial"/>
        </w:rPr>
        <w:t>la</w:t>
      </w:r>
      <w:r w:rsidRPr="008D6C8F">
        <w:rPr>
          <w:rFonts w:cs="Arial"/>
        </w:rPr>
        <w:t xml:space="preserve"> Direction générale des Douanes et Droits indirects</w:t>
      </w:r>
      <w:r w:rsidR="007E108F" w:rsidRPr="008D6C8F">
        <w:rPr>
          <w:rFonts w:cs="Arial"/>
        </w:rPr>
        <w:t xml:space="preserve"> (DGDDI).</w:t>
      </w:r>
    </w:p>
    <w:p w14:paraId="64F14581" w14:textId="152DBED3" w:rsidR="001A36E5" w:rsidRDefault="001A36E5" w:rsidP="005C79BC">
      <w:pPr>
        <w:pStyle w:val="Titre3"/>
        <w:tabs>
          <w:tab w:val="clear" w:pos="1440"/>
        </w:tabs>
        <w:ind w:left="851"/>
      </w:pPr>
      <w:bookmarkStart w:id="18" w:name="_Toc78131544"/>
      <w:r>
        <w:t>2.</w:t>
      </w:r>
      <w:r w:rsidR="0060208C">
        <w:t>1</w:t>
      </w:r>
      <w:r>
        <w:t>.1. Les typologies de produits concernés :</w:t>
      </w:r>
      <w:bookmarkEnd w:id="18"/>
      <w:r>
        <w:t xml:space="preserve"> </w:t>
      </w:r>
    </w:p>
    <w:p w14:paraId="377754B0" w14:textId="70249625" w:rsidR="007A164D" w:rsidRDefault="001A36E5" w:rsidP="003C5058">
      <w:pPr>
        <w:rPr>
          <w:rFonts w:cs="Arial"/>
        </w:rPr>
      </w:pPr>
      <w:r w:rsidRPr="00620F61">
        <w:rPr>
          <w:rFonts w:cs="Arial"/>
        </w:rPr>
        <w:t>La Nomenclature Combinée (NC</w:t>
      </w:r>
      <w:r>
        <w:rPr>
          <w:rFonts w:cs="Arial"/>
        </w:rPr>
        <w:t>), spécifique</w:t>
      </w:r>
      <w:r w:rsidRPr="00620F61">
        <w:rPr>
          <w:rFonts w:cs="Arial"/>
        </w:rPr>
        <w:t xml:space="preserve"> à l'Union </w:t>
      </w:r>
      <w:r w:rsidR="006A3537">
        <w:rPr>
          <w:rFonts w:cs="Arial"/>
        </w:rPr>
        <w:t>e</w:t>
      </w:r>
      <w:r w:rsidRPr="00620F61">
        <w:rPr>
          <w:rFonts w:cs="Arial"/>
        </w:rPr>
        <w:t>uropéenne</w:t>
      </w:r>
      <w:r>
        <w:rPr>
          <w:rFonts w:cs="Arial"/>
        </w:rPr>
        <w:t>,</w:t>
      </w:r>
      <w:r w:rsidRPr="00620F61">
        <w:rPr>
          <w:rFonts w:cs="Arial"/>
        </w:rPr>
        <w:t xml:space="preserve"> reprend les différentes agrégations du Système Harmonisé international</w:t>
      </w:r>
      <w:r>
        <w:rPr>
          <w:rFonts w:cs="Arial"/>
        </w:rPr>
        <w:t xml:space="preserve"> matérialisé par des</w:t>
      </w:r>
      <w:r w:rsidRPr="00620F61">
        <w:rPr>
          <w:rFonts w:cs="Arial"/>
        </w:rPr>
        <w:t xml:space="preserve"> codes à 6 chiffres (SH6)</w:t>
      </w:r>
      <w:r>
        <w:rPr>
          <w:rFonts w:cs="Arial"/>
        </w:rPr>
        <w:t xml:space="preserve">. </w:t>
      </w:r>
      <w:r w:rsidRPr="008242B4">
        <w:rPr>
          <w:rFonts w:cs="Arial"/>
        </w:rPr>
        <w:t xml:space="preserve">A ceux-ci s’ajoutent les 2 chiffres permettant de définir les NC8 </w:t>
      </w:r>
      <w:r>
        <w:rPr>
          <w:rFonts w:cs="Arial"/>
        </w:rPr>
        <w:t xml:space="preserve">pour une segmentation plus fine de l’arborescence produits </w:t>
      </w:r>
      <w:r w:rsidR="00AB1000">
        <w:rPr>
          <w:rFonts w:cs="Arial"/>
        </w:rPr>
        <w:t>et</w:t>
      </w:r>
      <w:r w:rsidR="00D453CE">
        <w:rPr>
          <w:rFonts w:cs="Arial"/>
        </w:rPr>
        <w:t xml:space="preserve"> plus de </w:t>
      </w:r>
      <w:r w:rsidRPr="008242B4">
        <w:rPr>
          <w:rFonts w:cs="Arial"/>
        </w:rPr>
        <w:t xml:space="preserve">précision dans </w:t>
      </w:r>
      <w:r>
        <w:rPr>
          <w:rFonts w:cs="Arial"/>
        </w:rPr>
        <w:t>le suivi des produits au travers de leur désignation</w:t>
      </w:r>
      <w:r>
        <w:t xml:space="preserve">. </w:t>
      </w:r>
      <w:r w:rsidR="007A164D">
        <w:rPr>
          <w:rFonts w:cs="Arial"/>
        </w:rPr>
        <w:t>(Annexe</w:t>
      </w:r>
      <w:r w:rsidR="00AB1000">
        <w:rPr>
          <w:rFonts w:cs="Arial"/>
        </w:rPr>
        <w:t>s</w:t>
      </w:r>
      <w:r w:rsidR="007A164D">
        <w:rPr>
          <w:rFonts w:cs="Arial"/>
        </w:rPr>
        <w:t xml:space="preserve"> 1</w:t>
      </w:r>
      <w:r w:rsidR="00AB1000">
        <w:rPr>
          <w:rFonts w:cs="Arial"/>
        </w:rPr>
        <w:t xml:space="preserve"> a/ et 1 b/</w:t>
      </w:r>
      <w:r w:rsidR="007A164D">
        <w:rPr>
          <w:rFonts w:cs="Arial"/>
        </w:rPr>
        <w:t> : Désignation et codification de la Nomenclature combinée des produits transformés du porc pris en compte)</w:t>
      </w:r>
      <w:r w:rsidR="00E042B5">
        <w:rPr>
          <w:rFonts w:cs="Arial"/>
        </w:rPr>
        <w:t>.</w:t>
      </w:r>
    </w:p>
    <w:p w14:paraId="015B599E" w14:textId="03A60AA7" w:rsidR="00E042B5" w:rsidRDefault="00AB1000" w:rsidP="00E042B5">
      <w:pPr>
        <w:rPr>
          <w:rFonts w:cs="Arial"/>
        </w:rPr>
      </w:pPr>
      <w:r>
        <w:rPr>
          <w:rFonts w:cs="Arial"/>
        </w:rPr>
        <w:t>Cependant, en</w:t>
      </w:r>
      <w:r w:rsidR="003C5058">
        <w:rPr>
          <w:rFonts w:cs="Arial"/>
        </w:rPr>
        <w:t xml:space="preserve"> contrepartie</w:t>
      </w:r>
      <w:r w:rsidR="003C5058" w:rsidRPr="00EC1DA8">
        <w:rPr>
          <w:rFonts w:cs="Arial"/>
        </w:rPr>
        <w:t xml:space="preserve"> de la simplification des formalités </w:t>
      </w:r>
      <w:r w:rsidR="003C5058">
        <w:rPr>
          <w:rFonts w:cs="Arial"/>
        </w:rPr>
        <w:t xml:space="preserve">de saisie appliquées aux </w:t>
      </w:r>
      <w:r w:rsidR="003C5058" w:rsidRPr="00EC1DA8">
        <w:rPr>
          <w:rFonts w:cs="Arial"/>
        </w:rPr>
        <w:t>entreprises</w:t>
      </w:r>
      <w:r w:rsidR="003C5058">
        <w:rPr>
          <w:rFonts w:cs="Arial"/>
        </w:rPr>
        <w:t>, progressivement un nombre croissant de catégories</w:t>
      </w:r>
      <w:r w:rsidR="006A3537">
        <w:rPr>
          <w:rFonts w:cs="Arial"/>
        </w:rPr>
        <w:t xml:space="preserve"> de</w:t>
      </w:r>
      <w:r w:rsidR="003C5058">
        <w:rPr>
          <w:rFonts w:cs="Arial"/>
        </w:rPr>
        <w:t xml:space="preserve"> produits se sont vues agrégées lors des révisions régulières de la</w:t>
      </w:r>
      <w:r w:rsidR="001A36E5" w:rsidRPr="008242B4">
        <w:rPr>
          <w:rFonts w:cs="Arial"/>
        </w:rPr>
        <w:t xml:space="preserve"> nomenclature combinée</w:t>
      </w:r>
      <w:bookmarkStart w:id="19" w:name="_Ref77702792"/>
      <w:r w:rsidR="00E042B5">
        <w:rPr>
          <w:rStyle w:val="Appelnotedebasdep"/>
          <w:rFonts w:cs="Arial"/>
        </w:rPr>
        <w:footnoteReference w:id="2"/>
      </w:r>
      <w:bookmarkEnd w:id="19"/>
      <w:r w:rsidR="0060208C">
        <w:rPr>
          <w:rFonts w:cs="Arial"/>
        </w:rPr>
        <w:t>.</w:t>
      </w:r>
      <w:r w:rsidR="007A164D">
        <w:rPr>
          <w:rFonts w:cs="Arial"/>
        </w:rPr>
        <w:t xml:space="preserve"> En conséquence, la lecture d</w:t>
      </w:r>
      <w:r>
        <w:rPr>
          <w:rFonts w:cs="Arial"/>
        </w:rPr>
        <w:t>es</w:t>
      </w:r>
      <w:r w:rsidR="007A164D" w:rsidRPr="007A164D">
        <w:rPr>
          <w:rFonts w:cs="Arial"/>
        </w:rPr>
        <w:t xml:space="preserve"> tableau</w:t>
      </w:r>
      <w:r>
        <w:rPr>
          <w:rFonts w:cs="Arial"/>
        </w:rPr>
        <w:t>x en Annexe 1a/ et 1b/</w:t>
      </w:r>
      <w:r w:rsidR="007A164D" w:rsidRPr="007A164D">
        <w:rPr>
          <w:rFonts w:cs="Arial"/>
        </w:rPr>
        <w:t xml:space="preserve"> </w:t>
      </w:r>
      <w:r w:rsidR="007A164D">
        <w:rPr>
          <w:rFonts w:cs="Arial"/>
        </w:rPr>
        <w:t>montre que</w:t>
      </w:r>
      <w:r w:rsidR="007A164D" w:rsidRPr="007A164D">
        <w:rPr>
          <w:rFonts w:cs="Arial"/>
        </w:rPr>
        <w:t xml:space="preserve"> </w:t>
      </w:r>
      <w:r w:rsidR="009B11D3">
        <w:rPr>
          <w:rFonts w:cs="Arial"/>
        </w:rPr>
        <w:t xml:space="preserve">dans </w:t>
      </w:r>
      <w:r w:rsidR="006D16CF">
        <w:rPr>
          <w:rFonts w:cs="Arial"/>
        </w:rPr>
        <w:t>de nombreux</w:t>
      </w:r>
      <w:r w:rsidR="009B11D3">
        <w:rPr>
          <w:rFonts w:cs="Arial"/>
        </w:rPr>
        <w:t xml:space="preserve"> cas</w:t>
      </w:r>
      <w:r w:rsidR="006D16CF">
        <w:rPr>
          <w:rFonts w:cs="Arial"/>
        </w:rPr>
        <w:t>,</w:t>
      </w:r>
      <w:r w:rsidR="009B11D3">
        <w:rPr>
          <w:rFonts w:cs="Arial"/>
        </w:rPr>
        <w:t xml:space="preserve"> la dénomination est </w:t>
      </w:r>
      <w:r w:rsidR="00881D9F">
        <w:rPr>
          <w:rFonts w:cs="Arial"/>
        </w:rPr>
        <w:t>sommaire</w:t>
      </w:r>
      <w:r w:rsidR="009B11D3">
        <w:rPr>
          <w:rFonts w:cs="Arial"/>
        </w:rPr>
        <w:t xml:space="preserve"> et ouvre à l’interprétation</w:t>
      </w:r>
      <w:r w:rsidR="006D16CF">
        <w:rPr>
          <w:rFonts w:cs="Arial"/>
        </w:rPr>
        <w:t>. L</w:t>
      </w:r>
      <w:r w:rsidR="009B11D3">
        <w:rPr>
          <w:rFonts w:cs="Arial"/>
        </w:rPr>
        <w:t>e cas d</w:t>
      </w:r>
      <w:r w:rsidR="009C6FF7">
        <w:rPr>
          <w:rFonts w:cs="Arial"/>
        </w:rPr>
        <w:t>es</w:t>
      </w:r>
      <w:r w:rsidR="009B11D3">
        <w:rPr>
          <w:rFonts w:cs="Arial"/>
        </w:rPr>
        <w:t xml:space="preserve"> références </w:t>
      </w:r>
      <w:r w:rsidR="009C6FF7">
        <w:rPr>
          <w:rFonts w:cs="Arial"/>
        </w:rPr>
        <w:t>ci-après</w:t>
      </w:r>
      <w:r w:rsidR="000F2ADF">
        <w:rPr>
          <w:rFonts w:cs="Arial"/>
        </w:rPr>
        <w:t xml:space="preserve"> </w:t>
      </w:r>
      <w:r w:rsidR="006D16CF">
        <w:rPr>
          <w:rFonts w:cs="Arial"/>
        </w:rPr>
        <w:t>illustre le sujet sans être exhaustif</w:t>
      </w:r>
      <w:r w:rsidR="00080370">
        <w:rPr>
          <w:rFonts w:cs="Arial"/>
        </w:rPr>
        <w:t xml:space="preserve"> (</w:t>
      </w:r>
      <w:r w:rsidR="002A05D1">
        <w:rPr>
          <w:rFonts w:cs="Arial"/>
        </w:rPr>
        <w:fldChar w:fldCharType="begin"/>
      </w:r>
      <w:r w:rsidR="002A05D1">
        <w:rPr>
          <w:rFonts w:cs="Arial"/>
        </w:rPr>
        <w:instrText xml:space="preserve"> REF _Ref70848150 \h </w:instrText>
      </w:r>
      <w:r w:rsidR="002A05D1">
        <w:rPr>
          <w:rFonts w:cs="Arial"/>
        </w:rPr>
      </w:r>
      <w:r w:rsidR="002A05D1">
        <w:rPr>
          <w:rFonts w:cs="Arial"/>
        </w:rPr>
        <w:fldChar w:fldCharType="separate"/>
      </w:r>
      <w:r w:rsidR="002A05D1">
        <w:t xml:space="preserve">Tableau </w:t>
      </w:r>
      <w:r w:rsidR="002A05D1">
        <w:rPr>
          <w:noProof/>
        </w:rPr>
        <w:t>1</w:t>
      </w:r>
      <w:r w:rsidR="002A05D1">
        <w:rPr>
          <w:rFonts w:cs="Arial"/>
        </w:rPr>
        <w:fldChar w:fldCharType="end"/>
      </w:r>
      <w:r w:rsidR="002A05D1">
        <w:rPr>
          <w:rFonts w:cs="Arial"/>
        </w:rPr>
        <w:t>)</w:t>
      </w:r>
      <w:r w:rsidR="00080370">
        <w:rPr>
          <w:rFonts w:cs="Arial"/>
        </w:rPr>
        <w:t>.</w:t>
      </w:r>
    </w:p>
    <w:p w14:paraId="769C8790" w14:textId="683F23D8" w:rsidR="00E042B5" w:rsidRDefault="00E042B5" w:rsidP="00E042B5">
      <w:pPr>
        <w:rPr>
          <w:rFonts w:cs="Arial"/>
        </w:rPr>
      </w:pPr>
      <w:r>
        <w:rPr>
          <w:rFonts w:cs="Arial"/>
        </w:rPr>
        <w:t>L</w:t>
      </w:r>
      <w:r w:rsidRPr="009557E7">
        <w:rPr>
          <w:rFonts w:cs="Arial"/>
        </w:rPr>
        <w:t>e référentiel RITA ou Référentiel Intégré Tarifaire Automatisé</w:t>
      </w:r>
      <w:r>
        <w:rPr>
          <w:rFonts w:cs="Arial"/>
        </w:rPr>
        <w:t xml:space="preserve"> présente</w:t>
      </w:r>
      <w:r w:rsidRPr="009557E7">
        <w:rPr>
          <w:rFonts w:cs="Arial"/>
        </w:rPr>
        <w:t xml:space="preserve"> </w:t>
      </w:r>
      <w:r>
        <w:rPr>
          <w:rFonts w:cs="Arial"/>
        </w:rPr>
        <w:t xml:space="preserve">l’arborescence des produits et codifie le contenu de chaque catégorie mais de manière très </w:t>
      </w:r>
      <w:r w:rsidR="00BD4957">
        <w:rPr>
          <w:rFonts w:cs="Arial"/>
        </w:rPr>
        <w:t>large</w:t>
      </w:r>
      <w:r>
        <w:rPr>
          <w:rFonts w:cs="Arial"/>
        </w:rPr>
        <w:t xml:space="preserve"> au regard du nombre de présentation</w:t>
      </w:r>
      <w:r w:rsidR="006A3537">
        <w:rPr>
          <w:rFonts w:cs="Arial"/>
        </w:rPr>
        <w:t>s</w:t>
      </w:r>
      <w:r>
        <w:rPr>
          <w:rFonts w:cs="Arial"/>
        </w:rPr>
        <w:t xml:space="preserve"> d</w:t>
      </w:r>
      <w:r w:rsidR="006A3537">
        <w:rPr>
          <w:rFonts w:cs="Arial"/>
        </w:rPr>
        <w:t>e</w:t>
      </w:r>
      <w:r>
        <w:rPr>
          <w:rFonts w:cs="Arial"/>
        </w:rPr>
        <w:t xml:space="preserve"> découpe des pièces existant</w:t>
      </w:r>
      <w:r w:rsidR="006A3537">
        <w:rPr>
          <w:rFonts w:cs="Arial"/>
        </w:rPr>
        <w:t>es</w:t>
      </w:r>
      <w:r>
        <w:rPr>
          <w:rFonts w:cs="Arial"/>
        </w:rPr>
        <w:t xml:space="preserve"> dans le marché</w:t>
      </w:r>
      <w:r w:rsidRPr="009557E7">
        <w:rPr>
          <w:rFonts w:cs="Arial"/>
        </w:rPr>
        <w:t>.</w:t>
      </w:r>
      <w:r>
        <w:rPr>
          <w:rFonts w:cs="Arial"/>
        </w:rPr>
        <w:t xml:space="preserve"> Il n’existe en effet pas d’harmonisation sur ces codifications. </w:t>
      </w:r>
      <w:r w:rsidR="00AD55ED">
        <w:rPr>
          <w:rFonts w:cs="Arial"/>
        </w:rPr>
        <w:t xml:space="preserve">Ainsi, </w:t>
      </w:r>
      <w:r>
        <w:rPr>
          <w:rFonts w:cs="Arial"/>
        </w:rPr>
        <w:t xml:space="preserve">les « parties avant » sont définies dans l’encyclopédie comme suit : </w:t>
      </w:r>
    </w:p>
    <w:p w14:paraId="6E099C11" w14:textId="4136E4D5" w:rsidR="00E042B5" w:rsidRPr="006571A3" w:rsidRDefault="008533D8" w:rsidP="00E042B5">
      <w:pPr>
        <w:rPr>
          <w:rFonts w:cs="Arial"/>
          <w:i/>
          <w:sz w:val="20"/>
          <w:szCs w:val="20"/>
        </w:rPr>
      </w:pPr>
      <w:r w:rsidRPr="006571A3">
        <w:rPr>
          <w:rFonts w:cs="Arial"/>
          <w:i/>
          <w:sz w:val="20"/>
          <w:szCs w:val="20"/>
        </w:rPr>
        <w:t>« Partie</w:t>
      </w:r>
      <w:r w:rsidR="00E042B5" w:rsidRPr="006571A3">
        <w:rPr>
          <w:rFonts w:cs="Arial"/>
          <w:i/>
          <w:sz w:val="20"/>
          <w:szCs w:val="20"/>
        </w:rPr>
        <w:t xml:space="preserve"> </w:t>
      </w:r>
      <w:r w:rsidRPr="006571A3">
        <w:rPr>
          <w:rFonts w:cs="Arial"/>
          <w:i/>
          <w:sz w:val="20"/>
          <w:szCs w:val="20"/>
        </w:rPr>
        <w:t>avant »</w:t>
      </w:r>
      <w:r w:rsidR="00E042B5" w:rsidRPr="006571A3">
        <w:rPr>
          <w:rFonts w:cs="Arial"/>
          <w:i/>
          <w:sz w:val="20"/>
          <w:szCs w:val="20"/>
        </w:rPr>
        <w:t>, au sens des sous-positions 0203 19 11, 0203 29 11, 0210 19 30 et 0210 19 60, la partie antérieure (</w:t>
      </w:r>
      <w:r w:rsidR="00A74BCB" w:rsidRPr="006571A3">
        <w:rPr>
          <w:rFonts w:cs="Arial"/>
          <w:i/>
          <w:sz w:val="20"/>
          <w:szCs w:val="20"/>
        </w:rPr>
        <w:t>crâniale</w:t>
      </w:r>
      <w:r w:rsidR="00E042B5" w:rsidRPr="006571A3">
        <w:rPr>
          <w:rFonts w:cs="Arial"/>
          <w:i/>
          <w:sz w:val="20"/>
          <w:szCs w:val="20"/>
        </w:rPr>
        <w:t>) de la demi-carcasse sans la tête, avec ou sans la partie de la gorge appelée</w:t>
      </w:r>
      <w:r w:rsidRPr="006571A3">
        <w:rPr>
          <w:rFonts w:cs="Arial"/>
          <w:i/>
          <w:sz w:val="20"/>
          <w:szCs w:val="20"/>
        </w:rPr>
        <w:t xml:space="preserve"> « joues</w:t>
      </w:r>
      <w:r w:rsidR="00E042B5" w:rsidRPr="006571A3">
        <w:rPr>
          <w:rFonts w:cs="Arial"/>
          <w:i/>
          <w:sz w:val="20"/>
          <w:szCs w:val="20"/>
        </w:rPr>
        <w:t xml:space="preserve"> </w:t>
      </w:r>
      <w:r w:rsidRPr="006571A3">
        <w:rPr>
          <w:rFonts w:cs="Arial"/>
          <w:i/>
          <w:sz w:val="20"/>
          <w:szCs w:val="20"/>
        </w:rPr>
        <w:t>basses »</w:t>
      </w:r>
      <w:r w:rsidR="00E042B5" w:rsidRPr="006571A3">
        <w:rPr>
          <w:rFonts w:cs="Arial"/>
          <w:i/>
          <w:sz w:val="20"/>
          <w:szCs w:val="20"/>
        </w:rPr>
        <w:t xml:space="preserve">, comprenant les os, avec ou sans le pied, le jambonneau, la couenne ou le lard. La partie avant </w:t>
      </w:r>
      <w:r w:rsidR="00E042B5" w:rsidRPr="006571A3">
        <w:rPr>
          <w:rFonts w:cs="Arial"/>
          <w:i/>
          <w:sz w:val="20"/>
          <w:szCs w:val="20"/>
        </w:rPr>
        <w:lastRenderedPageBreak/>
        <w:t>est séparée du reste de la demi-carcasse de façon à inclure au maximum la cinquième vertèbre dorsale. La partie supérieure (dorsale) de la partie avant (échine), même avec l'omoplate et la musculature y afférente (la palette), est considérée comme un morceau de la longe, lorsqu'elle est séparée de la partie inférieure (ventrale) de la partie avant par une coupe se situant, au maximum, juste au-dessous de la colonne vertébrale ».</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20"/>
        <w:gridCol w:w="1250"/>
        <w:gridCol w:w="969"/>
        <w:gridCol w:w="1985"/>
        <w:gridCol w:w="1417"/>
        <w:gridCol w:w="1843"/>
      </w:tblGrid>
      <w:tr w:rsidR="00AB1000" w:rsidRPr="00AB1000" w14:paraId="6B4BA980" w14:textId="77777777" w:rsidTr="000B5231">
        <w:trPr>
          <w:trHeight w:val="300"/>
          <w:jc w:val="center"/>
        </w:trPr>
        <w:tc>
          <w:tcPr>
            <w:tcW w:w="1320" w:type="dxa"/>
            <w:shd w:val="clear" w:color="D9E1F2" w:fill="D9E1F2"/>
            <w:noWrap/>
            <w:vAlign w:val="bottom"/>
            <w:hideMark/>
          </w:tcPr>
          <w:p w14:paraId="50D5BBA4"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xml:space="preserve">Niveau 3 </w:t>
            </w:r>
          </w:p>
        </w:tc>
        <w:tc>
          <w:tcPr>
            <w:tcW w:w="1250" w:type="dxa"/>
            <w:shd w:val="clear" w:color="D9E1F2" w:fill="D9E1F2"/>
            <w:noWrap/>
            <w:vAlign w:val="bottom"/>
            <w:hideMark/>
          </w:tcPr>
          <w:p w14:paraId="328C5CDE"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Niveau 4</w:t>
            </w:r>
          </w:p>
        </w:tc>
        <w:tc>
          <w:tcPr>
            <w:tcW w:w="969" w:type="dxa"/>
            <w:shd w:val="clear" w:color="D9E1F2" w:fill="D9E1F2"/>
            <w:noWrap/>
            <w:vAlign w:val="bottom"/>
            <w:hideMark/>
          </w:tcPr>
          <w:p w14:paraId="4DD385C4"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Niveau 5</w:t>
            </w:r>
          </w:p>
        </w:tc>
        <w:tc>
          <w:tcPr>
            <w:tcW w:w="1985" w:type="dxa"/>
            <w:shd w:val="clear" w:color="D9E1F2" w:fill="D9E1F2"/>
            <w:noWrap/>
            <w:vAlign w:val="bottom"/>
            <w:hideMark/>
          </w:tcPr>
          <w:p w14:paraId="46BF973B"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Niveau 6</w:t>
            </w:r>
          </w:p>
        </w:tc>
        <w:tc>
          <w:tcPr>
            <w:tcW w:w="1417" w:type="dxa"/>
            <w:shd w:val="clear" w:color="D9E1F2" w:fill="D9E1F2"/>
            <w:noWrap/>
            <w:vAlign w:val="bottom"/>
            <w:hideMark/>
          </w:tcPr>
          <w:p w14:paraId="3F1982E8"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Niveau 7</w:t>
            </w:r>
          </w:p>
        </w:tc>
        <w:tc>
          <w:tcPr>
            <w:tcW w:w="1843" w:type="dxa"/>
            <w:shd w:val="clear" w:color="D9E1F2" w:fill="D9E1F2"/>
            <w:noWrap/>
            <w:vAlign w:val="bottom"/>
            <w:hideMark/>
          </w:tcPr>
          <w:p w14:paraId="50BFDB44"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Codification NC8</w:t>
            </w:r>
          </w:p>
        </w:tc>
      </w:tr>
      <w:tr w:rsidR="00AB1000" w:rsidRPr="00AB1000" w14:paraId="470F6EBE" w14:textId="77777777" w:rsidTr="000B5231">
        <w:trPr>
          <w:trHeight w:val="300"/>
          <w:jc w:val="center"/>
        </w:trPr>
        <w:tc>
          <w:tcPr>
            <w:tcW w:w="1320" w:type="dxa"/>
            <w:shd w:val="clear" w:color="auto" w:fill="auto"/>
            <w:noWrap/>
            <w:vAlign w:val="center"/>
            <w:hideMark/>
          </w:tcPr>
          <w:p w14:paraId="50B27F9F"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xml:space="preserve">Viandes FRC </w:t>
            </w:r>
          </w:p>
        </w:tc>
        <w:tc>
          <w:tcPr>
            <w:tcW w:w="1250" w:type="dxa"/>
            <w:shd w:val="clear" w:color="auto" w:fill="auto"/>
            <w:noWrap/>
            <w:vAlign w:val="center"/>
            <w:hideMark/>
          </w:tcPr>
          <w:p w14:paraId="6AD6D4CB"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xml:space="preserve">Pièces FRC </w:t>
            </w:r>
          </w:p>
        </w:tc>
        <w:tc>
          <w:tcPr>
            <w:tcW w:w="969" w:type="dxa"/>
            <w:shd w:val="clear" w:color="auto" w:fill="auto"/>
            <w:noWrap/>
            <w:vAlign w:val="center"/>
            <w:hideMark/>
          </w:tcPr>
          <w:p w14:paraId="4EAE6E60"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xml:space="preserve">Pièces FR </w:t>
            </w:r>
          </w:p>
        </w:tc>
        <w:tc>
          <w:tcPr>
            <w:tcW w:w="1985" w:type="dxa"/>
            <w:shd w:val="clear" w:color="auto" w:fill="auto"/>
            <w:noWrap/>
            <w:vAlign w:val="center"/>
            <w:hideMark/>
          </w:tcPr>
          <w:p w14:paraId="14CD31D1"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Autres pièces de porc FR</w:t>
            </w:r>
          </w:p>
        </w:tc>
        <w:tc>
          <w:tcPr>
            <w:tcW w:w="1417" w:type="dxa"/>
            <w:shd w:val="clear" w:color="auto" w:fill="auto"/>
            <w:noWrap/>
            <w:vAlign w:val="center"/>
            <w:hideMark/>
          </w:tcPr>
          <w:p w14:paraId="1EFCE9B5"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Désossées FR</w:t>
            </w:r>
          </w:p>
        </w:tc>
        <w:tc>
          <w:tcPr>
            <w:tcW w:w="1843" w:type="dxa"/>
            <w:shd w:val="clear" w:color="auto" w:fill="auto"/>
            <w:noWrap/>
            <w:vAlign w:val="center"/>
            <w:hideMark/>
          </w:tcPr>
          <w:p w14:paraId="679E82DE" w14:textId="4CF1C052" w:rsidR="00AB1000" w:rsidRPr="00954302" w:rsidRDefault="00AB1000" w:rsidP="00954302">
            <w:pPr>
              <w:keepNext/>
              <w:spacing w:after="0" w:line="240" w:lineRule="auto"/>
              <w:jc w:val="left"/>
              <w:rPr>
                <w:rFonts w:ascii="Arial Narrow" w:eastAsia="Times New Roman" w:hAnsi="Arial Narrow" w:cs="Arial"/>
                <w:sz w:val="18"/>
                <w:szCs w:val="18"/>
                <w:lang w:eastAsia="fr-FR"/>
              </w:rPr>
            </w:pPr>
            <w:r w:rsidRPr="00954302">
              <w:rPr>
                <w:rFonts w:ascii="Arial Narrow" w:eastAsia="Times New Roman" w:hAnsi="Arial Narrow" w:cs="Arial"/>
                <w:sz w:val="18"/>
                <w:szCs w:val="18"/>
                <w:lang w:eastAsia="fr-FR"/>
              </w:rPr>
              <w:t>02031955</w:t>
            </w:r>
          </w:p>
        </w:tc>
      </w:tr>
      <w:tr w:rsidR="00AB1000" w:rsidRPr="00AB1000" w14:paraId="4330A0D2" w14:textId="77777777" w:rsidTr="000B5231">
        <w:trPr>
          <w:trHeight w:val="300"/>
          <w:jc w:val="center"/>
        </w:trPr>
        <w:tc>
          <w:tcPr>
            <w:tcW w:w="1320" w:type="dxa"/>
            <w:shd w:val="clear" w:color="D9E1F2" w:fill="D9E1F2"/>
            <w:noWrap/>
            <w:vAlign w:val="center"/>
            <w:hideMark/>
          </w:tcPr>
          <w:p w14:paraId="36183EAC"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1250" w:type="dxa"/>
            <w:shd w:val="clear" w:color="D9E1F2" w:fill="D9E1F2"/>
            <w:noWrap/>
            <w:vAlign w:val="center"/>
            <w:hideMark/>
          </w:tcPr>
          <w:p w14:paraId="5B29298B"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969" w:type="dxa"/>
            <w:shd w:val="clear" w:color="D9E1F2" w:fill="D9E1F2"/>
            <w:noWrap/>
            <w:vAlign w:val="center"/>
            <w:hideMark/>
          </w:tcPr>
          <w:p w14:paraId="552BAA43"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w:t>
            </w:r>
          </w:p>
        </w:tc>
        <w:tc>
          <w:tcPr>
            <w:tcW w:w="1985" w:type="dxa"/>
            <w:shd w:val="clear" w:color="D9E1F2" w:fill="D9E1F2"/>
            <w:noWrap/>
            <w:vAlign w:val="center"/>
            <w:hideMark/>
          </w:tcPr>
          <w:p w14:paraId="072FB458"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w:t>
            </w:r>
          </w:p>
        </w:tc>
        <w:tc>
          <w:tcPr>
            <w:tcW w:w="1417" w:type="dxa"/>
            <w:shd w:val="clear" w:color="D9E1F2" w:fill="D9E1F2"/>
            <w:noWrap/>
            <w:vAlign w:val="center"/>
            <w:hideMark/>
          </w:tcPr>
          <w:p w14:paraId="4C264BF1"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Parties avant FR</w:t>
            </w:r>
          </w:p>
        </w:tc>
        <w:tc>
          <w:tcPr>
            <w:tcW w:w="1843" w:type="dxa"/>
            <w:shd w:val="clear" w:color="D9E1F2" w:fill="D9E1F2"/>
            <w:noWrap/>
            <w:vAlign w:val="center"/>
            <w:hideMark/>
          </w:tcPr>
          <w:p w14:paraId="743C2A53" w14:textId="0865CE62" w:rsidR="00AB1000" w:rsidRPr="00954302" w:rsidRDefault="00AB1000" w:rsidP="00954302">
            <w:pPr>
              <w:keepNext/>
              <w:spacing w:after="0" w:line="240" w:lineRule="auto"/>
              <w:jc w:val="left"/>
              <w:rPr>
                <w:rFonts w:ascii="Arial Narrow" w:eastAsia="Times New Roman" w:hAnsi="Arial Narrow" w:cs="Arial"/>
                <w:sz w:val="18"/>
                <w:szCs w:val="18"/>
                <w:lang w:eastAsia="fr-FR"/>
              </w:rPr>
            </w:pPr>
            <w:r w:rsidRPr="00954302">
              <w:rPr>
                <w:rFonts w:ascii="Arial Narrow" w:eastAsia="Times New Roman" w:hAnsi="Arial Narrow" w:cs="Arial"/>
                <w:sz w:val="18"/>
                <w:szCs w:val="18"/>
                <w:lang w:eastAsia="fr-FR"/>
              </w:rPr>
              <w:t>02031911</w:t>
            </w:r>
          </w:p>
        </w:tc>
      </w:tr>
      <w:tr w:rsidR="00AB1000" w:rsidRPr="00AB1000" w14:paraId="03399406" w14:textId="77777777" w:rsidTr="000B5231">
        <w:trPr>
          <w:trHeight w:val="300"/>
          <w:jc w:val="center"/>
        </w:trPr>
        <w:tc>
          <w:tcPr>
            <w:tcW w:w="1320" w:type="dxa"/>
            <w:shd w:val="clear" w:color="auto" w:fill="auto"/>
            <w:noWrap/>
            <w:vAlign w:val="center"/>
            <w:hideMark/>
          </w:tcPr>
          <w:p w14:paraId="3B967D11"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1250" w:type="dxa"/>
            <w:shd w:val="clear" w:color="auto" w:fill="auto"/>
            <w:noWrap/>
            <w:vAlign w:val="center"/>
            <w:hideMark/>
          </w:tcPr>
          <w:p w14:paraId="1748DAC8"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969" w:type="dxa"/>
            <w:shd w:val="clear" w:color="auto" w:fill="auto"/>
            <w:noWrap/>
            <w:vAlign w:val="center"/>
            <w:hideMark/>
          </w:tcPr>
          <w:p w14:paraId="60FDE9D2"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xml:space="preserve">Pièces C </w:t>
            </w:r>
          </w:p>
        </w:tc>
        <w:tc>
          <w:tcPr>
            <w:tcW w:w="1985" w:type="dxa"/>
            <w:shd w:val="clear" w:color="auto" w:fill="auto"/>
            <w:noWrap/>
            <w:vAlign w:val="center"/>
            <w:hideMark/>
          </w:tcPr>
          <w:p w14:paraId="07FFFBDA"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Autres pièces de porc C</w:t>
            </w:r>
          </w:p>
        </w:tc>
        <w:tc>
          <w:tcPr>
            <w:tcW w:w="1417" w:type="dxa"/>
            <w:shd w:val="clear" w:color="auto" w:fill="auto"/>
            <w:noWrap/>
            <w:vAlign w:val="center"/>
            <w:hideMark/>
          </w:tcPr>
          <w:p w14:paraId="026D9684"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Désossées C</w:t>
            </w:r>
          </w:p>
        </w:tc>
        <w:tc>
          <w:tcPr>
            <w:tcW w:w="1843" w:type="dxa"/>
            <w:shd w:val="clear" w:color="auto" w:fill="auto"/>
            <w:noWrap/>
            <w:vAlign w:val="center"/>
            <w:hideMark/>
          </w:tcPr>
          <w:p w14:paraId="413401E5" w14:textId="73DC0B70" w:rsidR="00AB1000" w:rsidRPr="00954302" w:rsidRDefault="00AB1000" w:rsidP="00954302">
            <w:pPr>
              <w:keepNext/>
              <w:spacing w:after="0" w:line="240" w:lineRule="auto"/>
              <w:jc w:val="left"/>
              <w:rPr>
                <w:rFonts w:ascii="Arial Narrow" w:eastAsia="Times New Roman" w:hAnsi="Arial Narrow" w:cs="Arial"/>
                <w:sz w:val="18"/>
                <w:szCs w:val="18"/>
                <w:lang w:eastAsia="fr-FR"/>
              </w:rPr>
            </w:pPr>
            <w:r w:rsidRPr="00954302">
              <w:rPr>
                <w:rFonts w:ascii="Arial Narrow" w:eastAsia="Times New Roman" w:hAnsi="Arial Narrow" w:cs="Arial"/>
                <w:sz w:val="18"/>
                <w:szCs w:val="18"/>
                <w:lang w:eastAsia="fr-FR"/>
              </w:rPr>
              <w:t>02032955</w:t>
            </w:r>
          </w:p>
        </w:tc>
      </w:tr>
      <w:tr w:rsidR="00AB1000" w:rsidRPr="00AB1000" w14:paraId="27CC37DE" w14:textId="77777777" w:rsidTr="000B5231">
        <w:trPr>
          <w:trHeight w:val="300"/>
          <w:jc w:val="center"/>
        </w:trPr>
        <w:tc>
          <w:tcPr>
            <w:tcW w:w="1320" w:type="dxa"/>
            <w:shd w:val="clear" w:color="D9E1F2" w:fill="D9E1F2"/>
            <w:noWrap/>
            <w:vAlign w:val="center"/>
            <w:hideMark/>
          </w:tcPr>
          <w:p w14:paraId="52F06EE3"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1250" w:type="dxa"/>
            <w:shd w:val="clear" w:color="D9E1F2" w:fill="D9E1F2"/>
            <w:noWrap/>
            <w:vAlign w:val="center"/>
            <w:hideMark/>
          </w:tcPr>
          <w:p w14:paraId="6CDAE9F5" w14:textId="77777777" w:rsidR="00AB1000" w:rsidRPr="00954302" w:rsidRDefault="00AB1000" w:rsidP="00954302">
            <w:pPr>
              <w:keepNext/>
              <w:spacing w:after="0" w:line="240" w:lineRule="auto"/>
              <w:jc w:val="left"/>
              <w:rPr>
                <w:rFonts w:ascii="Arial Narrow" w:eastAsia="Times New Roman" w:hAnsi="Arial Narrow" w:cs="Arial"/>
                <w:color w:val="000000"/>
                <w:lang w:eastAsia="fr-FR"/>
              </w:rPr>
            </w:pPr>
            <w:r w:rsidRPr="00954302">
              <w:rPr>
                <w:rFonts w:ascii="Arial Narrow" w:eastAsia="Times New Roman" w:hAnsi="Arial Narrow" w:cs="Arial"/>
                <w:color w:val="000000"/>
                <w:lang w:eastAsia="fr-FR"/>
              </w:rPr>
              <w:t> </w:t>
            </w:r>
          </w:p>
        </w:tc>
        <w:tc>
          <w:tcPr>
            <w:tcW w:w="969" w:type="dxa"/>
            <w:shd w:val="clear" w:color="D9E1F2" w:fill="D9E1F2"/>
            <w:noWrap/>
            <w:vAlign w:val="center"/>
            <w:hideMark/>
          </w:tcPr>
          <w:p w14:paraId="254E57A3"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w:t>
            </w:r>
          </w:p>
        </w:tc>
        <w:tc>
          <w:tcPr>
            <w:tcW w:w="1985" w:type="dxa"/>
            <w:shd w:val="clear" w:color="D9E1F2" w:fill="D9E1F2"/>
            <w:noWrap/>
            <w:vAlign w:val="center"/>
            <w:hideMark/>
          </w:tcPr>
          <w:p w14:paraId="4984D6F7"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 </w:t>
            </w:r>
          </w:p>
        </w:tc>
        <w:tc>
          <w:tcPr>
            <w:tcW w:w="1417" w:type="dxa"/>
            <w:shd w:val="clear" w:color="D9E1F2" w:fill="D9E1F2"/>
            <w:noWrap/>
            <w:vAlign w:val="center"/>
            <w:hideMark/>
          </w:tcPr>
          <w:p w14:paraId="083797E7" w14:textId="77777777" w:rsidR="00AB1000" w:rsidRPr="00954302" w:rsidRDefault="00AB1000" w:rsidP="00954302">
            <w:pPr>
              <w:keepNext/>
              <w:spacing w:after="0" w:line="240" w:lineRule="auto"/>
              <w:jc w:val="left"/>
              <w:rPr>
                <w:rFonts w:ascii="Arial Narrow" w:eastAsia="Times New Roman" w:hAnsi="Arial Narrow" w:cs="Arial"/>
                <w:color w:val="000000"/>
                <w:sz w:val="18"/>
                <w:szCs w:val="18"/>
                <w:lang w:eastAsia="fr-FR"/>
              </w:rPr>
            </w:pPr>
            <w:r w:rsidRPr="00954302">
              <w:rPr>
                <w:rFonts w:ascii="Arial Narrow" w:eastAsia="Times New Roman" w:hAnsi="Arial Narrow" w:cs="Arial"/>
                <w:color w:val="000000"/>
                <w:sz w:val="18"/>
                <w:szCs w:val="18"/>
                <w:lang w:eastAsia="fr-FR"/>
              </w:rPr>
              <w:t>Parties avant C</w:t>
            </w:r>
          </w:p>
        </w:tc>
        <w:tc>
          <w:tcPr>
            <w:tcW w:w="1843" w:type="dxa"/>
            <w:shd w:val="clear" w:color="D9E1F2" w:fill="D9E1F2"/>
            <w:noWrap/>
            <w:vAlign w:val="center"/>
            <w:hideMark/>
          </w:tcPr>
          <w:p w14:paraId="57CB280C" w14:textId="71BC5F01" w:rsidR="00AB1000" w:rsidRPr="00954302" w:rsidRDefault="00AB1000" w:rsidP="00954302">
            <w:pPr>
              <w:keepNext/>
              <w:spacing w:after="0" w:line="240" w:lineRule="auto"/>
              <w:jc w:val="left"/>
              <w:rPr>
                <w:rFonts w:ascii="Arial Narrow" w:eastAsia="Times New Roman" w:hAnsi="Arial Narrow" w:cs="Arial"/>
                <w:sz w:val="18"/>
                <w:szCs w:val="18"/>
                <w:lang w:eastAsia="fr-FR"/>
              </w:rPr>
            </w:pPr>
            <w:r w:rsidRPr="00954302">
              <w:rPr>
                <w:rFonts w:ascii="Arial Narrow" w:eastAsia="Times New Roman" w:hAnsi="Arial Narrow" w:cs="Arial"/>
                <w:sz w:val="18"/>
                <w:szCs w:val="18"/>
                <w:lang w:eastAsia="fr-FR"/>
              </w:rPr>
              <w:t>02032911</w:t>
            </w:r>
          </w:p>
        </w:tc>
      </w:tr>
    </w:tbl>
    <w:p w14:paraId="108EC0AC" w14:textId="47AAD283" w:rsidR="003238A3" w:rsidRDefault="00695391" w:rsidP="008B1AE1">
      <w:pPr>
        <w:pStyle w:val="figure"/>
      </w:pPr>
      <w:bookmarkStart w:id="20" w:name="_Ref70848150"/>
      <w:bookmarkStart w:id="21" w:name="_Toc72143349"/>
      <w:r>
        <w:t xml:space="preserve">Tableau </w:t>
      </w:r>
      <w:r w:rsidR="00E27D6E">
        <w:fldChar w:fldCharType="begin"/>
      </w:r>
      <w:r w:rsidR="00E27D6E">
        <w:instrText xml:space="preserve"> SEQ Tableau \* ARABIC </w:instrText>
      </w:r>
      <w:r w:rsidR="00E27D6E">
        <w:fldChar w:fldCharType="separate"/>
      </w:r>
      <w:r w:rsidR="0007597F">
        <w:rPr>
          <w:noProof/>
        </w:rPr>
        <w:t>1</w:t>
      </w:r>
      <w:r w:rsidR="00E27D6E">
        <w:rPr>
          <w:noProof/>
        </w:rPr>
        <w:fldChar w:fldCharType="end"/>
      </w:r>
      <w:bookmarkEnd w:id="20"/>
      <w:r w:rsidR="008B1AE1">
        <w:t xml:space="preserve"> : </w:t>
      </w:r>
      <w:r w:rsidR="00BD4957">
        <w:t xml:space="preserve">Illustration de la codification </w:t>
      </w:r>
      <w:r w:rsidR="005B2D60">
        <w:t>NC8 avec le cas de</w:t>
      </w:r>
      <w:r w:rsidR="005F5CBC">
        <w:t>s viandes FRC</w:t>
      </w:r>
      <w:bookmarkEnd w:id="21"/>
    </w:p>
    <w:p w14:paraId="48F8CD4A" w14:textId="01301032" w:rsidR="00695391" w:rsidRDefault="005F5CBC" w:rsidP="003238A3">
      <w:pPr>
        <w:pStyle w:val="Lgende"/>
      </w:pPr>
      <w:r w:rsidRPr="005F5CBC">
        <w:t>(Source : RITA)</w:t>
      </w:r>
      <w:r w:rsidR="00BD4957">
        <w:t xml:space="preserve"> </w:t>
      </w:r>
    </w:p>
    <w:p w14:paraId="2D985820" w14:textId="218C0235" w:rsidR="00AB1000" w:rsidRPr="007A164D" w:rsidRDefault="00AB1000" w:rsidP="002B6FE8">
      <w:pPr>
        <w:spacing w:before="120"/>
        <w:rPr>
          <w:rFonts w:cs="Arial"/>
        </w:rPr>
      </w:pPr>
      <w:r>
        <w:rPr>
          <w:rFonts w:cs="Arial"/>
        </w:rPr>
        <w:t xml:space="preserve">Ces désignations </w:t>
      </w:r>
      <w:r w:rsidR="00A67269">
        <w:rPr>
          <w:rFonts w:cs="Arial"/>
        </w:rPr>
        <w:t xml:space="preserve">de </w:t>
      </w:r>
      <w:r>
        <w:rPr>
          <w:rFonts w:cs="Arial"/>
        </w:rPr>
        <w:t xml:space="preserve">produits feront l’objet d’un questionnement lors de la phase d’enquête à dire d’expert </w:t>
      </w:r>
      <w:r w:rsidR="000570D6">
        <w:rPr>
          <w:rFonts w:cs="Arial"/>
        </w:rPr>
        <w:t>conduite</w:t>
      </w:r>
      <w:r>
        <w:rPr>
          <w:rFonts w:cs="Arial"/>
        </w:rPr>
        <w:t xml:space="preserve"> dans le cadre de l’étude et </w:t>
      </w:r>
      <w:r w:rsidR="000F2ADF">
        <w:rPr>
          <w:rFonts w:cs="Arial"/>
        </w:rPr>
        <w:t>l</w:t>
      </w:r>
      <w:r w:rsidR="009557E7">
        <w:rPr>
          <w:rFonts w:cs="Arial"/>
        </w:rPr>
        <w:t>es partis pris</w:t>
      </w:r>
      <w:r w:rsidR="000F2ADF">
        <w:rPr>
          <w:rFonts w:cs="Arial"/>
        </w:rPr>
        <w:t xml:space="preserve"> effectués</w:t>
      </w:r>
      <w:r w:rsidR="009557E7">
        <w:rPr>
          <w:rFonts w:cs="Arial"/>
        </w:rPr>
        <w:t xml:space="preserve"> seront </w:t>
      </w:r>
      <w:r w:rsidR="000F2ADF">
        <w:rPr>
          <w:rFonts w:cs="Arial"/>
        </w:rPr>
        <w:t>évoqués</w:t>
      </w:r>
      <w:r>
        <w:rPr>
          <w:rFonts w:cs="Arial"/>
        </w:rPr>
        <w:t>.</w:t>
      </w:r>
    </w:p>
    <w:p w14:paraId="4CC2144E" w14:textId="498F833A" w:rsidR="007E108F" w:rsidRDefault="007F7CA1" w:rsidP="005C79BC">
      <w:pPr>
        <w:pStyle w:val="Titre3"/>
        <w:tabs>
          <w:tab w:val="clear" w:pos="1440"/>
        </w:tabs>
        <w:ind w:left="851"/>
      </w:pPr>
      <w:bookmarkStart w:id="22" w:name="_Toc78131545"/>
      <w:r>
        <w:t>2.</w:t>
      </w:r>
      <w:r w:rsidR="003C5058">
        <w:t>1</w:t>
      </w:r>
      <w:r>
        <w:t>.</w:t>
      </w:r>
      <w:r w:rsidR="003C5058">
        <w:t>2</w:t>
      </w:r>
      <w:r>
        <w:t xml:space="preserve"> </w:t>
      </w:r>
      <w:r w:rsidR="007E108F">
        <w:t>Sources d’écart de données statistiques</w:t>
      </w:r>
      <w:r w:rsidR="00CA6542">
        <w:t> :</w:t>
      </w:r>
      <w:bookmarkEnd w:id="22"/>
      <w:r w:rsidR="00CA6542">
        <w:t xml:space="preserve"> </w:t>
      </w:r>
    </w:p>
    <w:p w14:paraId="52564677" w14:textId="1A9D63C0" w:rsidR="00CE1445" w:rsidRDefault="001A36E5" w:rsidP="00AB1000">
      <w:pPr>
        <w:rPr>
          <w:rFonts w:cs="Arial"/>
        </w:rPr>
      </w:pPr>
      <w:r>
        <w:rPr>
          <w:rFonts w:cs="Arial"/>
        </w:rPr>
        <w:t>L</w:t>
      </w:r>
      <w:r w:rsidRPr="008D6C8F">
        <w:rPr>
          <w:rFonts w:cs="Arial"/>
        </w:rPr>
        <w:t>es statistiques</w:t>
      </w:r>
      <w:r>
        <w:rPr>
          <w:rFonts w:cs="Arial"/>
        </w:rPr>
        <w:t xml:space="preserve"> économiques officielles d</w:t>
      </w:r>
      <w:r w:rsidRPr="000B5A6E">
        <w:rPr>
          <w:rFonts w:cs="Arial"/>
        </w:rPr>
        <w:t>e données d’échanges</w:t>
      </w:r>
      <w:r>
        <w:rPr>
          <w:rFonts w:cs="Arial"/>
        </w:rPr>
        <w:t xml:space="preserve"> intra-européennes</w:t>
      </w:r>
      <w:r w:rsidRPr="000B5A6E">
        <w:rPr>
          <w:rFonts w:cs="Arial"/>
        </w:rPr>
        <w:t xml:space="preserve"> </w:t>
      </w:r>
      <w:r>
        <w:rPr>
          <w:rFonts w:cs="Arial"/>
        </w:rPr>
        <w:t xml:space="preserve">Eurostat </w:t>
      </w:r>
      <w:r w:rsidRPr="000B5A6E">
        <w:rPr>
          <w:rFonts w:cs="Arial"/>
        </w:rPr>
        <w:t xml:space="preserve">sont régulièrement alimentées et documentées. Toutefois, ces sources ne conduisent pas </w:t>
      </w:r>
      <w:r>
        <w:rPr>
          <w:rFonts w:cs="Arial"/>
        </w:rPr>
        <w:t xml:space="preserve">toujours </w:t>
      </w:r>
      <w:r w:rsidRPr="000B5A6E">
        <w:rPr>
          <w:rFonts w:cs="Arial"/>
        </w:rPr>
        <w:t>à des chiffrages identiques des flux d’échanges</w:t>
      </w:r>
      <w:r>
        <w:rPr>
          <w:rFonts w:cs="Arial"/>
        </w:rPr>
        <w:t>.</w:t>
      </w:r>
      <w:r w:rsidRPr="000B5A6E">
        <w:rPr>
          <w:rFonts w:cs="Arial"/>
        </w:rPr>
        <w:t xml:space="preserve"> </w:t>
      </w:r>
      <w:r>
        <w:rPr>
          <w:rFonts w:cs="Arial"/>
        </w:rPr>
        <w:t>Les différentes incertitude</w:t>
      </w:r>
      <w:r w:rsidR="00AB1000">
        <w:rPr>
          <w:rFonts w:cs="Arial"/>
        </w:rPr>
        <w:t>s</w:t>
      </w:r>
      <w:r>
        <w:rPr>
          <w:rFonts w:cs="Arial"/>
        </w:rPr>
        <w:t xml:space="preserve"> des données sont répertoriées et font l’objet de l’établissement de typologies d’incertitudes (Manski, 2015). </w:t>
      </w:r>
    </w:p>
    <w:p w14:paraId="554AF307" w14:textId="1AD0ABAA" w:rsidR="00CE1445" w:rsidRPr="00CE1445" w:rsidRDefault="007E108F" w:rsidP="00AB1000">
      <w:pPr>
        <w:rPr>
          <w:rFonts w:cs="Arial"/>
        </w:rPr>
      </w:pPr>
      <w:r>
        <w:rPr>
          <w:rFonts w:cs="Arial"/>
        </w:rPr>
        <w:t>L</w:t>
      </w:r>
      <w:r w:rsidRPr="000B5A6E">
        <w:rPr>
          <w:rFonts w:cs="Arial"/>
        </w:rPr>
        <w:t xml:space="preserve">es écarts de mesure </w:t>
      </w:r>
      <w:r w:rsidR="007D51E6">
        <w:rPr>
          <w:rFonts w:cs="Arial"/>
        </w:rPr>
        <w:t xml:space="preserve">s’expliquent </w:t>
      </w:r>
      <w:r w:rsidR="00C551B9">
        <w:rPr>
          <w:rFonts w:cs="Arial"/>
        </w:rPr>
        <w:t>principalement</w:t>
      </w:r>
      <w:r w:rsidR="007D51E6">
        <w:rPr>
          <w:rFonts w:cs="Arial"/>
        </w:rPr>
        <w:t xml:space="preserve"> par</w:t>
      </w:r>
      <w:r>
        <w:rPr>
          <w:rFonts w:cs="Arial"/>
        </w:rPr>
        <w:t xml:space="preserve"> des </w:t>
      </w:r>
      <w:r w:rsidRPr="000B5A6E">
        <w:rPr>
          <w:rFonts w:cs="Arial"/>
        </w:rPr>
        <w:t xml:space="preserve">différences </w:t>
      </w:r>
      <w:r>
        <w:rPr>
          <w:rFonts w:cs="Arial"/>
        </w:rPr>
        <w:t xml:space="preserve">d’approche </w:t>
      </w:r>
      <w:r w:rsidRPr="000B5A6E">
        <w:rPr>
          <w:rFonts w:cs="Arial"/>
        </w:rPr>
        <w:t xml:space="preserve">dans la définition des flux d’échanges </w:t>
      </w:r>
      <w:r>
        <w:rPr>
          <w:rFonts w:cs="Arial"/>
        </w:rPr>
        <w:t>et</w:t>
      </w:r>
      <w:r w:rsidRPr="000B5A6E">
        <w:rPr>
          <w:rFonts w:cs="Arial"/>
        </w:rPr>
        <w:t xml:space="preserve"> </w:t>
      </w:r>
      <w:r w:rsidR="007D51E6">
        <w:rPr>
          <w:rFonts w:cs="Arial"/>
        </w:rPr>
        <w:t xml:space="preserve">par </w:t>
      </w:r>
      <w:r w:rsidRPr="000B5A6E">
        <w:rPr>
          <w:rFonts w:cs="Arial"/>
        </w:rPr>
        <w:t>d</w:t>
      </w:r>
      <w:r>
        <w:rPr>
          <w:rFonts w:cs="Arial"/>
        </w:rPr>
        <w:t>es hétérogénéités dans les règles</w:t>
      </w:r>
      <w:r w:rsidRPr="000B5A6E">
        <w:rPr>
          <w:rFonts w:cs="Arial"/>
        </w:rPr>
        <w:t xml:space="preserve"> d</w:t>
      </w:r>
      <w:r>
        <w:rPr>
          <w:rFonts w:cs="Arial"/>
        </w:rPr>
        <w:t>e</w:t>
      </w:r>
      <w:r w:rsidRPr="000B5A6E">
        <w:rPr>
          <w:rFonts w:cs="Arial"/>
        </w:rPr>
        <w:t xml:space="preserve"> déclaration des partenaires commerciaux</w:t>
      </w:r>
      <w:r w:rsidR="007D51E6">
        <w:rPr>
          <w:rFonts w:cs="Arial"/>
        </w:rPr>
        <w:t xml:space="preserve"> : </w:t>
      </w:r>
    </w:p>
    <w:p w14:paraId="36F3C4EC" w14:textId="50A82EED" w:rsidR="00A62E35" w:rsidRDefault="00954302" w:rsidP="00AA28BC">
      <w:pPr>
        <w:pStyle w:val="Paragraphedeliste"/>
        <w:numPr>
          <w:ilvl w:val="0"/>
          <w:numId w:val="7"/>
        </w:numPr>
      </w:pPr>
      <w:r>
        <w:t>La</w:t>
      </w:r>
      <w:r w:rsidR="007E108F">
        <w:t xml:space="preserve"> comptabilisation </w:t>
      </w:r>
      <w:r w:rsidR="007D51E6">
        <w:t xml:space="preserve">s’effectue soit </w:t>
      </w:r>
      <w:r w:rsidR="00E66392" w:rsidRPr="005128CF">
        <w:rPr>
          <w:u w:val="single"/>
        </w:rPr>
        <w:t xml:space="preserve">par pays d’origine </w:t>
      </w:r>
      <w:r w:rsidR="005C18FC" w:rsidRPr="005128CF">
        <w:rPr>
          <w:u w:val="single"/>
        </w:rPr>
        <w:t>soit</w:t>
      </w:r>
      <w:r w:rsidR="00E66392" w:rsidRPr="005128CF">
        <w:rPr>
          <w:u w:val="single"/>
        </w:rPr>
        <w:t xml:space="preserve"> par pays de provenance</w:t>
      </w:r>
      <w:r w:rsidR="00CA6542">
        <w:t xml:space="preserve"> selon les sources</w:t>
      </w:r>
      <w:r w:rsidR="007D51E6">
        <w:t>.</w:t>
      </w:r>
      <w:r w:rsidR="00E66392" w:rsidRPr="007E108F">
        <w:t xml:space="preserve"> Les statistiques du commerce extérieur nationales d’une par</w:t>
      </w:r>
      <w:r w:rsidR="007D51E6">
        <w:t>t et</w:t>
      </w:r>
      <w:r w:rsidR="00E66392" w:rsidRPr="007E108F">
        <w:t xml:space="preserve"> communautaires d'Eurostat d’autre part, diffèrent par le mode de comptabilisation de l’origine ou de la provenance géographique des flux commerciaux. Les statistiques </w:t>
      </w:r>
      <w:r w:rsidR="00431FDD">
        <w:t xml:space="preserve">douanières </w:t>
      </w:r>
      <w:r w:rsidR="00E66392" w:rsidRPr="007E108F">
        <w:t>nationales privilégient l’origine géographique des produits importés</w:t>
      </w:r>
      <w:r w:rsidR="000063C3">
        <w:t xml:space="preserve"> alors que c’est le pays de provenance qui sera pris en compte dans les statistiques européennes</w:t>
      </w:r>
      <w:r w:rsidR="00E66392" w:rsidRPr="007E108F">
        <w:t>. Le pays d'origine se définit comme celui pouvant être considéré comme le lieu de fabrication de la marchandise</w:t>
      </w:r>
      <w:r w:rsidR="005C79BC">
        <w:t>.</w:t>
      </w:r>
    </w:p>
    <w:p w14:paraId="3A51C869" w14:textId="0106179D" w:rsidR="005128CF" w:rsidRPr="000570D6" w:rsidRDefault="00954302" w:rsidP="00AA28BC">
      <w:pPr>
        <w:pStyle w:val="Paragraphedeliste"/>
        <w:numPr>
          <w:ilvl w:val="0"/>
          <w:numId w:val="7"/>
        </w:numPr>
      </w:pPr>
      <w:r w:rsidRPr="00BF3948">
        <w:rPr>
          <w:u w:val="single"/>
        </w:rPr>
        <w:t>La</w:t>
      </w:r>
      <w:r w:rsidR="004929CF" w:rsidRPr="00BF3948">
        <w:rPr>
          <w:u w:val="single"/>
        </w:rPr>
        <w:t xml:space="preserve"> n</w:t>
      </w:r>
      <w:r w:rsidR="004929CF" w:rsidRPr="005128CF">
        <w:rPr>
          <w:u w:val="single"/>
        </w:rPr>
        <w:t xml:space="preserve">omenclature </w:t>
      </w:r>
      <w:r w:rsidR="000063C3" w:rsidRPr="005128CF">
        <w:rPr>
          <w:u w:val="single"/>
        </w:rPr>
        <w:t xml:space="preserve">intra européenne </w:t>
      </w:r>
      <w:r w:rsidR="004929CF" w:rsidRPr="005128CF">
        <w:rPr>
          <w:u w:val="single"/>
        </w:rPr>
        <w:t xml:space="preserve">est </w:t>
      </w:r>
      <w:r w:rsidR="005128CF">
        <w:rPr>
          <w:u w:val="single"/>
        </w:rPr>
        <w:t>source d’ambiguïté dans son interprétation</w:t>
      </w:r>
      <w:r w:rsidR="004929CF">
        <w:t xml:space="preserve"> et ne correspond pas </w:t>
      </w:r>
      <w:r w:rsidR="008D6C8F">
        <w:t>réellement</w:t>
      </w:r>
      <w:r w:rsidR="004929CF">
        <w:t xml:space="preserve"> aux dénominations commerciales courantes. </w:t>
      </w:r>
      <w:r w:rsidR="004929CF" w:rsidRPr="000570D6">
        <w:t>A titre d’illustration</w:t>
      </w:r>
      <w:r w:rsidR="005128CF" w:rsidRPr="000570D6">
        <w:t>,</w:t>
      </w:r>
      <w:r w:rsidR="004929CF" w:rsidRPr="000570D6">
        <w:t xml:space="preserve"> le bacon, produit de salaison étuvé est déclaré commune une viande </w:t>
      </w:r>
      <w:r w:rsidR="005128CF" w:rsidRPr="000570D6">
        <w:t>fraîche</w:t>
      </w:r>
      <w:r w:rsidR="000570D6">
        <w:t xml:space="preserve"> (Viande FR) </w:t>
      </w:r>
      <w:r w:rsidR="009B11D3" w:rsidRPr="000570D6">
        <w:t>(</w:t>
      </w:r>
      <w:r w:rsidR="005128CF" w:rsidRPr="000570D6">
        <w:t>au départ du Royaume Uni</w:t>
      </w:r>
      <w:r w:rsidR="000570D6">
        <w:t>)</w:t>
      </w:r>
      <w:r w:rsidR="005128CF" w:rsidRPr="000570D6">
        <w:t xml:space="preserve"> et est enregistré lors de son entrée aux Pays Bas </w:t>
      </w:r>
      <w:r w:rsidR="008308A1">
        <w:t>dans la catégorie</w:t>
      </w:r>
      <w:r w:rsidR="005128CF" w:rsidRPr="000570D6">
        <w:t xml:space="preserve"> </w:t>
      </w:r>
      <w:r w:rsidR="008308A1">
        <w:t xml:space="preserve">des </w:t>
      </w:r>
      <w:r w:rsidR="005128CF" w:rsidRPr="000570D6">
        <w:t>viande</w:t>
      </w:r>
      <w:r w:rsidR="008308A1">
        <w:t>s</w:t>
      </w:r>
      <w:r w:rsidR="005128CF" w:rsidRPr="000570D6">
        <w:t xml:space="preserve"> </w:t>
      </w:r>
      <w:r w:rsidR="008308A1">
        <w:t xml:space="preserve">salées ou en </w:t>
      </w:r>
      <w:r w:rsidR="005128CF" w:rsidRPr="000570D6">
        <w:t>saumure</w:t>
      </w:r>
      <w:r w:rsidR="008308A1">
        <w:t>,</w:t>
      </w:r>
      <w:r w:rsidR="005128CF" w:rsidRPr="000570D6">
        <w:t xml:space="preserve"> s</w:t>
      </w:r>
      <w:r w:rsidR="008308A1">
        <w:t>échées ou</w:t>
      </w:r>
      <w:r w:rsidR="005128CF" w:rsidRPr="000570D6">
        <w:t xml:space="preserve"> fumée</w:t>
      </w:r>
      <w:r w:rsidR="008308A1">
        <w:t>s</w:t>
      </w:r>
      <w:r w:rsidR="005128CF" w:rsidRPr="000570D6">
        <w:t xml:space="preserve"> (V</w:t>
      </w:r>
      <w:r w:rsidR="008308A1">
        <w:t xml:space="preserve">iande </w:t>
      </w:r>
      <w:r w:rsidR="005128CF" w:rsidRPr="000570D6">
        <w:t>SSF)</w:t>
      </w:r>
      <w:r w:rsidR="000570D6">
        <w:t>.</w:t>
      </w:r>
    </w:p>
    <w:p w14:paraId="4CD9F924" w14:textId="7D2D6658" w:rsidR="000063C3" w:rsidRDefault="00954302" w:rsidP="00AA28BC">
      <w:pPr>
        <w:pStyle w:val="Paragraphedeliste"/>
        <w:numPr>
          <w:ilvl w:val="0"/>
          <w:numId w:val="7"/>
        </w:numPr>
      </w:pPr>
      <w:r w:rsidRPr="00BF3948">
        <w:rPr>
          <w:u w:val="single"/>
        </w:rPr>
        <w:t>Les</w:t>
      </w:r>
      <w:r w:rsidR="00BF3948" w:rsidRPr="00BF3948">
        <w:rPr>
          <w:u w:val="single"/>
        </w:rPr>
        <w:t xml:space="preserve"> </w:t>
      </w:r>
      <w:r w:rsidR="004929CF" w:rsidRPr="00BF3948">
        <w:rPr>
          <w:u w:val="single"/>
        </w:rPr>
        <w:t>e</w:t>
      </w:r>
      <w:r w:rsidR="004929CF" w:rsidRPr="00EC1DA8">
        <w:rPr>
          <w:u w:val="single"/>
        </w:rPr>
        <w:t>xpédition</w:t>
      </w:r>
      <w:r w:rsidR="0018143A" w:rsidRPr="00EC1DA8">
        <w:rPr>
          <w:u w:val="single"/>
        </w:rPr>
        <w:t>s</w:t>
      </w:r>
      <w:r w:rsidR="004929CF" w:rsidRPr="00EC1DA8">
        <w:rPr>
          <w:u w:val="single"/>
        </w:rPr>
        <w:t xml:space="preserve"> intra-européenne</w:t>
      </w:r>
      <w:r w:rsidR="0018143A" w:rsidRPr="00EC1DA8">
        <w:rPr>
          <w:u w:val="single"/>
        </w:rPr>
        <w:t>s</w:t>
      </w:r>
      <w:r w:rsidR="004929CF" w:rsidRPr="00EC1DA8">
        <w:rPr>
          <w:u w:val="single"/>
        </w:rPr>
        <w:t xml:space="preserve"> comportant plusieurs </w:t>
      </w:r>
      <w:r w:rsidR="00E80207">
        <w:rPr>
          <w:u w:val="single"/>
        </w:rPr>
        <w:t xml:space="preserve">produits avec une codification </w:t>
      </w:r>
      <w:r w:rsidR="004929CF" w:rsidRPr="00EC1DA8">
        <w:rPr>
          <w:u w:val="single"/>
        </w:rPr>
        <w:t>NC8</w:t>
      </w:r>
      <w:r w:rsidR="00E80207">
        <w:rPr>
          <w:u w:val="single"/>
        </w:rPr>
        <w:t xml:space="preserve"> distincte</w:t>
      </w:r>
      <w:r w:rsidR="00EC1DA8">
        <w:t xml:space="preserve"> et</w:t>
      </w:r>
      <w:r w:rsidR="004929CF">
        <w:t xml:space="preserve"> </w:t>
      </w:r>
      <w:r w:rsidR="000063C3">
        <w:t xml:space="preserve">correspondant à de faibles volumes </w:t>
      </w:r>
      <w:r w:rsidR="00EC1DA8">
        <w:t xml:space="preserve">peuvent faire l’objet de déclarations simplifiées et </w:t>
      </w:r>
      <w:r w:rsidR="000063C3">
        <w:t>enregistrées</w:t>
      </w:r>
      <w:r w:rsidR="004929CF">
        <w:t xml:space="preserve"> </w:t>
      </w:r>
      <w:r w:rsidR="000063C3">
        <w:t xml:space="preserve">sous un </w:t>
      </w:r>
      <w:r w:rsidR="004929CF">
        <w:t>seul NC8</w:t>
      </w:r>
      <w:r w:rsidR="005C79BC">
        <w:t>.</w:t>
      </w:r>
    </w:p>
    <w:p w14:paraId="2DD98B97" w14:textId="531E642A" w:rsidR="00A474E9" w:rsidRDefault="00954302" w:rsidP="00AA28BC">
      <w:pPr>
        <w:pStyle w:val="Paragraphedeliste"/>
        <w:numPr>
          <w:ilvl w:val="0"/>
          <w:numId w:val="7"/>
        </w:numPr>
      </w:pPr>
      <w:r w:rsidRPr="003B26F0">
        <w:rPr>
          <w:u w:val="single"/>
        </w:rPr>
        <w:t>Les</w:t>
      </w:r>
      <w:r w:rsidR="00E43594" w:rsidRPr="003B26F0">
        <w:rPr>
          <w:u w:val="single"/>
        </w:rPr>
        <w:t xml:space="preserve"> </w:t>
      </w:r>
      <w:r w:rsidR="00E43594" w:rsidRPr="00EC1DA8">
        <w:rPr>
          <w:u w:val="single"/>
        </w:rPr>
        <w:t>saisies des valeurs</w:t>
      </w:r>
      <w:r w:rsidR="005128CF" w:rsidRPr="00EC1DA8">
        <w:rPr>
          <w:u w:val="single"/>
        </w:rPr>
        <w:t xml:space="preserve"> comparativement </w:t>
      </w:r>
      <w:r w:rsidR="006A3537">
        <w:rPr>
          <w:u w:val="single"/>
        </w:rPr>
        <w:t>à celles des</w:t>
      </w:r>
      <w:r w:rsidR="005128CF" w:rsidRPr="00EC1DA8">
        <w:rPr>
          <w:u w:val="single"/>
        </w:rPr>
        <w:t xml:space="preserve"> volumes</w:t>
      </w:r>
      <w:r w:rsidR="005128CF">
        <w:t xml:space="preserve">, </w:t>
      </w:r>
      <w:r w:rsidR="00E43594">
        <w:t xml:space="preserve">sont celles </w:t>
      </w:r>
      <w:r w:rsidR="000063C3">
        <w:t xml:space="preserve">qui sont </w:t>
      </w:r>
      <w:r w:rsidR="00E43594">
        <w:t>conduites et vérifiées avec le plus de rigueur par les opérateurs car elles ont un caractère fiscal et sont la base du calcul des droits de douane</w:t>
      </w:r>
      <w:r w:rsidR="00EC1DA8">
        <w:t>. Dans le cadre de l’étude ce sont cependant des volumes qui sont analysés</w:t>
      </w:r>
      <w:r w:rsidR="00076AEF">
        <w:t>. Les volumes</w:t>
      </w:r>
      <w:r w:rsidR="00E43594">
        <w:t xml:space="preserve"> brut</w:t>
      </w:r>
      <w:r w:rsidR="00076AEF">
        <w:t xml:space="preserve">s </w:t>
      </w:r>
      <w:r w:rsidR="00E43594">
        <w:t>(</w:t>
      </w:r>
      <w:r w:rsidR="00EC1DA8">
        <w:t>colis</w:t>
      </w:r>
      <w:r w:rsidR="00E43594">
        <w:t>, palette</w:t>
      </w:r>
      <w:r w:rsidR="005128CF">
        <w:t>.</w:t>
      </w:r>
      <w:r w:rsidR="00E43594">
        <w:t xml:space="preserve">..) </w:t>
      </w:r>
      <w:r w:rsidR="00076AEF">
        <w:t>peuvent être facilement</w:t>
      </w:r>
      <w:r w:rsidR="00E43594">
        <w:t xml:space="preserve"> </w:t>
      </w:r>
      <w:r w:rsidR="00076AEF">
        <w:t>contrôlés</w:t>
      </w:r>
      <w:r w:rsidR="00E43594">
        <w:t xml:space="preserve"> lors des étapes </w:t>
      </w:r>
      <w:r w:rsidR="00EC1DA8">
        <w:t xml:space="preserve">logistiques </w:t>
      </w:r>
      <w:r w:rsidR="00E43594">
        <w:t xml:space="preserve">de transport et </w:t>
      </w:r>
      <w:r w:rsidR="00EC1DA8">
        <w:t xml:space="preserve">de </w:t>
      </w:r>
      <w:r w:rsidR="00E43594">
        <w:t xml:space="preserve">stockage des </w:t>
      </w:r>
      <w:r w:rsidR="00EC1DA8">
        <w:t xml:space="preserve">produits cependant </w:t>
      </w:r>
      <w:r w:rsidR="00076AEF">
        <w:t>les</w:t>
      </w:r>
      <w:r w:rsidR="00E43594">
        <w:t xml:space="preserve"> statistiques</w:t>
      </w:r>
      <w:r w:rsidR="00076AEF">
        <w:t xml:space="preserve"> reposent sur la saisie de volumes nets</w:t>
      </w:r>
      <w:r w:rsidR="0088384A">
        <w:t>, pouvant induire des distorsions</w:t>
      </w:r>
      <w:r w:rsidR="005128CF">
        <w:t>.</w:t>
      </w:r>
    </w:p>
    <w:p w14:paraId="33E8D8B7" w14:textId="3A0E89B3" w:rsidR="00135AED" w:rsidRDefault="00135AED" w:rsidP="008D0288">
      <w:pPr>
        <w:ind w:left="1"/>
        <w:rPr>
          <w:rFonts w:cs="Arial"/>
        </w:rPr>
      </w:pPr>
      <w:r w:rsidRPr="008D0288">
        <w:rPr>
          <w:rFonts w:cs="Arial"/>
        </w:rPr>
        <w:t>L</w:t>
      </w:r>
      <w:r w:rsidR="0018143A">
        <w:rPr>
          <w:rFonts w:cs="Arial"/>
        </w:rPr>
        <w:t>a recherche de</w:t>
      </w:r>
      <w:r w:rsidRPr="008D0288">
        <w:rPr>
          <w:rFonts w:cs="Arial"/>
        </w:rPr>
        <w:t xml:space="preserve"> données incohérentes</w:t>
      </w:r>
      <w:r w:rsidR="0018143A">
        <w:rPr>
          <w:rFonts w:cs="Arial"/>
        </w:rPr>
        <w:t xml:space="preserve"> est effectuée par les douanes et celles-ci peuvent être amenées à </w:t>
      </w:r>
      <w:r w:rsidRPr="008D0288">
        <w:rPr>
          <w:rFonts w:cs="Arial"/>
        </w:rPr>
        <w:t>se retourne</w:t>
      </w:r>
      <w:r w:rsidR="0018143A">
        <w:rPr>
          <w:rFonts w:cs="Arial"/>
        </w:rPr>
        <w:t>r</w:t>
      </w:r>
      <w:r w:rsidRPr="008D0288">
        <w:rPr>
          <w:rFonts w:cs="Arial"/>
        </w:rPr>
        <w:t xml:space="preserve"> vers le déclarant pour </w:t>
      </w:r>
      <w:r w:rsidR="0088384A">
        <w:rPr>
          <w:rFonts w:cs="Arial"/>
        </w:rPr>
        <w:t>ajustement</w:t>
      </w:r>
      <w:r w:rsidR="0018143A">
        <w:rPr>
          <w:rFonts w:cs="Arial"/>
        </w:rPr>
        <w:t>.</w:t>
      </w:r>
      <w:r w:rsidRPr="008D0288">
        <w:rPr>
          <w:rFonts w:cs="Arial"/>
        </w:rPr>
        <w:t xml:space="preserve"> La majorité des corrections est effectuée dans l'année qui suit celle des saisies</w:t>
      </w:r>
      <w:r w:rsidR="00BF3948">
        <w:rPr>
          <w:rFonts w:cs="Arial"/>
        </w:rPr>
        <w:t xml:space="preserve"> et conduit à des mises à jour statistiques qui sont prise</w:t>
      </w:r>
      <w:r w:rsidR="0088384A">
        <w:rPr>
          <w:rFonts w:cs="Arial"/>
        </w:rPr>
        <w:t>s</w:t>
      </w:r>
      <w:r w:rsidR="00BF3948">
        <w:rPr>
          <w:rFonts w:cs="Arial"/>
        </w:rPr>
        <w:t xml:space="preserve"> en compte dans le cadre de cette étude.</w:t>
      </w:r>
    </w:p>
    <w:p w14:paraId="4984BE64" w14:textId="78875F01" w:rsidR="00BF3948" w:rsidRDefault="00BF3948" w:rsidP="008D0288">
      <w:pPr>
        <w:ind w:left="1"/>
        <w:rPr>
          <w:rFonts w:cs="Arial"/>
        </w:rPr>
      </w:pPr>
      <w:r>
        <w:rPr>
          <w:rFonts w:cs="Arial"/>
        </w:rPr>
        <w:lastRenderedPageBreak/>
        <w:t>Enfin, le</w:t>
      </w:r>
      <w:r w:rsidRPr="00BF3948">
        <w:rPr>
          <w:rFonts w:cs="Arial"/>
        </w:rPr>
        <w:t xml:space="preserve"> seuil de déclaration d'échanges de biens intra-UE (460 000 </w:t>
      </w:r>
      <w:r w:rsidR="00076AEF">
        <w:rPr>
          <w:rFonts w:cs="Arial"/>
        </w:rPr>
        <w:t>euros annuels</w:t>
      </w:r>
      <w:r w:rsidRPr="00BF3948">
        <w:rPr>
          <w:rFonts w:cs="Arial"/>
        </w:rPr>
        <w:t xml:space="preserve"> en France)</w:t>
      </w:r>
      <w:r>
        <w:rPr>
          <w:rFonts w:cs="Arial"/>
        </w:rPr>
        <w:t xml:space="preserve"> conduit à </w:t>
      </w:r>
      <w:r w:rsidR="00CA1611">
        <w:rPr>
          <w:rFonts w:cs="Arial"/>
        </w:rPr>
        <w:t xml:space="preserve">introduire des biais pour ce qui concerne </w:t>
      </w:r>
      <w:r>
        <w:rPr>
          <w:rFonts w:cs="Arial"/>
        </w:rPr>
        <w:t xml:space="preserve">les </w:t>
      </w:r>
      <w:r w:rsidRPr="00BF3948">
        <w:rPr>
          <w:rFonts w:cs="Arial"/>
        </w:rPr>
        <w:t xml:space="preserve">flux intra-européens de </w:t>
      </w:r>
      <w:r w:rsidR="00076AEF">
        <w:rPr>
          <w:rFonts w:cs="Arial"/>
        </w:rPr>
        <w:t xml:space="preserve">la part de </w:t>
      </w:r>
      <w:r w:rsidRPr="00BF3948">
        <w:rPr>
          <w:rFonts w:cs="Arial"/>
        </w:rPr>
        <w:t>petits importateurs ou exportateurs</w:t>
      </w:r>
      <w:r>
        <w:rPr>
          <w:rFonts w:cs="Arial"/>
        </w:rPr>
        <w:t xml:space="preserve"> </w:t>
      </w:r>
      <w:r w:rsidR="0088384A">
        <w:rPr>
          <w:rFonts w:cs="Arial"/>
        </w:rPr>
        <w:t>et affecte potentiellement le suivi des volumes disponibles</w:t>
      </w:r>
      <w:r w:rsidR="001E3114">
        <w:rPr>
          <w:rFonts w:cs="Arial"/>
        </w:rPr>
        <w:t xml:space="preserve">. </w:t>
      </w:r>
      <w:r w:rsidR="00076AEF">
        <w:rPr>
          <w:rFonts w:cs="Arial"/>
        </w:rPr>
        <w:t xml:space="preserve">Ces </w:t>
      </w:r>
      <w:r w:rsidRPr="00BF3948">
        <w:rPr>
          <w:rFonts w:cs="Arial"/>
        </w:rPr>
        <w:t xml:space="preserve">flux sont </w:t>
      </w:r>
      <w:r w:rsidR="007575D1">
        <w:rPr>
          <w:rFonts w:cs="Arial"/>
        </w:rPr>
        <w:t xml:space="preserve">affectés </w:t>
      </w:r>
      <w:r w:rsidRPr="00BF3948">
        <w:rPr>
          <w:rFonts w:cs="Arial"/>
        </w:rPr>
        <w:t>à des niveaux</w:t>
      </w:r>
      <w:r w:rsidR="00D71F48">
        <w:rPr>
          <w:rFonts w:cs="Arial"/>
        </w:rPr>
        <w:t xml:space="preserve"> d’agrégation plus élevés (</w:t>
      </w:r>
      <w:r w:rsidRPr="00BF3948">
        <w:rPr>
          <w:rFonts w:cs="Arial"/>
        </w:rPr>
        <w:t>cod</w:t>
      </w:r>
      <w:r w:rsidR="00D71F48">
        <w:rPr>
          <w:rFonts w:cs="Arial"/>
        </w:rPr>
        <w:t>ification à 2</w:t>
      </w:r>
      <w:r w:rsidRPr="00BF3948">
        <w:rPr>
          <w:rFonts w:cs="Arial"/>
        </w:rPr>
        <w:t xml:space="preserve"> chiffres</w:t>
      </w:r>
      <w:r w:rsidR="00D71F48">
        <w:rPr>
          <w:rFonts w:cs="Arial"/>
        </w:rPr>
        <w:t>) qui ne permettent pas une appréciation des typologies de produits concernés</w:t>
      </w:r>
      <w:r w:rsidR="00076AEF">
        <w:rPr>
          <w:rFonts w:cs="Arial"/>
        </w:rPr>
        <w:t>.</w:t>
      </w:r>
      <w:r w:rsidR="00D71F48">
        <w:rPr>
          <w:rFonts w:cs="Arial"/>
        </w:rPr>
        <w:t xml:space="preserve"> Ils pourraient cependant concerner la charcuterie et la salaison sèche.</w:t>
      </w:r>
    </w:p>
    <w:p w14:paraId="2FD36A61" w14:textId="77777777" w:rsidR="00AA4A70" w:rsidRDefault="00AA4A70" w:rsidP="005C79BC">
      <w:pPr>
        <w:pStyle w:val="Titre3"/>
        <w:tabs>
          <w:tab w:val="clear" w:pos="1440"/>
        </w:tabs>
        <w:ind w:left="851"/>
      </w:pPr>
      <w:bookmarkStart w:id="23" w:name="_Toc78131546"/>
      <w:r>
        <w:t>2.1.3. En 2018, léger recul de l’importation et des exportations alors que la production est en hausse</w:t>
      </w:r>
      <w:bookmarkEnd w:id="23"/>
      <w:r>
        <w:t xml:space="preserve"> </w:t>
      </w:r>
    </w:p>
    <w:p w14:paraId="5CA4CB73" w14:textId="32278BCC" w:rsidR="00AA4A70" w:rsidRPr="00B97DE3" w:rsidRDefault="00AA4A70" w:rsidP="0002537E">
      <w:pPr>
        <w:pStyle w:val="Titre4"/>
        <w:ind w:left="720" w:firstLine="0"/>
      </w:pPr>
      <w:bookmarkStart w:id="24" w:name="_Toc78131547"/>
      <w:r>
        <w:rPr>
          <w:lang w:val="fr-FR"/>
        </w:rPr>
        <w:t>2.1.3.1</w:t>
      </w:r>
      <w:r>
        <w:t xml:space="preserve">. Des importations </w:t>
      </w:r>
      <w:r w:rsidR="000F6F39">
        <w:t xml:space="preserve">maintenues </w:t>
      </w:r>
      <w:r>
        <w:t xml:space="preserve">sous </w:t>
      </w:r>
      <w:r w:rsidR="00D56796">
        <w:t>les 600 kt tirés</w:t>
      </w:r>
      <w:r w:rsidR="000F6F39">
        <w:t xml:space="preserve"> par les viandes fraîches</w:t>
      </w:r>
      <w:bookmarkEnd w:id="24"/>
    </w:p>
    <w:p w14:paraId="11991D4C" w14:textId="35CC6D92" w:rsidR="005B2E2D" w:rsidRDefault="00AA4A70" w:rsidP="0002537E">
      <w:r w:rsidRPr="00AA4A70">
        <w:t xml:space="preserve">Dans un contexte d’érosion lente et régulière de la consommation de viande de porc, </w:t>
      </w:r>
      <w:r w:rsidR="00B07784" w:rsidRPr="00AA4A70">
        <w:t>les im</w:t>
      </w:r>
      <w:r w:rsidRPr="00AA4A70">
        <w:t>p</w:t>
      </w:r>
      <w:r w:rsidR="00B07784" w:rsidRPr="00AA4A70">
        <w:t xml:space="preserve">ortations en </w:t>
      </w:r>
      <w:r w:rsidRPr="00AA4A70">
        <w:t xml:space="preserve">produits du </w:t>
      </w:r>
      <w:r w:rsidR="00B07784" w:rsidRPr="00AA4A70">
        <w:t>porc</w:t>
      </w:r>
      <w:r w:rsidRPr="00AA4A70">
        <w:t xml:space="preserve"> après avoir augmenté régulièrement depuis 2007 ont atteint un plus haut</w:t>
      </w:r>
      <w:r w:rsidR="00B07784" w:rsidRPr="00AA4A70">
        <w:t xml:space="preserve"> à 613</w:t>
      </w:r>
      <w:r w:rsidR="005B2E2D">
        <w:t xml:space="preserve"> </w:t>
      </w:r>
      <w:r w:rsidR="006554CE">
        <w:t>kt</w:t>
      </w:r>
      <w:r w:rsidRPr="00AA4A70">
        <w:t xml:space="preserve"> en 2015 et s’affichent en 2018, à 563</w:t>
      </w:r>
      <w:r w:rsidR="005B2E2D">
        <w:t xml:space="preserve"> </w:t>
      </w:r>
      <w:r w:rsidR="006554CE">
        <w:t>kt</w:t>
      </w:r>
      <w:r w:rsidRPr="00AA4A70">
        <w:t xml:space="preserve">. </w:t>
      </w:r>
      <w:r w:rsidR="008017A2">
        <w:t>Ce récent recul est à associer aux</w:t>
      </w:r>
      <w:r w:rsidR="006D2F18">
        <w:t xml:space="preserve"> </w:t>
      </w:r>
      <w:r>
        <w:t xml:space="preserve">politiques </w:t>
      </w:r>
      <w:r w:rsidR="006A3537">
        <w:t xml:space="preserve">professionnelles et </w:t>
      </w:r>
      <w:r>
        <w:t xml:space="preserve">publiques qui ont favorisé la </w:t>
      </w:r>
      <w:r w:rsidR="006A3537">
        <w:t>communication à</w:t>
      </w:r>
      <w:r>
        <w:t xml:space="preserve"> l</w:t>
      </w:r>
      <w:r w:rsidR="006A3537">
        <w:t>a source de la mise en avant de l’origine</w:t>
      </w:r>
      <w:r>
        <w:t xml:space="preserve"> France sur les marchés des grandes surfaces alimentaires (plus de la moitié des débouchés du porc) mais également de la restauration collective et ont ainsi contribué à cette évolution. </w:t>
      </w:r>
      <w:r w:rsidR="006A3537">
        <w:t xml:space="preserve">La baisse des importations françaises a aussi été favorisée conjoncturellement par la hausse des importations des pays tiers, détournant vers eux des volumes depuis les principaux fournisseurs de la France sont l’Espagne et l’Allemagne </w:t>
      </w:r>
      <w:r w:rsidR="00611D19">
        <w:t>(</w:t>
      </w:r>
      <w:r w:rsidR="00611D19" w:rsidRPr="0002537E">
        <w:fldChar w:fldCharType="begin"/>
      </w:r>
      <w:r w:rsidR="00611D19" w:rsidRPr="002A05D1">
        <w:instrText xml:space="preserve"> REF _Ref68363709 \h </w:instrText>
      </w:r>
      <w:r w:rsidR="002A05D1" w:rsidRPr="002A05D1">
        <w:instrText xml:space="preserve"> \* MERGEFORMAT </w:instrText>
      </w:r>
      <w:r w:rsidR="00611D19" w:rsidRPr="0002537E">
        <w:fldChar w:fldCharType="separate"/>
      </w:r>
      <w:r w:rsidR="0007597F" w:rsidRPr="0002537E">
        <w:t>Figure 3</w:t>
      </w:r>
      <w:r w:rsidR="00611D19" w:rsidRPr="0002537E">
        <w:fldChar w:fldCharType="end"/>
      </w:r>
      <w:r w:rsidR="00611D19">
        <w:t>)</w:t>
      </w:r>
      <w:r w:rsidR="005B2E2D">
        <w:t>.</w:t>
      </w:r>
    </w:p>
    <w:p w14:paraId="4E941735" w14:textId="7E944723" w:rsidR="005B2E2D" w:rsidRDefault="002A05D1" w:rsidP="005B2E2D">
      <w:pPr>
        <w:ind w:left="1"/>
        <w:rPr>
          <w:rFonts w:cs="Arial"/>
        </w:rPr>
      </w:pPr>
      <w:r>
        <w:rPr>
          <w:noProof/>
        </w:rPr>
        <w:drawing>
          <wp:inline distT="0" distB="0" distL="0" distR="0" wp14:anchorId="4096E3CE" wp14:editId="561BC0D4">
            <wp:extent cx="5940425" cy="2647950"/>
            <wp:effectExtent l="0" t="0" r="3175" b="0"/>
            <wp:docPr id="76" name="Graphique 76">
              <a:extLst xmlns:a="http://schemas.openxmlformats.org/drawingml/2006/main">
                <a:ext uri="{FF2B5EF4-FFF2-40B4-BE49-F238E27FC236}">
                  <a16:creationId xmlns:a16="http://schemas.microsoft.com/office/drawing/2014/main" id="{B772737F-716B-4271-BFFB-EE46A3049C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33C83C7" w14:textId="35AF9402" w:rsidR="00A61179" w:rsidRPr="00A61179" w:rsidRDefault="00A61179" w:rsidP="00A61179">
      <w:pPr>
        <w:pStyle w:val="figure"/>
        <w:keepNext w:val="0"/>
        <w:spacing w:before="0"/>
        <w:rPr>
          <w:sz w:val="2"/>
          <w:szCs w:val="2"/>
        </w:rPr>
      </w:pPr>
      <w:bookmarkStart w:id="25" w:name="_Ref58401085"/>
    </w:p>
    <w:p w14:paraId="4AA14A03" w14:textId="0311562D" w:rsidR="003238A3" w:rsidRDefault="00971C72" w:rsidP="00F223EA">
      <w:pPr>
        <w:pStyle w:val="figure"/>
        <w:rPr>
          <w:rStyle w:val="figureCar"/>
          <w:b/>
          <w:bCs/>
          <w:iCs/>
        </w:rPr>
      </w:pPr>
      <w:bookmarkStart w:id="26" w:name="_Ref68363709"/>
      <w:bookmarkStart w:id="27" w:name="_Toc69511395"/>
      <w:bookmarkStart w:id="28" w:name="_Ref68363677"/>
      <w:bookmarkEnd w:id="25"/>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3</w:t>
      </w:r>
      <w:r w:rsidRPr="005267CA">
        <w:rPr>
          <w:rStyle w:val="figureCar"/>
          <w:b/>
          <w:bCs/>
          <w:iCs/>
        </w:rPr>
        <w:fldChar w:fldCharType="end"/>
      </w:r>
      <w:bookmarkEnd w:id="26"/>
      <w:r w:rsidRPr="005267CA">
        <w:rPr>
          <w:rStyle w:val="figureCar"/>
          <w:b/>
          <w:bCs/>
          <w:iCs/>
        </w:rPr>
        <w:t xml:space="preserve"> </w:t>
      </w:r>
      <w:bookmarkStart w:id="29" w:name="_Ref68363700"/>
      <w:r w:rsidR="00A61179" w:rsidRPr="005267CA">
        <w:rPr>
          <w:rStyle w:val="figureCar"/>
          <w:b/>
          <w:bCs/>
          <w:iCs/>
        </w:rPr>
        <w:t xml:space="preserve">: </w:t>
      </w:r>
      <w:r w:rsidR="00A61179" w:rsidRPr="005B2E2D">
        <w:rPr>
          <w:rStyle w:val="figureCar"/>
          <w:b/>
          <w:bCs/>
          <w:iCs/>
        </w:rPr>
        <w:t xml:space="preserve">Evolution de la </w:t>
      </w:r>
      <w:r w:rsidR="006A3537" w:rsidRPr="005B2E2D">
        <w:rPr>
          <w:rStyle w:val="figureCar"/>
          <w:b/>
          <w:bCs/>
          <w:iCs/>
        </w:rPr>
        <w:t xml:space="preserve">Consommation Indigène Brute totale et par habitant </w:t>
      </w:r>
      <w:r w:rsidR="00A61179" w:rsidRPr="005B2E2D">
        <w:rPr>
          <w:rStyle w:val="figureCar"/>
          <w:b/>
          <w:bCs/>
          <w:iCs/>
        </w:rPr>
        <w:t>2000 à 2018</w:t>
      </w:r>
      <w:bookmarkEnd w:id="27"/>
    </w:p>
    <w:p w14:paraId="3DDC0BA0" w14:textId="026C0D00" w:rsidR="00A61179" w:rsidRPr="00F223EA" w:rsidRDefault="00A61179" w:rsidP="003238A3">
      <w:pPr>
        <w:pStyle w:val="Lgende"/>
      </w:pPr>
      <w:r w:rsidRPr="00F223EA">
        <w:rPr>
          <w:rFonts w:eastAsiaTheme="minorHAnsi"/>
        </w:rPr>
        <w:t>(Source Ifip, d’après SSP Agreste).</w:t>
      </w:r>
      <w:bookmarkEnd w:id="28"/>
      <w:bookmarkEnd w:id="29"/>
    </w:p>
    <w:p w14:paraId="5B6C5CD3" w14:textId="722F0451" w:rsidR="0069651C" w:rsidRPr="00F223EA" w:rsidRDefault="00A265D2" w:rsidP="0002537E">
      <w:r w:rsidRPr="00F223EA">
        <w:t>Parmi les pays importateurs, la France se positionne</w:t>
      </w:r>
      <w:r w:rsidR="00E80207" w:rsidRPr="00F223EA">
        <w:t xml:space="preserve"> au 5ème rang des pays européens en 2018</w:t>
      </w:r>
      <w:r w:rsidRPr="00F223EA">
        <w:t xml:space="preserve">. </w:t>
      </w:r>
      <w:r w:rsidR="00AA4A70" w:rsidRPr="00F223EA">
        <w:t>Sur un an 18/17, les importations</w:t>
      </w:r>
      <w:r w:rsidR="006A3537">
        <w:t>,</w:t>
      </w:r>
      <w:r w:rsidR="00AA4A70" w:rsidRPr="00F223EA">
        <w:t xml:space="preserve"> </w:t>
      </w:r>
      <w:r w:rsidR="006A3537">
        <w:t>à 99</w:t>
      </w:r>
      <w:r w:rsidR="005B2E2D">
        <w:t> </w:t>
      </w:r>
      <w:r w:rsidR="006A3537">
        <w:t xml:space="preserve">% originaires d’UE, </w:t>
      </w:r>
      <w:r w:rsidR="00AA4A70" w:rsidRPr="00F223EA">
        <w:t>sont en recul de 5</w:t>
      </w:r>
      <w:r w:rsidR="005B2E2D">
        <w:t> </w:t>
      </w:r>
      <w:r w:rsidR="00AA4A70" w:rsidRPr="00F223EA">
        <w:t>%. Cette baisse trouve notamment son origine dans la réduction des achats en provenance d’Espagne (</w:t>
      </w:r>
      <w:r w:rsidR="00AA4A70" w:rsidRPr="00F223EA">
        <w:noBreakHyphen/>
      </w:r>
      <w:r w:rsidR="00971C72" w:rsidRPr="00F223EA">
        <w:t> </w:t>
      </w:r>
      <w:r w:rsidR="00AA4A70" w:rsidRPr="00F223EA">
        <w:t>1</w:t>
      </w:r>
      <w:r w:rsidR="00971C72" w:rsidRPr="00F223EA">
        <w:t> </w:t>
      </w:r>
      <w:r w:rsidR="00AA4A70" w:rsidRPr="00F223EA">
        <w:t>%) qui représentent plus de la moitié des importations. Les échanges avec l’Italie, soit 10</w:t>
      </w:r>
      <w:r w:rsidR="008A4ADA" w:rsidRPr="00F223EA">
        <w:t> </w:t>
      </w:r>
      <w:r w:rsidR="00AA4A70" w:rsidRPr="00F223EA">
        <w:t xml:space="preserve">% des importations restent soutenus </w:t>
      </w:r>
      <w:r w:rsidR="00E80207" w:rsidRPr="00F223EA">
        <w:t>avec 56</w:t>
      </w:r>
      <w:r w:rsidR="0026673D">
        <w:t> </w:t>
      </w:r>
      <w:r w:rsidR="006554CE">
        <w:t>kt</w:t>
      </w:r>
      <w:r w:rsidR="00E80207" w:rsidRPr="00F223EA">
        <w:t xml:space="preserve"> de produits. </w:t>
      </w:r>
    </w:p>
    <w:p w14:paraId="72A1AD54" w14:textId="049F2C89" w:rsidR="00AA4A70" w:rsidRDefault="00281312">
      <w:r w:rsidRPr="00F223EA">
        <w:t>Dans le détail</w:t>
      </w:r>
      <w:r w:rsidR="006A3537">
        <w:t xml:space="preserve"> des produits importés</w:t>
      </w:r>
      <w:r w:rsidRPr="00F223EA">
        <w:t>, la part des produits</w:t>
      </w:r>
      <w:r w:rsidR="006A3537">
        <w:t xml:space="preserve"> transformés </w:t>
      </w:r>
      <w:r w:rsidRPr="00F223EA">
        <w:t>représente en 10 ans</w:t>
      </w:r>
      <w:r w:rsidR="00526E20" w:rsidRPr="00F223EA">
        <w:t>,</w:t>
      </w:r>
      <w:r w:rsidRPr="00F223EA">
        <w:t xml:space="preserve"> 10 points supplémentaires passant de 21 à 31</w:t>
      </w:r>
      <w:r w:rsidR="008A4ADA" w:rsidRPr="00F223EA">
        <w:t> </w:t>
      </w:r>
      <w:r w:rsidRPr="00F223EA">
        <w:t>% alors que les produits bruts au travers de la viande fraîche ou congelée,</w:t>
      </w:r>
      <w:r w:rsidRPr="006E6B4D">
        <w:t xml:space="preserve"> </w:t>
      </w:r>
      <w:r w:rsidRPr="007575D1">
        <w:t>ont</w:t>
      </w:r>
      <w:r w:rsidRPr="006E6B4D">
        <w:t xml:space="preserve"> perdu</w:t>
      </w:r>
      <w:r w:rsidRPr="007575D1">
        <w:t xml:space="preserve"> 10 points régressant de 60</w:t>
      </w:r>
      <w:r w:rsidR="008A4ADA">
        <w:t> </w:t>
      </w:r>
      <w:r w:rsidRPr="007575D1">
        <w:t>% à 51</w:t>
      </w:r>
      <w:r w:rsidR="008A4ADA">
        <w:t> </w:t>
      </w:r>
      <w:r w:rsidRPr="007575D1">
        <w:t>%</w:t>
      </w:r>
      <w:r w:rsidRPr="006E6B4D">
        <w:t xml:space="preserve"> </w:t>
      </w:r>
      <w:r w:rsidRPr="0002537E">
        <w:t>(</w:t>
      </w:r>
      <w:r w:rsidR="000B4FAD" w:rsidRPr="0002537E">
        <w:fldChar w:fldCharType="begin"/>
      </w:r>
      <w:r w:rsidR="000B4FAD" w:rsidRPr="0002537E">
        <w:instrText xml:space="preserve"> REF _Ref68363772 \h </w:instrText>
      </w:r>
      <w:r w:rsidR="004E4274" w:rsidRPr="0002537E">
        <w:instrText xml:space="preserve"> \* MERGEFORMAT </w:instrText>
      </w:r>
      <w:r w:rsidR="000B4FAD" w:rsidRPr="0002537E">
        <w:fldChar w:fldCharType="separate"/>
      </w:r>
      <w:r w:rsidR="0007597F" w:rsidRPr="0002537E">
        <w:t>Figure 4</w:t>
      </w:r>
      <w:r w:rsidR="000B4FAD" w:rsidRPr="0002537E">
        <w:fldChar w:fldCharType="end"/>
      </w:r>
      <w:r w:rsidR="00AA4A70" w:rsidRPr="002A05D1">
        <w:t>)</w:t>
      </w:r>
      <w:r w:rsidR="00E80207" w:rsidRPr="002A05D1">
        <w:t>.</w:t>
      </w:r>
      <w:r w:rsidR="00E80207">
        <w:t xml:space="preserve"> </w:t>
      </w:r>
    </w:p>
    <w:p w14:paraId="3EE9EC2C" w14:textId="2A37F1E7" w:rsidR="00A61179" w:rsidRPr="008A4ADA" w:rsidRDefault="00E80207" w:rsidP="008A4ADA">
      <w:pPr>
        <w:spacing w:after="0" w:line="240" w:lineRule="auto"/>
        <w:jc w:val="center"/>
        <w:rPr>
          <w:rFonts w:eastAsia="Times New Roman" w:cs="Arial"/>
          <w:b/>
          <w:bCs/>
          <w:i/>
          <w:iCs/>
          <w:sz w:val="6"/>
          <w:szCs w:val="6"/>
          <w:lang w:eastAsia="fr-FR"/>
        </w:rPr>
      </w:pPr>
      <w:r w:rsidRPr="00D71F48">
        <w:rPr>
          <w:noProof/>
        </w:rPr>
        <w:lastRenderedPageBreak/>
        <w:drawing>
          <wp:inline distT="0" distB="0" distL="0" distR="0" wp14:anchorId="568BD973" wp14:editId="512BC6E1">
            <wp:extent cx="4422140" cy="2551814"/>
            <wp:effectExtent l="0" t="0" r="0" b="1270"/>
            <wp:docPr id="26" name="Graphique 26">
              <a:extLst xmlns:a="http://schemas.openxmlformats.org/drawingml/2006/main">
                <a:ext uri="{FF2B5EF4-FFF2-40B4-BE49-F238E27FC236}">
                  <a16:creationId xmlns:a16="http://schemas.microsoft.com/office/drawing/2014/main" id="{6149DAED-4AEA-4BEB-8917-AC11049B8A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A3F18B8" w14:textId="1A1E9729" w:rsidR="005267CA" w:rsidRPr="005267CA" w:rsidRDefault="00971C72" w:rsidP="005267CA">
      <w:pPr>
        <w:pStyle w:val="figure"/>
        <w:rPr>
          <w:rStyle w:val="figureCar"/>
          <w:b/>
          <w:bCs/>
          <w:iCs/>
        </w:rPr>
      </w:pPr>
      <w:bookmarkStart w:id="30" w:name="_Ref68363772"/>
      <w:bookmarkStart w:id="31" w:name="_Ref68363643"/>
      <w:bookmarkStart w:id="32" w:name="_Toc69511396"/>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4</w:t>
      </w:r>
      <w:r w:rsidRPr="005267CA">
        <w:rPr>
          <w:rStyle w:val="figureCar"/>
          <w:b/>
          <w:bCs/>
          <w:iCs/>
        </w:rPr>
        <w:fldChar w:fldCharType="end"/>
      </w:r>
      <w:bookmarkEnd w:id="30"/>
      <w:r w:rsidRPr="005267CA">
        <w:rPr>
          <w:rStyle w:val="figureCar"/>
          <w:b/>
          <w:bCs/>
          <w:iCs/>
        </w:rPr>
        <w:t xml:space="preserve"> </w:t>
      </w:r>
      <w:r w:rsidR="00602B85" w:rsidRPr="005267CA">
        <w:rPr>
          <w:rStyle w:val="figureCar"/>
          <w:b/>
          <w:bCs/>
          <w:iCs/>
        </w:rPr>
        <w:t xml:space="preserve">: </w:t>
      </w:r>
      <w:r w:rsidR="00AA4A70" w:rsidRPr="005267CA">
        <w:rPr>
          <w:rStyle w:val="figureCar"/>
          <w:b/>
          <w:bCs/>
          <w:iCs/>
        </w:rPr>
        <w:t xml:space="preserve">Evolution de la part des produits </w:t>
      </w:r>
      <w:r w:rsidR="00973EF2" w:rsidRPr="005267CA">
        <w:rPr>
          <w:rStyle w:val="figureCar"/>
          <w:b/>
          <w:bCs/>
          <w:iCs/>
        </w:rPr>
        <w:t xml:space="preserve">importés </w:t>
      </w:r>
      <w:r w:rsidR="00AA4A70" w:rsidRPr="005267CA">
        <w:rPr>
          <w:rStyle w:val="figureCar"/>
          <w:b/>
          <w:bCs/>
          <w:iCs/>
        </w:rPr>
        <w:t>par catégorie douanière de 2000 à 2018</w:t>
      </w:r>
      <w:bookmarkEnd w:id="31"/>
      <w:bookmarkEnd w:id="32"/>
    </w:p>
    <w:p w14:paraId="5E2909E0" w14:textId="3676E515" w:rsidR="00AA4A70" w:rsidRPr="00E80207" w:rsidRDefault="00AA4A70" w:rsidP="00971C72">
      <w:pPr>
        <w:pStyle w:val="Lgende"/>
        <w:rPr>
          <w:color w:val="000000" w:themeColor="text1"/>
        </w:rPr>
      </w:pPr>
      <w:r w:rsidRPr="00971C72">
        <w:t>(Source Ifip, d’après</w:t>
      </w:r>
      <w:r w:rsidR="008308A1" w:rsidRPr="00971C72">
        <w:t xml:space="preserve"> Eurostat</w:t>
      </w:r>
      <w:r w:rsidRPr="00971C72">
        <w:t>).</w:t>
      </w:r>
    </w:p>
    <w:p w14:paraId="3358071A" w14:textId="6216C5F4" w:rsidR="00AF24EF" w:rsidRPr="00AA4A70" w:rsidRDefault="00AF24EF" w:rsidP="00AF24EF">
      <w:pPr>
        <w:rPr>
          <w:rFonts w:cs="Arial"/>
          <w:color w:val="000000" w:themeColor="text1"/>
        </w:rPr>
      </w:pPr>
      <w:r>
        <w:rPr>
          <w:rFonts w:cs="Arial"/>
          <w:color w:val="000000" w:themeColor="text1"/>
        </w:rPr>
        <w:t>Les viandes fraîches et congelées représentent cependant toujours plus de la moitié des importations principalement en</w:t>
      </w:r>
      <w:r w:rsidRPr="00AA4A70">
        <w:rPr>
          <w:rFonts w:cs="Arial"/>
          <w:color w:val="000000" w:themeColor="text1"/>
        </w:rPr>
        <w:t xml:space="preserve"> viandes fraîches </w:t>
      </w:r>
      <w:r>
        <w:rPr>
          <w:rFonts w:cs="Arial"/>
          <w:color w:val="000000" w:themeColor="text1"/>
        </w:rPr>
        <w:t>(80</w:t>
      </w:r>
      <w:r w:rsidR="008A4ADA">
        <w:rPr>
          <w:rFonts w:cs="Arial"/>
          <w:color w:val="000000" w:themeColor="text1"/>
        </w:rPr>
        <w:t> </w:t>
      </w:r>
      <w:r w:rsidRPr="00AA4A70">
        <w:rPr>
          <w:rFonts w:cs="Arial"/>
          <w:color w:val="000000" w:themeColor="text1"/>
        </w:rPr>
        <w:t>%</w:t>
      </w:r>
      <w:r>
        <w:rPr>
          <w:rFonts w:cs="Arial"/>
          <w:color w:val="000000" w:themeColor="text1"/>
        </w:rPr>
        <w:t>)</w:t>
      </w:r>
      <w:r w:rsidRPr="00AA4A70">
        <w:rPr>
          <w:rFonts w:cs="Arial"/>
          <w:color w:val="000000" w:themeColor="text1"/>
        </w:rPr>
        <w:t xml:space="preserve"> </w:t>
      </w:r>
      <w:r w:rsidR="003651BB">
        <w:rPr>
          <w:rFonts w:cs="Arial"/>
          <w:color w:val="000000" w:themeColor="text1"/>
        </w:rPr>
        <w:t xml:space="preserve">en provenance d’Espagne </w:t>
      </w:r>
      <w:r w:rsidR="003651BB" w:rsidRPr="00E80207">
        <w:rPr>
          <w:rFonts w:cs="Arial"/>
          <w:color w:val="000000" w:themeColor="text1"/>
        </w:rPr>
        <w:t>(</w:t>
      </w:r>
      <w:r w:rsidR="00E80207" w:rsidRPr="00E80207">
        <w:rPr>
          <w:rFonts w:cs="Arial"/>
          <w:color w:val="000000" w:themeColor="text1"/>
        </w:rPr>
        <w:t>73</w:t>
      </w:r>
      <w:r w:rsidR="008A4ADA">
        <w:rPr>
          <w:rFonts w:cs="Arial"/>
          <w:color w:val="000000" w:themeColor="text1"/>
        </w:rPr>
        <w:t> </w:t>
      </w:r>
      <w:r w:rsidR="00E80207" w:rsidRPr="00E80207">
        <w:rPr>
          <w:rFonts w:cs="Arial"/>
          <w:color w:val="000000" w:themeColor="text1"/>
        </w:rPr>
        <w:t>%</w:t>
      </w:r>
      <w:r w:rsidR="003651BB" w:rsidRPr="00E80207">
        <w:rPr>
          <w:rFonts w:cs="Arial"/>
          <w:color w:val="000000" w:themeColor="text1"/>
        </w:rPr>
        <w:t>)</w:t>
      </w:r>
      <w:r w:rsidR="00F875A4">
        <w:rPr>
          <w:rFonts w:cs="Arial"/>
          <w:color w:val="000000" w:themeColor="text1"/>
        </w:rPr>
        <w:t xml:space="preserve"> </w:t>
      </w:r>
      <w:r w:rsidR="00F875A4" w:rsidRPr="00F875A4">
        <w:rPr>
          <w:rFonts w:cs="Arial"/>
          <w:color w:val="131313"/>
          <w:shd w:val="clear" w:color="auto" w:fill="FFFFFF"/>
        </w:rPr>
        <w:t>devant l’Allemagne (10</w:t>
      </w:r>
      <w:r w:rsidR="008A4ADA">
        <w:rPr>
          <w:rFonts w:cs="Arial"/>
          <w:color w:val="131313"/>
          <w:shd w:val="clear" w:color="auto" w:fill="FFFFFF"/>
        </w:rPr>
        <w:t> </w:t>
      </w:r>
      <w:r w:rsidR="00F875A4" w:rsidRPr="00F875A4">
        <w:rPr>
          <w:rFonts w:cs="Arial"/>
          <w:color w:val="131313"/>
          <w:shd w:val="clear" w:color="auto" w:fill="FFFFFF"/>
        </w:rPr>
        <w:t>%)</w:t>
      </w:r>
      <w:r w:rsidR="003651BB">
        <w:rPr>
          <w:rFonts w:cs="Arial"/>
          <w:color w:val="000000" w:themeColor="text1"/>
        </w:rPr>
        <w:t>. Ces importations sont</w:t>
      </w:r>
      <w:r w:rsidR="00973EF2">
        <w:rPr>
          <w:rFonts w:cs="Arial"/>
          <w:color w:val="000000" w:themeColor="text1"/>
        </w:rPr>
        <w:t xml:space="preserve"> </w:t>
      </w:r>
      <w:r w:rsidR="000F6F39">
        <w:rPr>
          <w:rFonts w:cs="Arial"/>
          <w:color w:val="000000" w:themeColor="text1"/>
        </w:rPr>
        <w:t>portées par</w:t>
      </w:r>
      <w:r>
        <w:rPr>
          <w:rFonts w:cs="Arial"/>
          <w:color w:val="000000" w:themeColor="text1"/>
        </w:rPr>
        <w:t xml:space="preserve"> la catégorie du désossé (6</w:t>
      </w:r>
      <w:r w:rsidR="00447310">
        <w:rPr>
          <w:rFonts w:cs="Arial"/>
          <w:color w:val="000000" w:themeColor="text1"/>
        </w:rPr>
        <w:t>3</w:t>
      </w:r>
      <w:r w:rsidR="008A4ADA">
        <w:rPr>
          <w:rFonts w:cs="Arial"/>
          <w:color w:val="000000" w:themeColor="text1"/>
        </w:rPr>
        <w:t> </w:t>
      </w:r>
      <w:r>
        <w:rPr>
          <w:rFonts w:cs="Arial"/>
          <w:color w:val="000000" w:themeColor="text1"/>
        </w:rPr>
        <w:t xml:space="preserve">%) devant les </w:t>
      </w:r>
      <w:r w:rsidR="000F6F39">
        <w:rPr>
          <w:rFonts w:cs="Arial"/>
          <w:color w:val="000000" w:themeColor="text1"/>
        </w:rPr>
        <w:t>jambons (1</w:t>
      </w:r>
      <w:r w:rsidR="00447310">
        <w:rPr>
          <w:rFonts w:cs="Arial"/>
          <w:color w:val="000000" w:themeColor="text1"/>
        </w:rPr>
        <w:t>2</w:t>
      </w:r>
      <w:r w:rsidR="008A4ADA">
        <w:rPr>
          <w:rFonts w:cs="Arial"/>
          <w:color w:val="000000" w:themeColor="text1"/>
        </w:rPr>
        <w:t> </w:t>
      </w:r>
      <w:r w:rsidR="000F6F39">
        <w:rPr>
          <w:rFonts w:cs="Arial"/>
          <w:color w:val="000000" w:themeColor="text1"/>
        </w:rPr>
        <w:t>%) et les poitrines (8</w:t>
      </w:r>
      <w:r w:rsidR="008A4ADA">
        <w:rPr>
          <w:rFonts w:cs="Arial"/>
          <w:color w:val="000000" w:themeColor="text1"/>
        </w:rPr>
        <w:t> </w:t>
      </w:r>
      <w:r w:rsidR="000F6F39">
        <w:rPr>
          <w:rFonts w:cs="Arial"/>
          <w:color w:val="000000" w:themeColor="text1"/>
        </w:rPr>
        <w:t>%)</w:t>
      </w:r>
      <w:r w:rsidRPr="00AA4A70">
        <w:rPr>
          <w:rFonts w:cs="Arial"/>
          <w:color w:val="000000" w:themeColor="text1"/>
        </w:rPr>
        <w:t>.</w:t>
      </w:r>
      <w:r w:rsidR="00D17868">
        <w:rPr>
          <w:rFonts w:cs="Arial"/>
          <w:color w:val="000000" w:themeColor="text1"/>
        </w:rPr>
        <w:t xml:space="preserve"> Les abats </w:t>
      </w:r>
      <w:r w:rsidR="00447310">
        <w:rPr>
          <w:rFonts w:cs="Arial"/>
          <w:color w:val="000000" w:themeColor="text1"/>
        </w:rPr>
        <w:t>p</w:t>
      </w:r>
      <w:r w:rsidR="00D17868">
        <w:rPr>
          <w:rFonts w:cs="Arial"/>
          <w:color w:val="000000" w:themeColor="text1"/>
        </w:rPr>
        <w:t>èsent en 2018, 11</w:t>
      </w:r>
      <w:r w:rsidR="008A4ADA">
        <w:rPr>
          <w:rFonts w:cs="Arial"/>
          <w:color w:val="000000" w:themeColor="text1"/>
        </w:rPr>
        <w:t> </w:t>
      </w:r>
      <w:r w:rsidR="00D17868">
        <w:rPr>
          <w:rFonts w:cs="Arial"/>
          <w:color w:val="000000" w:themeColor="text1"/>
        </w:rPr>
        <w:t>% et les graisses 7</w:t>
      </w:r>
      <w:r w:rsidR="008A4ADA">
        <w:rPr>
          <w:rFonts w:cs="Arial"/>
          <w:color w:val="000000" w:themeColor="text1"/>
        </w:rPr>
        <w:t> % ;</w:t>
      </w:r>
      <w:r w:rsidR="00D17868">
        <w:rPr>
          <w:rFonts w:cs="Arial"/>
          <w:color w:val="000000" w:themeColor="text1"/>
        </w:rPr>
        <w:t xml:space="preserve"> ces deux catégories se positionnant à niveau relativement stable depuis 2008.</w:t>
      </w:r>
    </w:p>
    <w:p w14:paraId="59D80888" w14:textId="5E549290" w:rsidR="00AA4A70" w:rsidRPr="00AA4A70" w:rsidRDefault="00973EF2" w:rsidP="00B07784">
      <w:pPr>
        <w:rPr>
          <w:rFonts w:cs="Arial"/>
          <w:i/>
        </w:rPr>
      </w:pPr>
      <w:r>
        <w:rPr>
          <w:rFonts w:cs="Arial"/>
          <w:color w:val="000000" w:themeColor="text1"/>
        </w:rPr>
        <w:t xml:space="preserve">Au sein </w:t>
      </w:r>
      <w:r w:rsidR="000F6F39">
        <w:rPr>
          <w:rFonts w:cs="Arial"/>
          <w:color w:val="000000" w:themeColor="text1"/>
        </w:rPr>
        <w:t>des produits transformés</w:t>
      </w:r>
      <w:r>
        <w:rPr>
          <w:rFonts w:cs="Arial"/>
          <w:color w:val="000000" w:themeColor="text1"/>
        </w:rPr>
        <w:t>,</w:t>
      </w:r>
      <w:r w:rsidR="000F6F39">
        <w:rPr>
          <w:rFonts w:cs="Arial"/>
          <w:color w:val="000000" w:themeColor="text1"/>
        </w:rPr>
        <w:t xml:space="preserve"> </w:t>
      </w:r>
      <w:r>
        <w:rPr>
          <w:rFonts w:cs="Arial"/>
          <w:color w:val="000000" w:themeColor="text1"/>
        </w:rPr>
        <w:t xml:space="preserve">les </w:t>
      </w:r>
      <w:r w:rsidR="00D17868">
        <w:rPr>
          <w:rFonts w:cs="Arial"/>
          <w:color w:val="000000" w:themeColor="text1"/>
        </w:rPr>
        <w:t xml:space="preserve">catégories </w:t>
      </w:r>
      <w:r w:rsidR="00AA4A70">
        <w:rPr>
          <w:rFonts w:cs="Arial"/>
          <w:color w:val="000000" w:themeColor="text1"/>
        </w:rPr>
        <w:t>s</w:t>
      </w:r>
      <w:r w:rsidR="00DA2C1D" w:rsidRPr="007575D1">
        <w:rPr>
          <w:rFonts w:cs="Arial"/>
          <w:color w:val="000000" w:themeColor="text1"/>
        </w:rPr>
        <w:t>a</w:t>
      </w:r>
      <w:r w:rsidR="00281312" w:rsidRPr="000570D6">
        <w:rPr>
          <w:rFonts w:cs="Arial"/>
          <w:color w:val="000000" w:themeColor="text1"/>
        </w:rPr>
        <w:t xml:space="preserve">ucisses et saucissons </w:t>
      </w:r>
      <w:r w:rsidR="0048211F">
        <w:rPr>
          <w:rFonts w:cs="Arial"/>
          <w:color w:val="000000" w:themeColor="text1"/>
        </w:rPr>
        <w:t>d’une part et jambons</w:t>
      </w:r>
      <w:r w:rsidR="00D17868">
        <w:rPr>
          <w:rFonts w:cs="Arial"/>
          <w:color w:val="000000" w:themeColor="text1"/>
        </w:rPr>
        <w:t>, épaules</w:t>
      </w:r>
      <w:r w:rsidR="0048211F">
        <w:rPr>
          <w:rFonts w:cs="Arial"/>
          <w:color w:val="000000" w:themeColor="text1"/>
        </w:rPr>
        <w:t xml:space="preserve"> </w:t>
      </w:r>
      <w:r w:rsidR="00D17868">
        <w:rPr>
          <w:rFonts w:cs="Arial"/>
          <w:color w:val="000000" w:themeColor="text1"/>
        </w:rPr>
        <w:t xml:space="preserve">SSF </w:t>
      </w:r>
      <w:r w:rsidR="000F6F39">
        <w:rPr>
          <w:rFonts w:cs="Arial"/>
          <w:color w:val="000000" w:themeColor="text1"/>
        </w:rPr>
        <w:t xml:space="preserve">d’autre part, </w:t>
      </w:r>
      <w:r w:rsidR="0048211F">
        <w:rPr>
          <w:rFonts w:cs="Arial"/>
          <w:color w:val="000000" w:themeColor="text1"/>
        </w:rPr>
        <w:t xml:space="preserve">absorbent </w:t>
      </w:r>
      <w:r w:rsidR="00447310">
        <w:rPr>
          <w:rFonts w:cs="Arial"/>
          <w:color w:val="000000" w:themeColor="text1"/>
        </w:rPr>
        <w:t xml:space="preserve">en 2018 </w:t>
      </w:r>
      <w:r w:rsidR="00D17868">
        <w:rPr>
          <w:rFonts w:cs="Arial"/>
          <w:color w:val="000000" w:themeColor="text1"/>
        </w:rPr>
        <w:t xml:space="preserve">à elles </w:t>
      </w:r>
      <w:r w:rsidR="00447310">
        <w:rPr>
          <w:rFonts w:cs="Arial"/>
          <w:color w:val="000000" w:themeColor="text1"/>
        </w:rPr>
        <w:t>seules</w:t>
      </w:r>
      <w:r w:rsidR="00D17868">
        <w:rPr>
          <w:rFonts w:cs="Arial"/>
          <w:color w:val="000000" w:themeColor="text1"/>
        </w:rPr>
        <w:t xml:space="preserve">, </w:t>
      </w:r>
      <w:r w:rsidR="0048211F">
        <w:rPr>
          <w:rFonts w:cs="Arial"/>
          <w:color w:val="000000" w:themeColor="text1"/>
        </w:rPr>
        <w:t xml:space="preserve">l’essentiel </w:t>
      </w:r>
      <w:r w:rsidR="000F6F39">
        <w:rPr>
          <w:rFonts w:cs="Arial"/>
          <w:color w:val="000000" w:themeColor="text1"/>
        </w:rPr>
        <w:t xml:space="preserve">des volumes </w:t>
      </w:r>
      <w:r w:rsidR="00DA2C1D" w:rsidRPr="007575D1">
        <w:rPr>
          <w:rFonts w:cs="Arial"/>
          <w:color w:val="000000" w:themeColor="text1"/>
        </w:rPr>
        <w:t xml:space="preserve">soient </w:t>
      </w:r>
      <w:r w:rsidR="00D17868">
        <w:rPr>
          <w:rFonts w:cs="Arial"/>
          <w:color w:val="000000" w:themeColor="text1"/>
        </w:rPr>
        <w:t>65</w:t>
      </w:r>
      <w:r w:rsidR="008A4ADA">
        <w:rPr>
          <w:rFonts w:cs="Arial"/>
          <w:color w:val="000000" w:themeColor="text1"/>
        </w:rPr>
        <w:t> </w:t>
      </w:r>
      <w:r w:rsidR="00DA2C1D" w:rsidRPr="007575D1">
        <w:rPr>
          <w:rFonts w:cs="Arial"/>
          <w:color w:val="000000" w:themeColor="text1"/>
        </w:rPr>
        <w:t xml:space="preserve">% </w:t>
      </w:r>
      <w:r>
        <w:rPr>
          <w:rFonts w:cs="Arial"/>
          <w:color w:val="000000" w:themeColor="text1"/>
        </w:rPr>
        <w:t xml:space="preserve">d’entre eux </w:t>
      </w:r>
      <w:r w:rsidR="00DA2C1D" w:rsidRPr="007575D1">
        <w:rPr>
          <w:rFonts w:cs="Arial"/>
          <w:color w:val="000000" w:themeColor="text1"/>
        </w:rPr>
        <w:t xml:space="preserve">avec une progression </w:t>
      </w:r>
      <w:r w:rsidR="00D17868">
        <w:rPr>
          <w:rFonts w:cs="Arial"/>
          <w:color w:val="000000" w:themeColor="text1"/>
        </w:rPr>
        <w:t xml:space="preserve">respective </w:t>
      </w:r>
      <w:r w:rsidR="00DA2C1D" w:rsidRPr="007575D1">
        <w:rPr>
          <w:rFonts w:cs="Arial"/>
          <w:color w:val="000000" w:themeColor="text1"/>
        </w:rPr>
        <w:t>de 74</w:t>
      </w:r>
      <w:r w:rsidR="008A4ADA">
        <w:rPr>
          <w:rFonts w:cs="Arial"/>
          <w:color w:val="000000" w:themeColor="text1"/>
        </w:rPr>
        <w:t> </w:t>
      </w:r>
      <w:r w:rsidR="00DA2C1D" w:rsidRPr="007575D1">
        <w:rPr>
          <w:rFonts w:cs="Arial"/>
          <w:color w:val="000000" w:themeColor="text1"/>
        </w:rPr>
        <w:t>%</w:t>
      </w:r>
      <w:r w:rsidR="00526E20" w:rsidRPr="007575D1">
        <w:rPr>
          <w:rFonts w:cs="Arial"/>
          <w:color w:val="000000" w:themeColor="text1"/>
        </w:rPr>
        <w:t xml:space="preserve"> </w:t>
      </w:r>
      <w:r w:rsidR="00D17868">
        <w:rPr>
          <w:rFonts w:cs="Arial"/>
          <w:color w:val="000000" w:themeColor="text1"/>
        </w:rPr>
        <w:t>et 14</w:t>
      </w:r>
      <w:r w:rsidR="008A4ADA">
        <w:rPr>
          <w:rFonts w:cs="Arial"/>
          <w:color w:val="000000" w:themeColor="text1"/>
        </w:rPr>
        <w:t> </w:t>
      </w:r>
      <w:r w:rsidR="00D17868">
        <w:rPr>
          <w:rFonts w:cs="Arial"/>
          <w:color w:val="000000" w:themeColor="text1"/>
        </w:rPr>
        <w:t xml:space="preserve">% </w:t>
      </w:r>
      <w:r w:rsidR="00AA4A70">
        <w:rPr>
          <w:rFonts w:cs="Arial"/>
          <w:color w:val="000000" w:themeColor="text1"/>
        </w:rPr>
        <w:t>entre 20</w:t>
      </w:r>
      <w:r w:rsidR="00526E20" w:rsidRPr="007575D1">
        <w:rPr>
          <w:rFonts w:cs="Arial"/>
          <w:color w:val="000000" w:themeColor="text1"/>
        </w:rPr>
        <w:t>18</w:t>
      </w:r>
      <w:r w:rsidR="00AA4A70">
        <w:rPr>
          <w:rFonts w:cs="Arial"/>
          <w:color w:val="000000" w:themeColor="text1"/>
        </w:rPr>
        <w:t xml:space="preserve"> et 20</w:t>
      </w:r>
      <w:r w:rsidR="00526E20" w:rsidRPr="007575D1">
        <w:rPr>
          <w:rFonts w:cs="Arial"/>
          <w:color w:val="000000" w:themeColor="text1"/>
        </w:rPr>
        <w:t>08</w:t>
      </w:r>
      <w:r w:rsidR="000F6F39">
        <w:rPr>
          <w:rFonts w:cs="Arial"/>
          <w:color w:val="000000" w:themeColor="text1"/>
        </w:rPr>
        <w:t xml:space="preserve">. </w:t>
      </w:r>
      <w:r w:rsidR="00D17868">
        <w:rPr>
          <w:rFonts w:cs="Arial"/>
          <w:color w:val="000000" w:themeColor="text1"/>
        </w:rPr>
        <w:t>La part des poitrines SSF importées tend à reculer</w:t>
      </w:r>
      <w:r w:rsidR="004605B9">
        <w:rPr>
          <w:rFonts w:cs="Arial"/>
          <w:color w:val="000000" w:themeColor="text1"/>
        </w:rPr>
        <w:t xml:space="preserve"> de 14</w:t>
      </w:r>
      <w:r w:rsidR="008A4ADA">
        <w:rPr>
          <w:rFonts w:cs="Arial"/>
          <w:color w:val="000000" w:themeColor="text1"/>
        </w:rPr>
        <w:t> </w:t>
      </w:r>
      <w:r w:rsidR="004605B9">
        <w:rPr>
          <w:rFonts w:cs="Arial"/>
          <w:color w:val="000000" w:themeColor="text1"/>
        </w:rPr>
        <w:t>%</w:t>
      </w:r>
      <w:r w:rsidR="00D17868">
        <w:rPr>
          <w:rFonts w:cs="Arial"/>
          <w:color w:val="000000" w:themeColor="text1"/>
        </w:rPr>
        <w:t xml:space="preserve"> </w:t>
      </w:r>
      <w:r w:rsidR="000B4FAD">
        <w:rPr>
          <w:rFonts w:cs="Arial"/>
          <w:i/>
          <w:color w:val="000000" w:themeColor="text1"/>
        </w:rPr>
        <w:t>(</w:t>
      </w:r>
      <w:r w:rsidR="000B4FAD">
        <w:rPr>
          <w:rFonts w:cs="Arial"/>
          <w:i/>
          <w:color w:val="000000" w:themeColor="text1"/>
        </w:rPr>
        <w:fldChar w:fldCharType="begin"/>
      </w:r>
      <w:r w:rsidR="000B4FAD">
        <w:rPr>
          <w:rFonts w:cs="Arial"/>
          <w:i/>
          <w:color w:val="000000" w:themeColor="text1"/>
        </w:rPr>
        <w:instrText xml:space="preserve"> REF _Ref58403591 \h </w:instrText>
      </w:r>
      <w:r w:rsidR="000B4FAD">
        <w:rPr>
          <w:rFonts w:cs="Arial"/>
          <w:i/>
          <w:color w:val="000000" w:themeColor="text1"/>
        </w:rPr>
      </w:r>
      <w:r w:rsidR="000B4FAD">
        <w:rPr>
          <w:rFonts w:cs="Arial"/>
          <w:i/>
          <w:color w:val="000000" w:themeColor="text1"/>
        </w:rPr>
        <w:fldChar w:fldCharType="separate"/>
      </w:r>
      <w:r w:rsidR="0007597F" w:rsidRPr="005267CA">
        <w:t xml:space="preserve">Tableau </w:t>
      </w:r>
      <w:r w:rsidR="0007597F">
        <w:rPr>
          <w:noProof/>
        </w:rPr>
        <w:t>2</w:t>
      </w:r>
      <w:r w:rsidR="000B4FAD">
        <w:rPr>
          <w:rFonts w:cs="Arial"/>
          <w:i/>
          <w:color w:val="000000" w:themeColor="text1"/>
        </w:rPr>
        <w:fldChar w:fldCharType="end"/>
      </w:r>
      <w:r w:rsidR="007575D1" w:rsidRPr="007575D1">
        <w:rPr>
          <w:rFonts w:cs="Arial"/>
          <w:i/>
        </w:rPr>
        <w:t>)</w:t>
      </w:r>
      <w:r w:rsidR="00AA4A70">
        <w:rPr>
          <w:rFonts w:cs="Arial"/>
          <w:i/>
        </w:rPr>
        <w:t>.</w:t>
      </w:r>
    </w:p>
    <w:tbl>
      <w:tblPr>
        <w:tblW w:w="8222" w:type="dxa"/>
        <w:jc w:val="center"/>
        <w:tblCellMar>
          <w:left w:w="70" w:type="dxa"/>
          <w:right w:w="70" w:type="dxa"/>
        </w:tblCellMar>
        <w:tblLook w:val="04A0" w:firstRow="1" w:lastRow="0" w:firstColumn="1" w:lastColumn="0" w:noHBand="0" w:noVBand="1"/>
      </w:tblPr>
      <w:tblGrid>
        <w:gridCol w:w="3948"/>
        <w:gridCol w:w="2289"/>
        <w:gridCol w:w="1985"/>
      </w:tblGrid>
      <w:tr w:rsidR="00906427" w:rsidRPr="008309B7" w14:paraId="18FA5639"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auto" w:fill="auto"/>
            <w:noWrap/>
            <w:vAlign w:val="bottom"/>
            <w:hideMark/>
          </w:tcPr>
          <w:p w14:paraId="77B25219" w14:textId="77777777" w:rsidR="00906427" w:rsidRPr="008309B7" w:rsidRDefault="00906427" w:rsidP="006F6F21">
            <w:pPr>
              <w:spacing w:after="0" w:line="240" w:lineRule="auto"/>
              <w:rPr>
                <w:rFonts w:eastAsia="Times New Roman" w:cs="Arial"/>
                <w:sz w:val="24"/>
                <w:szCs w:val="24"/>
                <w:lang w:eastAsia="fr-FR"/>
              </w:rPr>
            </w:pPr>
          </w:p>
        </w:tc>
        <w:tc>
          <w:tcPr>
            <w:tcW w:w="2289"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0F049008" w14:textId="76E393FC" w:rsidR="00906427" w:rsidRPr="008309B7" w:rsidRDefault="00906427" w:rsidP="00DA2C1D">
            <w:pPr>
              <w:spacing w:after="0" w:line="240" w:lineRule="auto"/>
              <w:jc w:val="center"/>
              <w:rPr>
                <w:rFonts w:eastAsia="Times New Roman" w:cs="Arial"/>
                <w:color w:val="000000"/>
                <w:lang w:eastAsia="fr-FR"/>
              </w:rPr>
            </w:pPr>
            <w:r w:rsidRPr="008309B7">
              <w:rPr>
                <w:rFonts w:eastAsia="Times New Roman" w:cs="Arial"/>
                <w:color w:val="000000"/>
                <w:lang w:eastAsia="fr-FR"/>
              </w:rPr>
              <w:t>Part volumes</w:t>
            </w:r>
            <w:r w:rsidR="00441869">
              <w:rPr>
                <w:rFonts w:eastAsia="Times New Roman" w:cs="Arial"/>
                <w:color w:val="000000"/>
                <w:lang w:eastAsia="fr-FR"/>
              </w:rPr>
              <w:t xml:space="preserve"> </w:t>
            </w:r>
            <w:r w:rsidR="00AA4A70">
              <w:rPr>
                <w:rFonts w:eastAsia="Times New Roman" w:cs="Arial"/>
                <w:color w:val="000000"/>
                <w:lang w:eastAsia="fr-FR"/>
              </w:rPr>
              <w:t>20</w:t>
            </w:r>
            <w:r w:rsidR="00441869">
              <w:rPr>
                <w:rFonts w:eastAsia="Times New Roman" w:cs="Arial"/>
                <w:color w:val="000000"/>
                <w:lang w:eastAsia="fr-FR"/>
              </w:rPr>
              <w:t>18</w:t>
            </w:r>
          </w:p>
        </w:tc>
        <w:tc>
          <w:tcPr>
            <w:tcW w:w="1985"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3D163BA1" w14:textId="77777777" w:rsidR="00906427" w:rsidRPr="008309B7" w:rsidRDefault="00906427" w:rsidP="00DA2C1D">
            <w:pPr>
              <w:spacing w:after="0" w:line="240" w:lineRule="auto"/>
              <w:jc w:val="center"/>
              <w:rPr>
                <w:rFonts w:eastAsia="Times New Roman" w:cs="Arial"/>
                <w:color w:val="000000"/>
                <w:lang w:eastAsia="fr-FR"/>
              </w:rPr>
            </w:pPr>
            <w:r w:rsidRPr="008309B7">
              <w:rPr>
                <w:rFonts w:eastAsia="Times New Roman" w:cs="Arial"/>
                <w:color w:val="000000"/>
                <w:lang w:eastAsia="fr-FR"/>
              </w:rPr>
              <w:t>Evol. vol. 18/08</w:t>
            </w:r>
          </w:p>
        </w:tc>
      </w:tr>
      <w:tr w:rsidR="00906427" w:rsidRPr="008309B7" w14:paraId="5F6E912E"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000000" w:fill="D9D9D9"/>
            <w:noWrap/>
            <w:vAlign w:val="center"/>
            <w:hideMark/>
          </w:tcPr>
          <w:p w14:paraId="56CA8E2A" w14:textId="44869860" w:rsidR="00906427" w:rsidRPr="008309B7" w:rsidRDefault="00906427" w:rsidP="008A4ADA">
            <w:pPr>
              <w:spacing w:after="0" w:line="240" w:lineRule="auto"/>
              <w:jc w:val="left"/>
              <w:rPr>
                <w:rFonts w:eastAsia="Times New Roman" w:cs="Arial"/>
                <w:color w:val="000000"/>
                <w:lang w:eastAsia="fr-FR"/>
              </w:rPr>
            </w:pPr>
            <w:r w:rsidRPr="008309B7">
              <w:rPr>
                <w:rFonts w:eastAsia="Times New Roman" w:cs="Arial"/>
                <w:color w:val="000000"/>
                <w:lang w:eastAsia="fr-FR"/>
              </w:rPr>
              <w:t>Saucisses</w:t>
            </w:r>
            <w:r>
              <w:rPr>
                <w:rFonts w:eastAsia="Times New Roman" w:cs="Arial"/>
                <w:color w:val="000000"/>
                <w:lang w:eastAsia="fr-FR"/>
              </w:rPr>
              <w:t>, s</w:t>
            </w:r>
            <w:r w:rsidRPr="008309B7">
              <w:rPr>
                <w:rFonts w:eastAsia="Times New Roman" w:cs="Arial"/>
                <w:color w:val="000000"/>
                <w:lang w:eastAsia="fr-FR"/>
              </w:rPr>
              <w:t>aucissons</w:t>
            </w:r>
            <w:r w:rsidR="008308A1">
              <w:rPr>
                <w:rFonts w:eastAsia="Times New Roman" w:cs="Arial"/>
                <w:color w:val="000000"/>
                <w:lang w:eastAsia="fr-FR"/>
              </w:rPr>
              <w:t xml:space="preserve"> cuits / non cuits</w:t>
            </w:r>
          </w:p>
        </w:tc>
        <w:tc>
          <w:tcPr>
            <w:tcW w:w="2289" w:type="dxa"/>
            <w:tcBorders>
              <w:top w:val="single" w:sz="4" w:space="0" w:color="A5A5A5"/>
              <w:left w:val="single" w:sz="4" w:space="0" w:color="A5A5A5"/>
              <w:bottom w:val="single" w:sz="4" w:space="0" w:color="A5A5A5"/>
              <w:right w:val="single" w:sz="4" w:space="0" w:color="A5A5A5"/>
            </w:tcBorders>
            <w:shd w:val="clear" w:color="000000" w:fill="D9D9D9"/>
            <w:noWrap/>
            <w:vAlign w:val="center"/>
            <w:hideMark/>
          </w:tcPr>
          <w:p w14:paraId="33BCC9B5"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44%</w:t>
            </w:r>
          </w:p>
        </w:tc>
        <w:tc>
          <w:tcPr>
            <w:tcW w:w="1985" w:type="dxa"/>
            <w:tcBorders>
              <w:top w:val="single" w:sz="4" w:space="0" w:color="A5A5A5"/>
              <w:left w:val="single" w:sz="4" w:space="0" w:color="A5A5A5"/>
              <w:bottom w:val="single" w:sz="4" w:space="0" w:color="A5A5A5"/>
              <w:right w:val="single" w:sz="4" w:space="0" w:color="A5A5A5"/>
            </w:tcBorders>
            <w:shd w:val="clear" w:color="000000" w:fill="D9D9D9"/>
            <w:noWrap/>
            <w:vAlign w:val="center"/>
            <w:hideMark/>
          </w:tcPr>
          <w:p w14:paraId="6C930688"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+74%</w:t>
            </w:r>
          </w:p>
        </w:tc>
      </w:tr>
      <w:tr w:rsidR="00906427" w:rsidRPr="008309B7" w14:paraId="7210FBCE"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2FC482A1" w14:textId="42687D4E" w:rsidR="00906427" w:rsidRPr="008309B7" w:rsidRDefault="00906427" w:rsidP="008A4ADA">
            <w:pPr>
              <w:spacing w:after="0" w:line="240" w:lineRule="auto"/>
              <w:jc w:val="left"/>
              <w:rPr>
                <w:rFonts w:eastAsia="Times New Roman" w:cs="Arial"/>
                <w:color w:val="000000"/>
                <w:lang w:eastAsia="fr-FR"/>
              </w:rPr>
            </w:pPr>
            <w:r w:rsidRPr="008309B7">
              <w:rPr>
                <w:rFonts w:eastAsia="Times New Roman" w:cs="Arial"/>
                <w:color w:val="000000"/>
                <w:lang w:eastAsia="fr-FR"/>
              </w:rPr>
              <w:t>Poitrine SSF</w:t>
            </w:r>
          </w:p>
        </w:tc>
        <w:tc>
          <w:tcPr>
            <w:tcW w:w="2289"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20D42A10"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21%</w:t>
            </w:r>
          </w:p>
        </w:tc>
        <w:tc>
          <w:tcPr>
            <w:tcW w:w="1985"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065E7DE9"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-14%</w:t>
            </w:r>
          </w:p>
        </w:tc>
      </w:tr>
      <w:tr w:rsidR="00906427" w:rsidRPr="008309B7" w14:paraId="7ADFF92D"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1098F577" w14:textId="3D42A5F1" w:rsidR="00906427" w:rsidRPr="008309B7" w:rsidRDefault="00906427" w:rsidP="008A4ADA">
            <w:pPr>
              <w:spacing w:after="0" w:line="240" w:lineRule="auto"/>
              <w:jc w:val="left"/>
              <w:rPr>
                <w:rFonts w:eastAsia="Times New Roman" w:cs="Arial"/>
                <w:color w:val="000000"/>
                <w:lang w:eastAsia="fr-FR"/>
              </w:rPr>
            </w:pPr>
            <w:r w:rsidRPr="008309B7">
              <w:rPr>
                <w:rFonts w:eastAsia="Times New Roman" w:cs="Arial"/>
                <w:color w:val="000000"/>
                <w:lang w:eastAsia="fr-FR"/>
              </w:rPr>
              <w:t>Jambons</w:t>
            </w:r>
            <w:r w:rsidR="008308A1">
              <w:rPr>
                <w:rFonts w:eastAsia="Times New Roman" w:cs="Arial"/>
                <w:color w:val="000000"/>
                <w:lang w:eastAsia="fr-FR"/>
              </w:rPr>
              <w:t xml:space="preserve"> / Epaules SSF</w:t>
            </w:r>
          </w:p>
        </w:tc>
        <w:tc>
          <w:tcPr>
            <w:tcW w:w="2289"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570D91CC" w14:textId="56BF124F"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17%</w:t>
            </w:r>
          </w:p>
        </w:tc>
        <w:tc>
          <w:tcPr>
            <w:tcW w:w="1985"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3E9F2875"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+14%</w:t>
            </w:r>
          </w:p>
        </w:tc>
      </w:tr>
      <w:tr w:rsidR="00906427" w:rsidRPr="008309B7" w14:paraId="5FD57B8C"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7D672A08" w14:textId="257F43B2" w:rsidR="00906427" w:rsidRPr="008309B7" w:rsidRDefault="008308A1" w:rsidP="008A4ADA">
            <w:pPr>
              <w:spacing w:after="0" w:line="240" w:lineRule="auto"/>
              <w:jc w:val="left"/>
              <w:rPr>
                <w:rFonts w:eastAsia="Times New Roman" w:cs="Arial"/>
                <w:color w:val="000000"/>
                <w:lang w:eastAsia="fr-FR"/>
              </w:rPr>
            </w:pPr>
            <w:r>
              <w:rPr>
                <w:rFonts w:eastAsia="Times New Roman" w:cs="Arial"/>
                <w:color w:val="000000"/>
                <w:lang w:eastAsia="fr-FR"/>
              </w:rPr>
              <w:t xml:space="preserve">Prep. et cons. </w:t>
            </w:r>
            <w:r w:rsidR="006E34F2">
              <w:rPr>
                <w:rFonts w:eastAsia="Times New Roman" w:cs="Arial"/>
                <w:color w:val="000000"/>
                <w:lang w:eastAsia="fr-FR"/>
              </w:rPr>
              <w:t>d’</w:t>
            </w:r>
            <w:r>
              <w:rPr>
                <w:rFonts w:eastAsia="Times New Roman" w:cs="Arial"/>
                <w:color w:val="000000"/>
                <w:lang w:eastAsia="fr-FR"/>
              </w:rPr>
              <w:t>autres viandes, abats</w:t>
            </w:r>
          </w:p>
        </w:tc>
        <w:tc>
          <w:tcPr>
            <w:tcW w:w="2289"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79C46A51" w14:textId="1D0A11D0"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14%</w:t>
            </w:r>
          </w:p>
        </w:tc>
        <w:tc>
          <w:tcPr>
            <w:tcW w:w="1985" w:type="dxa"/>
            <w:tcBorders>
              <w:top w:val="single" w:sz="4" w:space="0" w:color="A5A5A5"/>
              <w:left w:val="single" w:sz="4" w:space="0" w:color="A5A5A5"/>
              <w:bottom w:val="single" w:sz="4" w:space="0" w:color="A5A5A5"/>
              <w:right w:val="single" w:sz="4" w:space="0" w:color="A5A5A5"/>
            </w:tcBorders>
            <w:shd w:val="clear" w:color="auto" w:fill="auto"/>
            <w:noWrap/>
            <w:vAlign w:val="center"/>
            <w:hideMark/>
          </w:tcPr>
          <w:p w14:paraId="7F2F978A"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+87%</w:t>
            </w:r>
          </w:p>
        </w:tc>
      </w:tr>
      <w:tr w:rsidR="00906427" w:rsidRPr="008309B7" w14:paraId="6D5C8C37" w14:textId="77777777" w:rsidTr="008A4ADA">
        <w:trPr>
          <w:trHeight w:val="300"/>
          <w:jc w:val="center"/>
        </w:trPr>
        <w:tc>
          <w:tcPr>
            <w:tcW w:w="3948"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1BF191CA" w14:textId="7A0EC6E1" w:rsidR="00906427" w:rsidRPr="008309B7" w:rsidRDefault="00906427" w:rsidP="008A4ADA">
            <w:pPr>
              <w:spacing w:after="0" w:line="240" w:lineRule="auto"/>
              <w:jc w:val="left"/>
              <w:rPr>
                <w:rFonts w:eastAsia="Times New Roman" w:cs="Arial"/>
                <w:color w:val="000000"/>
                <w:lang w:eastAsia="fr-FR"/>
              </w:rPr>
            </w:pPr>
            <w:r w:rsidRPr="008309B7">
              <w:rPr>
                <w:rFonts w:eastAsia="Times New Roman" w:cs="Arial"/>
                <w:color w:val="000000"/>
                <w:lang w:eastAsia="fr-FR"/>
              </w:rPr>
              <w:t>Autres</w:t>
            </w:r>
            <w:r w:rsidR="008308A1">
              <w:rPr>
                <w:rFonts w:eastAsia="Times New Roman" w:cs="Arial"/>
                <w:color w:val="000000"/>
                <w:lang w:eastAsia="fr-FR"/>
              </w:rPr>
              <w:t xml:space="preserve"> SSF (*)</w:t>
            </w:r>
          </w:p>
        </w:tc>
        <w:tc>
          <w:tcPr>
            <w:tcW w:w="2289"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1D72A363" w14:textId="40EFBCDE"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4%</w:t>
            </w:r>
          </w:p>
        </w:tc>
        <w:tc>
          <w:tcPr>
            <w:tcW w:w="1985" w:type="dxa"/>
            <w:tcBorders>
              <w:top w:val="single" w:sz="4" w:space="0" w:color="A5A5A5"/>
              <w:left w:val="single" w:sz="4" w:space="0" w:color="A5A5A5"/>
              <w:bottom w:val="single" w:sz="4" w:space="0" w:color="A5A5A5"/>
              <w:right w:val="single" w:sz="4" w:space="0" w:color="A5A5A5"/>
            </w:tcBorders>
            <w:shd w:val="clear" w:color="EDEDED" w:fill="EDEDED"/>
            <w:noWrap/>
            <w:vAlign w:val="center"/>
            <w:hideMark/>
          </w:tcPr>
          <w:p w14:paraId="51F2DEDC" w14:textId="77777777" w:rsidR="00906427" w:rsidRPr="00C5448E" w:rsidRDefault="00906427" w:rsidP="00DA2C1D">
            <w:pPr>
              <w:spacing w:after="0" w:line="240" w:lineRule="auto"/>
              <w:jc w:val="center"/>
              <w:rPr>
                <w:rFonts w:eastAsia="Times New Roman" w:cs="Arial"/>
                <w:color w:val="000000"/>
                <w:lang w:eastAsia="fr-FR"/>
              </w:rPr>
            </w:pPr>
            <w:r w:rsidRPr="00C5448E">
              <w:rPr>
                <w:rFonts w:eastAsia="Times New Roman" w:cs="Arial"/>
                <w:color w:val="000000"/>
                <w:lang w:eastAsia="fr-FR"/>
              </w:rPr>
              <w:t>+48%</w:t>
            </w:r>
          </w:p>
        </w:tc>
      </w:tr>
    </w:tbl>
    <w:p w14:paraId="64AF9DAA" w14:textId="6FBCD845" w:rsidR="005267CA" w:rsidRPr="005267CA" w:rsidRDefault="00695391" w:rsidP="005267CA">
      <w:pPr>
        <w:pStyle w:val="figure"/>
      </w:pPr>
      <w:bookmarkStart w:id="33" w:name="_Ref58403591"/>
      <w:bookmarkStart w:id="34" w:name="_Ref58403588"/>
      <w:bookmarkStart w:id="35" w:name="_Toc72143350"/>
      <w:r w:rsidRPr="005267CA">
        <w:t>Tableau</w:t>
      </w:r>
      <w:r w:rsidR="008A4ADA" w:rsidRPr="005267CA">
        <w:t xml:space="preserve"> </w:t>
      </w:r>
      <w:r w:rsidR="00E27D6E">
        <w:fldChar w:fldCharType="begin"/>
      </w:r>
      <w:r w:rsidR="00E27D6E">
        <w:instrText xml:space="preserve"> SEQ Tableau \* ARABIC </w:instrText>
      </w:r>
      <w:r w:rsidR="00E27D6E">
        <w:fldChar w:fldCharType="separate"/>
      </w:r>
      <w:r w:rsidR="0007597F">
        <w:rPr>
          <w:noProof/>
        </w:rPr>
        <w:t>2</w:t>
      </w:r>
      <w:r w:rsidR="00E27D6E">
        <w:rPr>
          <w:noProof/>
        </w:rPr>
        <w:fldChar w:fldCharType="end"/>
      </w:r>
      <w:bookmarkEnd w:id="33"/>
      <w:r w:rsidR="008A4ADA" w:rsidRPr="005267CA">
        <w:t xml:space="preserve"> </w:t>
      </w:r>
      <w:r w:rsidR="00526E20" w:rsidRPr="005267CA">
        <w:t xml:space="preserve">: </w:t>
      </w:r>
      <w:r w:rsidR="009C6FF7" w:rsidRPr="005267CA">
        <w:t>P</w:t>
      </w:r>
      <w:r w:rsidR="00526E20" w:rsidRPr="005267CA">
        <w:t>art des produits transformés</w:t>
      </w:r>
      <w:r w:rsidR="00BE3B25" w:rsidRPr="005267CA">
        <w:t xml:space="preserve"> importés</w:t>
      </w:r>
      <w:r w:rsidR="00526E20" w:rsidRPr="005267CA">
        <w:t xml:space="preserve"> </w:t>
      </w:r>
      <w:r w:rsidR="009C6FF7" w:rsidRPr="005267CA">
        <w:t xml:space="preserve">en volume </w:t>
      </w:r>
      <w:r w:rsidR="00526E20" w:rsidRPr="005267CA">
        <w:t xml:space="preserve">par catégorie douanière </w:t>
      </w:r>
      <w:r w:rsidR="009C6FF7" w:rsidRPr="005267CA">
        <w:t xml:space="preserve">en </w:t>
      </w:r>
      <w:r w:rsidR="00526E20" w:rsidRPr="005267CA">
        <w:t>2018</w:t>
      </w:r>
      <w:r w:rsidR="009C6FF7" w:rsidRPr="005267CA">
        <w:t xml:space="preserve"> et évolution des catégories 2018/2008</w:t>
      </w:r>
      <w:bookmarkEnd w:id="34"/>
      <w:bookmarkEnd w:id="35"/>
      <w:r w:rsidR="008A4ADA" w:rsidRPr="005267CA">
        <w:t xml:space="preserve"> </w:t>
      </w:r>
    </w:p>
    <w:p w14:paraId="7FBED940" w14:textId="7C9113C0" w:rsidR="00AA4A70" w:rsidRPr="008A4ADA" w:rsidRDefault="00526E20" w:rsidP="005267CA">
      <w:pPr>
        <w:pStyle w:val="Lgende"/>
      </w:pPr>
      <w:r w:rsidRPr="008A4ADA">
        <w:t>(Source Ifip, d’après</w:t>
      </w:r>
      <w:r w:rsidR="008308A1" w:rsidRPr="008A4ADA">
        <w:t xml:space="preserve"> Eurostat</w:t>
      </w:r>
      <w:r w:rsidR="00AA4A70" w:rsidRPr="008A4ADA">
        <w:t>)</w:t>
      </w:r>
    </w:p>
    <w:p w14:paraId="0574EA81" w14:textId="6FD9ED87" w:rsidR="008308A1" w:rsidRPr="008308A1" w:rsidRDefault="008308A1" w:rsidP="00D17868">
      <w:pPr>
        <w:rPr>
          <w:rFonts w:eastAsia="Times New Roman" w:cs="Arial"/>
          <w:bCs/>
          <w:i/>
          <w:iCs/>
          <w:sz w:val="20"/>
          <w:szCs w:val="20"/>
          <w:lang w:eastAsia="fr-FR"/>
        </w:rPr>
      </w:pPr>
      <w:r w:rsidRPr="008308A1">
        <w:rPr>
          <w:rFonts w:eastAsia="Times New Roman" w:cs="Arial"/>
          <w:bCs/>
          <w:i/>
          <w:iCs/>
          <w:sz w:val="20"/>
          <w:szCs w:val="20"/>
          <w:lang w:eastAsia="fr-FR"/>
        </w:rPr>
        <w:t>(*)</w:t>
      </w:r>
      <w:r>
        <w:rPr>
          <w:rFonts w:eastAsia="Times New Roman" w:cs="Arial"/>
          <w:bCs/>
          <w:i/>
          <w:iCs/>
          <w:sz w:val="20"/>
          <w:szCs w:val="20"/>
          <w:lang w:eastAsia="fr-FR"/>
        </w:rPr>
        <w:t xml:space="preserve"> Longe</w:t>
      </w:r>
      <w:r w:rsidR="00D17868">
        <w:rPr>
          <w:rFonts w:eastAsia="Times New Roman" w:cs="Arial"/>
          <w:bCs/>
          <w:i/>
          <w:iCs/>
          <w:sz w:val="20"/>
          <w:szCs w:val="20"/>
          <w:lang w:eastAsia="fr-FR"/>
        </w:rPr>
        <w:t xml:space="preserve"> SSF</w:t>
      </w:r>
      <w:r>
        <w:rPr>
          <w:rFonts w:eastAsia="Times New Roman" w:cs="Arial"/>
          <w:bCs/>
          <w:i/>
          <w:iCs/>
          <w:sz w:val="20"/>
          <w:szCs w:val="20"/>
          <w:lang w:eastAsia="fr-FR"/>
        </w:rPr>
        <w:t>, partie avant</w:t>
      </w:r>
      <w:r w:rsidR="00D17868">
        <w:rPr>
          <w:rFonts w:eastAsia="Times New Roman" w:cs="Arial"/>
          <w:bCs/>
          <w:i/>
          <w:iCs/>
          <w:sz w:val="20"/>
          <w:szCs w:val="20"/>
          <w:lang w:eastAsia="fr-FR"/>
        </w:rPr>
        <w:t xml:space="preserve"> SSF</w:t>
      </w:r>
      <w:r>
        <w:rPr>
          <w:rFonts w:eastAsia="Times New Roman" w:cs="Arial"/>
          <w:bCs/>
          <w:i/>
          <w:iCs/>
          <w:sz w:val="20"/>
          <w:szCs w:val="20"/>
          <w:lang w:eastAsia="fr-FR"/>
        </w:rPr>
        <w:t xml:space="preserve">, </w:t>
      </w:r>
      <w:r w:rsidR="00D17868">
        <w:rPr>
          <w:rFonts w:eastAsia="Times New Roman" w:cs="Arial"/>
          <w:bCs/>
          <w:i/>
          <w:iCs/>
          <w:sz w:val="20"/>
          <w:szCs w:val="20"/>
          <w:lang w:eastAsia="fr-FR"/>
        </w:rPr>
        <w:t xml:space="preserve">autres viandes SSF, </w:t>
      </w:r>
      <w:r w:rsidR="00CC1457">
        <w:rPr>
          <w:rFonts w:eastAsia="Times New Roman" w:cs="Arial"/>
          <w:bCs/>
          <w:i/>
          <w:iCs/>
          <w:sz w:val="20"/>
          <w:szCs w:val="20"/>
          <w:lang w:eastAsia="fr-FR"/>
        </w:rPr>
        <w:t>demi-carcasse</w:t>
      </w:r>
      <w:r>
        <w:rPr>
          <w:rFonts w:eastAsia="Times New Roman" w:cs="Arial"/>
          <w:bCs/>
          <w:i/>
          <w:iCs/>
          <w:sz w:val="20"/>
          <w:szCs w:val="20"/>
          <w:lang w:eastAsia="fr-FR"/>
        </w:rPr>
        <w:t xml:space="preserve"> </w:t>
      </w:r>
      <w:r w:rsidR="003A0157">
        <w:rPr>
          <w:rFonts w:eastAsia="Times New Roman" w:cs="Arial"/>
          <w:bCs/>
          <w:i/>
          <w:iCs/>
          <w:sz w:val="20"/>
          <w:szCs w:val="20"/>
          <w:lang w:eastAsia="fr-FR"/>
        </w:rPr>
        <w:t xml:space="preserve">de bacon </w:t>
      </w:r>
      <w:r>
        <w:rPr>
          <w:rFonts w:eastAsia="Times New Roman" w:cs="Arial"/>
          <w:bCs/>
          <w:i/>
          <w:iCs/>
          <w:sz w:val="20"/>
          <w:szCs w:val="20"/>
          <w:lang w:eastAsia="fr-FR"/>
        </w:rPr>
        <w:t>SS</w:t>
      </w:r>
      <w:r w:rsidR="003A0157">
        <w:rPr>
          <w:rFonts w:eastAsia="Times New Roman" w:cs="Arial"/>
          <w:bCs/>
          <w:i/>
          <w:iCs/>
          <w:sz w:val="20"/>
          <w:szCs w:val="20"/>
          <w:lang w:eastAsia="fr-FR"/>
        </w:rPr>
        <w:t xml:space="preserve">, </w:t>
      </w:r>
      <w:r w:rsidR="00D17868">
        <w:rPr>
          <w:rFonts w:eastAsia="Times New Roman" w:cs="Arial"/>
          <w:bCs/>
          <w:i/>
          <w:iCs/>
          <w:sz w:val="20"/>
          <w:szCs w:val="20"/>
          <w:lang w:eastAsia="fr-FR"/>
        </w:rPr>
        <w:t>trois quart arrière ou milieu SS, viandes désossées SF, autres viandes SF.</w:t>
      </w:r>
    </w:p>
    <w:p w14:paraId="09E521C7" w14:textId="7A53C049" w:rsidR="0053432E" w:rsidRPr="0053432E" w:rsidRDefault="0069651C" w:rsidP="0002537E">
      <w:pPr>
        <w:pStyle w:val="Titre4"/>
        <w:ind w:left="720" w:firstLine="0"/>
        <w:rPr>
          <w:lang w:val="fr-FR"/>
        </w:rPr>
      </w:pPr>
      <w:bookmarkStart w:id="36" w:name="_Toc78131548"/>
      <w:r>
        <w:rPr>
          <w:lang w:val="fr-FR"/>
        </w:rPr>
        <w:t>2.1.3.2</w:t>
      </w:r>
      <w:r w:rsidRPr="00F71EDA">
        <w:rPr>
          <w:lang w:val="fr-FR"/>
        </w:rPr>
        <w:t>. Des exportations stables en 201</w:t>
      </w:r>
      <w:r w:rsidR="0053432E">
        <w:rPr>
          <w:lang w:val="fr-FR"/>
        </w:rPr>
        <w:t>8</w:t>
      </w:r>
      <w:bookmarkEnd w:id="36"/>
    </w:p>
    <w:p w14:paraId="3594D3C4" w14:textId="44F2C09E" w:rsidR="00072A05" w:rsidRDefault="0069651C" w:rsidP="00906427">
      <w:pPr>
        <w:rPr>
          <w:rFonts w:cs="Arial"/>
        </w:rPr>
      </w:pPr>
      <w:r w:rsidRPr="0053432E">
        <w:rPr>
          <w:rFonts w:cs="Arial"/>
          <w:color w:val="000000" w:themeColor="text1"/>
        </w:rPr>
        <w:t xml:space="preserve">Toutes destinations confondues, les exportations françaises sont </w:t>
      </w:r>
      <w:r w:rsidR="007575D1" w:rsidRPr="006E34F2">
        <w:rPr>
          <w:rFonts w:cs="Arial"/>
        </w:rPr>
        <w:t>de 7</w:t>
      </w:r>
      <w:r w:rsidR="00072A05" w:rsidRPr="006E34F2">
        <w:rPr>
          <w:rFonts w:cs="Arial"/>
        </w:rPr>
        <w:t>11</w:t>
      </w:r>
      <w:r w:rsidR="00066975" w:rsidRPr="006E34F2">
        <w:rPr>
          <w:rFonts w:cs="Arial"/>
        </w:rPr>
        <w:t> </w:t>
      </w:r>
      <w:r w:rsidR="00DD6BBA">
        <w:rPr>
          <w:rFonts w:cs="Arial"/>
        </w:rPr>
        <w:t>kt</w:t>
      </w:r>
      <w:r w:rsidRPr="006E34F2">
        <w:rPr>
          <w:rFonts w:cs="Arial"/>
        </w:rPr>
        <w:t xml:space="preserve"> </w:t>
      </w:r>
      <w:r w:rsidRPr="0053432E">
        <w:rPr>
          <w:rFonts w:cs="Arial"/>
          <w:color w:val="000000" w:themeColor="text1"/>
        </w:rPr>
        <w:t>de produits en 2018</w:t>
      </w:r>
      <w:r w:rsidR="007A0148">
        <w:rPr>
          <w:rFonts w:cs="Arial"/>
          <w:color w:val="000000" w:themeColor="text1"/>
        </w:rPr>
        <w:t xml:space="preserve">. </w:t>
      </w:r>
      <w:r w:rsidR="00973EF2" w:rsidRPr="007A0148">
        <w:rPr>
          <w:rFonts w:cs="Arial"/>
        </w:rPr>
        <w:t xml:space="preserve">La France se classe </w:t>
      </w:r>
      <w:r w:rsidR="00973EF2">
        <w:rPr>
          <w:rFonts w:cs="Arial"/>
        </w:rPr>
        <w:t xml:space="preserve">en 2018, </w:t>
      </w:r>
      <w:r w:rsidR="00973EF2" w:rsidRPr="00072A05">
        <w:rPr>
          <w:rFonts w:cs="Arial"/>
        </w:rPr>
        <w:t>au sixième rang</w:t>
      </w:r>
      <w:r w:rsidR="00973EF2" w:rsidRPr="007A0148">
        <w:rPr>
          <w:rFonts w:cs="Arial"/>
        </w:rPr>
        <w:t xml:space="preserve"> des exportateurs </w:t>
      </w:r>
      <w:r w:rsidR="00072A05">
        <w:rPr>
          <w:rFonts w:cs="Arial"/>
        </w:rPr>
        <w:t xml:space="preserve">européens </w:t>
      </w:r>
      <w:r w:rsidR="00973EF2" w:rsidRPr="007A0148">
        <w:rPr>
          <w:rFonts w:cs="Arial"/>
        </w:rPr>
        <w:t>de viande de porc.</w:t>
      </w:r>
      <w:r w:rsidR="00973EF2">
        <w:rPr>
          <w:rFonts w:cs="Arial"/>
          <w:color w:val="000000" w:themeColor="text1"/>
        </w:rPr>
        <w:t xml:space="preserve"> </w:t>
      </w:r>
      <w:r w:rsidR="007A0148" w:rsidRPr="007A0148">
        <w:rPr>
          <w:rFonts w:cs="Arial"/>
        </w:rPr>
        <w:t xml:space="preserve">Les </w:t>
      </w:r>
      <w:r w:rsidR="00B70C44">
        <w:rPr>
          <w:rFonts w:cs="Arial"/>
        </w:rPr>
        <w:t>viandes FRC représentent 59</w:t>
      </w:r>
      <w:r w:rsidR="00066975">
        <w:rPr>
          <w:rFonts w:cs="Arial"/>
        </w:rPr>
        <w:t> </w:t>
      </w:r>
      <w:r w:rsidR="00B70C44">
        <w:rPr>
          <w:rFonts w:cs="Arial"/>
        </w:rPr>
        <w:t>% des exportations</w:t>
      </w:r>
      <w:r w:rsidR="007A0148" w:rsidRPr="007A0148">
        <w:rPr>
          <w:rFonts w:cs="Arial"/>
        </w:rPr>
        <w:t xml:space="preserve"> </w:t>
      </w:r>
      <w:r w:rsidR="00B70C44">
        <w:rPr>
          <w:rFonts w:cs="Arial"/>
        </w:rPr>
        <w:t xml:space="preserve">avec </w:t>
      </w:r>
      <w:r w:rsidR="00973EF2">
        <w:rPr>
          <w:rFonts w:cs="Arial"/>
        </w:rPr>
        <w:t>principalement</w:t>
      </w:r>
      <w:r w:rsidR="007A0148" w:rsidRPr="007A0148">
        <w:rPr>
          <w:rFonts w:cs="Arial"/>
        </w:rPr>
        <w:t xml:space="preserve"> </w:t>
      </w:r>
      <w:r w:rsidR="00B70C44">
        <w:rPr>
          <w:rFonts w:cs="Arial"/>
        </w:rPr>
        <w:t xml:space="preserve">des pièces </w:t>
      </w:r>
      <w:r w:rsidR="00BE3B25">
        <w:rPr>
          <w:rFonts w:cs="Arial"/>
        </w:rPr>
        <w:t>en frais soit 198</w:t>
      </w:r>
      <w:r w:rsidR="006554CE">
        <w:rPr>
          <w:rFonts w:cs="Arial"/>
        </w:rPr>
        <w:t>kt</w:t>
      </w:r>
      <w:r w:rsidR="007A0148" w:rsidRPr="007A0148">
        <w:rPr>
          <w:rFonts w:cs="Arial"/>
        </w:rPr>
        <w:t xml:space="preserve"> de produits</w:t>
      </w:r>
      <w:r w:rsidR="00626647">
        <w:rPr>
          <w:rFonts w:cs="Arial"/>
        </w:rPr>
        <w:t xml:space="preserve">. Alors que la France importe </w:t>
      </w:r>
      <w:r w:rsidR="00E84285">
        <w:rPr>
          <w:rFonts w:cs="Arial"/>
        </w:rPr>
        <w:t>une part importante de</w:t>
      </w:r>
      <w:r w:rsidR="00626647">
        <w:rPr>
          <w:rFonts w:cs="Arial"/>
        </w:rPr>
        <w:t xml:space="preserve"> pièces </w:t>
      </w:r>
      <w:r w:rsidR="00E84285">
        <w:rPr>
          <w:rFonts w:cs="Arial"/>
        </w:rPr>
        <w:t xml:space="preserve">en </w:t>
      </w:r>
      <w:r w:rsidR="00626647">
        <w:rPr>
          <w:rFonts w:cs="Arial"/>
        </w:rPr>
        <w:t>désossé</w:t>
      </w:r>
      <w:r w:rsidR="006E34F2">
        <w:rPr>
          <w:rFonts w:cs="Arial"/>
        </w:rPr>
        <w:t>s</w:t>
      </w:r>
      <w:r w:rsidR="00626647">
        <w:rPr>
          <w:rFonts w:cs="Arial"/>
        </w:rPr>
        <w:t xml:space="preserve"> comme mentionné précédemment, elle </w:t>
      </w:r>
      <w:r w:rsidR="006E34F2">
        <w:rPr>
          <w:rFonts w:cs="Arial"/>
        </w:rPr>
        <w:t xml:space="preserve">en </w:t>
      </w:r>
      <w:r w:rsidR="00626647">
        <w:rPr>
          <w:rFonts w:cs="Arial"/>
        </w:rPr>
        <w:t xml:space="preserve">exporte </w:t>
      </w:r>
      <w:r w:rsidR="00E84285">
        <w:rPr>
          <w:rFonts w:cs="Arial"/>
        </w:rPr>
        <w:t xml:space="preserve">peu </w:t>
      </w:r>
      <w:r w:rsidR="00626647">
        <w:rPr>
          <w:rFonts w:cs="Arial"/>
        </w:rPr>
        <w:t>(</w:t>
      </w:r>
      <w:r w:rsidR="00072A05">
        <w:rPr>
          <w:rFonts w:cs="Arial"/>
        </w:rPr>
        <w:t>20</w:t>
      </w:r>
      <w:r w:rsidR="00066975">
        <w:rPr>
          <w:rFonts w:cs="Arial"/>
        </w:rPr>
        <w:t> </w:t>
      </w:r>
      <w:r w:rsidR="00626647">
        <w:rPr>
          <w:rFonts w:cs="Arial"/>
        </w:rPr>
        <w:t>%</w:t>
      </w:r>
      <w:r w:rsidR="00072A05">
        <w:rPr>
          <w:rFonts w:cs="Arial"/>
        </w:rPr>
        <w:t xml:space="preserve"> du total pièces frais et congelé</w:t>
      </w:r>
      <w:r w:rsidR="00626647">
        <w:rPr>
          <w:rFonts w:cs="Arial"/>
        </w:rPr>
        <w:t>)</w:t>
      </w:r>
      <w:r w:rsidR="007A0148" w:rsidRPr="007A0148">
        <w:rPr>
          <w:rFonts w:cs="Arial"/>
        </w:rPr>
        <w:t xml:space="preserve">. Les poitrines pèsent pour </w:t>
      </w:r>
      <w:r w:rsidR="00072A05">
        <w:rPr>
          <w:rFonts w:cs="Arial"/>
        </w:rPr>
        <w:t>19</w:t>
      </w:r>
      <w:r w:rsidR="00066975">
        <w:rPr>
          <w:rFonts w:cs="Arial"/>
        </w:rPr>
        <w:t> </w:t>
      </w:r>
      <w:r w:rsidR="007A0148" w:rsidRPr="007A0148">
        <w:rPr>
          <w:rFonts w:cs="Arial"/>
        </w:rPr>
        <w:t>%</w:t>
      </w:r>
      <w:r w:rsidR="00072A05">
        <w:rPr>
          <w:rFonts w:cs="Arial"/>
        </w:rPr>
        <w:t xml:space="preserve"> des pièces</w:t>
      </w:r>
      <w:r w:rsidR="007A0148" w:rsidRPr="007A0148">
        <w:rPr>
          <w:rFonts w:cs="Arial"/>
        </w:rPr>
        <w:t>.</w:t>
      </w:r>
    </w:p>
    <w:p w14:paraId="118E19E1" w14:textId="5218967B" w:rsidR="007A0148" w:rsidRPr="00973EF2" w:rsidRDefault="00973EF2" w:rsidP="00906427">
      <w:pPr>
        <w:rPr>
          <w:rFonts w:cs="Arial"/>
        </w:rPr>
      </w:pPr>
      <w:r w:rsidRPr="007A0148">
        <w:rPr>
          <w:rFonts w:cs="Arial"/>
        </w:rPr>
        <w:t>Les produits transformés se composent principalement des saucisses</w:t>
      </w:r>
      <w:r w:rsidR="00072A05">
        <w:rPr>
          <w:rFonts w:cs="Arial"/>
        </w:rPr>
        <w:t xml:space="preserve"> </w:t>
      </w:r>
      <w:r w:rsidR="00BE3B25">
        <w:rPr>
          <w:rFonts w:cs="Arial"/>
        </w:rPr>
        <w:t>et saucissons (67</w:t>
      </w:r>
      <w:r w:rsidR="00066975">
        <w:rPr>
          <w:rFonts w:cs="Arial"/>
        </w:rPr>
        <w:t> </w:t>
      </w:r>
      <w:r w:rsidR="00BE3B25">
        <w:rPr>
          <w:rFonts w:cs="Arial"/>
        </w:rPr>
        <w:t xml:space="preserve">% des produits transformés) </w:t>
      </w:r>
      <w:r w:rsidR="00072A05">
        <w:rPr>
          <w:rFonts w:cs="Arial"/>
        </w:rPr>
        <w:t xml:space="preserve">et </w:t>
      </w:r>
      <w:r w:rsidR="00BE3B25">
        <w:rPr>
          <w:rFonts w:cs="Arial"/>
        </w:rPr>
        <w:t xml:space="preserve">au </w:t>
      </w:r>
      <w:r w:rsidR="00072A05">
        <w:rPr>
          <w:rFonts w:cs="Arial"/>
        </w:rPr>
        <w:t>global ne représentent</w:t>
      </w:r>
      <w:r w:rsidRPr="007A0148">
        <w:rPr>
          <w:rFonts w:cs="Arial"/>
        </w:rPr>
        <w:t xml:space="preserve"> </w:t>
      </w:r>
      <w:r w:rsidR="00072A05">
        <w:rPr>
          <w:rFonts w:cs="Arial"/>
        </w:rPr>
        <w:t>que 9</w:t>
      </w:r>
      <w:r w:rsidR="00066975">
        <w:rPr>
          <w:rFonts w:cs="Arial"/>
        </w:rPr>
        <w:t> </w:t>
      </w:r>
      <w:r w:rsidRPr="007A0148">
        <w:rPr>
          <w:rFonts w:cs="Arial"/>
        </w:rPr>
        <w:t>% du total.</w:t>
      </w:r>
      <w:r>
        <w:rPr>
          <w:rFonts w:cs="Arial"/>
        </w:rPr>
        <w:t xml:space="preserve"> </w:t>
      </w:r>
      <w:r w:rsidR="007A0148" w:rsidRPr="007A0148">
        <w:rPr>
          <w:rFonts w:cs="Arial"/>
        </w:rPr>
        <w:t xml:space="preserve">Les </w:t>
      </w:r>
      <w:r w:rsidR="00BE3B25">
        <w:rPr>
          <w:rFonts w:cs="Arial"/>
        </w:rPr>
        <w:t xml:space="preserve">abats </w:t>
      </w:r>
      <w:r w:rsidR="007A0148" w:rsidRPr="007A0148">
        <w:rPr>
          <w:rFonts w:cs="Arial"/>
        </w:rPr>
        <w:t xml:space="preserve">totalisent </w:t>
      </w:r>
      <w:r w:rsidR="00BE3B25">
        <w:rPr>
          <w:rFonts w:cs="Arial"/>
        </w:rPr>
        <w:t>19</w:t>
      </w:r>
      <w:r w:rsidR="00066975">
        <w:rPr>
          <w:rFonts w:cs="Arial"/>
        </w:rPr>
        <w:t> </w:t>
      </w:r>
      <w:r w:rsidR="007A0148" w:rsidRPr="007A0148">
        <w:rPr>
          <w:rFonts w:cs="Arial"/>
        </w:rPr>
        <w:t>%</w:t>
      </w:r>
      <w:r w:rsidR="00BE3B25">
        <w:rPr>
          <w:rFonts w:cs="Arial"/>
        </w:rPr>
        <w:t xml:space="preserve"> principalement à destination de l’Asie </w:t>
      </w:r>
      <w:r>
        <w:rPr>
          <w:rFonts w:cs="Arial"/>
        </w:rPr>
        <w:t>et le</w:t>
      </w:r>
      <w:r w:rsidR="007A0148" w:rsidRPr="007A0148">
        <w:rPr>
          <w:rFonts w:cs="Arial"/>
        </w:rPr>
        <w:t xml:space="preserve">s graisses représentent </w:t>
      </w:r>
      <w:r w:rsidR="00072A05">
        <w:rPr>
          <w:rFonts w:cs="Arial"/>
        </w:rPr>
        <w:t>13</w:t>
      </w:r>
      <w:r w:rsidR="00066975">
        <w:rPr>
          <w:rFonts w:cs="Arial"/>
        </w:rPr>
        <w:t> </w:t>
      </w:r>
      <w:r w:rsidR="007A0148" w:rsidRPr="007A0148">
        <w:rPr>
          <w:rFonts w:cs="Arial"/>
        </w:rPr>
        <w:t>% des flux.</w:t>
      </w:r>
    </w:p>
    <w:p w14:paraId="1BED6552" w14:textId="71590038" w:rsidR="00973EF2" w:rsidRDefault="0091635A" w:rsidP="00973EF2">
      <w:pPr>
        <w:jc w:val="center"/>
        <w:rPr>
          <w:noProof/>
        </w:rPr>
      </w:pPr>
      <w:r w:rsidRPr="0091635A">
        <w:rPr>
          <w:noProof/>
        </w:rPr>
        <w:lastRenderedPageBreak/>
        <w:drawing>
          <wp:inline distT="0" distB="0" distL="0" distR="0" wp14:anchorId="1126424A" wp14:editId="530A58F3">
            <wp:extent cx="3974570" cy="2722728"/>
            <wp:effectExtent l="0" t="0" r="6985" b="1905"/>
            <wp:docPr id="41" name="Graphique 41">
              <a:extLst xmlns:a="http://schemas.openxmlformats.org/drawingml/2006/main">
                <a:ext uri="{FF2B5EF4-FFF2-40B4-BE49-F238E27FC236}">
                  <a16:creationId xmlns:a16="http://schemas.microsoft.com/office/drawing/2014/main" id="{31A35CB3-4146-40A7-9CA7-A7D7DD7AD5A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74CBCE4" w14:textId="7B1B02B6" w:rsidR="005267CA" w:rsidRPr="005267CA" w:rsidRDefault="00971C72" w:rsidP="005267CA">
      <w:pPr>
        <w:pStyle w:val="figure"/>
        <w:rPr>
          <w:rStyle w:val="figureCar"/>
          <w:b/>
          <w:bCs/>
          <w:iCs/>
        </w:rPr>
      </w:pPr>
      <w:bookmarkStart w:id="37" w:name="_Toc69511397"/>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5</w:t>
      </w:r>
      <w:r w:rsidRPr="005267CA">
        <w:rPr>
          <w:rStyle w:val="figureCar"/>
          <w:b/>
          <w:bCs/>
          <w:iCs/>
        </w:rPr>
        <w:fldChar w:fldCharType="end"/>
      </w:r>
      <w:r w:rsidRPr="005267CA">
        <w:rPr>
          <w:rStyle w:val="figureCar"/>
          <w:b/>
          <w:bCs/>
          <w:iCs/>
        </w:rPr>
        <w:t xml:space="preserve"> </w:t>
      </w:r>
      <w:r w:rsidR="009471CE" w:rsidRPr="005267CA">
        <w:rPr>
          <w:rStyle w:val="figureCar"/>
          <w:b/>
          <w:bCs/>
          <w:iCs/>
        </w:rPr>
        <w:t xml:space="preserve">: </w:t>
      </w:r>
      <w:r w:rsidR="00973EF2" w:rsidRPr="005267CA">
        <w:rPr>
          <w:rStyle w:val="figureCar"/>
          <w:b/>
          <w:bCs/>
          <w:iCs/>
        </w:rPr>
        <w:t>Evolution de la part des produits exportés par catégorie douanière de 2000 à 2018</w:t>
      </w:r>
      <w:bookmarkEnd w:id="37"/>
    </w:p>
    <w:p w14:paraId="6C96FBED" w14:textId="0465FAA2" w:rsidR="00D00A7D" w:rsidRPr="005267CA" w:rsidRDefault="00973EF2" w:rsidP="005267CA">
      <w:pPr>
        <w:pStyle w:val="Lgende"/>
      </w:pPr>
      <w:r w:rsidRPr="005267CA">
        <w:t>(Source Ifip, d’après</w:t>
      </w:r>
      <w:r w:rsidR="00072A05" w:rsidRPr="005267CA">
        <w:t xml:space="preserve"> Eurostat</w:t>
      </w:r>
      <w:r w:rsidRPr="005267CA">
        <w:t>).</w:t>
      </w:r>
    </w:p>
    <w:p w14:paraId="33C77260" w14:textId="7029A0EC" w:rsidR="00906427" w:rsidRPr="0046597E" w:rsidRDefault="00D00A7D" w:rsidP="0002537E">
      <w:pPr>
        <w:pStyle w:val="Titre4"/>
        <w:ind w:left="720" w:firstLine="0"/>
        <w:rPr>
          <w:lang w:val="fr-FR"/>
        </w:rPr>
      </w:pPr>
      <w:bookmarkStart w:id="38" w:name="_Toc78131549"/>
      <w:r w:rsidRPr="0046597E">
        <w:rPr>
          <w:lang w:val="fr-FR"/>
        </w:rPr>
        <w:t>2.1.3.</w:t>
      </w:r>
      <w:r w:rsidR="001D6091" w:rsidRPr="0046597E">
        <w:rPr>
          <w:lang w:val="fr-FR"/>
        </w:rPr>
        <w:t>3</w:t>
      </w:r>
      <w:r w:rsidRPr="0046597E">
        <w:rPr>
          <w:lang w:val="fr-FR"/>
        </w:rPr>
        <w:t xml:space="preserve">. </w:t>
      </w:r>
      <w:r w:rsidR="001D6091" w:rsidRPr="0046597E">
        <w:rPr>
          <w:lang w:val="fr-FR"/>
        </w:rPr>
        <w:t>2018, sous le signe d’une hausse légère de la production, d’une limitation des importations et des exportations</w:t>
      </w:r>
      <w:bookmarkEnd w:id="38"/>
    </w:p>
    <w:p w14:paraId="04F85F67" w14:textId="185893C7" w:rsidR="00D00A7D" w:rsidRPr="00362E42" w:rsidRDefault="001D6091" w:rsidP="0046597E">
      <w:r>
        <w:t>En conclusion, la</w:t>
      </w:r>
      <w:r w:rsidR="00362E42" w:rsidRPr="00362E42">
        <w:t xml:space="preserve"> part des importations dans la consommation de porc est tombée à 25</w:t>
      </w:r>
      <w:r w:rsidR="0046597E">
        <w:t> </w:t>
      </w:r>
      <w:r w:rsidR="00362E42" w:rsidRPr="00362E42">
        <w:t>% en 2018 alors qu’elle était au plus haut à 28</w:t>
      </w:r>
      <w:r w:rsidR="0046597E">
        <w:t> </w:t>
      </w:r>
      <w:r w:rsidR="00362E42" w:rsidRPr="00362E42">
        <w:t>% en 2013.</w:t>
      </w:r>
      <w:r w:rsidR="00362E42">
        <w:t xml:space="preserve"> </w:t>
      </w:r>
      <w:r w:rsidR="00362E42" w:rsidRPr="00362E42">
        <w:t xml:space="preserve">Les volumes exportés ont également reculé depuis 2013 et jusqu’en 2018 pour repartir à la hausse en 2019 tirés par la demande chinoise. En 2018, ces volumes de viande non exportés associés à une hausse sensible de la production ont </w:t>
      </w:r>
      <w:r>
        <w:t xml:space="preserve">accru le disponible à la consommation et </w:t>
      </w:r>
      <w:r w:rsidR="00362E42" w:rsidRPr="00362E42">
        <w:t>limité les importations</w:t>
      </w:r>
      <w:r>
        <w:t xml:space="preserve">. </w:t>
      </w:r>
    </w:p>
    <w:p w14:paraId="5D412EA1" w14:textId="425BAC3E" w:rsidR="005267CA" w:rsidRDefault="00B07784" w:rsidP="00971C72">
      <w:pPr>
        <w:pStyle w:val="Lgende"/>
        <w:rPr>
          <w:rStyle w:val="figureCar"/>
        </w:rPr>
      </w:pPr>
      <w:r w:rsidRPr="00971C72">
        <w:rPr>
          <w:rStyle w:val="figureCar"/>
          <w:noProof/>
        </w:rPr>
        <w:drawing>
          <wp:inline distT="0" distB="0" distL="0" distR="0" wp14:anchorId="47170B63" wp14:editId="3F67EDF1">
            <wp:extent cx="4249515" cy="2204113"/>
            <wp:effectExtent l="0" t="0" r="0" b="5715"/>
            <wp:docPr id="21" name="Graphique 21">
              <a:extLst xmlns:a="http://schemas.openxmlformats.org/drawingml/2006/main">
                <a:ext uri="{FF2B5EF4-FFF2-40B4-BE49-F238E27FC236}">
                  <a16:creationId xmlns:a16="http://schemas.microsoft.com/office/drawing/2014/main" id="{E6DB91DA-6321-4B09-8CA6-30AC8CCE162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C224F79" w14:textId="28205D19" w:rsidR="005267CA" w:rsidRPr="005267CA" w:rsidRDefault="00971C72" w:rsidP="005267CA">
      <w:pPr>
        <w:pStyle w:val="figure"/>
        <w:rPr>
          <w:rStyle w:val="figureCar"/>
          <w:b/>
          <w:bCs/>
          <w:iCs/>
        </w:rPr>
      </w:pPr>
      <w:bookmarkStart w:id="39" w:name="_Toc69511398"/>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6</w:t>
      </w:r>
      <w:r w:rsidRPr="005267CA">
        <w:rPr>
          <w:rStyle w:val="figureCar"/>
          <w:b/>
          <w:bCs/>
          <w:iCs/>
        </w:rPr>
        <w:fldChar w:fldCharType="end"/>
      </w:r>
      <w:r w:rsidRPr="005267CA">
        <w:rPr>
          <w:rStyle w:val="figureCar"/>
          <w:b/>
          <w:bCs/>
          <w:iCs/>
        </w:rPr>
        <w:t> </w:t>
      </w:r>
      <w:r w:rsidR="009471CE" w:rsidRPr="005267CA">
        <w:rPr>
          <w:rStyle w:val="figureCar"/>
          <w:b/>
          <w:bCs/>
          <w:iCs/>
        </w:rPr>
        <w:t>:</w:t>
      </w:r>
      <w:r w:rsidR="006E6B4D" w:rsidRPr="005267CA">
        <w:rPr>
          <w:rStyle w:val="figureCar"/>
          <w:b/>
          <w:bCs/>
          <w:iCs/>
        </w:rPr>
        <w:t xml:space="preserve"> </w:t>
      </w:r>
      <w:r w:rsidR="00362E42" w:rsidRPr="005267CA">
        <w:rPr>
          <w:rStyle w:val="figureCar"/>
          <w:b/>
          <w:bCs/>
          <w:iCs/>
        </w:rPr>
        <w:t xml:space="preserve">Evolution des flux </w:t>
      </w:r>
      <w:r w:rsidR="002A05D1">
        <w:rPr>
          <w:rStyle w:val="figureCar"/>
          <w:b/>
          <w:bCs/>
          <w:iCs/>
        </w:rPr>
        <w:t xml:space="preserve">en volume </w:t>
      </w:r>
      <w:r w:rsidR="00362E42" w:rsidRPr="005267CA">
        <w:rPr>
          <w:rStyle w:val="figureCar"/>
          <w:b/>
          <w:bCs/>
          <w:iCs/>
        </w:rPr>
        <w:t xml:space="preserve">en viande porcine de </w:t>
      </w:r>
      <w:r w:rsidR="006E6B4D" w:rsidRPr="005267CA">
        <w:rPr>
          <w:rStyle w:val="figureCar"/>
          <w:b/>
          <w:bCs/>
          <w:iCs/>
        </w:rPr>
        <w:t xml:space="preserve">2000 </w:t>
      </w:r>
      <w:r w:rsidR="00362E42" w:rsidRPr="005267CA">
        <w:rPr>
          <w:rStyle w:val="figureCar"/>
          <w:b/>
          <w:bCs/>
          <w:iCs/>
        </w:rPr>
        <w:t>à</w:t>
      </w:r>
      <w:r w:rsidR="006E6B4D" w:rsidRPr="005267CA">
        <w:rPr>
          <w:rStyle w:val="figureCar"/>
          <w:b/>
          <w:bCs/>
          <w:iCs/>
        </w:rPr>
        <w:t xml:space="preserve"> 2018</w:t>
      </w:r>
      <w:bookmarkEnd w:id="39"/>
      <w:r w:rsidR="006E6B4D" w:rsidRPr="005267CA">
        <w:rPr>
          <w:rStyle w:val="figureCar"/>
          <w:b/>
          <w:bCs/>
          <w:iCs/>
        </w:rPr>
        <w:t xml:space="preserve"> </w:t>
      </w:r>
    </w:p>
    <w:p w14:paraId="0ECB2729" w14:textId="6DFDC959" w:rsidR="00B07784" w:rsidRDefault="006E6B4D" w:rsidP="00971C72">
      <w:pPr>
        <w:pStyle w:val="Lgende"/>
      </w:pPr>
      <w:r w:rsidRPr="0046597E">
        <w:t>(Source Ifip, d’après SSP Agreste).</w:t>
      </w:r>
    </w:p>
    <w:p w14:paraId="5738E351" w14:textId="1941BB3B" w:rsidR="00540A99" w:rsidRDefault="001D6091" w:rsidP="001D6091">
      <w:pPr>
        <w:pStyle w:val="ValrieN2"/>
        <w:ind w:left="0"/>
        <w:rPr>
          <w:b w:val="0"/>
        </w:rPr>
      </w:pPr>
      <w:r>
        <w:rPr>
          <w:b w:val="0"/>
        </w:rPr>
        <w:t>Au-delà de l</w:t>
      </w:r>
      <w:r w:rsidR="00132597">
        <w:rPr>
          <w:b w:val="0"/>
        </w:rPr>
        <w:t>a</w:t>
      </w:r>
      <w:r>
        <w:rPr>
          <w:b w:val="0"/>
        </w:rPr>
        <w:t xml:space="preserve"> compréhension de l’origine de l’offre et de sa structure</w:t>
      </w:r>
      <w:r w:rsidR="00132597">
        <w:rPr>
          <w:b w:val="0"/>
        </w:rPr>
        <w:t xml:space="preserve"> sur le marché français</w:t>
      </w:r>
      <w:r>
        <w:rPr>
          <w:b w:val="0"/>
        </w:rPr>
        <w:t>, l’u</w:t>
      </w:r>
      <w:r w:rsidRPr="001D6091">
        <w:rPr>
          <w:b w:val="0"/>
        </w:rPr>
        <w:t xml:space="preserve">n des </w:t>
      </w:r>
      <w:r>
        <w:rPr>
          <w:b w:val="0"/>
        </w:rPr>
        <w:t xml:space="preserve">enjeux </w:t>
      </w:r>
      <w:r w:rsidR="00132597">
        <w:rPr>
          <w:b w:val="0"/>
        </w:rPr>
        <w:t xml:space="preserve">de l’analyse des flux douaniers </w:t>
      </w:r>
      <w:r w:rsidRPr="001D6091">
        <w:rPr>
          <w:b w:val="0"/>
        </w:rPr>
        <w:t xml:space="preserve">est de rapprocher </w:t>
      </w:r>
      <w:r w:rsidR="00BE3B25">
        <w:rPr>
          <w:b w:val="0"/>
        </w:rPr>
        <w:t>c</w:t>
      </w:r>
      <w:r w:rsidRPr="001D6091">
        <w:rPr>
          <w:b w:val="0"/>
        </w:rPr>
        <w:t xml:space="preserve">es statistiques </w:t>
      </w:r>
      <w:r>
        <w:rPr>
          <w:b w:val="0"/>
        </w:rPr>
        <w:t>de celles de la</w:t>
      </w:r>
      <w:r w:rsidRPr="001D6091">
        <w:rPr>
          <w:b w:val="0"/>
        </w:rPr>
        <w:t xml:space="preserve"> production </w:t>
      </w:r>
      <w:r w:rsidR="00132597">
        <w:rPr>
          <w:b w:val="0"/>
        </w:rPr>
        <w:t xml:space="preserve">au travers des enquêtes PRODCOM </w:t>
      </w:r>
      <w:r>
        <w:rPr>
          <w:b w:val="0"/>
        </w:rPr>
        <w:t>afin d</w:t>
      </w:r>
      <w:r w:rsidR="00132597">
        <w:rPr>
          <w:b w:val="0"/>
        </w:rPr>
        <w:t>e favoriser la quantification</w:t>
      </w:r>
      <w:r w:rsidR="00BE3B25">
        <w:rPr>
          <w:b w:val="0"/>
        </w:rPr>
        <w:t xml:space="preserve"> du disponible sur le marché français</w:t>
      </w:r>
      <w:r w:rsidR="00132597">
        <w:rPr>
          <w:b w:val="0"/>
        </w:rPr>
        <w:t>.</w:t>
      </w:r>
    </w:p>
    <w:p w14:paraId="2B056405" w14:textId="08DACE30" w:rsidR="002A05D1" w:rsidRDefault="002A05D1" w:rsidP="001D6091">
      <w:pPr>
        <w:pStyle w:val="ValrieN2"/>
        <w:ind w:left="0"/>
        <w:rPr>
          <w:b w:val="0"/>
        </w:rPr>
      </w:pPr>
    </w:p>
    <w:p w14:paraId="4D24CE05" w14:textId="180073B4" w:rsidR="002A05D1" w:rsidRDefault="002A05D1" w:rsidP="001D6091">
      <w:pPr>
        <w:pStyle w:val="ValrieN2"/>
        <w:ind w:left="0"/>
        <w:rPr>
          <w:b w:val="0"/>
        </w:rPr>
      </w:pPr>
    </w:p>
    <w:p w14:paraId="64638AB8" w14:textId="77777777" w:rsidR="002A05D1" w:rsidRPr="001D6091" w:rsidRDefault="002A05D1" w:rsidP="001D6091">
      <w:pPr>
        <w:pStyle w:val="ValrieN2"/>
        <w:ind w:left="0"/>
        <w:rPr>
          <w:b w:val="0"/>
        </w:rPr>
      </w:pPr>
    </w:p>
    <w:p w14:paraId="43BBB2DA" w14:textId="09B881A1" w:rsidR="001A36E5" w:rsidRPr="003238A3" w:rsidRDefault="001A36E5" w:rsidP="00A63F35">
      <w:pPr>
        <w:pStyle w:val="Titre2"/>
      </w:pPr>
      <w:bookmarkStart w:id="40" w:name="_Toc78131550"/>
      <w:r w:rsidRPr="003238A3">
        <w:lastRenderedPageBreak/>
        <w:t xml:space="preserve">Enquête de production </w:t>
      </w:r>
      <w:r w:rsidR="00132597" w:rsidRPr="003238A3">
        <w:t>PRODCOM</w:t>
      </w:r>
      <w:bookmarkEnd w:id="40"/>
    </w:p>
    <w:p w14:paraId="12C929A5" w14:textId="6808ADB8" w:rsidR="001A36E5" w:rsidRDefault="001A36E5">
      <w:pPr>
        <w:pStyle w:val="Titre3"/>
      </w:pPr>
      <w:bookmarkStart w:id="41" w:name="_Toc78131551"/>
      <w:r>
        <w:t>2.</w:t>
      </w:r>
      <w:r w:rsidR="0060208C">
        <w:t>2</w:t>
      </w:r>
      <w:r>
        <w:t xml:space="preserve">.1 Méthode de l’enquête </w:t>
      </w:r>
      <w:r w:rsidR="00132597">
        <w:t>PRODCOM</w:t>
      </w:r>
      <w:bookmarkEnd w:id="41"/>
      <w:r>
        <w:t xml:space="preserve"> </w:t>
      </w:r>
    </w:p>
    <w:p w14:paraId="70B45451" w14:textId="04C42A7D" w:rsidR="009F3A0D" w:rsidRDefault="001A36E5" w:rsidP="0060208C">
      <w:pPr>
        <w:rPr>
          <w:rFonts w:cs="Arial"/>
        </w:rPr>
      </w:pPr>
      <w:r w:rsidRPr="0016085C">
        <w:rPr>
          <w:rFonts w:cs="Arial"/>
        </w:rPr>
        <w:t xml:space="preserve">L’enquête annuelle </w:t>
      </w:r>
      <w:r w:rsidR="00132597">
        <w:rPr>
          <w:rFonts w:cs="Arial"/>
        </w:rPr>
        <w:t>PRODCOM</w:t>
      </w:r>
      <w:r w:rsidRPr="0016085C">
        <w:rPr>
          <w:rFonts w:cs="Arial"/>
        </w:rPr>
        <w:t xml:space="preserve"> est une enquête de branche </w:t>
      </w:r>
      <w:r w:rsidRPr="001D3825">
        <w:rPr>
          <w:rFonts w:cs="Arial"/>
        </w:rPr>
        <w:t xml:space="preserve">mise en place dans le cadre du règlement européen </w:t>
      </w:r>
      <w:r w:rsidR="00132597">
        <w:rPr>
          <w:rFonts w:cs="Arial"/>
        </w:rPr>
        <w:t>PRODCOM</w:t>
      </w:r>
      <w:r w:rsidRPr="001D3825">
        <w:rPr>
          <w:rFonts w:cs="Arial"/>
        </w:rPr>
        <w:t xml:space="preserve"> (PRODuction COMmunautaire</w:t>
      </w:r>
      <w:r>
        <w:rPr>
          <w:rFonts w:cs="Arial"/>
        </w:rPr>
        <w:t>,</w:t>
      </w:r>
      <w:r w:rsidRPr="001D3825">
        <w:rPr>
          <w:rFonts w:cs="Arial"/>
        </w:rPr>
        <w:t xml:space="preserve"> règlement </w:t>
      </w:r>
      <w:r>
        <w:rPr>
          <w:rFonts w:cs="Arial"/>
        </w:rPr>
        <w:t>CEE</w:t>
      </w:r>
      <w:r w:rsidRPr="001D3825">
        <w:rPr>
          <w:rFonts w:cs="Arial"/>
        </w:rPr>
        <w:t xml:space="preserve"> </w:t>
      </w:r>
      <w:r>
        <w:rPr>
          <w:rFonts w:cs="Arial"/>
        </w:rPr>
        <w:t>n°</w:t>
      </w:r>
      <w:r w:rsidRPr="001D3825">
        <w:rPr>
          <w:rFonts w:cs="Arial"/>
        </w:rPr>
        <w:t>3924</w:t>
      </w:r>
      <w:r>
        <w:rPr>
          <w:rFonts w:cs="Arial"/>
        </w:rPr>
        <w:t>/</w:t>
      </w:r>
      <w:r w:rsidRPr="001D3825">
        <w:rPr>
          <w:rFonts w:cs="Arial"/>
        </w:rPr>
        <w:t>91</w:t>
      </w:r>
      <w:r>
        <w:rPr>
          <w:rFonts w:cs="Arial"/>
        </w:rPr>
        <w:t xml:space="preserve">). Elle porte </w:t>
      </w:r>
      <w:r w:rsidRPr="0016085C">
        <w:rPr>
          <w:rFonts w:cs="Arial"/>
        </w:rPr>
        <w:t xml:space="preserve">sur les </w:t>
      </w:r>
      <w:r>
        <w:rPr>
          <w:rFonts w:cs="Arial"/>
        </w:rPr>
        <w:t xml:space="preserve">quantités et les valeurs de production </w:t>
      </w:r>
      <w:r w:rsidRPr="0016085C">
        <w:rPr>
          <w:rFonts w:cs="Arial"/>
        </w:rPr>
        <w:t>fabriqué</w:t>
      </w:r>
      <w:r>
        <w:rPr>
          <w:rFonts w:cs="Arial"/>
        </w:rPr>
        <w:t>e</w:t>
      </w:r>
      <w:r w:rsidRPr="0016085C">
        <w:rPr>
          <w:rFonts w:cs="Arial"/>
        </w:rPr>
        <w:t>s</w:t>
      </w:r>
      <w:r>
        <w:rPr>
          <w:rFonts w:cs="Arial"/>
        </w:rPr>
        <w:t xml:space="preserve"> et facturées </w:t>
      </w:r>
      <w:r w:rsidRPr="00801EC5">
        <w:rPr>
          <w:rFonts w:cs="Arial"/>
        </w:rPr>
        <w:t>sur le marché intérieur et l’exportation au cours de l’année civile, quelle que soit l’année de fabrication (</w:t>
      </w:r>
      <w:r>
        <w:rPr>
          <w:rFonts w:cs="Arial"/>
        </w:rPr>
        <w:t xml:space="preserve">incluant les </w:t>
      </w:r>
      <w:r w:rsidRPr="00801EC5">
        <w:rPr>
          <w:rFonts w:cs="Arial"/>
        </w:rPr>
        <w:t>stocks)</w:t>
      </w:r>
      <w:r>
        <w:rPr>
          <w:rFonts w:cs="Arial"/>
        </w:rPr>
        <w:t>. L</w:t>
      </w:r>
      <w:r w:rsidRPr="001D3825">
        <w:rPr>
          <w:rFonts w:cs="Arial"/>
        </w:rPr>
        <w:t>es entreprises</w:t>
      </w:r>
      <w:r>
        <w:rPr>
          <w:rFonts w:cs="Arial"/>
        </w:rPr>
        <w:t xml:space="preserve"> interrogées correspondent à celles</w:t>
      </w:r>
      <w:r w:rsidRPr="001D3825">
        <w:rPr>
          <w:rFonts w:cs="Arial"/>
        </w:rPr>
        <w:t xml:space="preserve"> employant vingt salariés et plus et qui fabriquent, sur le territoire français, y compris les départements d'outre-mer</w:t>
      </w:r>
      <w:r>
        <w:rPr>
          <w:rFonts w:cs="Arial"/>
        </w:rPr>
        <w:t>,</w:t>
      </w:r>
      <w:r w:rsidRPr="001D3825">
        <w:rPr>
          <w:rFonts w:cs="Arial"/>
        </w:rPr>
        <w:t xml:space="preserve"> les produits retenus sur la liste </w:t>
      </w:r>
      <w:r w:rsidR="00132597">
        <w:rPr>
          <w:rFonts w:cs="Arial"/>
        </w:rPr>
        <w:t>PRODCOM</w:t>
      </w:r>
      <w:r w:rsidRPr="001D3825">
        <w:rPr>
          <w:rFonts w:cs="Arial"/>
        </w:rPr>
        <w:t xml:space="preserve">. </w:t>
      </w:r>
      <w:r w:rsidRPr="009F1BFA">
        <w:rPr>
          <w:rFonts w:cs="Arial"/>
        </w:rPr>
        <w:t>L</w:t>
      </w:r>
      <w:r w:rsidR="00181F88">
        <w:rPr>
          <w:rFonts w:cs="Arial"/>
        </w:rPr>
        <w:t>es</w:t>
      </w:r>
      <w:r w:rsidRPr="009F1BFA">
        <w:rPr>
          <w:rFonts w:cs="Arial"/>
        </w:rPr>
        <w:t xml:space="preserve"> enquêtes interroge</w:t>
      </w:r>
      <w:r w:rsidR="00181F88">
        <w:rPr>
          <w:rFonts w:cs="Arial"/>
        </w:rPr>
        <w:t>nt</w:t>
      </w:r>
      <w:r w:rsidRPr="009F1BFA">
        <w:rPr>
          <w:rFonts w:cs="Arial"/>
        </w:rPr>
        <w:t xml:space="preserve"> les entreprises </w:t>
      </w:r>
      <w:r>
        <w:rPr>
          <w:rFonts w:cs="Arial"/>
        </w:rPr>
        <w:t xml:space="preserve">répertoriées selon leur code APE </w:t>
      </w:r>
      <w:r w:rsidRPr="00FC5027">
        <w:rPr>
          <w:rFonts w:cs="Arial"/>
        </w:rPr>
        <w:t>(</w:t>
      </w:r>
      <w:r w:rsidRPr="00FC5027">
        <w:rPr>
          <w:rFonts w:cs="Arial"/>
          <w:bCs/>
        </w:rPr>
        <w:t>activité principale exercée par l’entreprise</w:t>
      </w:r>
      <w:r w:rsidR="00BE3B25">
        <w:rPr>
          <w:rFonts w:cs="Arial"/>
          <w:bCs/>
        </w:rPr>
        <w:t>)</w:t>
      </w:r>
      <w:r>
        <w:rPr>
          <w:rFonts w:cs="Arial"/>
        </w:rPr>
        <w:t>.</w:t>
      </w:r>
      <w:r w:rsidR="009F3A0D">
        <w:rPr>
          <w:rFonts w:cs="Arial"/>
        </w:rPr>
        <w:t xml:space="preserve"> </w:t>
      </w:r>
    </w:p>
    <w:p w14:paraId="23CEA02E" w14:textId="48403E15" w:rsidR="001A36E5" w:rsidRDefault="001A36E5" w:rsidP="001A36E5">
      <w:pPr>
        <w:pStyle w:val="Titre3"/>
      </w:pPr>
      <w:bookmarkStart w:id="42" w:name="_Toc78131552"/>
      <w:r>
        <w:t>2.</w:t>
      </w:r>
      <w:r w:rsidR="00944AE7">
        <w:t>2</w:t>
      </w:r>
      <w:r>
        <w:t>.2. Activités principales d’intérêt</w:t>
      </w:r>
      <w:bookmarkEnd w:id="42"/>
      <w:r>
        <w:t xml:space="preserve"> </w:t>
      </w:r>
    </w:p>
    <w:p w14:paraId="48E3C17A" w14:textId="24085BD8" w:rsidR="001A36E5" w:rsidRDefault="001A36E5" w:rsidP="0060208C">
      <w:pPr>
        <w:spacing w:after="0"/>
        <w:rPr>
          <w:rFonts w:cs="Arial"/>
        </w:rPr>
      </w:pPr>
      <w:r w:rsidRPr="005B7045">
        <w:rPr>
          <w:rFonts w:cs="Arial"/>
        </w:rPr>
        <w:t xml:space="preserve">En ce qui concerne les produits du porc, les activités </w:t>
      </w:r>
      <w:r>
        <w:rPr>
          <w:rFonts w:cs="Arial"/>
        </w:rPr>
        <w:t xml:space="preserve">d’intérêt </w:t>
      </w:r>
      <w:r w:rsidRPr="005B7045">
        <w:rPr>
          <w:rFonts w:cs="Arial"/>
        </w:rPr>
        <w:t xml:space="preserve">retenues </w:t>
      </w:r>
      <w:r>
        <w:rPr>
          <w:rFonts w:cs="Arial"/>
        </w:rPr>
        <w:t xml:space="preserve">et faisant l’objet d’enquêtes annuelles régulières </w:t>
      </w:r>
      <w:r w:rsidR="00BE3B25">
        <w:rPr>
          <w:rFonts w:cs="Arial"/>
        </w:rPr>
        <w:t>et</w:t>
      </w:r>
      <w:r>
        <w:rPr>
          <w:rFonts w:cs="Arial"/>
        </w:rPr>
        <w:t xml:space="preserve"> récentes </w:t>
      </w:r>
      <w:r w:rsidRPr="005B7045">
        <w:rPr>
          <w:rFonts w:cs="Arial"/>
        </w:rPr>
        <w:t xml:space="preserve">sont </w:t>
      </w:r>
      <w:r>
        <w:rPr>
          <w:rFonts w:cs="Arial"/>
        </w:rPr>
        <w:t xml:space="preserve">les suivantes : </w:t>
      </w:r>
    </w:p>
    <w:p w14:paraId="64824B12" w14:textId="77777777" w:rsidR="001A36E5" w:rsidRDefault="001A36E5" w:rsidP="0060208C">
      <w:pPr>
        <w:spacing w:after="0"/>
        <w:rPr>
          <w:rFonts w:cs="Arial"/>
        </w:rPr>
      </w:pPr>
      <w:r>
        <w:rPr>
          <w:rFonts w:cs="Arial"/>
        </w:rPr>
        <w:t xml:space="preserve">a/ </w:t>
      </w:r>
      <w:r w:rsidRPr="00BE3B25">
        <w:rPr>
          <w:rFonts w:cs="Arial"/>
          <w:u w:val="single"/>
        </w:rPr>
        <w:t>la transformation de viande de boucherie</w:t>
      </w:r>
      <w:r>
        <w:rPr>
          <w:rFonts w:cs="Arial"/>
        </w:rPr>
        <w:t xml:space="preserve"> (c</w:t>
      </w:r>
      <w:r w:rsidRPr="00FC5027">
        <w:rPr>
          <w:rFonts w:cs="Arial"/>
        </w:rPr>
        <w:t>ode APE</w:t>
      </w:r>
      <w:r>
        <w:rPr>
          <w:rFonts w:cs="Arial"/>
        </w:rPr>
        <w:t xml:space="preserve"> 1011Z) couvrant </w:t>
      </w:r>
      <w:r w:rsidRPr="005B7045">
        <w:rPr>
          <w:rFonts w:cs="Arial"/>
        </w:rPr>
        <w:t>l’exploitation d’abattoirs se livrant à l’abattage d’animaux de boucherie, à la préparation et à l’emballage de la viande (ME)</w:t>
      </w:r>
      <w:r>
        <w:rPr>
          <w:rFonts w:cs="Arial"/>
        </w:rPr>
        <w:t xml:space="preserve"> et </w:t>
      </w:r>
      <w:r w:rsidRPr="005B7045">
        <w:rPr>
          <w:rFonts w:cs="Arial"/>
        </w:rPr>
        <w:t>la production de viandes de boucherie, fraîches, congelées ou surgelées, en carcasses</w:t>
      </w:r>
      <w:r>
        <w:rPr>
          <w:rFonts w:cs="Arial"/>
        </w:rPr>
        <w:t xml:space="preserve"> ou en morceaux. </w:t>
      </w:r>
      <w:r w:rsidRPr="00CF7995">
        <w:rPr>
          <w:rFonts w:cs="Arial"/>
        </w:rPr>
        <w:t xml:space="preserve">Ce secteur est plus communément appelé </w:t>
      </w:r>
      <w:r>
        <w:rPr>
          <w:rFonts w:cs="Arial"/>
        </w:rPr>
        <w:t>celui de l’</w:t>
      </w:r>
      <w:r w:rsidRPr="00CF7995">
        <w:rPr>
          <w:rFonts w:cs="Arial"/>
        </w:rPr>
        <w:t>abattage</w:t>
      </w:r>
      <w:r>
        <w:rPr>
          <w:rFonts w:cs="Arial"/>
        </w:rPr>
        <w:t xml:space="preserve"> – </w:t>
      </w:r>
      <w:r w:rsidRPr="00CF7995">
        <w:rPr>
          <w:rFonts w:cs="Arial"/>
        </w:rPr>
        <w:t>découpe</w:t>
      </w:r>
      <w:r>
        <w:rPr>
          <w:rFonts w:cs="Arial"/>
        </w:rPr>
        <w:t xml:space="preserve">, </w:t>
      </w:r>
    </w:p>
    <w:p w14:paraId="7586E500" w14:textId="77777777" w:rsidR="001A36E5" w:rsidRDefault="001A36E5" w:rsidP="0060208C">
      <w:pPr>
        <w:spacing w:after="0"/>
        <w:rPr>
          <w:rFonts w:cs="Arial"/>
        </w:rPr>
      </w:pPr>
      <w:r>
        <w:rPr>
          <w:rFonts w:cs="Arial"/>
        </w:rPr>
        <w:t xml:space="preserve">b/ </w:t>
      </w:r>
      <w:r w:rsidRPr="00BE3B25">
        <w:rPr>
          <w:rFonts w:cs="Arial"/>
          <w:u w:val="single"/>
        </w:rPr>
        <w:t>la préparation industrielle à base de viande</w:t>
      </w:r>
      <w:r w:rsidRPr="005B7045">
        <w:rPr>
          <w:rFonts w:cs="Arial"/>
        </w:rPr>
        <w:t xml:space="preserve"> </w:t>
      </w:r>
      <w:r>
        <w:rPr>
          <w:rFonts w:cs="Arial"/>
        </w:rPr>
        <w:t xml:space="preserve">(code APE 1013A) couvrant </w:t>
      </w:r>
      <w:r w:rsidRPr="00FC5027">
        <w:rPr>
          <w:rFonts w:cs="Arial"/>
        </w:rPr>
        <w:t>la fabrication industrielle de produits à base de viandes ou d’abats (pièces salées, fumées, séchées, cuites, etc.)</w:t>
      </w:r>
      <w:r>
        <w:rPr>
          <w:rFonts w:cs="Arial"/>
        </w:rPr>
        <w:t xml:space="preserve"> et </w:t>
      </w:r>
      <w:r w:rsidRPr="00FC5027">
        <w:rPr>
          <w:rFonts w:cs="Arial"/>
        </w:rPr>
        <w:t>la fabrication industrielle de charcuteries</w:t>
      </w:r>
      <w:r>
        <w:rPr>
          <w:rFonts w:cs="Arial"/>
        </w:rPr>
        <w:t xml:space="preserve">. </w:t>
      </w:r>
      <w:r w:rsidRPr="00CF7995">
        <w:rPr>
          <w:rFonts w:cs="Arial"/>
        </w:rPr>
        <w:t>Ce secteur</w:t>
      </w:r>
      <w:r>
        <w:rPr>
          <w:rFonts w:cs="Arial"/>
        </w:rPr>
        <w:t xml:space="preserve"> correspond celui de la transformation en charcuterie salaison</w:t>
      </w:r>
      <w:r w:rsidRPr="00CF7995">
        <w:rPr>
          <w:rFonts w:cs="Arial"/>
        </w:rPr>
        <w:t>.</w:t>
      </w:r>
    </w:p>
    <w:p w14:paraId="530C2DAE" w14:textId="77777777" w:rsidR="001A36E5" w:rsidRPr="00FC5027" w:rsidRDefault="001A36E5" w:rsidP="0060208C">
      <w:pPr>
        <w:rPr>
          <w:rFonts w:cs="Arial"/>
        </w:rPr>
      </w:pPr>
      <w:r>
        <w:rPr>
          <w:rFonts w:cs="Arial"/>
        </w:rPr>
        <w:t>c/</w:t>
      </w:r>
      <w:r w:rsidRPr="005B7045">
        <w:rPr>
          <w:rFonts w:cs="Arial"/>
        </w:rPr>
        <w:t xml:space="preserve"> </w:t>
      </w:r>
      <w:r w:rsidRPr="00BE3B25">
        <w:rPr>
          <w:rFonts w:cs="Arial"/>
          <w:u w:val="single"/>
        </w:rPr>
        <w:t>la fabrication de plats préparés</w:t>
      </w:r>
      <w:r w:rsidRPr="005B7045">
        <w:rPr>
          <w:rFonts w:cs="Arial"/>
        </w:rPr>
        <w:t xml:space="preserve"> </w:t>
      </w:r>
      <w:r>
        <w:rPr>
          <w:rFonts w:cs="Arial"/>
        </w:rPr>
        <w:t>(code APE 1</w:t>
      </w:r>
      <w:r w:rsidRPr="005B7045">
        <w:rPr>
          <w:rFonts w:cs="Arial"/>
        </w:rPr>
        <w:t>085Z</w:t>
      </w:r>
      <w:r>
        <w:rPr>
          <w:rFonts w:cs="Arial"/>
        </w:rPr>
        <w:t xml:space="preserve">) couvrant la fabrication de plats </w:t>
      </w:r>
      <w:r w:rsidRPr="00FC5027">
        <w:rPr>
          <w:rFonts w:cs="Arial"/>
        </w:rPr>
        <w:t xml:space="preserve">traités </w:t>
      </w:r>
      <w:r>
        <w:rPr>
          <w:rFonts w:cs="Arial"/>
        </w:rPr>
        <w:t xml:space="preserve">en </w:t>
      </w:r>
      <w:r w:rsidRPr="00FC5027">
        <w:rPr>
          <w:rFonts w:cs="Arial"/>
        </w:rPr>
        <w:t>cong</w:t>
      </w:r>
      <w:r>
        <w:rPr>
          <w:rFonts w:cs="Arial"/>
        </w:rPr>
        <w:t>é</w:t>
      </w:r>
      <w:r w:rsidRPr="00FC5027">
        <w:rPr>
          <w:rFonts w:cs="Arial"/>
        </w:rPr>
        <w:t>l</w:t>
      </w:r>
      <w:r>
        <w:rPr>
          <w:rFonts w:cs="Arial"/>
        </w:rPr>
        <w:t>ation</w:t>
      </w:r>
      <w:r w:rsidRPr="00FC5027">
        <w:rPr>
          <w:rFonts w:cs="Arial"/>
        </w:rPr>
        <w:t>, réfrigér</w:t>
      </w:r>
      <w:r>
        <w:rPr>
          <w:rFonts w:cs="Arial"/>
        </w:rPr>
        <w:t>ation</w:t>
      </w:r>
      <w:r w:rsidRPr="00FC5027">
        <w:rPr>
          <w:rFonts w:cs="Arial"/>
        </w:rPr>
        <w:t>, surg</w:t>
      </w:r>
      <w:r>
        <w:rPr>
          <w:rFonts w:cs="Arial"/>
        </w:rPr>
        <w:t>élation</w:t>
      </w:r>
      <w:r w:rsidRPr="00FC5027">
        <w:rPr>
          <w:rFonts w:cs="Arial"/>
        </w:rPr>
        <w:t>, appertis</w:t>
      </w:r>
      <w:r>
        <w:rPr>
          <w:rFonts w:cs="Arial"/>
        </w:rPr>
        <w:t>ation</w:t>
      </w:r>
      <w:r w:rsidRPr="00FC5027">
        <w:rPr>
          <w:rFonts w:cs="Arial"/>
        </w:rPr>
        <w:t xml:space="preserve"> ou sous-vide</w:t>
      </w:r>
      <w:r>
        <w:rPr>
          <w:rFonts w:cs="Arial"/>
        </w:rPr>
        <w:t>. Ce secteur équivaut à celui de l’assemblage des produits traiteurs.</w:t>
      </w:r>
    </w:p>
    <w:p w14:paraId="6AE8763C" w14:textId="6B490672" w:rsidR="00BC0469" w:rsidRDefault="001A36E5" w:rsidP="009B11D3">
      <w:pPr>
        <w:rPr>
          <w:rFonts w:cs="Arial"/>
        </w:rPr>
      </w:pPr>
      <w:r w:rsidRPr="009F1BFA">
        <w:rPr>
          <w:rFonts w:cs="Arial"/>
        </w:rPr>
        <w:t xml:space="preserve">Selon les éléments fournis par le Ministère de l’Agriculture et de l’Alimentation, les résultats agrégés obtenus via les enquêtes </w:t>
      </w:r>
      <w:r w:rsidR="00132597">
        <w:rPr>
          <w:rFonts w:cs="Arial"/>
        </w:rPr>
        <w:t>PRODCOM</w:t>
      </w:r>
      <w:r w:rsidRPr="009F1BFA">
        <w:rPr>
          <w:rFonts w:cs="Arial"/>
        </w:rPr>
        <w:t xml:space="preserve"> sont confrontés </w:t>
      </w:r>
      <w:r w:rsidR="00BE3B25">
        <w:rPr>
          <w:rFonts w:cs="Arial"/>
        </w:rPr>
        <w:t xml:space="preserve">chaque année </w:t>
      </w:r>
      <w:r w:rsidRPr="009F1BFA">
        <w:rPr>
          <w:rFonts w:cs="Arial"/>
        </w:rPr>
        <w:t>aux chiffres d'affaires issus de l'enquête sectorielle annuelle (ESA)</w:t>
      </w:r>
      <w:r>
        <w:rPr>
          <w:rFonts w:cs="Arial"/>
        </w:rPr>
        <w:t xml:space="preserve"> </w:t>
      </w:r>
      <w:r w:rsidR="00BE6A00" w:rsidRPr="009F1BFA">
        <w:rPr>
          <w:rFonts w:cs="Arial"/>
        </w:rPr>
        <w:t xml:space="preserve">de l'Insee </w:t>
      </w:r>
      <w:r w:rsidRPr="009F1BFA">
        <w:rPr>
          <w:rFonts w:cs="Arial"/>
        </w:rPr>
        <w:t>afin de s’assurer que les secteurs d'activité</w:t>
      </w:r>
      <w:r>
        <w:rPr>
          <w:rFonts w:cs="Arial"/>
        </w:rPr>
        <w:t xml:space="preserve"> sont bien couverts</w:t>
      </w:r>
      <w:r w:rsidRPr="009F1BFA">
        <w:rPr>
          <w:rFonts w:cs="Arial"/>
        </w:rPr>
        <w:t>.</w:t>
      </w:r>
      <w:r>
        <w:rPr>
          <w:rFonts w:cs="Arial"/>
        </w:rPr>
        <w:t xml:space="preserve"> </w:t>
      </w:r>
    </w:p>
    <w:tbl>
      <w:tblPr>
        <w:tblW w:w="8642" w:type="dxa"/>
        <w:jc w:val="center"/>
        <w:tblCellMar>
          <w:left w:w="70" w:type="dxa"/>
          <w:right w:w="70" w:type="dxa"/>
        </w:tblCellMar>
        <w:tblLook w:val="04A0" w:firstRow="1" w:lastRow="0" w:firstColumn="1" w:lastColumn="0" w:noHBand="0" w:noVBand="1"/>
      </w:tblPr>
      <w:tblGrid>
        <w:gridCol w:w="2122"/>
        <w:gridCol w:w="4394"/>
        <w:gridCol w:w="2126"/>
      </w:tblGrid>
      <w:tr w:rsidR="001A36E5" w:rsidRPr="00BD2D3F" w14:paraId="0E59698C" w14:textId="77777777" w:rsidTr="0046597E">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59921D8"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Nomenclature </w:t>
            </w:r>
            <w:r>
              <w:rPr>
                <w:rFonts w:eastAsia="Times New Roman" w:cs="Arial"/>
                <w:color w:val="000000"/>
                <w:lang w:eastAsia="fr-FR"/>
              </w:rPr>
              <w:t>APE</w:t>
            </w:r>
          </w:p>
        </w:tc>
        <w:tc>
          <w:tcPr>
            <w:tcW w:w="439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EB41816"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Libellé Activité </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E0CDBCF"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Taux de couverture </w:t>
            </w:r>
          </w:p>
        </w:tc>
      </w:tr>
      <w:tr w:rsidR="001A36E5" w:rsidRPr="00BD2D3F" w14:paraId="7B2AB0B8" w14:textId="77777777" w:rsidTr="0046597E">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732CF11"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1011Z</w:t>
            </w:r>
          </w:p>
        </w:tc>
        <w:tc>
          <w:tcPr>
            <w:tcW w:w="439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3E834A"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Transformation de viande de boucherie </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03F65A1" w14:textId="77777777" w:rsidR="001A36E5" w:rsidRPr="00BD2D3F" w:rsidRDefault="001A36E5" w:rsidP="005B2E2D">
            <w:pPr>
              <w:spacing w:after="0" w:line="240" w:lineRule="auto"/>
              <w:jc w:val="center"/>
              <w:rPr>
                <w:rFonts w:eastAsia="Times New Roman" w:cs="Arial"/>
                <w:color w:val="000000"/>
                <w:lang w:eastAsia="fr-FR"/>
              </w:rPr>
            </w:pPr>
            <w:r w:rsidRPr="00BD2D3F">
              <w:rPr>
                <w:rFonts w:eastAsia="Times New Roman" w:cs="Arial"/>
                <w:color w:val="000000"/>
                <w:lang w:eastAsia="fr-FR"/>
              </w:rPr>
              <w:t>100-110%</w:t>
            </w:r>
          </w:p>
        </w:tc>
      </w:tr>
      <w:tr w:rsidR="001A36E5" w:rsidRPr="00BD2D3F" w14:paraId="076260A1" w14:textId="77777777" w:rsidTr="0046597E">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FCA7DE1"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1013A</w:t>
            </w:r>
          </w:p>
        </w:tc>
        <w:tc>
          <w:tcPr>
            <w:tcW w:w="439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64BDE1C"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Préparation industrielle à base de viande </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948295" w14:textId="77777777" w:rsidR="001A36E5" w:rsidRPr="00BD2D3F" w:rsidRDefault="001A36E5" w:rsidP="005B2E2D">
            <w:pPr>
              <w:spacing w:after="0" w:line="240" w:lineRule="auto"/>
              <w:jc w:val="center"/>
              <w:rPr>
                <w:rFonts w:eastAsia="Times New Roman" w:cs="Arial"/>
                <w:color w:val="000000"/>
                <w:lang w:eastAsia="fr-FR"/>
              </w:rPr>
            </w:pPr>
            <w:r w:rsidRPr="00BD2D3F">
              <w:rPr>
                <w:rFonts w:eastAsia="Times New Roman" w:cs="Arial"/>
                <w:color w:val="000000"/>
                <w:lang w:eastAsia="fr-FR"/>
              </w:rPr>
              <w:t>84-91%</w:t>
            </w:r>
          </w:p>
        </w:tc>
      </w:tr>
      <w:tr w:rsidR="001A36E5" w:rsidRPr="00BD2D3F" w14:paraId="70ED8627" w14:textId="77777777" w:rsidTr="0046597E">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21B370"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1085Z</w:t>
            </w:r>
          </w:p>
        </w:tc>
        <w:tc>
          <w:tcPr>
            <w:tcW w:w="439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BEDBD4E" w14:textId="77777777" w:rsidR="001A36E5" w:rsidRPr="00BD2D3F" w:rsidRDefault="001A36E5" w:rsidP="00181F88">
            <w:pPr>
              <w:spacing w:after="0" w:line="240" w:lineRule="auto"/>
              <w:rPr>
                <w:rFonts w:eastAsia="Times New Roman" w:cs="Arial"/>
                <w:color w:val="000000"/>
                <w:lang w:eastAsia="fr-FR"/>
              </w:rPr>
            </w:pPr>
            <w:r w:rsidRPr="00BD2D3F">
              <w:rPr>
                <w:rFonts w:eastAsia="Times New Roman" w:cs="Arial"/>
                <w:color w:val="000000"/>
                <w:lang w:eastAsia="fr-FR"/>
              </w:rPr>
              <w:t xml:space="preserve">Fabrication de plats préparés </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A844F92" w14:textId="77777777" w:rsidR="001A36E5" w:rsidRPr="00BD2D3F" w:rsidRDefault="001A36E5" w:rsidP="005B2E2D">
            <w:pPr>
              <w:spacing w:after="0" w:line="240" w:lineRule="auto"/>
              <w:jc w:val="center"/>
              <w:rPr>
                <w:rFonts w:eastAsia="Times New Roman" w:cs="Arial"/>
                <w:color w:val="000000"/>
                <w:lang w:eastAsia="fr-FR"/>
              </w:rPr>
            </w:pPr>
            <w:r w:rsidRPr="00BD2D3F">
              <w:rPr>
                <w:rFonts w:eastAsia="Times New Roman" w:cs="Arial"/>
                <w:color w:val="000000"/>
                <w:lang w:eastAsia="fr-FR"/>
              </w:rPr>
              <w:t>109-119%</w:t>
            </w:r>
          </w:p>
        </w:tc>
      </w:tr>
    </w:tbl>
    <w:p w14:paraId="7F44C645" w14:textId="757FC6D7" w:rsidR="005267CA" w:rsidRPr="005267CA" w:rsidRDefault="00695391" w:rsidP="005267CA">
      <w:pPr>
        <w:pStyle w:val="figure"/>
        <w:rPr>
          <w:rStyle w:val="figureCar"/>
          <w:b/>
          <w:bCs/>
          <w:iCs/>
        </w:rPr>
      </w:pPr>
      <w:bookmarkStart w:id="43" w:name="_Ref58405057"/>
      <w:bookmarkStart w:id="44" w:name="_Toc72143351"/>
      <w:r w:rsidRPr="005267CA">
        <w:rPr>
          <w:rStyle w:val="figureCar"/>
          <w:b/>
          <w:bCs/>
          <w:iCs/>
        </w:rPr>
        <w:t>Tableau</w:t>
      </w:r>
      <w:r w:rsidR="0046597E" w:rsidRPr="005267CA">
        <w:rPr>
          <w:rStyle w:val="figureCar"/>
          <w:b/>
          <w:bCs/>
          <w:iCs/>
        </w:rPr>
        <w:t xml:space="preserve">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3</w:t>
      </w:r>
      <w:r w:rsidRPr="005267CA">
        <w:rPr>
          <w:rStyle w:val="figureCar"/>
          <w:b/>
          <w:bCs/>
          <w:iCs/>
        </w:rPr>
        <w:fldChar w:fldCharType="end"/>
      </w:r>
      <w:bookmarkEnd w:id="43"/>
      <w:r w:rsidR="0046597E" w:rsidRPr="005267CA">
        <w:rPr>
          <w:rStyle w:val="figureCar"/>
          <w:b/>
          <w:bCs/>
          <w:iCs/>
        </w:rPr>
        <w:t xml:space="preserve"> : </w:t>
      </w:r>
      <w:r w:rsidR="001A36E5" w:rsidRPr="005267CA">
        <w:rPr>
          <w:rStyle w:val="figureCar"/>
          <w:b/>
          <w:bCs/>
          <w:iCs/>
        </w:rPr>
        <w:t xml:space="preserve">Taux de couverture moyen à partir du ratio </w:t>
      </w:r>
      <w:r w:rsidR="00132597" w:rsidRPr="005267CA">
        <w:rPr>
          <w:rStyle w:val="figureCar"/>
          <w:b/>
          <w:bCs/>
          <w:iCs/>
        </w:rPr>
        <w:t>PRODCOM</w:t>
      </w:r>
      <w:r w:rsidR="001A36E5" w:rsidRPr="005267CA">
        <w:rPr>
          <w:rStyle w:val="figureCar"/>
          <w:b/>
          <w:bCs/>
          <w:iCs/>
        </w:rPr>
        <w:t xml:space="preserve"> sur ESA au cours des années 2016 à 2018</w:t>
      </w:r>
      <w:bookmarkEnd w:id="44"/>
    </w:p>
    <w:p w14:paraId="63407882" w14:textId="1DE5ED7C" w:rsidR="001A36E5" w:rsidRPr="005267CA" w:rsidRDefault="00132597" w:rsidP="005267CA">
      <w:pPr>
        <w:pStyle w:val="Lgende"/>
      </w:pPr>
      <w:r w:rsidRPr="005267CA">
        <w:t>(</w:t>
      </w:r>
      <w:r w:rsidR="003238A3" w:rsidRPr="005267CA">
        <w:t>Source</w:t>
      </w:r>
      <w:r w:rsidRPr="005267CA">
        <w:t xml:space="preserve"> Ministère de l’Agriculture et de </w:t>
      </w:r>
      <w:r w:rsidR="00CE1445" w:rsidRPr="005267CA">
        <w:t>l’Alimentation)</w:t>
      </w:r>
    </w:p>
    <w:p w14:paraId="38CDB2D0" w14:textId="1DEE270A" w:rsidR="00456056" w:rsidRPr="00456056" w:rsidRDefault="00BE3B25" w:rsidP="00456056">
      <w:pPr>
        <w:rPr>
          <w:rFonts w:eastAsia="Times New Roman" w:cs="Arial"/>
        </w:rPr>
      </w:pPr>
      <w:r>
        <w:rPr>
          <w:rFonts w:eastAsia="Times New Roman" w:cs="Arial"/>
        </w:rPr>
        <w:t>L</w:t>
      </w:r>
      <w:r w:rsidR="001A36E5" w:rsidRPr="009F1BFA">
        <w:rPr>
          <w:rFonts w:eastAsia="Times New Roman" w:cs="Arial"/>
        </w:rPr>
        <w:t xml:space="preserve">a liste des produits </w:t>
      </w:r>
      <w:r w:rsidR="00132597">
        <w:rPr>
          <w:rFonts w:eastAsia="Times New Roman" w:cs="Arial"/>
        </w:rPr>
        <w:t>PRODCOM</w:t>
      </w:r>
      <w:r w:rsidR="001A36E5" w:rsidRPr="009F1BFA">
        <w:rPr>
          <w:rFonts w:eastAsia="Times New Roman" w:cs="Arial"/>
        </w:rPr>
        <w:t xml:space="preserve"> n'est pas nécessairement exhaustive, mais d'une façon générale les produits sont détaillés dans </w:t>
      </w:r>
      <w:r w:rsidR="00132597">
        <w:rPr>
          <w:rFonts w:eastAsia="Times New Roman" w:cs="Arial"/>
        </w:rPr>
        <w:t>PRODCOM</w:t>
      </w:r>
      <w:r w:rsidR="001A36E5" w:rsidRPr="009F1BFA">
        <w:rPr>
          <w:rFonts w:eastAsia="Times New Roman" w:cs="Arial"/>
        </w:rPr>
        <w:t xml:space="preserve"> alors que l'ESA </w:t>
      </w:r>
      <w:r w:rsidR="001A36E5">
        <w:rPr>
          <w:rFonts w:eastAsia="Times New Roman" w:cs="Arial"/>
        </w:rPr>
        <w:t xml:space="preserve">se situe </w:t>
      </w:r>
      <w:r w:rsidR="001A36E5" w:rsidRPr="009F1BFA">
        <w:rPr>
          <w:rFonts w:eastAsia="Times New Roman" w:cs="Arial"/>
        </w:rPr>
        <w:t xml:space="preserve">au niveau </w:t>
      </w:r>
      <w:r w:rsidR="001A36E5">
        <w:rPr>
          <w:rFonts w:eastAsia="Times New Roman" w:cs="Arial"/>
        </w:rPr>
        <w:t>de l’</w:t>
      </w:r>
      <w:r w:rsidR="001A36E5" w:rsidRPr="009F1BFA">
        <w:rPr>
          <w:rFonts w:eastAsia="Times New Roman" w:cs="Arial"/>
        </w:rPr>
        <w:t xml:space="preserve">activité, et l'ESA a une méthodologie différente de </w:t>
      </w:r>
      <w:r w:rsidR="00132597">
        <w:rPr>
          <w:rFonts w:eastAsia="Times New Roman" w:cs="Arial"/>
        </w:rPr>
        <w:t>PRODCOM</w:t>
      </w:r>
      <w:r w:rsidR="001A36E5" w:rsidRPr="009F1BFA">
        <w:rPr>
          <w:rFonts w:eastAsia="Times New Roman" w:cs="Arial"/>
        </w:rPr>
        <w:t xml:space="preserve">. Les taux de couverture </w:t>
      </w:r>
      <w:r w:rsidR="001A36E5">
        <w:rPr>
          <w:rFonts w:eastAsia="Times New Roman" w:cs="Arial"/>
        </w:rPr>
        <w:t>peuvent en conséquence être</w:t>
      </w:r>
      <w:r w:rsidR="001A36E5" w:rsidRPr="009F1BFA">
        <w:rPr>
          <w:rFonts w:eastAsia="Times New Roman" w:cs="Arial"/>
        </w:rPr>
        <w:t xml:space="preserve"> parfois supérieurs à 100%, parfois plus faibles</w:t>
      </w:r>
      <w:r w:rsidR="001A36E5">
        <w:rPr>
          <w:rFonts w:eastAsia="Times New Roman" w:cs="Arial"/>
        </w:rPr>
        <w:t xml:space="preserve"> comme indiqué dans le tableau ci-dessus</w:t>
      </w:r>
      <w:r w:rsidR="001A36E5" w:rsidRPr="009F1BFA">
        <w:rPr>
          <w:rFonts w:eastAsia="Times New Roman" w:cs="Arial"/>
        </w:rPr>
        <w:t xml:space="preserve">, selon les secteurs. </w:t>
      </w:r>
      <w:r w:rsidR="001A36E5">
        <w:rPr>
          <w:rFonts w:eastAsia="Times New Roman" w:cs="Arial"/>
        </w:rPr>
        <w:t xml:space="preserve">L’objectif fixé pour l’enquête </w:t>
      </w:r>
      <w:r w:rsidR="00132597">
        <w:rPr>
          <w:rFonts w:eastAsia="Times New Roman" w:cs="Arial"/>
        </w:rPr>
        <w:t>PRODCOM</w:t>
      </w:r>
      <w:r w:rsidR="001A36E5">
        <w:rPr>
          <w:rFonts w:eastAsia="Times New Roman" w:cs="Arial"/>
        </w:rPr>
        <w:t xml:space="preserve"> est de couvrir à minimum 90% d’un secteur. </w:t>
      </w:r>
      <w:r w:rsidR="00D10055">
        <w:rPr>
          <w:rFonts w:eastAsia="Times New Roman" w:cs="Arial"/>
        </w:rPr>
        <w:t>Ces</w:t>
      </w:r>
      <w:r w:rsidR="00D10055">
        <w:rPr>
          <w:rFonts w:cs="Arial"/>
        </w:rPr>
        <w:t xml:space="preserve"> éléments d’information indiquent que les données couvrant l’activité dont le code APE est 1013A sont sous estimées et devront faire dans le cadre de cette étude, l’objet d’un redressement statistique pour atteindre un niveau base 100.</w:t>
      </w:r>
      <w:r w:rsidR="00D10055">
        <w:rPr>
          <w:rFonts w:eastAsia="Times New Roman" w:cs="Arial"/>
        </w:rPr>
        <w:t xml:space="preserve"> Par ailleurs, </w:t>
      </w:r>
      <w:r w:rsidR="00473DAE">
        <w:rPr>
          <w:rFonts w:eastAsia="Times New Roman" w:cs="Arial"/>
        </w:rPr>
        <w:t xml:space="preserve">et à ce stade, </w:t>
      </w:r>
      <w:r w:rsidR="00D10055">
        <w:rPr>
          <w:rFonts w:eastAsia="Times New Roman" w:cs="Arial"/>
        </w:rPr>
        <w:t xml:space="preserve">l’activité 1011Z </w:t>
      </w:r>
      <w:r w:rsidR="00181F88">
        <w:rPr>
          <w:rFonts w:eastAsia="Times New Roman" w:cs="Arial"/>
        </w:rPr>
        <w:t xml:space="preserve">fait l’objet de 2 enquêtes, l’une auprès </w:t>
      </w:r>
      <w:r w:rsidR="008701DC">
        <w:rPr>
          <w:rFonts w:eastAsia="Times New Roman" w:cs="Arial"/>
        </w:rPr>
        <w:t>des abatteurs découpeurs</w:t>
      </w:r>
      <w:r w:rsidR="00181F88">
        <w:rPr>
          <w:rFonts w:eastAsia="Times New Roman" w:cs="Arial"/>
        </w:rPr>
        <w:t xml:space="preserve">, la seconde auprès </w:t>
      </w:r>
      <w:r w:rsidR="008701DC">
        <w:rPr>
          <w:rFonts w:eastAsia="Times New Roman" w:cs="Arial"/>
        </w:rPr>
        <w:t>des transformateurs de la charcuterie salaison dont une partie d’entre</w:t>
      </w:r>
      <w:r w:rsidR="006F72CD">
        <w:rPr>
          <w:rFonts w:eastAsia="Times New Roman" w:cs="Arial"/>
        </w:rPr>
        <w:t xml:space="preserve"> eux </w:t>
      </w:r>
      <w:r w:rsidR="00181F88">
        <w:rPr>
          <w:rFonts w:eastAsia="Times New Roman" w:cs="Arial"/>
        </w:rPr>
        <w:t xml:space="preserve">exerce au sein </w:t>
      </w:r>
      <w:r w:rsidR="00181F88">
        <w:rPr>
          <w:rFonts w:eastAsia="Times New Roman" w:cs="Arial"/>
        </w:rPr>
        <w:lastRenderedPageBreak/>
        <w:t>de ses établissements, une</w:t>
      </w:r>
      <w:r w:rsidR="008701DC">
        <w:rPr>
          <w:rFonts w:eastAsia="Times New Roman" w:cs="Arial"/>
        </w:rPr>
        <w:t xml:space="preserve"> activité d’abattage découpe.</w:t>
      </w:r>
      <w:r w:rsidR="00901952">
        <w:rPr>
          <w:rFonts w:eastAsia="Times New Roman" w:cs="Arial"/>
        </w:rPr>
        <w:t xml:space="preserve"> </w:t>
      </w:r>
      <w:r w:rsidR="006F4665">
        <w:rPr>
          <w:lang w:val="fr-CA" w:eastAsia="fr-FR"/>
        </w:rPr>
        <w:t xml:space="preserve">Le schéma simplifié </w:t>
      </w:r>
      <w:r w:rsidR="00D60472">
        <w:rPr>
          <w:lang w:val="fr-CA" w:eastAsia="fr-FR"/>
        </w:rPr>
        <w:t xml:space="preserve">ci-après (Figure 7) donne une lecture des </w:t>
      </w:r>
      <w:r w:rsidR="006F4665">
        <w:rPr>
          <w:lang w:val="fr-CA" w:eastAsia="fr-FR"/>
        </w:rPr>
        <w:t>typologie</w:t>
      </w:r>
      <w:r w:rsidR="00D60472">
        <w:rPr>
          <w:lang w:val="fr-CA" w:eastAsia="fr-FR"/>
        </w:rPr>
        <w:t>s</w:t>
      </w:r>
      <w:r w:rsidR="006F4665">
        <w:rPr>
          <w:lang w:val="fr-CA" w:eastAsia="fr-FR"/>
        </w:rPr>
        <w:t xml:space="preserve"> de produits </w:t>
      </w:r>
      <w:r w:rsidR="00D60472">
        <w:rPr>
          <w:lang w:val="fr-CA" w:eastAsia="fr-FR"/>
        </w:rPr>
        <w:t xml:space="preserve">couvertes </w:t>
      </w:r>
      <w:r w:rsidR="006F4665">
        <w:rPr>
          <w:lang w:val="fr-CA" w:eastAsia="fr-FR"/>
        </w:rPr>
        <w:t>p</w:t>
      </w:r>
      <w:r w:rsidR="00D60472">
        <w:rPr>
          <w:lang w:val="fr-CA" w:eastAsia="fr-FR"/>
        </w:rPr>
        <w:t>ar</w:t>
      </w:r>
      <w:r w:rsidR="006F4665">
        <w:rPr>
          <w:lang w:val="fr-CA" w:eastAsia="fr-FR"/>
        </w:rPr>
        <w:t xml:space="preserve"> chacune des activités définies par les enquêtes Prodcom</w:t>
      </w:r>
      <w:r w:rsidR="00D60472">
        <w:rPr>
          <w:lang w:val="fr-CA" w:eastAsia="fr-FR"/>
        </w:rPr>
        <w:t xml:space="preserve">. Cette segmentation du process en étapes de transformation sera décrite plus en avant dans la seconde partie de cette étude. </w:t>
      </w:r>
      <w:bookmarkStart w:id="45" w:name="_Hlk58577411"/>
    </w:p>
    <w:p w14:paraId="0C6BFA00" w14:textId="639455CB" w:rsidR="006F4665" w:rsidRPr="00CA1046" w:rsidRDefault="00EF7099" w:rsidP="006F4665">
      <w:pPr>
        <w:spacing w:after="0"/>
        <w:jc w:val="center"/>
        <w:rPr>
          <w:lang w:val="fr-CA" w:eastAsia="fr-FR"/>
        </w:rPr>
      </w:pPr>
      <w:r>
        <w:rPr>
          <w:noProof/>
        </w:rPr>
        <w:drawing>
          <wp:inline distT="0" distB="0" distL="0" distR="0" wp14:anchorId="4CAC4920" wp14:editId="4A2F39BD">
            <wp:extent cx="4438057" cy="2947035"/>
            <wp:effectExtent l="0" t="0" r="635"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62033" cy="2962956"/>
                    </a:xfrm>
                    <a:prstGeom prst="rect">
                      <a:avLst/>
                    </a:prstGeom>
                  </pic:spPr>
                </pic:pic>
              </a:graphicData>
            </a:graphic>
          </wp:inline>
        </w:drawing>
      </w:r>
    </w:p>
    <w:p w14:paraId="0EB28929" w14:textId="046A31E3" w:rsidR="006F4665" w:rsidRDefault="006F4665" w:rsidP="006F4665">
      <w:pPr>
        <w:pStyle w:val="figure"/>
      </w:pPr>
      <w:bookmarkStart w:id="46" w:name="_Ref58608623"/>
      <w:bookmarkStart w:id="47" w:name="_Toc69511399"/>
      <w:bookmarkEnd w:id="45"/>
      <w:r>
        <w:t xml:space="preserve">Figure </w:t>
      </w:r>
      <w:r w:rsidR="00E27D6E">
        <w:fldChar w:fldCharType="begin"/>
      </w:r>
      <w:r w:rsidR="00E27D6E">
        <w:instrText xml:space="preserve"> SEQ Figure \* ARABIC </w:instrText>
      </w:r>
      <w:r w:rsidR="00E27D6E">
        <w:fldChar w:fldCharType="separate"/>
      </w:r>
      <w:r w:rsidR="0007597F">
        <w:rPr>
          <w:noProof/>
        </w:rPr>
        <w:t>7</w:t>
      </w:r>
      <w:r w:rsidR="00E27D6E">
        <w:rPr>
          <w:noProof/>
        </w:rPr>
        <w:fldChar w:fldCharType="end"/>
      </w:r>
      <w:r w:rsidR="003238A3">
        <w:t xml:space="preserve"> : </w:t>
      </w:r>
      <w:r>
        <w:t>Schéma simplifié des niveaux de transformation couvert par les enquêtes 10.11</w:t>
      </w:r>
      <w:r w:rsidR="00EA4DC1">
        <w:t>.</w:t>
      </w:r>
      <w:r>
        <w:t>Z</w:t>
      </w:r>
      <w:r w:rsidR="00E4590F">
        <w:t>,</w:t>
      </w:r>
      <w:r>
        <w:t xml:space="preserve"> 10.13.A </w:t>
      </w:r>
      <w:r w:rsidR="00E4590F">
        <w:t xml:space="preserve">et 10.85.Z </w:t>
      </w:r>
      <w:r>
        <w:t>au sein de la filière porcine.</w:t>
      </w:r>
      <w:bookmarkEnd w:id="46"/>
      <w:bookmarkEnd w:id="47"/>
    </w:p>
    <w:p w14:paraId="60D41889" w14:textId="21669332" w:rsidR="00D60472" w:rsidRPr="006F4665" w:rsidRDefault="006F4665" w:rsidP="006F4665">
      <w:pPr>
        <w:pStyle w:val="figure"/>
        <w:jc w:val="both"/>
        <w:rPr>
          <w:b w:val="0"/>
          <w:bCs w:val="0"/>
          <w:iCs w:val="0"/>
          <w:sz w:val="22"/>
          <w:szCs w:val="22"/>
          <w:lang w:eastAsia="en-US"/>
        </w:rPr>
      </w:pPr>
      <w:r w:rsidRPr="006F4665">
        <w:rPr>
          <w:b w:val="0"/>
          <w:bCs w:val="0"/>
          <w:iCs w:val="0"/>
          <w:sz w:val="22"/>
          <w:szCs w:val="22"/>
          <w:lang w:eastAsia="en-US"/>
        </w:rPr>
        <w:t>L’enquête 10.85.Z</w:t>
      </w:r>
      <w:r>
        <w:rPr>
          <w:b w:val="0"/>
          <w:bCs w:val="0"/>
          <w:iCs w:val="0"/>
          <w:sz w:val="22"/>
          <w:szCs w:val="22"/>
          <w:lang w:eastAsia="en-US"/>
        </w:rPr>
        <w:t xml:space="preserve"> qui couvre l’activité traiteur est une activité d’assemblage </w:t>
      </w:r>
      <w:r w:rsidR="006E34F2">
        <w:rPr>
          <w:b w:val="0"/>
          <w:bCs w:val="0"/>
          <w:iCs w:val="0"/>
          <w:sz w:val="22"/>
          <w:szCs w:val="22"/>
          <w:lang w:eastAsia="en-US"/>
        </w:rPr>
        <w:t>intégrant des</w:t>
      </w:r>
      <w:r>
        <w:rPr>
          <w:b w:val="0"/>
          <w:bCs w:val="0"/>
          <w:iCs w:val="0"/>
          <w:sz w:val="22"/>
          <w:szCs w:val="22"/>
          <w:lang w:eastAsia="en-US"/>
        </w:rPr>
        <w:t xml:space="preserve"> produits finis de charcuterie</w:t>
      </w:r>
      <w:r w:rsidR="006E34F2">
        <w:rPr>
          <w:b w:val="0"/>
          <w:bCs w:val="0"/>
          <w:iCs w:val="0"/>
          <w:sz w:val="22"/>
          <w:szCs w:val="22"/>
          <w:lang w:eastAsia="en-US"/>
        </w:rPr>
        <w:t xml:space="preserve"> sous la forme de PAI (Produits Alimentaires Intermédiaires)</w:t>
      </w:r>
      <w:r>
        <w:rPr>
          <w:b w:val="0"/>
          <w:bCs w:val="0"/>
          <w:iCs w:val="0"/>
          <w:sz w:val="22"/>
          <w:szCs w:val="22"/>
          <w:lang w:eastAsia="en-US"/>
        </w:rPr>
        <w:t>.</w:t>
      </w:r>
    </w:p>
    <w:p w14:paraId="51B66A6E" w14:textId="3C3564CA" w:rsidR="001A36E5" w:rsidRDefault="001A36E5" w:rsidP="00132597">
      <w:pPr>
        <w:pStyle w:val="Titre3"/>
      </w:pPr>
      <w:bookmarkStart w:id="48" w:name="_Toc78131553"/>
      <w:r>
        <w:t>2.</w:t>
      </w:r>
      <w:r w:rsidR="00944AE7">
        <w:t>2</w:t>
      </w:r>
      <w:r>
        <w:t>.3. Autres secteurs d’activité non couverts par enquête</w:t>
      </w:r>
      <w:bookmarkEnd w:id="48"/>
      <w:r>
        <w:t xml:space="preserve"> </w:t>
      </w:r>
    </w:p>
    <w:p w14:paraId="5E1DF1B9" w14:textId="2C1E4C17" w:rsidR="001A36E5" w:rsidRDefault="001A36E5" w:rsidP="009B11D3">
      <w:pPr>
        <w:rPr>
          <w:rFonts w:cs="Arial"/>
        </w:rPr>
      </w:pPr>
      <w:r>
        <w:rPr>
          <w:rFonts w:cs="Arial"/>
        </w:rPr>
        <w:t xml:space="preserve">Au regard de la fragmentation de la transformation des produits du porc, d’autres activités ont été identifiées comme présentant un intérêt mais elles ne peuvent être analysées compte tenu de l’absence de suivi par enquête. Il s’agit de </w:t>
      </w:r>
      <w:r w:rsidRPr="00FC5027">
        <w:rPr>
          <w:rFonts w:cs="Arial"/>
        </w:rPr>
        <w:t>la fabrication artisanale de préparations périssables vendues en charcuterie avec vente au détail (</w:t>
      </w:r>
      <w:r>
        <w:rPr>
          <w:rFonts w:cs="Arial"/>
        </w:rPr>
        <w:t xml:space="preserve">code APE </w:t>
      </w:r>
      <w:r w:rsidRPr="00FC5027">
        <w:rPr>
          <w:rFonts w:cs="Arial"/>
        </w:rPr>
        <w:t>10.13B)</w:t>
      </w:r>
      <w:r>
        <w:rPr>
          <w:rFonts w:cs="Arial"/>
        </w:rPr>
        <w:t xml:space="preserve"> correspondant à la charcuterie artisanale, mais également de </w:t>
      </w:r>
      <w:r w:rsidRPr="00FC5027">
        <w:rPr>
          <w:rFonts w:cs="Arial"/>
        </w:rPr>
        <w:t>la fabrication de préparations périssables telles que les sandwiches (</w:t>
      </w:r>
      <w:r>
        <w:rPr>
          <w:rFonts w:cs="Arial"/>
        </w:rPr>
        <w:t xml:space="preserve">code APE </w:t>
      </w:r>
      <w:r w:rsidRPr="00FC5027">
        <w:rPr>
          <w:rFonts w:cs="Arial"/>
        </w:rPr>
        <w:t>10.89Z)</w:t>
      </w:r>
      <w:r>
        <w:rPr>
          <w:rFonts w:cs="Arial"/>
        </w:rPr>
        <w:t>,</w:t>
      </w:r>
      <w:r w:rsidRPr="00FC5027">
        <w:rPr>
          <w:rFonts w:cs="Arial"/>
        </w:rPr>
        <w:t xml:space="preserve"> </w:t>
      </w:r>
      <w:r>
        <w:rPr>
          <w:rFonts w:cs="Arial"/>
        </w:rPr>
        <w:t>du</w:t>
      </w:r>
      <w:r w:rsidRPr="00FC5027">
        <w:rPr>
          <w:rFonts w:cs="Arial"/>
        </w:rPr>
        <w:t xml:space="preserve"> commerce de gros de viandes et de produits à base de viande (</w:t>
      </w:r>
      <w:r>
        <w:rPr>
          <w:rFonts w:cs="Arial"/>
        </w:rPr>
        <w:t xml:space="preserve">code APE </w:t>
      </w:r>
      <w:r w:rsidRPr="00FC5027">
        <w:rPr>
          <w:rFonts w:cs="Arial"/>
        </w:rPr>
        <w:t>46.32)</w:t>
      </w:r>
      <w:r>
        <w:rPr>
          <w:rFonts w:cs="Arial"/>
        </w:rPr>
        <w:t xml:space="preserve"> et enfin plus marginal du</w:t>
      </w:r>
      <w:r w:rsidRPr="00FC5027">
        <w:rPr>
          <w:rFonts w:cs="Arial"/>
        </w:rPr>
        <w:t xml:space="preserve"> conditionnement de viandes</w:t>
      </w:r>
      <w:r>
        <w:rPr>
          <w:rFonts w:cs="Arial"/>
        </w:rPr>
        <w:t xml:space="preserve"> </w:t>
      </w:r>
      <w:r w:rsidRPr="00FC5027">
        <w:rPr>
          <w:rFonts w:cs="Arial"/>
        </w:rPr>
        <w:t xml:space="preserve">pour </w:t>
      </w:r>
      <w:r>
        <w:rPr>
          <w:rFonts w:cs="Arial"/>
        </w:rPr>
        <w:t xml:space="preserve">le </w:t>
      </w:r>
      <w:r w:rsidRPr="00FC5027">
        <w:rPr>
          <w:rFonts w:cs="Arial"/>
        </w:rPr>
        <w:t>compte propre (</w:t>
      </w:r>
      <w:r>
        <w:rPr>
          <w:rFonts w:cs="Arial"/>
        </w:rPr>
        <w:t xml:space="preserve">code APE </w:t>
      </w:r>
      <w:r w:rsidRPr="00FC5027">
        <w:rPr>
          <w:rFonts w:cs="Arial"/>
        </w:rPr>
        <w:t xml:space="preserve">46.32A) ou pour </w:t>
      </w:r>
      <w:r>
        <w:rPr>
          <w:rFonts w:cs="Arial"/>
        </w:rPr>
        <w:t xml:space="preserve">le </w:t>
      </w:r>
      <w:r w:rsidRPr="00FC5027">
        <w:rPr>
          <w:rFonts w:cs="Arial"/>
        </w:rPr>
        <w:t>compte de tiers (</w:t>
      </w:r>
      <w:r>
        <w:rPr>
          <w:rFonts w:cs="Arial"/>
        </w:rPr>
        <w:t xml:space="preserve">code APE </w:t>
      </w:r>
      <w:r w:rsidRPr="00FC5027">
        <w:rPr>
          <w:rFonts w:cs="Arial"/>
        </w:rPr>
        <w:t>82.92Z)</w:t>
      </w:r>
      <w:r>
        <w:rPr>
          <w:rFonts w:cs="Arial"/>
        </w:rPr>
        <w:t xml:space="preserve">. </w:t>
      </w:r>
    </w:p>
    <w:p w14:paraId="49A0D71A" w14:textId="16997FBC" w:rsidR="0082472B" w:rsidRDefault="0082472B" w:rsidP="0082472B">
      <w:pPr>
        <w:pStyle w:val="Titre3"/>
      </w:pPr>
      <w:bookmarkStart w:id="49" w:name="_Toc78131554"/>
      <w:r>
        <w:t>2.2.4. La production porcine en 2018</w:t>
      </w:r>
      <w:bookmarkEnd w:id="49"/>
    </w:p>
    <w:p w14:paraId="5F87044B" w14:textId="4488475A" w:rsidR="0082472B" w:rsidRPr="00944AE7" w:rsidRDefault="0082472B" w:rsidP="0082472B">
      <w:pPr>
        <w:pStyle w:val="Titre4"/>
      </w:pPr>
      <w:bookmarkStart w:id="50" w:name="_Toc78131555"/>
      <w:r w:rsidRPr="00D00A7D">
        <w:t>2.</w:t>
      </w:r>
      <w:r>
        <w:t>2</w:t>
      </w:r>
      <w:r w:rsidRPr="00D00A7D">
        <w:t>.</w:t>
      </w:r>
      <w:r>
        <w:t>4</w:t>
      </w:r>
      <w:r w:rsidRPr="00D00A7D">
        <w:t>.</w:t>
      </w:r>
      <w:r>
        <w:t>1</w:t>
      </w:r>
      <w:r w:rsidRPr="00D00A7D">
        <w:t xml:space="preserve">. </w:t>
      </w:r>
      <w:r>
        <w:t>Données de cadrage</w:t>
      </w:r>
      <w:bookmarkEnd w:id="50"/>
      <w:r>
        <w:t xml:space="preserve"> </w:t>
      </w:r>
    </w:p>
    <w:p w14:paraId="59BC9161" w14:textId="4464B06A" w:rsidR="0082472B" w:rsidRDefault="0082472B" w:rsidP="0082472B">
      <w:r>
        <w:t xml:space="preserve">Afin de resituer le contexte de la filière porcine, en 2018 </w:t>
      </w:r>
      <w:r w:rsidRPr="00371079">
        <w:t xml:space="preserve">la production en volume de l’industrie agroalimentaire </w:t>
      </w:r>
      <w:r>
        <w:t xml:space="preserve">en France </w:t>
      </w:r>
      <w:r w:rsidRPr="00371079">
        <w:t xml:space="preserve">recule </w:t>
      </w:r>
      <w:r>
        <w:t xml:space="preserve">de </w:t>
      </w:r>
      <w:r w:rsidRPr="00371079">
        <w:t>0,8</w:t>
      </w:r>
      <w:r w:rsidR="004A24D7">
        <w:t> </w:t>
      </w:r>
      <w:r w:rsidRPr="00371079">
        <w:t>%</w:t>
      </w:r>
      <w:r>
        <w:t xml:space="preserve"> (ANIA). </w:t>
      </w:r>
      <w:r w:rsidRPr="00371079">
        <w:t>La production de viandes et produits de viandes se redresse</w:t>
      </w:r>
      <w:r>
        <w:t xml:space="preserve"> en valeur (+ 1,5 %) et s’établit à 25 Mrds d’euros dont 50</w:t>
      </w:r>
      <w:r w:rsidR="00BD178B">
        <w:t> </w:t>
      </w:r>
      <w:r>
        <w:t>% pour l’abattage découpe, de bovin et de porc et 31,6 % pour les produits transformés de charcuterie porc et volaille et enfin le solde concerne la volaille fraîche (Eurostat). A l’échelle de la filière porcine</w:t>
      </w:r>
      <w:r w:rsidRPr="00A6419F">
        <w:t xml:space="preserve">, </w:t>
      </w:r>
      <w:r>
        <w:t>la production</w:t>
      </w:r>
      <w:r w:rsidRPr="00D10055">
        <w:t xml:space="preserve"> </w:t>
      </w:r>
      <w:r>
        <w:t>s’inscrit en 2018,</w:t>
      </w:r>
      <w:r w:rsidRPr="00D10055">
        <w:t xml:space="preserve"> en retrait par rapport aux évolutions des autres grands pays producteurs</w:t>
      </w:r>
      <w:r w:rsidR="002A05D1">
        <w:t xml:space="preserve"> </w:t>
      </w:r>
      <w:r>
        <w:t>tels que l’</w:t>
      </w:r>
      <w:r w:rsidRPr="00D10055">
        <w:t xml:space="preserve">Espagne, </w:t>
      </w:r>
      <w:r>
        <w:t xml:space="preserve">le </w:t>
      </w:r>
      <w:r w:rsidRPr="00D10055">
        <w:t>Danemark</w:t>
      </w:r>
      <w:r>
        <w:t xml:space="preserve"> et la</w:t>
      </w:r>
      <w:r w:rsidRPr="00D10055">
        <w:t xml:space="preserve"> Pologne</w:t>
      </w:r>
      <w:r>
        <w:t>.</w:t>
      </w:r>
      <w:r w:rsidRPr="00D10055">
        <w:t xml:space="preserve"> Ce</w:t>
      </w:r>
      <w:r>
        <w:t xml:space="preserve">ci se traduit par une </w:t>
      </w:r>
      <w:r w:rsidRPr="00D10055">
        <w:t>baisse d’activité dans les abattoirs</w:t>
      </w:r>
      <w:r>
        <w:t xml:space="preserve"> alors que les</w:t>
      </w:r>
      <w:r w:rsidRPr="00D10055">
        <w:t xml:space="preserve"> abattages </w:t>
      </w:r>
      <w:r>
        <w:t xml:space="preserve">voient </w:t>
      </w:r>
      <w:r w:rsidR="009354AC">
        <w:t>leurs volumes</w:t>
      </w:r>
      <w:r>
        <w:t xml:space="preserve"> reculer </w:t>
      </w:r>
      <w:r w:rsidRPr="00D10055">
        <w:t>depuis 2010 (-</w:t>
      </w:r>
      <w:r>
        <w:t> </w:t>
      </w:r>
      <w:r w:rsidRPr="00D10055">
        <w:t>5,3</w:t>
      </w:r>
      <w:r>
        <w:t> </w:t>
      </w:r>
      <w:r w:rsidRPr="00D10055">
        <w:t>%</w:t>
      </w:r>
      <w:r w:rsidR="006A3537">
        <w:t xml:space="preserve"> en têtes</w:t>
      </w:r>
      <w:r w:rsidRPr="00D10055">
        <w:t xml:space="preserve">, soit </w:t>
      </w:r>
      <w:r>
        <w:t xml:space="preserve">un recul de </w:t>
      </w:r>
      <w:r w:rsidRPr="00D10055">
        <w:t>1,3 million de porcs). La production française de viande porcine s’est établie</w:t>
      </w:r>
      <w:r>
        <w:t xml:space="preserve"> en 2018</w:t>
      </w:r>
      <w:r w:rsidRPr="00D10055">
        <w:t xml:space="preserve"> à 2,</w:t>
      </w:r>
      <w:r>
        <w:t xml:space="preserve">2 millions en Tec </w:t>
      </w:r>
      <w:r w:rsidRPr="00D10055">
        <w:t xml:space="preserve">positionnant la France au troisième rang des </w:t>
      </w:r>
      <w:r w:rsidRPr="00D10055">
        <w:lastRenderedPageBreak/>
        <w:t>producteurs européens, derrière l’Allemagne (</w:t>
      </w:r>
      <w:r>
        <w:t xml:space="preserve">en recul de </w:t>
      </w:r>
      <w:r w:rsidRPr="00D10055">
        <w:t>1</w:t>
      </w:r>
      <w:r>
        <w:t> </w:t>
      </w:r>
      <w:r w:rsidRPr="00D10055">
        <w:t>%) et l’Espagne (en progression de</w:t>
      </w:r>
      <w:r>
        <w:t xml:space="preserve"> </w:t>
      </w:r>
      <w:r w:rsidRPr="00D10055">
        <w:t>8,5</w:t>
      </w:r>
      <w:r>
        <w:t> </w:t>
      </w:r>
      <w:r w:rsidRPr="00D10055">
        <w:t>%).</w:t>
      </w:r>
    </w:p>
    <w:p w14:paraId="657600AF" w14:textId="48ED9B03" w:rsidR="0082472B" w:rsidRPr="0082472B" w:rsidRDefault="0082472B" w:rsidP="0082472B">
      <w:pPr>
        <w:pStyle w:val="Titre4"/>
      </w:pPr>
      <w:bookmarkStart w:id="51" w:name="_Toc78131556"/>
      <w:r>
        <w:t xml:space="preserve">2.2.4.2 </w:t>
      </w:r>
      <w:r w:rsidRPr="0082472B">
        <w:t>Activités de transformation en charcuterie et salaison (10.13.A)</w:t>
      </w:r>
      <w:bookmarkEnd w:id="51"/>
    </w:p>
    <w:p w14:paraId="04557D7D" w14:textId="220BB937" w:rsidR="008D6FDC" w:rsidRDefault="008D6FDC" w:rsidP="00AA28BC">
      <w:pPr>
        <w:pStyle w:val="Puce1"/>
        <w:numPr>
          <w:ilvl w:val="0"/>
          <w:numId w:val="11"/>
        </w:numPr>
        <w:rPr>
          <w:sz w:val="20"/>
        </w:rPr>
      </w:pPr>
      <w:r w:rsidRPr="008D6FDC">
        <w:rPr>
          <w:sz w:val="20"/>
        </w:rPr>
        <w:t xml:space="preserve">Un total charcuterie salaison qui se maintient </w:t>
      </w:r>
      <w:r>
        <w:rPr>
          <w:sz w:val="20"/>
        </w:rPr>
        <w:t>mais avec une part de porc en recul</w:t>
      </w:r>
    </w:p>
    <w:p w14:paraId="05BCA80A" w14:textId="77777777" w:rsidR="002A05D1" w:rsidRDefault="0082472B" w:rsidP="00ED4F79">
      <w:pPr>
        <w:rPr>
          <w:lang w:val="fr-CA"/>
        </w:rPr>
      </w:pPr>
      <w:r w:rsidRPr="008D6FDC">
        <w:t>Le</w:t>
      </w:r>
      <w:r w:rsidRPr="008D6FDC">
        <w:rPr>
          <w:lang w:val="fr-CA"/>
        </w:rPr>
        <w:t xml:space="preserve"> total charcuterie salaison résiste</w:t>
      </w:r>
      <w:r w:rsidR="00F65D4A" w:rsidRPr="008D6FDC">
        <w:rPr>
          <w:lang w:val="fr-CA"/>
        </w:rPr>
        <w:t xml:space="preserve"> à l’érosion qui affecte les produits carnés</w:t>
      </w:r>
      <w:r w:rsidRPr="008D6FDC">
        <w:rPr>
          <w:lang w:val="fr-CA"/>
        </w:rPr>
        <w:t xml:space="preserve"> mais intègre de moins en moins de porc</w:t>
      </w:r>
      <w:r w:rsidR="002A05D1">
        <w:rPr>
          <w:lang w:val="fr-CA"/>
        </w:rPr>
        <w:t xml:space="preserve">. </w:t>
      </w:r>
    </w:p>
    <w:p w14:paraId="4CAD266B" w14:textId="15E1D4A0" w:rsidR="0057272F" w:rsidRDefault="002A05D1" w:rsidP="00ED4F79">
      <w:pPr>
        <w:rPr>
          <w:lang w:val="fr-CA"/>
        </w:rPr>
      </w:pPr>
      <w:r>
        <w:rPr>
          <w:lang w:val="fr-CA"/>
        </w:rPr>
        <w:t>L</w:t>
      </w:r>
      <w:r w:rsidR="0082472B" w:rsidRPr="008D6FDC">
        <w:rPr>
          <w:lang w:val="fr-CA"/>
        </w:rPr>
        <w:t xml:space="preserve">a production s’affiche en 2018 à 1 015 </w:t>
      </w:r>
      <w:r w:rsidR="00957F11">
        <w:rPr>
          <w:lang w:val="fr-CA"/>
        </w:rPr>
        <w:t>kt</w:t>
      </w:r>
      <w:r w:rsidR="0082472B" w:rsidRPr="008D6FDC">
        <w:rPr>
          <w:lang w:val="fr-CA"/>
        </w:rPr>
        <w:t xml:space="preserve"> en recul de 0,1 % par rapport à 2017</w:t>
      </w:r>
      <w:r>
        <w:rPr>
          <w:lang w:val="fr-CA"/>
        </w:rPr>
        <w:t xml:space="preserve"> avec une</w:t>
      </w:r>
      <w:r w:rsidR="0082472B" w:rsidRPr="008D6FDC">
        <w:rPr>
          <w:lang w:val="fr-CA"/>
        </w:rPr>
        <w:t xml:space="preserve"> part de porc in</w:t>
      </w:r>
      <w:r w:rsidR="006F72CD">
        <w:rPr>
          <w:lang w:val="fr-CA"/>
        </w:rPr>
        <w:t>corporée</w:t>
      </w:r>
      <w:r w:rsidR="0082472B" w:rsidRPr="008D6FDC">
        <w:rPr>
          <w:lang w:val="fr-CA"/>
        </w:rPr>
        <w:t xml:space="preserve"> dans les produits </w:t>
      </w:r>
      <w:r w:rsidR="0057272F">
        <w:rPr>
          <w:lang w:val="fr-CA"/>
        </w:rPr>
        <w:t xml:space="preserve">de </w:t>
      </w:r>
      <w:r w:rsidR="0082472B" w:rsidRPr="008D6FDC">
        <w:rPr>
          <w:lang w:val="fr-CA"/>
        </w:rPr>
        <w:t xml:space="preserve">charcuterie et </w:t>
      </w:r>
      <w:r>
        <w:rPr>
          <w:lang w:val="fr-CA"/>
        </w:rPr>
        <w:t>l</w:t>
      </w:r>
      <w:r w:rsidR="0057272F">
        <w:rPr>
          <w:lang w:val="fr-CA"/>
        </w:rPr>
        <w:t xml:space="preserve">es </w:t>
      </w:r>
      <w:r w:rsidR="0082472B" w:rsidRPr="008D6FDC">
        <w:rPr>
          <w:lang w:val="fr-CA"/>
        </w:rPr>
        <w:t xml:space="preserve">produits traiteurs </w:t>
      </w:r>
      <w:r>
        <w:rPr>
          <w:lang w:val="fr-CA"/>
        </w:rPr>
        <w:t xml:space="preserve">qui </w:t>
      </w:r>
      <w:r w:rsidR="0082472B" w:rsidRPr="008D6FDC">
        <w:rPr>
          <w:lang w:val="fr-CA"/>
        </w:rPr>
        <w:t>représente 84 % soit 882</w:t>
      </w:r>
      <w:r w:rsidR="006554CE">
        <w:rPr>
          <w:lang w:val="fr-CA"/>
        </w:rPr>
        <w:t>kt</w:t>
      </w:r>
      <w:r w:rsidR="0082472B" w:rsidRPr="008D6FDC">
        <w:rPr>
          <w:lang w:val="fr-CA"/>
        </w:rPr>
        <w:t xml:space="preserve"> devant la volaille (11 %) et autres espèces (4 %). Entre 201</w:t>
      </w:r>
      <w:r w:rsidR="006F72CD">
        <w:rPr>
          <w:lang w:val="fr-CA"/>
        </w:rPr>
        <w:t>0</w:t>
      </w:r>
      <w:r w:rsidR="0082472B" w:rsidRPr="008D6FDC">
        <w:rPr>
          <w:lang w:val="fr-CA"/>
        </w:rPr>
        <w:t xml:space="preserve"> et 201</w:t>
      </w:r>
      <w:r w:rsidR="006F72CD">
        <w:rPr>
          <w:lang w:val="fr-CA"/>
        </w:rPr>
        <w:t>8</w:t>
      </w:r>
      <w:r w:rsidR="0082472B" w:rsidRPr="008D6FDC">
        <w:rPr>
          <w:lang w:val="fr-CA"/>
        </w:rPr>
        <w:t xml:space="preserve">, </w:t>
      </w:r>
      <w:r w:rsidR="006F72CD">
        <w:rPr>
          <w:lang w:val="fr-CA"/>
        </w:rPr>
        <w:t xml:space="preserve">celle-ci </w:t>
      </w:r>
      <w:r w:rsidR="0082472B" w:rsidRPr="008D6FDC">
        <w:rPr>
          <w:lang w:val="fr-CA"/>
        </w:rPr>
        <w:t>a ainsi reculé de 6 points substituée par la volaille (+6 points)</w:t>
      </w:r>
      <w:r w:rsidR="004A2D9B">
        <w:rPr>
          <w:lang w:val="fr-CA"/>
        </w:rPr>
        <w:t xml:space="preserve"> alors que dans le même temps</w:t>
      </w:r>
      <w:r w:rsidR="0057272F">
        <w:rPr>
          <w:lang w:val="fr-CA"/>
        </w:rPr>
        <w:t>, les</w:t>
      </w:r>
      <w:r w:rsidR="004A2D9B">
        <w:rPr>
          <w:lang w:val="fr-CA"/>
        </w:rPr>
        <w:t xml:space="preserve"> </w:t>
      </w:r>
      <w:r w:rsidR="004A2D9B" w:rsidRPr="008D6FDC">
        <w:rPr>
          <w:lang w:val="fr-CA"/>
        </w:rPr>
        <w:t>volumes de production en charcuterie salaison se tiennent relativement avec +0,8 %.</w:t>
      </w:r>
      <w:r w:rsidR="004A2D9B">
        <w:rPr>
          <w:lang w:val="fr-CA"/>
        </w:rPr>
        <w:t xml:space="preserve"> </w:t>
      </w:r>
      <w:r w:rsidR="007B5FD4">
        <w:rPr>
          <w:lang w:val="fr-CA"/>
        </w:rPr>
        <w:t>Cette</w:t>
      </w:r>
      <w:r w:rsidR="008654D8">
        <w:rPr>
          <w:lang w:val="fr-CA"/>
        </w:rPr>
        <w:t xml:space="preserve"> évolution </w:t>
      </w:r>
      <w:r w:rsidR="004A2D9B">
        <w:rPr>
          <w:lang w:val="fr-CA"/>
        </w:rPr>
        <w:t xml:space="preserve">de la volaille </w:t>
      </w:r>
      <w:r w:rsidR="007B5FD4">
        <w:rPr>
          <w:lang w:val="fr-CA"/>
        </w:rPr>
        <w:t xml:space="preserve">a procédé </w:t>
      </w:r>
      <w:r w:rsidR="008654D8">
        <w:rPr>
          <w:lang w:val="fr-CA"/>
        </w:rPr>
        <w:t xml:space="preserve">en deux temps, </w:t>
      </w:r>
      <w:r w:rsidR="00D1587E">
        <w:rPr>
          <w:lang w:val="fr-CA"/>
        </w:rPr>
        <w:t>une progression assez forte entre 2010 et 2015 (</w:t>
      </w:r>
      <w:r w:rsidR="00886F3A">
        <w:rPr>
          <w:lang w:val="fr-CA"/>
        </w:rPr>
        <w:t>+7,2 %) et depuis</w:t>
      </w:r>
      <w:r w:rsidR="007B5FD4">
        <w:rPr>
          <w:lang w:val="fr-CA"/>
        </w:rPr>
        <w:t xml:space="preserve"> 2015</w:t>
      </w:r>
      <w:r w:rsidR="00886F3A">
        <w:rPr>
          <w:lang w:val="fr-CA"/>
        </w:rPr>
        <w:t xml:space="preserve"> une relative stabilité</w:t>
      </w:r>
      <w:r>
        <w:rPr>
          <w:lang w:val="fr-CA"/>
        </w:rPr>
        <w:t xml:space="preserve"> (</w:t>
      </w:r>
      <w:r>
        <w:rPr>
          <w:lang w:val="fr-CA"/>
        </w:rPr>
        <w:fldChar w:fldCharType="begin"/>
      </w:r>
      <w:r>
        <w:rPr>
          <w:lang w:val="fr-CA"/>
        </w:rPr>
        <w:instrText xml:space="preserve"> REF _Ref76569393 \h </w:instrText>
      </w:r>
      <w:r>
        <w:rPr>
          <w:lang w:val="fr-CA"/>
        </w:rPr>
      </w:r>
      <w:r>
        <w:rPr>
          <w:lang w:val="fr-CA"/>
        </w:rPr>
        <w:fldChar w:fldCharType="separate"/>
      </w:r>
      <w:r w:rsidRPr="003E1D1F">
        <w:t xml:space="preserve">Figure </w:t>
      </w:r>
      <w:r>
        <w:rPr>
          <w:noProof/>
        </w:rPr>
        <w:t>8</w:t>
      </w:r>
      <w:r>
        <w:rPr>
          <w:lang w:val="fr-CA"/>
        </w:rPr>
        <w:fldChar w:fldCharType="end"/>
      </w:r>
      <w:r>
        <w:rPr>
          <w:lang w:val="fr-CA"/>
        </w:rPr>
        <w:t>).</w:t>
      </w:r>
    </w:p>
    <w:p w14:paraId="3F3D2DE9" w14:textId="0B516570" w:rsidR="0001432A" w:rsidRDefault="006F72CD" w:rsidP="00ED4F79">
      <w:pPr>
        <w:rPr>
          <w:lang w:val="fr-CA"/>
        </w:rPr>
      </w:pPr>
      <w:r>
        <w:rPr>
          <w:lang w:val="fr-CA"/>
        </w:rPr>
        <w:t xml:space="preserve">Ce gain s’effectue d’abord au profit de la salaison </w:t>
      </w:r>
      <w:r>
        <w:rPr>
          <w:rStyle w:val="Appelnotedebasdep"/>
          <w:lang w:val="fr-CA"/>
        </w:rPr>
        <w:footnoteReference w:id="3"/>
      </w:r>
      <w:r>
        <w:rPr>
          <w:lang w:val="fr-CA"/>
        </w:rPr>
        <w:t>cuite avec un poids du jambon de volaille qui a gagné 5 points entre 2010 et 2018. Les autres catégories de produits concernées par l’augmentation relative de la volaille, tels que les « </w:t>
      </w:r>
      <w:r w:rsidRPr="006F72CD">
        <w:rPr>
          <w:lang w:val="fr-CA"/>
        </w:rPr>
        <w:t>saucisses et saucissons cuits</w:t>
      </w:r>
      <w:r>
        <w:rPr>
          <w:lang w:val="fr-CA"/>
        </w:rPr>
        <w:t xml:space="preserve"> ou</w:t>
      </w:r>
      <w:r w:rsidRPr="006F72CD">
        <w:rPr>
          <w:lang w:val="fr-CA"/>
        </w:rPr>
        <w:t xml:space="preserve"> à cuire</w:t>
      </w:r>
      <w:r>
        <w:rPr>
          <w:lang w:val="fr-CA"/>
        </w:rPr>
        <w:t xml:space="preserve"> » ou les « rillettes pâtés », sont des produits de mélange avec des proportions variées de porc et de volaille et pour lesquels les évolutions supposent une analyse plus fine. </w:t>
      </w:r>
    </w:p>
    <w:p w14:paraId="32240891" w14:textId="19800B11" w:rsidR="0082472B" w:rsidRDefault="00C40725" w:rsidP="00ED4F79">
      <w:pPr>
        <w:pStyle w:val="Puce1"/>
        <w:tabs>
          <w:tab w:val="clear" w:pos="720"/>
        </w:tabs>
        <w:ind w:left="0" w:firstLine="0"/>
        <w:jc w:val="center"/>
      </w:pPr>
      <w:r>
        <w:rPr>
          <w:noProof/>
          <w:color w:val="7F7F7F" w:themeColor="text1" w:themeTint="80"/>
        </w:rPr>
        <mc:AlternateContent>
          <mc:Choice Requires="wps">
            <w:drawing>
              <wp:anchor distT="0" distB="0" distL="114300" distR="114300" simplePos="0" relativeHeight="251658253" behindDoc="0" locked="0" layoutInCell="1" allowOverlap="1" wp14:anchorId="1C66AF90" wp14:editId="33CEC3A5">
                <wp:simplePos x="0" y="0"/>
                <wp:positionH relativeFrom="column">
                  <wp:posOffset>3928110</wp:posOffset>
                </wp:positionH>
                <wp:positionV relativeFrom="paragraph">
                  <wp:posOffset>2123440</wp:posOffset>
                </wp:positionV>
                <wp:extent cx="1620000" cy="0"/>
                <wp:effectExtent l="0" t="76200" r="18415" b="95250"/>
                <wp:wrapNone/>
                <wp:docPr id="70" name="Connecteur droit avec flèche 70"/>
                <wp:cNvGraphicFramePr/>
                <a:graphic xmlns:a="http://schemas.openxmlformats.org/drawingml/2006/main">
                  <a:graphicData uri="http://schemas.microsoft.com/office/word/2010/wordprocessingShape">
                    <wps:wsp>
                      <wps:cNvCnPr/>
                      <wps:spPr>
                        <a:xfrm flipV="1">
                          <a:off x="0" y="0"/>
                          <a:ext cx="1620000" cy="0"/>
                        </a:xfrm>
                        <a:prstGeom prst="straightConnector1">
                          <a:avLst/>
                        </a:prstGeom>
                        <a:ln>
                          <a:solidFill>
                            <a:schemeClr val="bg1">
                              <a:lumMod val="65000"/>
                            </a:schemeClr>
                          </a:solidFill>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7F93811" id="_x0000_t32" coordsize="21600,21600" o:spt="32" o:oned="t" path="m,l21600,21600e" filled="f">
                <v:path arrowok="t" fillok="f" o:connecttype="none"/>
                <o:lock v:ext="edit" shapetype="t"/>
              </v:shapetype>
              <v:shape id="Connecteur droit avec flèche 70" o:spid="_x0000_s1026" type="#_x0000_t32" style="position:absolute;margin-left:309.3pt;margin-top:167.2pt;width:127.55pt;height:0;flip:y;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egUAgIAAFwEAAAOAAAAZHJzL2Uyb0RvYy54bWysVMmOEzEQvSPxD5bvpDsjEVCUzhwyDBeW&#10;CAbujpduC28qO53kj/gPfoyy3WlWIYS4lLzUe/Xqubo3t2dryCghau86uly0lEjHvdCu7+iHh/sn&#10;zymJiTnBjHeyoxcZ6e328aPNKazljR+8ERIIkri4PoWODimFddNEPkjL4sIH6fBSebAs4Rb6RgA7&#10;Ibs1zU3brpqTBxHAcxkjnt7VS7ot/EpJnt4qFWUipqOoLZUIJR5ybLYbtu6BhUHzSQb7BxWWaYdF&#10;Z6o7lhg5gv6FymoOPnqVFtzbxiuluSw9YDfL9qdu3g8syNILmhPDbFP8f7T8zbgHokVHn6E9jll8&#10;o513Do2TRyACvE6EjZITZb58xlchmIemnUJcI3bn9jDtYthDduCswGKyDh9xHoon2CU5F8svs+Xy&#10;nAjHw+UKX7HF0vx611SKTBUgppfSW5IXHY0JmO6HNOnzUOnZ+ComFIHAKyCDjcsxeqPFvTambPJU&#10;yZ0BMjKch0NfCczRvvainq2eZjWVrQxhTi/cPzAlps0LJ0i6BDQsgWauN3LC5cpNNqhaUlbpYmRV&#10;9U4q9Du3XsyZi9T64tNyZsHMDFGofga1fwZNuRkmy/T/LXDOLhW9SzPQaufhd1XT+SpV1fxr17XX&#10;3PbBi0sZkGIHjnBxcvrc8jfy/b7Av/0Utl8BAAD//wMAUEsDBBQABgAIAAAAIQBhfr5J3QAAAAsB&#10;AAAPAAAAZHJzL2Rvd25yZXYueG1sTI/BTsMwDIbvSLxDZCRuLB0dXSlNJwTiCNrGds8a01RrnNJk&#10;a3l7jIQER9uf/v9zuZpcJ844hNaTgvksAYFUe9NSo2D3/nKTgwhRk9GdJ1TwhQFW1eVFqQvjR9rg&#10;eRsbwSEUCq3AxtgXUobaotNh5nskvn34wenI49BIM+iRw10nb5Mkk063xA1W9/hksT5uT457P21y&#10;3KTr1/u7fZaOz2+5X9taqeur6fEBRMQp/sHwo8/qULHTwZ/IBNEpyOZ5xqiCNF0sQDCRL9MliMPv&#10;Rlal/P9D9Q0AAP//AwBQSwECLQAUAAYACAAAACEAtoM4kv4AAADhAQAAEwAAAAAAAAAAAAAAAAAA&#10;AAAAW0NvbnRlbnRfVHlwZXNdLnhtbFBLAQItABQABgAIAAAAIQA4/SH/1gAAAJQBAAALAAAAAAAA&#10;AAAAAAAAAC8BAABfcmVscy8ucmVsc1BLAQItABQABgAIAAAAIQBiiegUAgIAAFwEAAAOAAAAAAAA&#10;AAAAAAAAAC4CAABkcnMvZTJvRG9jLnhtbFBLAQItABQABgAIAAAAIQBhfr5J3QAAAAsBAAAPAAAA&#10;AAAAAAAAAAAAAFwEAABkcnMvZG93bnJldi54bWxQSwUGAAAAAAQABADzAAAAZgUAAAAA&#10;" strokecolor="#a5a5a5 [2092]" strokeweight=".5pt">
                <v:stroke endarrow="block" joinstyle="miter"/>
              </v:shape>
            </w:pict>
          </mc:Fallback>
        </mc:AlternateContent>
      </w:r>
      <w:r w:rsidR="000A217C" w:rsidRPr="00D60472">
        <w:rPr>
          <w:noProof/>
          <w:color w:val="7F7F7F" w:themeColor="text1" w:themeTint="80"/>
        </w:rPr>
        <mc:AlternateContent>
          <mc:Choice Requires="wps">
            <w:drawing>
              <wp:anchor distT="0" distB="0" distL="114300" distR="114300" simplePos="0" relativeHeight="251658252" behindDoc="0" locked="0" layoutInCell="1" allowOverlap="1" wp14:anchorId="148A17B4" wp14:editId="3241BCBB">
                <wp:simplePos x="0" y="0"/>
                <wp:positionH relativeFrom="margin">
                  <wp:posOffset>861695</wp:posOffset>
                </wp:positionH>
                <wp:positionV relativeFrom="paragraph">
                  <wp:posOffset>2124075</wp:posOffset>
                </wp:positionV>
                <wp:extent cx="2981325" cy="114300"/>
                <wp:effectExtent l="0" t="76200" r="0" b="19050"/>
                <wp:wrapNone/>
                <wp:docPr id="67" name="Connecteur droit avec flèche 67"/>
                <wp:cNvGraphicFramePr/>
                <a:graphic xmlns:a="http://schemas.openxmlformats.org/drawingml/2006/main">
                  <a:graphicData uri="http://schemas.microsoft.com/office/word/2010/wordprocessingShape">
                    <wps:wsp>
                      <wps:cNvCnPr/>
                      <wps:spPr>
                        <a:xfrm flipV="1">
                          <a:off x="0" y="0"/>
                          <a:ext cx="2981325" cy="114300"/>
                        </a:xfrm>
                        <a:prstGeom prst="straightConnector1">
                          <a:avLst/>
                        </a:prstGeom>
                        <a:ln>
                          <a:solidFill>
                            <a:schemeClr val="bg1">
                              <a:lumMod val="6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C44B1F" id="Connecteur droit avec flèche 67" o:spid="_x0000_s1026" type="#_x0000_t32" style="position:absolute;margin-left:67.85pt;margin-top:167.25pt;width:234.75pt;height:9pt;flip:y;z-index:2516582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w6EAIAAG0EAAAOAAAAZHJzL2Uyb0RvYy54bWysVEmO2zAQvAfIHwjeY0mejDMxRp6DJ5NL&#10;FiPbnaaaEgFuaNLbj/KPfCxNylZWBEiQS0Mku6qri03d3h2tYXvAqL1reTOrOQMnfadd3/KPHx6e&#10;3HAWk3CdMN5By08Q+d3q8aPbQ1jC3A/edICMSFxcHkLLh5TCsqqiHMCKOPMBHB0qj1YkWmJfdSgO&#10;xG5NNa/rRXXw2AX0EmKk3fvxkK8Kv1Ig01ulIiRmWk7aUolY4jbHanUrlj2KMGh5liH+QYUV2lHR&#10;iepeJMF2qH+hslqij16lmfS28kppCaUH6qapf+rm/SAClF7InBgmm+L/o5Vv9htkumv54hlnTli6&#10;o7V3joyDHbIOvU5M7EEyZb58plthlEemHUJcEnbtNnhexbDB7MBRoaVkHT7RPBRPqEt2LJafJsvh&#10;mJikzfnzm+Zqfs2ZpLOmeXpVlzupRp7MFzCml+Atyx8tjwmF7od0FulxrCH2r2IiJQS8ADLYuByj&#10;N7p70MaURR4tWBtke0FDse1HArOzr3037i2u60lGmcScXrh/YEpCmxeuY+kUyLWEWrjeQHaHVOTK&#10;VXZp9KV8pZOBUdU7UGQ69T8Wn4qM9YWU4FIzMVF2hinqYALWxdo/As/5GQrlKfwNeEKUyt6lCWy1&#10;8/i76ul4kazG/IsDY9/Zgq3vTmViijU008Wr8/vLj+b7dYF/+0usvgIAAP//AwBQSwMEFAAGAAgA&#10;AAAhAFnB+urdAAAACwEAAA8AAABkcnMvZG93bnJldi54bWxMj8tOwzAQRfdI/IM1SOyoTYxDCXEq&#10;BGIJaku7dxMTR43HIXab8PcMK1jemaP7KFez79nZjrELqOF2IYBZrEPTYath9/F6swQWk8HG9AGt&#10;hm8bYVVdXpSmaMKEG3veppaRCcbCaHApDQXnsXbWm7gIg0X6fYbRm0RybHkzmonMfc8zIXLuTYeU&#10;4Mxgn52tj9uTp9wvJ44buX57UPtcTi/vy7B2tdbXV/PTI7Bk5/QHw299qg4VdTqEEzaR9aSluidU&#10;g5R3ChgRuVAZsANdVKaAVyX/v6H6AQAA//8DAFBLAQItABQABgAIAAAAIQC2gziS/gAAAOEBAAAT&#10;AAAAAAAAAAAAAAAAAAAAAABbQ29udGVudF9UeXBlc10ueG1sUEsBAi0AFAAGAAgAAAAhADj9If/W&#10;AAAAlAEAAAsAAAAAAAAAAAAAAAAALwEAAF9yZWxzLy5yZWxzUEsBAi0AFAAGAAgAAAAhANk37DoQ&#10;AgAAbQQAAA4AAAAAAAAAAAAAAAAALgIAAGRycy9lMm9Eb2MueG1sUEsBAi0AFAAGAAgAAAAhAFnB&#10;+urdAAAACwEAAA8AAAAAAAAAAAAAAAAAagQAAGRycy9kb3ducmV2LnhtbFBLBQYAAAAABAAEAPMA&#10;AAB0BQAAAAA=&#10;" strokecolor="#a5a5a5 [2092]" strokeweight=".5pt">
                <v:stroke endarrow="block" joinstyle="miter"/>
                <w10:wrap anchorx="margin"/>
              </v:shape>
            </w:pict>
          </mc:Fallback>
        </mc:AlternateContent>
      </w:r>
      <w:r w:rsidR="000A217C" w:rsidRPr="00D60472">
        <w:rPr>
          <w:noProof/>
          <w:color w:val="7F7F7F" w:themeColor="text1" w:themeTint="80"/>
        </w:rPr>
        <mc:AlternateContent>
          <mc:Choice Requires="wps">
            <w:drawing>
              <wp:anchor distT="0" distB="0" distL="114300" distR="114300" simplePos="0" relativeHeight="251658251" behindDoc="0" locked="0" layoutInCell="1" allowOverlap="1" wp14:anchorId="453F5C12" wp14:editId="12B9403A">
                <wp:simplePos x="0" y="0"/>
                <wp:positionH relativeFrom="margin">
                  <wp:posOffset>928370</wp:posOffset>
                </wp:positionH>
                <wp:positionV relativeFrom="paragraph">
                  <wp:posOffset>390525</wp:posOffset>
                </wp:positionV>
                <wp:extent cx="4572000" cy="381000"/>
                <wp:effectExtent l="0" t="0" r="76200" b="95250"/>
                <wp:wrapNone/>
                <wp:docPr id="60" name="Connecteur droit avec flèche 60"/>
                <wp:cNvGraphicFramePr/>
                <a:graphic xmlns:a="http://schemas.openxmlformats.org/drawingml/2006/main">
                  <a:graphicData uri="http://schemas.microsoft.com/office/word/2010/wordprocessingShape">
                    <wps:wsp>
                      <wps:cNvCnPr/>
                      <wps:spPr>
                        <a:xfrm>
                          <a:off x="0" y="0"/>
                          <a:ext cx="4572000" cy="381000"/>
                        </a:xfrm>
                        <a:prstGeom prst="straightConnector1">
                          <a:avLst/>
                        </a:prstGeom>
                        <a:ln>
                          <a:solidFill>
                            <a:schemeClr val="bg1">
                              <a:lumMod val="6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1DD06F" id="Connecteur droit avec flèche 60" o:spid="_x0000_s1026" type="#_x0000_t32" style="position:absolute;margin-left:73.1pt;margin-top:30.75pt;width:5in;height:30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ARXBAIAAGMEAAAOAAAAZHJzL2Uyb0RvYy54bWysVEmO2zAQvAfIHwjdY9mTjDMwLM/Bk8kl&#10;i5HlATTZlAhwQ5O27B/lH/lYmpQsZ0OABLlQXLqqu4pNre9P1rAjYNTeNdViNq8YOOGldm1Tff70&#10;+OyuYjFxJ7nxDprqDLG63zx9su7DCm58540EZETi4qoPTdWlFFZ1HUUHlseZD+DoUHm0PNES21oi&#10;74ndmvpmPl/WvUcZ0AuIkXYfhsNqU/iVApHeKxUhMdNUVFsqI5Zxn8d6s+arFnnotBjL4P9QheXa&#10;UdKJ6oEnzg6of6GyWqCPXqWZ8Lb2SmkBRQOpWcx/UvOx4wGKFjInhsmm+P9oxbvjDpmWTbUkexy3&#10;dEdb7xwZBwdkEr1OjB9BMGW+fqFbYRRHpvUhrgi7dTscVzHsMDtwUmjzl7SxUzH6PBkNp8QEbb64&#10;fUmXRwkFnT2/W+Q50dRXdMCYXoO3LE+aKibkuu3SWJrHRXGbH9/ENAAvgJzauDxGb7R81MaURW4o&#10;2BpkR06tsG8HAnOwb70c9pa31zJK/+XwUtQPTIlr88pJls6BvEqouWsNjOXnzHX2ZnCjzNLZwFDV&#10;B1BkNekfkk9JhvxcCHBpMTFRdIYpUjAB50X2H4FjfIZCeQB/A54QJbN3aQJb7Tz+Lns6XUpWQ/zF&#10;gUF3tmDv5bn0SbGGOrm4Or66/FS+Xxf49d+w+QYAAP//AwBQSwMEFAAGAAgAAAAhABV6rMjdAAAA&#10;CgEAAA8AAABkcnMvZG93bnJldi54bWxMj8tOwzAQRfdI/IM1SOyo04haJcSpAKlCFQv6gL0bD0lU&#10;exzFbhv4eqYrWN6H7pwpF6N34oRD7AJpmE4yEEh1sB01Gj52y7s5iJgMWeMCoYZvjLCorq9KU9hw&#10;pg2etqkRPEKxMBralPpCyli36E2chB6Js68weJNYDo20gznzuHcyzzIlvemIL7Smx5cW68P26DXM&#10;HrLPpXt+e1+p3Wr9k0vaHOpXrW9vxqdHEAnH9FeGCz6jQ8VM+3AkG4Vjfa9yrmpQ0xkILszVxdhz&#10;krMjq1L+f6H6BQAA//8DAFBLAQItABQABgAIAAAAIQC2gziS/gAAAOEBAAATAAAAAAAAAAAAAAAA&#10;AAAAAABbQ29udGVudF9UeXBlc10ueG1sUEsBAi0AFAAGAAgAAAAhADj9If/WAAAAlAEAAAsAAAAA&#10;AAAAAAAAAAAALwEAAF9yZWxzLy5yZWxzUEsBAi0AFAAGAAgAAAAhAHPkBFcEAgAAYwQAAA4AAAAA&#10;AAAAAAAAAAAALgIAAGRycy9lMm9Eb2MueG1sUEsBAi0AFAAGAAgAAAAhABV6rMjdAAAACgEAAA8A&#10;AAAAAAAAAAAAAAAAXgQAAGRycy9kb3ducmV2LnhtbFBLBQYAAAAABAAEAPMAAABoBQAAAAA=&#10;" strokecolor="#a5a5a5 [2092]" strokeweight=".5pt">
                <v:stroke endarrow="block" joinstyle="miter"/>
                <w10:wrap anchorx="margin"/>
              </v:shape>
            </w:pict>
          </mc:Fallback>
        </mc:AlternateContent>
      </w:r>
      <w:r w:rsidR="0001432A">
        <w:rPr>
          <w:noProof/>
        </w:rPr>
        <w:drawing>
          <wp:inline distT="0" distB="0" distL="0" distR="0" wp14:anchorId="3DDBF95A" wp14:editId="46472CA7">
            <wp:extent cx="5370489" cy="2804615"/>
            <wp:effectExtent l="0" t="0" r="1905" b="0"/>
            <wp:docPr id="66" name="Graphique 66">
              <a:extLst xmlns:a="http://schemas.openxmlformats.org/drawingml/2006/main">
                <a:ext uri="{FF2B5EF4-FFF2-40B4-BE49-F238E27FC236}">
                  <a16:creationId xmlns:a16="http://schemas.microsoft.com/office/drawing/2014/main" id="{6705EB6E-FC89-45FC-94C1-A780E392D36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4516D394" w14:textId="65759243" w:rsidR="00ED4F79" w:rsidRDefault="0082472B" w:rsidP="00ED4F79">
      <w:pPr>
        <w:pStyle w:val="figure"/>
      </w:pPr>
      <w:bookmarkStart w:id="52" w:name="_Ref76569393"/>
      <w:bookmarkStart w:id="53" w:name="_Ref58540847"/>
      <w:bookmarkStart w:id="54" w:name="_Toc69511400"/>
      <w:r w:rsidRPr="003E1D1F">
        <w:t xml:space="preserve">Figure </w:t>
      </w:r>
      <w:r w:rsidR="00E27D6E">
        <w:fldChar w:fldCharType="begin"/>
      </w:r>
      <w:r w:rsidR="00E27D6E">
        <w:instrText xml:space="preserve"> SEQ Figure \* ARABIC </w:instrText>
      </w:r>
      <w:r w:rsidR="00E27D6E">
        <w:fldChar w:fldCharType="separate"/>
      </w:r>
      <w:r w:rsidR="0007597F">
        <w:rPr>
          <w:noProof/>
        </w:rPr>
        <w:t>8</w:t>
      </w:r>
      <w:r w:rsidR="00E27D6E">
        <w:rPr>
          <w:noProof/>
        </w:rPr>
        <w:fldChar w:fldCharType="end"/>
      </w:r>
      <w:bookmarkEnd w:id="52"/>
      <w:r w:rsidR="00ED4F79">
        <w:rPr>
          <w:noProof/>
        </w:rPr>
        <w:t xml:space="preserve"> : </w:t>
      </w:r>
      <w:r w:rsidRPr="003E1D1F">
        <w:t>Production en charcuterie salaison</w:t>
      </w:r>
      <w:r w:rsidR="007537E9">
        <w:t xml:space="preserve"> (dont viande SSF)</w:t>
      </w:r>
      <w:r w:rsidRPr="003E1D1F">
        <w:t xml:space="preserve">, en matière première de porc </w:t>
      </w:r>
      <w:r w:rsidR="00705AE6">
        <w:t xml:space="preserve">et de volaille </w:t>
      </w:r>
      <w:r w:rsidRPr="003E1D1F">
        <w:t>entre 2010 et 2018</w:t>
      </w:r>
      <w:bookmarkEnd w:id="53"/>
      <w:bookmarkEnd w:id="54"/>
    </w:p>
    <w:p w14:paraId="3BC7B2AB" w14:textId="550893B1" w:rsidR="006F72CD" w:rsidRDefault="0082472B" w:rsidP="00ED4F79">
      <w:pPr>
        <w:pStyle w:val="Lgende"/>
        <w:rPr>
          <w:b/>
        </w:rPr>
      </w:pPr>
      <w:r w:rsidRPr="00B561CC">
        <w:t>(Ifip d’après Enquête PRODCOM</w:t>
      </w:r>
      <w:r>
        <w:t xml:space="preserve"> 10.13.A</w:t>
      </w:r>
      <w:r w:rsidRPr="00B561CC">
        <w:t>)</w:t>
      </w:r>
    </w:p>
    <w:p w14:paraId="4ABFB564" w14:textId="24924EB4" w:rsidR="006F72CD" w:rsidRPr="006F72CD" w:rsidRDefault="006F72CD" w:rsidP="00AA28BC">
      <w:pPr>
        <w:pStyle w:val="Puce1"/>
        <w:numPr>
          <w:ilvl w:val="0"/>
          <w:numId w:val="11"/>
        </w:numPr>
        <w:rPr>
          <w:sz w:val="20"/>
        </w:rPr>
      </w:pPr>
      <w:r w:rsidRPr="008D6FDC">
        <w:rPr>
          <w:sz w:val="20"/>
        </w:rPr>
        <w:t xml:space="preserve">Un </w:t>
      </w:r>
      <w:r>
        <w:rPr>
          <w:sz w:val="20"/>
        </w:rPr>
        <w:t>poids relativement équilibré des différentes catégories de produits</w:t>
      </w:r>
    </w:p>
    <w:p w14:paraId="6353C479" w14:textId="13A6C2C3" w:rsidR="00901952" w:rsidRDefault="007537E9" w:rsidP="00ED4F79">
      <w:r>
        <w:t>La lecture des données de production montre que plus d’un volume sur deux est détenu par la charcuterie (55</w:t>
      </w:r>
      <w:r w:rsidR="0047278B">
        <w:t> </w:t>
      </w:r>
      <w:r>
        <w:t>%)</w:t>
      </w:r>
      <w:r w:rsidR="00363C1A">
        <w:t xml:space="preserve"> dont </w:t>
      </w:r>
      <w:r w:rsidR="001526DA">
        <w:t xml:space="preserve">une fraction </w:t>
      </w:r>
      <w:r w:rsidR="000152DE">
        <w:t xml:space="preserve">de produits issus </w:t>
      </w:r>
      <w:r w:rsidR="00333965">
        <w:t xml:space="preserve">en partie </w:t>
      </w:r>
      <w:r w:rsidR="000152DE">
        <w:t>de volaille, de</w:t>
      </w:r>
      <w:r w:rsidR="00BD1A26">
        <w:t>vant les</w:t>
      </w:r>
      <w:r w:rsidR="000152DE">
        <w:t xml:space="preserve"> </w:t>
      </w:r>
      <w:r w:rsidR="000C2CE0">
        <w:t>produits de salaison (28</w:t>
      </w:r>
      <w:r w:rsidR="0047278B">
        <w:t> </w:t>
      </w:r>
      <w:r w:rsidR="000C2CE0">
        <w:t xml:space="preserve">%) et de </w:t>
      </w:r>
      <w:r w:rsidR="000152DE">
        <w:t xml:space="preserve">viande fraîche </w:t>
      </w:r>
      <w:r>
        <w:t xml:space="preserve">SSF </w:t>
      </w:r>
      <w:r w:rsidR="000C2CE0">
        <w:t>(17</w:t>
      </w:r>
      <w:r w:rsidR="0047278B">
        <w:t> </w:t>
      </w:r>
      <w:r w:rsidR="000C2CE0">
        <w:t xml:space="preserve">%) </w:t>
      </w:r>
      <w:r>
        <w:t>(</w:t>
      </w:r>
      <w:r w:rsidR="002A05D1">
        <w:fldChar w:fldCharType="begin"/>
      </w:r>
      <w:r w:rsidR="002A05D1">
        <w:instrText xml:space="preserve"> REF _Ref76569487 \h </w:instrText>
      </w:r>
      <w:r w:rsidR="002A05D1">
        <w:fldChar w:fldCharType="separate"/>
      </w:r>
      <w:r w:rsidR="002A05D1">
        <w:t xml:space="preserve">Tableau </w:t>
      </w:r>
      <w:r w:rsidR="002A05D1">
        <w:rPr>
          <w:noProof/>
        </w:rPr>
        <w:t>4</w:t>
      </w:r>
      <w:r w:rsidR="002A05D1">
        <w:fldChar w:fldCharType="end"/>
      </w:r>
      <w:r>
        <w:t>)</w:t>
      </w:r>
      <w:r w:rsidR="00A1037A">
        <w:t>.</w:t>
      </w:r>
    </w:p>
    <w:p w14:paraId="397C8327" w14:textId="188C99E9" w:rsidR="00901952" w:rsidRPr="009354AC" w:rsidRDefault="006F72CD" w:rsidP="00ED4F79">
      <w:pPr>
        <w:rPr>
          <w:rFonts w:cs="Arial"/>
        </w:rPr>
      </w:pPr>
      <w:r>
        <w:rPr>
          <w:rFonts w:cs="Arial"/>
        </w:rPr>
        <w:t>Le suivi sur la dernière décennie de la part relative de</w:t>
      </w:r>
      <w:r w:rsidR="007E0261">
        <w:rPr>
          <w:rFonts w:cs="Arial"/>
        </w:rPr>
        <w:t xml:space="preserve"> ces différentes</w:t>
      </w:r>
      <w:r>
        <w:rPr>
          <w:rFonts w:cs="Arial"/>
        </w:rPr>
        <w:t xml:space="preserve"> catégories</w:t>
      </w:r>
      <w:r w:rsidR="003A59A0">
        <w:rPr>
          <w:rFonts w:cs="Arial"/>
        </w:rPr>
        <w:t>,</w:t>
      </w:r>
      <w:r>
        <w:rPr>
          <w:rFonts w:cs="Arial"/>
        </w:rPr>
        <w:t xml:space="preserve"> fait état d’une relative stabilité</w:t>
      </w:r>
      <w:r w:rsidR="00447CF6">
        <w:rPr>
          <w:rFonts w:cs="Arial"/>
        </w:rPr>
        <w:t xml:space="preserve"> de chacune d’entre elles</w:t>
      </w:r>
      <w:r>
        <w:rPr>
          <w:rFonts w:cs="Arial"/>
        </w:rPr>
        <w:t>. L’analyse des évolutions des différentes familles de produits par catégorie fait l’objet d’un point ultérieur à partir du calcul du disponible pour le marché Français.</w:t>
      </w:r>
    </w:p>
    <w:tbl>
      <w:tblPr>
        <w:tblW w:w="9209" w:type="dxa"/>
        <w:tblCellMar>
          <w:left w:w="70" w:type="dxa"/>
          <w:right w:w="70" w:type="dxa"/>
        </w:tblCellMar>
        <w:tblLook w:val="04A0" w:firstRow="1" w:lastRow="0" w:firstColumn="1" w:lastColumn="0" w:noHBand="0" w:noVBand="1"/>
      </w:tblPr>
      <w:tblGrid>
        <w:gridCol w:w="5240"/>
        <w:gridCol w:w="1559"/>
        <w:gridCol w:w="1276"/>
        <w:gridCol w:w="1134"/>
      </w:tblGrid>
      <w:tr w:rsidR="00214BC6" w:rsidRPr="00214BC6" w14:paraId="53244A12"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4A9BCDDB"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lastRenderedPageBreak/>
              <w:t> </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6351BB4" w14:textId="04A23F3A"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 xml:space="preserve">Vol </w:t>
            </w:r>
            <w:r w:rsidR="00667DBE">
              <w:rPr>
                <w:rFonts w:eastAsia="Times New Roman" w:cs="Arial"/>
                <w:b/>
                <w:bCs/>
                <w:sz w:val="20"/>
                <w:szCs w:val="20"/>
                <w:lang w:eastAsia="fr-FR"/>
              </w:rPr>
              <w:t xml:space="preserve">en </w:t>
            </w:r>
            <w:r w:rsidR="00957F11">
              <w:rPr>
                <w:rFonts w:eastAsia="Times New Roman" w:cs="Arial"/>
                <w:b/>
                <w:bCs/>
                <w:sz w:val="20"/>
                <w:szCs w:val="20"/>
                <w:lang w:eastAsia="fr-FR"/>
              </w:rPr>
              <w:t>kt</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E74BDBA" w14:textId="77777777" w:rsidR="00214BC6" w:rsidRPr="00214BC6" w:rsidRDefault="00214BC6" w:rsidP="00214BC6">
            <w:pPr>
              <w:spacing w:after="0" w:line="240" w:lineRule="auto"/>
              <w:jc w:val="left"/>
              <w:rPr>
                <w:rFonts w:eastAsia="Times New Roman" w:cs="Arial"/>
                <w:b/>
                <w:bCs/>
                <w:color w:val="000000"/>
                <w:sz w:val="20"/>
                <w:szCs w:val="20"/>
                <w:lang w:eastAsia="fr-FR"/>
              </w:rPr>
            </w:pPr>
            <w:r w:rsidRPr="00214BC6">
              <w:rPr>
                <w:rFonts w:eastAsia="Times New Roman" w:cs="Arial"/>
                <w:b/>
                <w:bCs/>
                <w:color w:val="000000"/>
                <w:sz w:val="20"/>
                <w:szCs w:val="20"/>
                <w:lang w:eastAsia="fr-FR"/>
              </w:rPr>
              <w:t>Part en%</w:t>
            </w: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F9F73A4" w14:textId="09A4D023" w:rsidR="00214BC6" w:rsidRPr="00214BC6" w:rsidRDefault="00214BC6" w:rsidP="00214BC6">
            <w:pPr>
              <w:spacing w:after="0" w:line="240" w:lineRule="auto"/>
              <w:jc w:val="left"/>
              <w:rPr>
                <w:rFonts w:eastAsia="Times New Roman" w:cs="Arial"/>
                <w:b/>
                <w:bCs/>
                <w:color w:val="000000"/>
                <w:sz w:val="20"/>
                <w:szCs w:val="20"/>
                <w:lang w:eastAsia="fr-FR"/>
              </w:rPr>
            </w:pPr>
            <w:r w:rsidRPr="00214BC6">
              <w:rPr>
                <w:rFonts w:eastAsia="Times New Roman" w:cs="Arial"/>
                <w:b/>
                <w:bCs/>
                <w:color w:val="000000"/>
                <w:sz w:val="20"/>
                <w:szCs w:val="20"/>
                <w:lang w:eastAsia="fr-FR"/>
              </w:rPr>
              <w:t>Evol</w:t>
            </w:r>
            <w:r w:rsidR="002A05D1">
              <w:rPr>
                <w:rFonts w:eastAsia="Times New Roman" w:cs="Arial"/>
                <w:b/>
                <w:bCs/>
                <w:color w:val="000000"/>
                <w:sz w:val="20"/>
                <w:szCs w:val="20"/>
                <w:lang w:eastAsia="fr-FR"/>
              </w:rPr>
              <w:t xml:space="preserve"> </w:t>
            </w:r>
            <w:r w:rsidRPr="00214BC6">
              <w:rPr>
                <w:rFonts w:eastAsia="Times New Roman" w:cs="Arial"/>
                <w:b/>
                <w:bCs/>
                <w:color w:val="000000"/>
                <w:sz w:val="20"/>
                <w:szCs w:val="20"/>
                <w:lang w:eastAsia="fr-FR"/>
              </w:rPr>
              <w:t>18/17</w:t>
            </w:r>
          </w:p>
        </w:tc>
      </w:tr>
      <w:tr w:rsidR="00214BC6" w:rsidRPr="00214BC6" w14:paraId="738A9806" w14:textId="77777777" w:rsidTr="00214BC6">
        <w:trPr>
          <w:trHeight w:val="170"/>
        </w:trPr>
        <w:tc>
          <w:tcPr>
            <w:tcW w:w="5240" w:type="dxa"/>
            <w:tcBorders>
              <w:top w:val="nil"/>
              <w:left w:val="single" w:sz="4" w:space="0" w:color="auto"/>
              <w:bottom w:val="single" w:sz="4" w:space="0" w:color="auto"/>
              <w:right w:val="single" w:sz="4" w:space="0" w:color="auto"/>
            </w:tcBorders>
            <w:shd w:val="clear" w:color="000000" w:fill="BFBFBF"/>
            <w:noWrap/>
            <w:vAlign w:val="bottom"/>
            <w:hideMark/>
          </w:tcPr>
          <w:p w14:paraId="323A792B" w14:textId="383E78F5"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Total Production charcuterie de porc (</w:t>
            </w:r>
            <w:r w:rsidR="009354AC" w:rsidRPr="00214BC6">
              <w:rPr>
                <w:rFonts w:eastAsia="Times New Roman" w:cs="Arial"/>
                <w:b/>
                <w:bCs/>
                <w:sz w:val="20"/>
                <w:szCs w:val="20"/>
                <w:lang w:eastAsia="fr-FR"/>
              </w:rPr>
              <w:t>1) +</w:t>
            </w:r>
            <w:r w:rsidR="009354AC">
              <w:rPr>
                <w:rFonts w:eastAsia="Times New Roman" w:cs="Arial"/>
                <w:b/>
                <w:bCs/>
                <w:sz w:val="20"/>
                <w:szCs w:val="20"/>
                <w:lang w:eastAsia="fr-FR"/>
              </w:rPr>
              <w:t xml:space="preserve"> </w:t>
            </w:r>
            <w:r w:rsidR="009354AC" w:rsidRPr="00214BC6">
              <w:rPr>
                <w:rFonts w:eastAsia="Times New Roman" w:cs="Arial"/>
                <w:b/>
                <w:bCs/>
                <w:sz w:val="20"/>
                <w:szCs w:val="20"/>
                <w:lang w:eastAsia="fr-FR"/>
              </w:rPr>
              <w:t>(</w:t>
            </w:r>
            <w:r w:rsidRPr="00214BC6">
              <w:rPr>
                <w:rFonts w:eastAsia="Times New Roman" w:cs="Arial"/>
                <w:b/>
                <w:bCs/>
                <w:sz w:val="20"/>
                <w:szCs w:val="20"/>
                <w:lang w:eastAsia="fr-FR"/>
              </w:rPr>
              <w:t>2)</w:t>
            </w:r>
            <w:r w:rsidR="009354AC">
              <w:rPr>
                <w:rFonts w:eastAsia="Times New Roman" w:cs="Arial"/>
                <w:b/>
                <w:bCs/>
                <w:sz w:val="20"/>
                <w:szCs w:val="20"/>
                <w:lang w:eastAsia="fr-FR"/>
              </w:rPr>
              <w:t xml:space="preserve"> </w:t>
            </w:r>
            <w:r w:rsidRPr="00214BC6">
              <w:rPr>
                <w:rFonts w:eastAsia="Times New Roman" w:cs="Arial"/>
                <w:b/>
                <w:bCs/>
                <w:sz w:val="20"/>
                <w:szCs w:val="20"/>
                <w:lang w:eastAsia="fr-FR"/>
              </w:rPr>
              <w:t>+</w:t>
            </w:r>
            <w:r w:rsidR="009354AC">
              <w:rPr>
                <w:rFonts w:eastAsia="Times New Roman" w:cs="Arial"/>
                <w:b/>
                <w:bCs/>
                <w:sz w:val="20"/>
                <w:szCs w:val="20"/>
                <w:lang w:eastAsia="fr-FR"/>
              </w:rPr>
              <w:t xml:space="preserve"> </w:t>
            </w:r>
            <w:r w:rsidRPr="00214BC6">
              <w:rPr>
                <w:rFonts w:eastAsia="Times New Roman" w:cs="Arial"/>
                <w:b/>
                <w:bCs/>
                <w:sz w:val="20"/>
                <w:szCs w:val="20"/>
                <w:lang w:eastAsia="fr-FR"/>
              </w:rPr>
              <w:t>(3)</w:t>
            </w:r>
          </w:p>
        </w:tc>
        <w:tc>
          <w:tcPr>
            <w:tcW w:w="1559" w:type="dxa"/>
            <w:tcBorders>
              <w:top w:val="nil"/>
              <w:left w:val="nil"/>
              <w:bottom w:val="single" w:sz="4" w:space="0" w:color="auto"/>
              <w:right w:val="single" w:sz="4" w:space="0" w:color="auto"/>
            </w:tcBorders>
            <w:shd w:val="clear" w:color="000000" w:fill="BFBFBF"/>
            <w:vAlign w:val="center"/>
            <w:hideMark/>
          </w:tcPr>
          <w:p w14:paraId="08473E4A"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1 012</w:t>
            </w:r>
          </w:p>
        </w:tc>
        <w:tc>
          <w:tcPr>
            <w:tcW w:w="1276"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02D644A"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100%</w:t>
            </w:r>
          </w:p>
        </w:tc>
        <w:tc>
          <w:tcPr>
            <w:tcW w:w="1134"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noWrap/>
            <w:vAlign w:val="bottom"/>
            <w:hideMark/>
          </w:tcPr>
          <w:p w14:paraId="586D48B1" w14:textId="77777777" w:rsidR="00214BC6" w:rsidRPr="00214BC6" w:rsidRDefault="00214BC6" w:rsidP="00214BC6">
            <w:pPr>
              <w:spacing w:after="0" w:line="240" w:lineRule="auto"/>
              <w:jc w:val="center"/>
              <w:rPr>
                <w:rFonts w:eastAsia="Times New Roman" w:cs="Arial"/>
                <w:b/>
                <w:color w:val="000000"/>
                <w:sz w:val="20"/>
                <w:szCs w:val="20"/>
                <w:lang w:eastAsia="fr-FR"/>
              </w:rPr>
            </w:pPr>
            <w:r w:rsidRPr="00214BC6">
              <w:rPr>
                <w:rFonts w:eastAsia="Times New Roman" w:cs="Arial"/>
                <w:b/>
                <w:color w:val="000000"/>
                <w:sz w:val="20"/>
                <w:szCs w:val="20"/>
                <w:lang w:eastAsia="fr-FR"/>
              </w:rPr>
              <w:t>0,0%</w:t>
            </w:r>
          </w:p>
        </w:tc>
      </w:tr>
      <w:tr w:rsidR="00214BC6" w:rsidRPr="00214BC6" w14:paraId="385C36B9"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26F70356" w14:textId="77777777"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Viande SSF de porc (1)</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D47B61C"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172</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3222F07"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17%</w:t>
            </w: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1731E40"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2,4%</w:t>
            </w:r>
          </w:p>
        </w:tc>
      </w:tr>
      <w:tr w:rsidR="00214BC6" w:rsidRPr="00214BC6" w14:paraId="2F7A80BD"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44AC16E6" w14:textId="77777777"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Salaison cuite (2)</w:t>
            </w:r>
          </w:p>
        </w:tc>
        <w:tc>
          <w:tcPr>
            <w:tcW w:w="1559" w:type="dxa"/>
            <w:tcBorders>
              <w:top w:val="nil"/>
              <w:left w:val="nil"/>
              <w:bottom w:val="single" w:sz="4" w:space="0" w:color="auto"/>
              <w:right w:val="single" w:sz="4" w:space="0" w:color="auto"/>
            </w:tcBorders>
            <w:shd w:val="clear" w:color="auto" w:fill="auto"/>
            <w:noWrap/>
            <w:vAlign w:val="bottom"/>
            <w:hideMark/>
          </w:tcPr>
          <w:p w14:paraId="18F743A2"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279</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0EA5BAA"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28%</w:t>
            </w: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9CB8358"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-4,3%</w:t>
            </w:r>
          </w:p>
        </w:tc>
      </w:tr>
      <w:tr w:rsidR="00214BC6" w:rsidRPr="00214BC6" w14:paraId="30B4FCB0"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09A9AE3A" w14:textId="77777777"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Charcuterie (3)</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4D8D9932"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561</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C3B00DC"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55%</w:t>
            </w: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E9CCEC4" w14:textId="77777777" w:rsidR="00214BC6" w:rsidRPr="00214BC6" w:rsidRDefault="00214BC6" w:rsidP="00214BC6">
            <w:pPr>
              <w:spacing w:after="0" w:line="240" w:lineRule="auto"/>
              <w:jc w:val="right"/>
              <w:rPr>
                <w:rFonts w:eastAsia="Times New Roman" w:cs="Arial"/>
                <w:b/>
                <w:bCs/>
                <w:color w:val="000000"/>
                <w:sz w:val="20"/>
                <w:szCs w:val="20"/>
                <w:lang w:eastAsia="fr-FR"/>
              </w:rPr>
            </w:pPr>
            <w:r w:rsidRPr="00214BC6">
              <w:rPr>
                <w:rFonts w:eastAsia="Times New Roman" w:cs="Arial"/>
                <w:b/>
                <w:bCs/>
                <w:color w:val="000000"/>
                <w:sz w:val="20"/>
                <w:szCs w:val="20"/>
                <w:lang w:eastAsia="fr-FR"/>
              </w:rPr>
              <w:t>1,5%</w:t>
            </w:r>
          </w:p>
        </w:tc>
      </w:tr>
      <w:tr w:rsidR="00214BC6" w:rsidRPr="00214BC6" w14:paraId="26A2EE43"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2A4EAA5B" w14:textId="4A0CE586"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Saucisses et saucissons autre</w:t>
            </w:r>
            <w:r>
              <w:rPr>
                <w:rFonts w:eastAsia="Times New Roman" w:cs="Arial"/>
                <w:b/>
                <w:bCs/>
                <w:sz w:val="20"/>
                <w:szCs w:val="20"/>
                <w:lang w:eastAsia="fr-FR"/>
              </w:rPr>
              <w:t>s</w:t>
            </w:r>
            <w:r w:rsidRPr="00214BC6">
              <w:rPr>
                <w:rFonts w:eastAsia="Times New Roman" w:cs="Arial"/>
                <w:b/>
                <w:bCs/>
                <w:sz w:val="20"/>
                <w:szCs w:val="20"/>
                <w:lang w:eastAsia="fr-FR"/>
              </w:rPr>
              <w:t xml:space="preserve"> que de foie </w:t>
            </w:r>
          </w:p>
        </w:tc>
        <w:tc>
          <w:tcPr>
            <w:tcW w:w="1559" w:type="dxa"/>
            <w:tcBorders>
              <w:top w:val="nil"/>
              <w:left w:val="nil"/>
              <w:bottom w:val="single" w:sz="4" w:space="0" w:color="auto"/>
              <w:right w:val="single" w:sz="4" w:space="0" w:color="auto"/>
            </w:tcBorders>
            <w:shd w:val="clear" w:color="auto" w:fill="auto"/>
            <w:noWrap/>
            <w:vAlign w:val="bottom"/>
            <w:hideMark/>
          </w:tcPr>
          <w:p w14:paraId="26EA244D"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389</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F7F5D22" w14:textId="77777777" w:rsidR="00214BC6" w:rsidRPr="00214BC6" w:rsidRDefault="00214BC6" w:rsidP="00214BC6">
            <w:pPr>
              <w:spacing w:after="0" w:line="240" w:lineRule="auto"/>
              <w:jc w:val="center"/>
              <w:rPr>
                <w:rFonts w:eastAsia="Times New Roman" w:cs="Arial"/>
                <w:b/>
                <w:bCs/>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424E646"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2,6%</w:t>
            </w:r>
          </w:p>
        </w:tc>
      </w:tr>
      <w:tr w:rsidR="00214BC6" w:rsidRPr="00214BC6" w14:paraId="0C5E3EA9"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39B4A38"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Saucisses et saucissons secs</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077B23EF"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116</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A1E3648"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4153350"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3,3%</w:t>
            </w:r>
          </w:p>
        </w:tc>
      </w:tr>
      <w:tr w:rsidR="00214BC6" w:rsidRPr="00214BC6" w14:paraId="291D8BE0"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16968E86"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Saucissons cuits ou à cuire</w:t>
            </w:r>
          </w:p>
        </w:tc>
        <w:tc>
          <w:tcPr>
            <w:tcW w:w="1559" w:type="dxa"/>
            <w:tcBorders>
              <w:top w:val="nil"/>
              <w:left w:val="nil"/>
              <w:bottom w:val="single" w:sz="4" w:space="0" w:color="auto"/>
              <w:right w:val="single" w:sz="4" w:space="0" w:color="auto"/>
            </w:tcBorders>
            <w:shd w:val="clear" w:color="auto" w:fill="auto"/>
            <w:noWrap/>
            <w:vAlign w:val="bottom"/>
            <w:hideMark/>
          </w:tcPr>
          <w:p w14:paraId="28E655D7"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41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777E48F"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D88186B"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0,6%</w:t>
            </w:r>
          </w:p>
        </w:tc>
      </w:tr>
      <w:tr w:rsidR="00214BC6" w:rsidRPr="00214BC6" w14:paraId="784481E9"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D8BE365"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Saucisses cuites ou à cuire</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2A9F7D6C"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193</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39B6915"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C1B2418"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3,5%</w:t>
            </w:r>
          </w:p>
        </w:tc>
      </w:tr>
      <w:tr w:rsidR="00214BC6" w:rsidRPr="00214BC6" w14:paraId="3151C115"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7738B5A3"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Andouilles, andouillette, boudins</w:t>
            </w:r>
          </w:p>
        </w:tc>
        <w:tc>
          <w:tcPr>
            <w:tcW w:w="1559" w:type="dxa"/>
            <w:tcBorders>
              <w:top w:val="nil"/>
              <w:left w:val="nil"/>
              <w:bottom w:val="single" w:sz="4" w:space="0" w:color="auto"/>
              <w:right w:val="single" w:sz="4" w:space="0" w:color="auto"/>
            </w:tcBorders>
            <w:shd w:val="clear" w:color="auto" w:fill="auto"/>
            <w:noWrap/>
            <w:vAlign w:val="bottom"/>
            <w:hideMark/>
          </w:tcPr>
          <w:p w14:paraId="559D20EE"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39</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80527E6"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8D86970"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-1,3%</w:t>
            </w:r>
          </w:p>
        </w:tc>
      </w:tr>
      <w:tr w:rsidR="00214BC6" w:rsidRPr="00214BC6" w14:paraId="27005708"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286922D7" w14:textId="77777777" w:rsidR="00214BC6" w:rsidRPr="00214BC6" w:rsidRDefault="00214BC6"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 xml:space="preserve">Saucisses et saucissons de foie </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46A4E45"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D49A7CC" w14:textId="77777777" w:rsidR="00214BC6" w:rsidRPr="00214BC6" w:rsidRDefault="00214BC6" w:rsidP="00214BC6">
            <w:pPr>
              <w:spacing w:after="0" w:line="240" w:lineRule="auto"/>
              <w:jc w:val="center"/>
              <w:rPr>
                <w:rFonts w:eastAsia="Times New Roman" w:cs="Arial"/>
                <w:b/>
                <w:bCs/>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DB72B2D"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-19,8%</w:t>
            </w:r>
          </w:p>
        </w:tc>
      </w:tr>
      <w:tr w:rsidR="00214BC6" w:rsidRPr="00214BC6" w14:paraId="057B5FAF"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5317A725" w14:textId="5D907546" w:rsidR="00214BC6" w:rsidRPr="00214BC6" w:rsidRDefault="009354AC" w:rsidP="00214BC6">
            <w:pPr>
              <w:spacing w:after="0" w:line="240" w:lineRule="auto"/>
              <w:jc w:val="left"/>
              <w:rPr>
                <w:rFonts w:eastAsia="Times New Roman" w:cs="Arial"/>
                <w:b/>
                <w:bCs/>
                <w:sz w:val="20"/>
                <w:szCs w:val="20"/>
                <w:lang w:eastAsia="fr-FR"/>
              </w:rPr>
            </w:pPr>
            <w:r w:rsidRPr="00214BC6">
              <w:rPr>
                <w:rFonts w:eastAsia="Times New Roman" w:cs="Arial"/>
                <w:b/>
                <w:bCs/>
                <w:sz w:val="20"/>
                <w:szCs w:val="20"/>
                <w:lang w:eastAsia="fr-FR"/>
              </w:rPr>
              <w:t>Pâtés</w:t>
            </w:r>
            <w:r w:rsidR="00214BC6" w:rsidRPr="00214BC6">
              <w:rPr>
                <w:rFonts w:eastAsia="Times New Roman" w:cs="Arial"/>
                <w:b/>
                <w:bCs/>
                <w:sz w:val="20"/>
                <w:szCs w:val="20"/>
                <w:lang w:eastAsia="fr-FR"/>
              </w:rPr>
              <w:t xml:space="preserve"> et préparations diverses de viandes</w:t>
            </w:r>
          </w:p>
        </w:tc>
        <w:tc>
          <w:tcPr>
            <w:tcW w:w="1559" w:type="dxa"/>
            <w:tcBorders>
              <w:top w:val="nil"/>
              <w:left w:val="nil"/>
              <w:bottom w:val="single" w:sz="4" w:space="0" w:color="auto"/>
              <w:right w:val="single" w:sz="4" w:space="0" w:color="auto"/>
            </w:tcBorders>
            <w:shd w:val="clear" w:color="auto" w:fill="auto"/>
            <w:noWrap/>
            <w:vAlign w:val="bottom"/>
            <w:hideMark/>
          </w:tcPr>
          <w:p w14:paraId="4D741D18" w14:textId="77777777" w:rsidR="00214BC6" w:rsidRPr="00214BC6" w:rsidRDefault="00214BC6" w:rsidP="00214BC6">
            <w:pPr>
              <w:spacing w:after="0" w:line="240" w:lineRule="auto"/>
              <w:jc w:val="center"/>
              <w:rPr>
                <w:rFonts w:eastAsia="Times New Roman" w:cs="Arial"/>
                <w:b/>
                <w:bCs/>
                <w:sz w:val="20"/>
                <w:szCs w:val="20"/>
                <w:lang w:eastAsia="fr-FR"/>
              </w:rPr>
            </w:pPr>
            <w:r w:rsidRPr="00214BC6">
              <w:rPr>
                <w:rFonts w:eastAsia="Times New Roman" w:cs="Arial"/>
                <w:b/>
                <w:bCs/>
                <w:sz w:val="20"/>
                <w:szCs w:val="20"/>
                <w:lang w:eastAsia="fr-FR"/>
              </w:rPr>
              <w:t>171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A8CF5B6" w14:textId="77777777" w:rsidR="00214BC6" w:rsidRPr="00214BC6" w:rsidRDefault="00214BC6" w:rsidP="00214BC6">
            <w:pPr>
              <w:spacing w:after="0" w:line="240" w:lineRule="auto"/>
              <w:jc w:val="center"/>
              <w:rPr>
                <w:rFonts w:eastAsia="Times New Roman" w:cs="Arial"/>
                <w:b/>
                <w:bCs/>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CBB38B6" w14:textId="77777777" w:rsidR="00214BC6" w:rsidRPr="00214BC6" w:rsidRDefault="00214BC6" w:rsidP="00214BC6">
            <w:pPr>
              <w:spacing w:after="0" w:line="240" w:lineRule="auto"/>
              <w:jc w:val="center"/>
              <w:rPr>
                <w:rFonts w:eastAsia="Times New Roman" w:cs="Arial"/>
                <w:b/>
                <w:bCs/>
                <w:color w:val="000000"/>
                <w:sz w:val="20"/>
                <w:szCs w:val="20"/>
                <w:lang w:eastAsia="fr-FR"/>
              </w:rPr>
            </w:pPr>
            <w:r w:rsidRPr="00214BC6">
              <w:rPr>
                <w:rFonts w:eastAsia="Times New Roman" w:cs="Arial"/>
                <w:b/>
                <w:bCs/>
                <w:color w:val="000000"/>
                <w:sz w:val="20"/>
                <w:szCs w:val="20"/>
                <w:lang w:eastAsia="fr-FR"/>
              </w:rPr>
              <w:t>-1,0%</w:t>
            </w:r>
          </w:p>
        </w:tc>
      </w:tr>
      <w:tr w:rsidR="00214BC6" w:rsidRPr="00214BC6" w14:paraId="38DB5823"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9126D93" w14:textId="5279530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w:t>
            </w:r>
            <w:r w:rsidR="009354AC" w:rsidRPr="00214BC6">
              <w:rPr>
                <w:rFonts w:eastAsia="Times New Roman" w:cs="Arial"/>
                <w:sz w:val="20"/>
                <w:szCs w:val="20"/>
                <w:lang w:eastAsia="fr-FR"/>
              </w:rPr>
              <w:t>Pâtés</w:t>
            </w:r>
            <w:r w:rsidRPr="00214BC6">
              <w:rPr>
                <w:rFonts w:eastAsia="Times New Roman" w:cs="Arial"/>
                <w:sz w:val="20"/>
                <w:szCs w:val="20"/>
                <w:lang w:eastAsia="fr-FR"/>
              </w:rPr>
              <w:t xml:space="preserve"> et préparations à base de foie</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030298AB"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23</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5A779B1"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4F43D2A"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-5,3%</w:t>
            </w:r>
          </w:p>
        </w:tc>
      </w:tr>
      <w:tr w:rsidR="00214BC6" w:rsidRPr="00214BC6" w14:paraId="6142A39C" w14:textId="77777777" w:rsidTr="00214BC6">
        <w:trPr>
          <w:trHeight w:val="170"/>
        </w:trPr>
        <w:tc>
          <w:tcPr>
            <w:tcW w:w="5240" w:type="dxa"/>
            <w:tcBorders>
              <w:top w:val="nil"/>
              <w:left w:val="single" w:sz="4" w:space="0" w:color="auto"/>
              <w:bottom w:val="single" w:sz="4" w:space="0" w:color="auto"/>
              <w:right w:val="single" w:sz="4" w:space="0" w:color="auto"/>
            </w:tcBorders>
            <w:shd w:val="clear" w:color="auto" w:fill="auto"/>
            <w:noWrap/>
            <w:vAlign w:val="bottom"/>
            <w:hideMark/>
          </w:tcPr>
          <w:p w14:paraId="51D1156C" w14:textId="7EF7446C"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 xml:space="preserve">  Autres prépa</w:t>
            </w:r>
            <w:r w:rsidR="00457952">
              <w:rPr>
                <w:rFonts w:eastAsia="Times New Roman" w:cs="Arial"/>
                <w:sz w:val="20"/>
                <w:szCs w:val="20"/>
                <w:lang w:eastAsia="fr-FR"/>
              </w:rPr>
              <w:t xml:space="preserve">rations, </w:t>
            </w:r>
            <w:r w:rsidRPr="00214BC6">
              <w:rPr>
                <w:rFonts w:eastAsia="Times New Roman" w:cs="Arial"/>
                <w:sz w:val="20"/>
                <w:szCs w:val="20"/>
                <w:lang w:eastAsia="fr-FR"/>
              </w:rPr>
              <w:t>conserves de porc</w:t>
            </w:r>
            <w:r w:rsidR="00457952">
              <w:rPr>
                <w:rFonts w:eastAsia="Times New Roman" w:cs="Arial"/>
                <w:sz w:val="20"/>
                <w:szCs w:val="20"/>
                <w:lang w:eastAsia="fr-FR"/>
              </w:rPr>
              <w:t xml:space="preserve"> dont</w:t>
            </w:r>
            <w:r w:rsidRPr="00214BC6">
              <w:rPr>
                <w:rFonts w:eastAsia="Times New Roman" w:cs="Arial"/>
                <w:sz w:val="20"/>
                <w:szCs w:val="20"/>
                <w:lang w:eastAsia="fr-FR"/>
              </w:rPr>
              <w:t xml:space="preserve"> mélange</w:t>
            </w:r>
          </w:p>
        </w:tc>
        <w:tc>
          <w:tcPr>
            <w:tcW w:w="1559" w:type="dxa"/>
            <w:tcBorders>
              <w:top w:val="nil"/>
              <w:left w:val="nil"/>
              <w:bottom w:val="single" w:sz="4" w:space="0" w:color="auto"/>
              <w:right w:val="single" w:sz="4" w:space="0" w:color="auto"/>
            </w:tcBorders>
            <w:shd w:val="clear" w:color="auto" w:fill="auto"/>
            <w:noWrap/>
            <w:vAlign w:val="bottom"/>
            <w:hideMark/>
          </w:tcPr>
          <w:p w14:paraId="5D2FC0DA"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65</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C064543"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79BDB8D" w14:textId="77777777" w:rsidR="00214BC6" w:rsidRPr="00214BC6" w:rsidRDefault="00214BC6" w:rsidP="00214BC6">
            <w:pPr>
              <w:spacing w:after="0" w:line="240" w:lineRule="auto"/>
              <w:jc w:val="right"/>
              <w:rPr>
                <w:rFonts w:eastAsia="Times New Roman" w:cs="Arial"/>
                <w:color w:val="000000"/>
                <w:sz w:val="20"/>
                <w:szCs w:val="20"/>
                <w:lang w:eastAsia="fr-FR"/>
              </w:rPr>
            </w:pPr>
            <w:r w:rsidRPr="00214BC6">
              <w:rPr>
                <w:rFonts w:eastAsia="Times New Roman" w:cs="Arial"/>
                <w:color w:val="000000"/>
                <w:sz w:val="20"/>
                <w:szCs w:val="20"/>
                <w:lang w:eastAsia="fr-FR"/>
              </w:rPr>
              <w:t>-1,3%</w:t>
            </w:r>
          </w:p>
        </w:tc>
      </w:tr>
      <w:tr w:rsidR="00214BC6" w:rsidRPr="00214BC6" w14:paraId="1C70A4EA" w14:textId="77777777" w:rsidTr="00214BC6">
        <w:trPr>
          <w:trHeight w:val="170"/>
        </w:trPr>
        <w:tc>
          <w:tcPr>
            <w:tcW w:w="524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48B8D62"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Pâtés et prépa divers à base de volaille ou de gibier</w:t>
            </w:r>
          </w:p>
        </w:tc>
        <w:tc>
          <w:tcPr>
            <w:tcW w:w="1559"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08BBD028" w14:textId="77777777" w:rsidR="00214BC6" w:rsidRPr="00214BC6" w:rsidRDefault="00214BC6" w:rsidP="00214BC6">
            <w:pPr>
              <w:spacing w:after="0" w:line="240" w:lineRule="auto"/>
              <w:jc w:val="right"/>
              <w:rPr>
                <w:rFonts w:eastAsia="Times New Roman" w:cs="Arial"/>
                <w:sz w:val="20"/>
                <w:szCs w:val="20"/>
                <w:lang w:eastAsia="fr-FR"/>
              </w:rPr>
            </w:pPr>
            <w:r w:rsidRPr="00214BC6">
              <w:rPr>
                <w:rFonts w:eastAsia="Times New Roman" w:cs="Arial"/>
                <w:sz w:val="20"/>
                <w:szCs w:val="20"/>
                <w:lang w:eastAsia="fr-FR"/>
              </w:rPr>
              <w:t>82</w:t>
            </w:r>
          </w:p>
        </w:tc>
        <w:tc>
          <w:tcPr>
            <w:tcW w:w="1276" w:type="dxa"/>
            <w:tcBorders>
              <w:top w:val="single" w:sz="4" w:space="0" w:color="000000"/>
              <w:left w:val="single" w:sz="4" w:space="0" w:color="000000"/>
              <w:bottom w:val="single" w:sz="4" w:space="0" w:color="auto"/>
              <w:right w:val="single" w:sz="4" w:space="0" w:color="000000"/>
            </w:tcBorders>
            <w:shd w:val="clear" w:color="D9D9D9" w:fill="D9D9D9"/>
            <w:noWrap/>
            <w:vAlign w:val="bottom"/>
            <w:hideMark/>
          </w:tcPr>
          <w:p w14:paraId="282D430F" w14:textId="77777777" w:rsidR="00214BC6" w:rsidRPr="00214BC6" w:rsidRDefault="00214BC6" w:rsidP="00214BC6">
            <w:pPr>
              <w:spacing w:after="0" w:line="240" w:lineRule="auto"/>
              <w:jc w:val="right"/>
              <w:rPr>
                <w:rFonts w:eastAsia="Times New Roman" w:cs="Arial"/>
                <w:sz w:val="20"/>
                <w:szCs w:val="20"/>
                <w:lang w:eastAsia="fr-FR"/>
              </w:rPr>
            </w:pPr>
          </w:p>
        </w:tc>
        <w:tc>
          <w:tcPr>
            <w:tcW w:w="1134" w:type="dxa"/>
            <w:tcBorders>
              <w:top w:val="single" w:sz="4" w:space="0" w:color="000000"/>
              <w:left w:val="single" w:sz="4" w:space="0" w:color="000000"/>
              <w:bottom w:val="single" w:sz="4" w:space="0" w:color="auto"/>
              <w:right w:val="single" w:sz="4" w:space="0" w:color="000000"/>
            </w:tcBorders>
            <w:shd w:val="clear" w:color="D9D9D9" w:fill="D9D9D9"/>
            <w:noWrap/>
            <w:vAlign w:val="bottom"/>
            <w:hideMark/>
          </w:tcPr>
          <w:p w14:paraId="6B725696" w14:textId="77777777" w:rsidR="00214BC6" w:rsidRPr="00214BC6" w:rsidRDefault="00214BC6" w:rsidP="00214BC6">
            <w:pPr>
              <w:spacing w:after="0" w:line="240" w:lineRule="auto"/>
              <w:jc w:val="right"/>
              <w:rPr>
                <w:rFonts w:ascii="Calibri" w:eastAsia="Times New Roman" w:hAnsi="Calibri" w:cs="Calibri"/>
                <w:color w:val="000000"/>
                <w:lang w:eastAsia="fr-FR"/>
              </w:rPr>
            </w:pPr>
            <w:r w:rsidRPr="00214BC6">
              <w:rPr>
                <w:rFonts w:ascii="Calibri" w:eastAsia="Times New Roman" w:hAnsi="Calibri" w:cs="Calibri"/>
                <w:color w:val="000000"/>
                <w:lang w:eastAsia="fr-FR"/>
              </w:rPr>
              <w:t>0,5%</w:t>
            </w:r>
          </w:p>
        </w:tc>
      </w:tr>
    </w:tbl>
    <w:p w14:paraId="2ADF53CE" w14:textId="03FE8B43" w:rsidR="00ED4F79" w:rsidRDefault="007537E9" w:rsidP="007537E9">
      <w:pPr>
        <w:pStyle w:val="figure"/>
      </w:pPr>
      <w:bookmarkStart w:id="55" w:name="_Ref76569487"/>
      <w:bookmarkStart w:id="56" w:name="_Toc72143352"/>
      <w:r>
        <w:t xml:space="preserve">Tableau </w:t>
      </w:r>
      <w:r w:rsidR="00E27D6E">
        <w:fldChar w:fldCharType="begin"/>
      </w:r>
      <w:r w:rsidR="00E27D6E">
        <w:instrText xml:space="preserve"> SEQ Tableau \* ARABIC </w:instrText>
      </w:r>
      <w:r w:rsidR="00E27D6E">
        <w:fldChar w:fldCharType="separate"/>
      </w:r>
      <w:r w:rsidR="0007597F">
        <w:rPr>
          <w:noProof/>
        </w:rPr>
        <w:t>4</w:t>
      </w:r>
      <w:r w:rsidR="00E27D6E">
        <w:rPr>
          <w:noProof/>
        </w:rPr>
        <w:fldChar w:fldCharType="end"/>
      </w:r>
      <w:bookmarkEnd w:id="55"/>
      <w:r w:rsidR="00ED4F79">
        <w:rPr>
          <w:noProof/>
        </w:rPr>
        <w:t xml:space="preserve"> : </w:t>
      </w:r>
      <w:r>
        <w:t xml:space="preserve">Volumes de production en charcuterie salaison </w:t>
      </w:r>
      <w:r w:rsidR="00214BC6">
        <w:t>(dont mélanges multi espèces)2018, part relative des catégories de produits en % et évolution 2018/2017 en %</w:t>
      </w:r>
      <w:bookmarkEnd w:id="56"/>
    </w:p>
    <w:p w14:paraId="3574C762" w14:textId="549EC2D4" w:rsidR="007537E9" w:rsidRPr="007537E9" w:rsidRDefault="007537E9" w:rsidP="00ED4F79">
      <w:pPr>
        <w:pStyle w:val="Lgende"/>
        <w:rPr>
          <w:b/>
        </w:rPr>
      </w:pPr>
      <w:r w:rsidRPr="007537E9">
        <w:t>(Source : PRODCOM)</w:t>
      </w:r>
    </w:p>
    <w:p w14:paraId="461EC452" w14:textId="7140CEB6" w:rsidR="00705AE6" w:rsidRPr="00705AE6" w:rsidRDefault="00EC4209" w:rsidP="00AA28BC">
      <w:pPr>
        <w:pStyle w:val="Puce1"/>
        <w:numPr>
          <w:ilvl w:val="0"/>
          <w:numId w:val="11"/>
        </w:numPr>
        <w:rPr>
          <w:sz w:val="20"/>
        </w:rPr>
      </w:pPr>
      <w:r>
        <w:rPr>
          <w:sz w:val="20"/>
        </w:rPr>
        <w:t>La charcuterie salaison reste domin</w:t>
      </w:r>
      <w:r w:rsidR="007E73B9">
        <w:rPr>
          <w:sz w:val="20"/>
        </w:rPr>
        <w:t>ée</w:t>
      </w:r>
      <w:r>
        <w:rPr>
          <w:sz w:val="20"/>
        </w:rPr>
        <w:t xml:space="preserve"> par le frais </w:t>
      </w:r>
    </w:p>
    <w:p w14:paraId="28A21C82" w14:textId="18F80332" w:rsidR="00C57FDF" w:rsidRDefault="00214BC6" w:rsidP="009B11D3">
      <w:pPr>
        <w:rPr>
          <w:rFonts w:cs="Arial"/>
        </w:rPr>
      </w:pPr>
      <w:r>
        <w:rPr>
          <w:rFonts w:cs="Arial"/>
        </w:rPr>
        <w:t>Sur le plan des technologies</w:t>
      </w:r>
      <w:r w:rsidR="0011158F">
        <w:rPr>
          <w:rFonts w:cs="Arial"/>
        </w:rPr>
        <w:t xml:space="preserve"> de conservation toutes catégories de </w:t>
      </w:r>
      <w:r w:rsidR="00E258A3">
        <w:rPr>
          <w:rFonts w:cs="Arial"/>
        </w:rPr>
        <w:t>charcuteries salaison</w:t>
      </w:r>
      <w:r w:rsidR="0011158F">
        <w:rPr>
          <w:rFonts w:cs="Arial"/>
        </w:rPr>
        <w:t xml:space="preserve"> confondues, les </w:t>
      </w:r>
      <w:r>
        <w:rPr>
          <w:rFonts w:cs="Arial"/>
        </w:rPr>
        <w:t>produits frais</w:t>
      </w:r>
      <w:r w:rsidR="0011158F">
        <w:rPr>
          <w:rFonts w:cs="Arial"/>
        </w:rPr>
        <w:t xml:space="preserve"> répartis en poids </w:t>
      </w:r>
      <w:r w:rsidR="009512D4">
        <w:rPr>
          <w:rFonts w:cs="Arial"/>
        </w:rPr>
        <w:t xml:space="preserve">fixes et poids </w:t>
      </w:r>
      <w:r w:rsidR="0011158F">
        <w:rPr>
          <w:rFonts w:cs="Arial"/>
        </w:rPr>
        <w:t>variable</w:t>
      </w:r>
      <w:r w:rsidR="009512D4">
        <w:rPr>
          <w:rFonts w:cs="Arial"/>
        </w:rPr>
        <w:t>s</w:t>
      </w:r>
      <w:r w:rsidR="0011158F">
        <w:rPr>
          <w:rFonts w:cs="Arial"/>
        </w:rPr>
        <w:t xml:space="preserve"> </w:t>
      </w:r>
      <w:r w:rsidR="009512D4">
        <w:rPr>
          <w:rFonts w:cs="Arial"/>
        </w:rPr>
        <w:t>dominent très largement le marché</w:t>
      </w:r>
      <w:r w:rsidR="008108CC">
        <w:rPr>
          <w:rFonts w:cs="Arial"/>
        </w:rPr>
        <w:t xml:space="preserve"> (94</w:t>
      </w:r>
      <w:r w:rsidR="00EB4193">
        <w:rPr>
          <w:rFonts w:cs="Arial"/>
        </w:rPr>
        <w:t> </w:t>
      </w:r>
      <w:r w:rsidR="008108CC">
        <w:rPr>
          <w:rFonts w:cs="Arial"/>
        </w:rPr>
        <w:t>% en 2018). Les autres catégories soient le surgelé et l</w:t>
      </w:r>
      <w:r w:rsidR="00E258A3">
        <w:rPr>
          <w:rFonts w:cs="Arial"/>
        </w:rPr>
        <w:t xml:space="preserve">’appertisé </w:t>
      </w:r>
      <w:r w:rsidR="008108CC">
        <w:rPr>
          <w:rFonts w:cs="Arial"/>
        </w:rPr>
        <w:t xml:space="preserve">sont stables </w:t>
      </w:r>
      <w:r w:rsidR="000458C1">
        <w:rPr>
          <w:rFonts w:cs="Arial"/>
        </w:rPr>
        <w:t>et représentent une part égale.</w:t>
      </w:r>
    </w:p>
    <w:p w14:paraId="0D809F0D" w14:textId="00B2F1F0" w:rsidR="00C57FDF" w:rsidRDefault="0011158F" w:rsidP="009B11D3">
      <w:pPr>
        <w:rPr>
          <w:rFonts w:cs="Arial"/>
        </w:rPr>
      </w:pPr>
      <w:r>
        <w:rPr>
          <w:noProof/>
        </w:rPr>
        <w:drawing>
          <wp:inline distT="0" distB="0" distL="0" distR="0" wp14:anchorId="11FD70ED" wp14:editId="24215D2B">
            <wp:extent cx="5759450" cy="2638425"/>
            <wp:effectExtent l="0" t="0" r="0" b="0"/>
            <wp:docPr id="68" name="Graphique 68">
              <a:extLst xmlns:a="http://schemas.openxmlformats.org/drawingml/2006/main">
                <a:ext uri="{FF2B5EF4-FFF2-40B4-BE49-F238E27FC236}">
                  <a16:creationId xmlns:a16="http://schemas.microsoft.com/office/drawing/2014/main" id="{FB194092-73E7-4AA6-B35C-01EDE4CE38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3D32780" w14:textId="7F8A74FF" w:rsidR="00ED4F79" w:rsidRDefault="007664FF">
      <w:pPr>
        <w:pStyle w:val="figure"/>
      </w:pPr>
      <w:bookmarkStart w:id="57" w:name="_Toc69511401"/>
      <w:r>
        <w:t xml:space="preserve">Figure </w:t>
      </w:r>
      <w:r w:rsidR="00E27D6E">
        <w:fldChar w:fldCharType="begin"/>
      </w:r>
      <w:r w:rsidR="00E27D6E">
        <w:instrText xml:space="preserve"> SEQ Figure \* ARABIC </w:instrText>
      </w:r>
      <w:r w:rsidR="00E27D6E">
        <w:fldChar w:fldCharType="separate"/>
      </w:r>
      <w:r w:rsidR="0007597F">
        <w:rPr>
          <w:noProof/>
        </w:rPr>
        <w:t>9</w:t>
      </w:r>
      <w:r w:rsidR="00E27D6E">
        <w:rPr>
          <w:noProof/>
        </w:rPr>
        <w:fldChar w:fldCharType="end"/>
      </w:r>
      <w:r w:rsidR="00ED4F79">
        <w:rPr>
          <w:noProof/>
        </w:rPr>
        <w:t xml:space="preserve"> : </w:t>
      </w:r>
      <w:r w:rsidR="00995898">
        <w:t>Ventilation de</w:t>
      </w:r>
      <w:r w:rsidR="002A05D1">
        <w:t>s volumes de</w:t>
      </w:r>
      <w:r w:rsidR="00995898">
        <w:t xml:space="preserve"> p</w:t>
      </w:r>
      <w:r w:rsidRPr="003E1D1F">
        <w:t>roduction en charcuterie salaison</w:t>
      </w:r>
      <w:r>
        <w:t xml:space="preserve"> (dont viande SSF)</w:t>
      </w:r>
      <w:r w:rsidRPr="003E1D1F">
        <w:t xml:space="preserve">, en matière première de porc </w:t>
      </w:r>
      <w:r>
        <w:t xml:space="preserve">et de volaille </w:t>
      </w:r>
      <w:r w:rsidRPr="003E1D1F">
        <w:t>entre 2010 et 2018</w:t>
      </w:r>
      <w:bookmarkEnd w:id="57"/>
    </w:p>
    <w:p w14:paraId="4E612BE3" w14:textId="469F2EB2" w:rsidR="007664FF" w:rsidRDefault="007664FF" w:rsidP="00ED4F79">
      <w:pPr>
        <w:pStyle w:val="Lgende"/>
        <w:rPr>
          <w:b/>
        </w:rPr>
      </w:pPr>
      <w:r w:rsidRPr="00B561CC">
        <w:t>(Ifip d’après Enquête PRODCOM</w:t>
      </w:r>
      <w:r>
        <w:t xml:space="preserve"> 10.13.A</w:t>
      </w:r>
      <w:r w:rsidRPr="00B561CC">
        <w:t>)</w:t>
      </w:r>
    </w:p>
    <w:p w14:paraId="0F87529F" w14:textId="609F9CD6" w:rsidR="00AE11EB" w:rsidRDefault="00697CC5" w:rsidP="009B11D3">
      <w:pPr>
        <w:rPr>
          <w:rFonts w:cs="Arial"/>
        </w:rPr>
      </w:pPr>
      <w:r>
        <w:rPr>
          <w:rFonts w:cs="Arial"/>
        </w:rPr>
        <w:t xml:space="preserve">Les produits surgelés </w:t>
      </w:r>
      <w:r w:rsidR="00D21CCF">
        <w:rPr>
          <w:rFonts w:cs="Arial"/>
        </w:rPr>
        <w:t xml:space="preserve">sont </w:t>
      </w:r>
      <w:r w:rsidR="001C40D6">
        <w:rPr>
          <w:rFonts w:cs="Arial"/>
        </w:rPr>
        <w:t xml:space="preserve">en 2018 </w:t>
      </w:r>
      <w:r w:rsidR="00D21CCF">
        <w:rPr>
          <w:rFonts w:cs="Arial"/>
        </w:rPr>
        <w:t xml:space="preserve">des </w:t>
      </w:r>
      <w:r w:rsidR="00FE597F">
        <w:rPr>
          <w:rFonts w:cs="Arial"/>
        </w:rPr>
        <w:t>saucisses gros hachage (</w:t>
      </w:r>
      <w:r w:rsidR="001C40D6">
        <w:rPr>
          <w:rFonts w:cs="Arial"/>
        </w:rPr>
        <w:t>38</w:t>
      </w:r>
      <w:r w:rsidR="00EB4193">
        <w:rPr>
          <w:rFonts w:cs="Arial"/>
        </w:rPr>
        <w:t> </w:t>
      </w:r>
      <w:r w:rsidR="001C40D6">
        <w:rPr>
          <w:rFonts w:cs="Arial"/>
        </w:rPr>
        <w:t xml:space="preserve">%), </w:t>
      </w:r>
      <w:r w:rsidR="00FE597F">
        <w:rPr>
          <w:rFonts w:cs="Arial"/>
        </w:rPr>
        <w:t>des pâtés</w:t>
      </w:r>
      <w:r w:rsidR="001C40D6">
        <w:rPr>
          <w:rFonts w:cs="Arial"/>
        </w:rPr>
        <w:t xml:space="preserve"> (27</w:t>
      </w:r>
      <w:r w:rsidR="00EB4193">
        <w:rPr>
          <w:rFonts w:cs="Arial"/>
        </w:rPr>
        <w:t> </w:t>
      </w:r>
      <w:r w:rsidR="001C40D6">
        <w:rPr>
          <w:rFonts w:cs="Arial"/>
        </w:rPr>
        <w:t>%) et de</w:t>
      </w:r>
      <w:r w:rsidR="004C112E">
        <w:rPr>
          <w:rFonts w:cs="Arial"/>
        </w:rPr>
        <w:t>s produits de salaison cuite (16</w:t>
      </w:r>
      <w:r w:rsidR="00EB4193">
        <w:rPr>
          <w:rFonts w:cs="Arial"/>
        </w:rPr>
        <w:t> </w:t>
      </w:r>
      <w:r w:rsidR="004C112E">
        <w:rPr>
          <w:rFonts w:cs="Arial"/>
        </w:rPr>
        <w:t>%)</w:t>
      </w:r>
      <w:r w:rsidR="00FE597F">
        <w:rPr>
          <w:rFonts w:cs="Arial"/>
        </w:rPr>
        <w:t xml:space="preserve">. </w:t>
      </w:r>
      <w:r w:rsidR="00660038">
        <w:rPr>
          <w:rFonts w:cs="Arial"/>
        </w:rPr>
        <w:t>Quant aux</w:t>
      </w:r>
      <w:r w:rsidR="00FE597F">
        <w:rPr>
          <w:rFonts w:cs="Arial"/>
        </w:rPr>
        <w:t xml:space="preserve"> produits </w:t>
      </w:r>
      <w:r w:rsidR="00EC4209">
        <w:rPr>
          <w:rFonts w:cs="Arial"/>
        </w:rPr>
        <w:t>appertisés</w:t>
      </w:r>
      <w:r w:rsidR="00660038">
        <w:rPr>
          <w:rFonts w:cs="Arial"/>
        </w:rPr>
        <w:t xml:space="preserve">, </w:t>
      </w:r>
      <w:r w:rsidR="008C77AF">
        <w:rPr>
          <w:rFonts w:cs="Arial"/>
        </w:rPr>
        <w:t>ils sont</w:t>
      </w:r>
      <w:r w:rsidR="000458C1">
        <w:rPr>
          <w:rFonts w:cs="Arial"/>
        </w:rPr>
        <w:t xml:space="preserve"> </w:t>
      </w:r>
      <w:r w:rsidR="00EC4209">
        <w:rPr>
          <w:rFonts w:cs="Arial"/>
        </w:rPr>
        <w:t xml:space="preserve">portés par </w:t>
      </w:r>
      <w:r w:rsidR="000458C1">
        <w:rPr>
          <w:rFonts w:cs="Arial"/>
        </w:rPr>
        <w:t xml:space="preserve">des </w:t>
      </w:r>
      <w:r w:rsidR="00660038">
        <w:rPr>
          <w:rFonts w:cs="Arial"/>
        </w:rPr>
        <w:t>pâtés</w:t>
      </w:r>
      <w:r w:rsidR="00EC4209">
        <w:rPr>
          <w:rFonts w:cs="Arial"/>
        </w:rPr>
        <w:t>.</w:t>
      </w:r>
    </w:p>
    <w:p w14:paraId="3D342411" w14:textId="33999FC0" w:rsidR="00343DDE" w:rsidRPr="0082472B" w:rsidRDefault="00343DDE" w:rsidP="00343DDE">
      <w:pPr>
        <w:pStyle w:val="Titre4"/>
      </w:pPr>
      <w:bookmarkStart w:id="58" w:name="_Toc78131557"/>
      <w:r>
        <w:t xml:space="preserve">2.2.4.3 </w:t>
      </w:r>
      <w:r w:rsidRPr="0082472B">
        <w:t xml:space="preserve">Activités de transformation </w:t>
      </w:r>
      <w:r w:rsidR="00B31C44">
        <w:t xml:space="preserve">en produits traiteurs à partir des produits de charcuterie salaison </w:t>
      </w:r>
      <w:r w:rsidRPr="0082472B">
        <w:t>(10.</w:t>
      </w:r>
      <w:r>
        <w:t>85</w:t>
      </w:r>
      <w:r w:rsidRPr="0082472B">
        <w:t>.</w:t>
      </w:r>
      <w:r>
        <w:t>Z</w:t>
      </w:r>
      <w:r w:rsidRPr="0082472B">
        <w:t>)</w:t>
      </w:r>
      <w:bookmarkEnd w:id="58"/>
    </w:p>
    <w:p w14:paraId="25A6DCC3" w14:textId="4EBC80DA" w:rsidR="00B31C44" w:rsidRPr="00B31C44" w:rsidRDefault="00B31C44" w:rsidP="009B11D3">
      <w:pPr>
        <w:pStyle w:val="Puce1"/>
        <w:numPr>
          <w:ilvl w:val="0"/>
          <w:numId w:val="11"/>
        </w:numPr>
        <w:rPr>
          <w:sz w:val="20"/>
        </w:rPr>
      </w:pPr>
      <w:r>
        <w:rPr>
          <w:sz w:val="20"/>
        </w:rPr>
        <w:t xml:space="preserve">Un marché total </w:t>
      </w:r>
      <w:r w:rsidR="00F03675">
        <w:rPr>
          <w:sz w:val="20"/>
        </w:rPr>
        <w:t xml:space="preserve">du traiteur hétérogène, tiré cependant par les </w:t>
      </w:r>
      <w:r>
        <w:rPr>
          <w:sz w:val="20"/>
        </w:rPr>
        <w:t>plats cuisinés</w:t>
      </w:r>
      <w:r w:rsidR="00F03675">
        <w:rPr>
          <w:sz w:val="20"/>
        </w:rPr>
        <w:t xml:space="preserve"> et</w:t>
      </w:r>
      <w:r>
        <w:rPr>
          <w:sz w:val="20"/>
        </w:rPr>
        <w:t xml:space="preserve"> salades</w:t>
      </w:r>
      <w:r w:rsidR="00F03675">
        <w:rPr>
          <w:sz w:val="20"/>
        </w:rPr>
        <w:t xml:space="preserve"> </w:t>
      </w:r>
    </w:p>
    <w:p w14:paraId="408576E4" w14:textId="02A27659" w:rsidR="001632FF" w:rsidRDefault="00EF3E51" w:rsidP="009B11D3">
      <w:r>
        <w:rPr>
          <w:lang w:val="fr-CA"/>
        </w:rPr>
        <w:t>Sur un</w:t>
      </w:r>
      <w:r w:rsidR="0074204E">
        <w:t xml:space="preserve"> marché </w:t>
      </w:r>
      <w:r w:rsidR="00EF7099">
        <w:t xml:space="preserve">total </w:t>
      </w:r>
      <w:r w:rsidR="0074204E">
        <w:t xml:space="preserve">des produits </w:t>
      </w:r>
      <w:r w:rsidR="00EF7099">
        <w:t>alimentaires élaborés</w:t>
      </w:r>
      <w:r w:rsidR="0074204E">
        <w:t xml:space="preserve"> </w:t>
      </w:r>
      <w:r>
        <w:t>de 16,5 Mrd</w:t>
      </w:r>
      <w:r w:rsidR="00C74539">
        <w:t>s</w:t>
      </w:r>
      <w:r>
        <w:t xml:space="preserve"> d’euros</w:t>
      </w:r>
      <w:r w:rsidR="00C74539">
        <w:t xml:space="preserve"> en 2018, les produits traiteurs frais, surgelés</w:t>
      </w:r>
      <w:r w:rsidR="0060356F">
        <w:t xml:space="preserve"> et</w:t>
      </w:r>
      <w:r w:rsidR="00C74539">
        <w:t xml:space="preserve"> appertisés </w:t>
      </w:r>
      <w:r w:rsidR="00230C6A">
        <w:t>pèsent</w:t>
      </w:r>
      <w:r w:rsidR="00C74539">
        <w:t xml:space="preserve"> environ 11,13 Mrds d’euros </w:t>
      </w:r>
      <w:r w:rsidR="00036C47">
        <w:t xml:space="preserve">soit </w:t>
      </w:r>
      <w:r w:rsidR="00AB48BE">
        <w:t>un peu plus de 65</w:t>
      </w:r>
      <w:r w:rsidR="003B1D11">
        <w:t> </w:t>
      </w:r>
      <w:r w:rsidR="00036C47">
        <w:t xml:space="preserve">% </w:t>
      </w:r>
      <w:r w:rsidR="00230C6A">
        <w:t>ou</w:t>
      </w:r>
      <w:r w:rsidR="00C74539">
        <w:t xml:space="preserve"> 2 334 </w:t>
      </w:r>
      <w:r w:rsidR="00957F11">
        <w:t>kt</w:t>
      </w:r>
      <w:r w:rsidR="00036C47">
        <w:t>.</w:t>
      </w:r>
      <w:r w:rsidR="00F03675">
        <w:t xml:space="preserve"> </w:t>
      </w:r>
    </w:p>
    <w:p w14:paraId="49F2F4E9" w14:textId="48EBA501" w:rsidR="00F03675" w:rsidRDefault="00F329E3" w:rsidP="009B11D3">
      <w:r>
        <w:lastRenderedPageBreak/>
        <w:t>Depuis plusieurs années, l</w:t>
      </w:r>
      <w:r w:rsidR="00F03675">
        <w:t xml:space="preserve">es </w:t>
      </w:r>
      <w:r w:rsidR="00036C47">
        <w:t>produits traiteurs</w:t>
      </w:r>
      <w:r>
        <w:t xml:space="preserve"> </w:t>
      </w:r>
      <w:r w:rsidR="00036C47">
        <w:t>sont</w:t>
      </w:r>
      <w:r w:rsidR="00C74539">
        <w:t xml:space="preserve"> </w:t>
      </w:r>
      <w:r w:rsidR="00230C6A">
        <w:t xml:space="preserve">notamment </w:t>
      </w:r>
      <w:r w:rsidR="00863BB3">
        <w:t>tiré</w:t>
      </w:r>
      <w:r w:rsidR="00C74539">
        <w:t>s</w:t>
      </w:r>
      <w:r w:rsidR="00863BB3">
        <w:t xml:space="preserve"> par les plats cuisinés et les salades </w:t>
      </w:r>
      <w:r w:rsidR="00F03675">
        <w:t xml:space="preserve">avec environ un tiers des volumes en particulier </w:t>
      </w:r>
      <w:r w:rsidR="00C74539">
        <w:t xml:space="preserve">en </w:t>
      </w:r>
      <w:r w:rsidR="00863BB3">
        <w:t xml:space="preserve">frais </w:t>
      </w:r>
      <w:r w:rsidR="00F03675">
        <w:t>au regard</w:t>
      </w:r>
      <w:r w:rsidR="00863BB3">
        <w:t xml:space="preserve"> d’une image qualitative de santé et de naturalité alors que les plats cuisinés </w:t>
      </w:r>
      <w:r w:rsidR="00F03675">
        <w:t xml:space="preserve">appertisés </w:t>
      </w:r>
      <w:r w:rsidR="00863BB3">
        <w:t>sont en perte de vitesse structurelle.</w:t>
      </w:r>
      <w:r w:rsidR="006F62EB">
        <w:t xml:space="preserve"> Ce segment de marché a également vu son offre s’étoffer autour des nouveaux instants de consommation</w:t>
      </w:r>
      <w:r w:rsidR="002A05D1">
        <w:t xml:space="preserve"> dont fait partie le</w:t>
      </w:r>
      <w:r w:rsidR="006F62EB">
        <w:t xml:space="preserve"> snacking</w:t>
      </w:r>
      <w:r>
        <w:t>.</w:t>
      </w:r>
    </w:p>
    <w:p w14:paraId="0CE189F0" w14:textId="3C30CB29" w:rsidR="00F03675" w:rsidRPr="001632FF" w:rsidRDefault="001632FF" w:rsidP="009B11D3">
      <w:pPr>
        <w:pStyle w:val="Puce1"/>
        <w:numPr>
          <w:ilvl w:val="0"/>
          <w:numId w:val="11"/>
        </w:numPr>
        <w:rPr>
          <w:sz w:val="20"/>
        </w:rPr>
      </w:pPr>
      <w:r>
        <w:rPr>
          <w:sz w:val="20"/>
        </w:rPr>
        <w:t xml:space="preserve">Identification des catégories de produits d’intérêt </w:t>
      </w:r>
    </w:p>
    <w:p w14:paraId="095BE739" w14:textId="347A68D8" w:rsidR="0074204E" w:rsidRDefault="006F62EB" w:rsidP="009B11D3">
      <w:r>
        <w:t>Dans le cadre de l’étude, les</w:t>
      </w:r>
      <w:r w:rsidR="00B362E4">
        <w:t xml:space="preserve"> produits </w:t>
      </w:r>
      <w:r>
        <w:t>qui intè</w:t>
      </w:r>
      <w:r w:rsidR="004F1076">
        <w:t>gre</w:t>
      </w:r>
      <w:r w:rsidR="001F2691">
        <w:t>nt</w:t>
      </w:r>
      <w:r w:rsidR="004F1076">
        <w:t xml:space="preserve"> </w:t>
      </w:r>
      <w:r w:rsidR="00230C6A">
        <w:t xml:space="preserve">des produits issus du porc </w:t>
      </w:r>
      <w:r w:rsidR="00B362E4" w:rsidRPr="0046167A">
        <w:t>tels que définis dans la nomenclature des enquêtes Prodco</w:t>
      </w:r>
      <w:r w:rsidR="009169D4">
        <w:t>m,</w:t>
      </w:r>
      <w:r w:rsidR="00B362E4">
        <w:t xml:space="preserve"> </w:t>
      </w:r>
      <w:r w:rsidR="00686139">
        <w:t>Adepale</w:t>
      </w:r>
      <w:r w:rsidR="00F33420">
        <w:t xml:space="preserve"> </w:t>
      </w:r>
      <w:r w:rsidR="00EE4AA8">
        <w:t xml:space="preserve">(Association des Entreprises de Produits Alimentaires Elaborés) </w:t>
      </w:r>
      <w:r w:rsidR="00F33420">
        <w:t xml:space="preserve">et </w:t>
      </w:r>
      <w:r w:rsidR="00686139">
        <w:t xml:space="preserve">Fict </w:t>
      </w:r>
      <w:r w:rsidR="000D6EB0">
        <w:t>consolidées</w:t>
      </w:r>
      <w:r w:rsidR="00230C6A">
        <w:t>,</w:t>
      </w:r>
      <w:r w:rsidR="000D6EB0">
        <w:t xml:space="preserve"> </w:t>
      </w:r>
      <w:r w:rsidR="00B362E4">
        <w:t>s</w:t>
      </w:r>
      <w:r w:rsidR="00F37218">
        <w:t xml:space="preserve">e </w:t>
      </w:r>
      <w:r w:rsidR="00265DE3">
        <w:t>concentrent</w:t>
      </w:r>
      <w:r w:rsidR="00F37218">
        <w:t xml:space="preserve"> autour de 3 familles de produits</w:t>
      </w:r>
      <w:r w:rsidR="00BA36F6">
        <w:t> : plats cuisinés et salades, charcuterie pâtissière et tartes, quiches, pizzas</w:t>
      </w:r>
      <w:r w:rsidR="00F37218">
        <w:t xml:space="preserve"> (</w:t>
      </w:r>
      <w:r w:rsidR="002A05D1">
        <w:fldChar w:fldCharType="begin"/>
      </w:r>
      <w:r w:rsidR="002A05D1">
        <w:instrText xml:space="preserve"> REF _Ref76569677 \h </w:instrText>
      </w:r>
      <w:r w:rsidR="002A05D1">
        <w:fldChar w:fldCharType="separate"/>
      </w:r>
      <w:r w:rsidR="002A05D1">
        <w:t xml:space="preserve">Tableau </w:t>
      </w:r>
      <w:r w:rsidR="002A05D1">
        <w:rPr>
          <w:noProof/>
        </w:rPr>
        <w:t>5</w:t>
      </w:r>
      <w:r w:rsidR="002A05D1">
        <w:fldChar w:fldCharType="end"/>
      </w:r>
      <w:r w:rsidR="00F37218">
        <w:t>).</w:t>
      </w:r>
      <w:r w:rsidR="00BA36F6">
        <w:t xml:space="preserve"> Les préparations alimentaires périssables te</w:t>
      </w:r>
      <w:r w:rsidR="00D83B75">
        <w:t>l</w:t>
      </w:r>
      <w:r w:rsidR="00BA36F6">
        <w:t>l</w:t>
      </w:r>
      <w:r w:rsidR="00D83B75">
        <w:t>e</w:t>
      </w:r>
      <w:r w:rsidR="00BA36F6">
        <w:t>s que sandwich</w:t>
      </w:r>
      <w:r w:rsidR="002A05D1">
        <w:t>e</w:t>
      </w:r>
      <w:r w:rsidR="00BA36F6">
        <w:t xml:space="preserve">s et pizza fraîches </w:t>
      </w:r>
      <w:r w:rsidR="007E2F33">
        <w:t>sont une catégorie identifiée</w:t>
      </w:r>
      <w:r w:rsidR="0027296F">
        <w:t xml:space="preserve"> par l’enquête PRODCOM</w:t>
      </w:r>
      <w:r w:rsidR="007E2F33">
        <w:t xml:space="preserve"> mais non renseignée.</w:t>
      </w:r>
    </w:p>
    <w:tbl>
      <w:tblPr>
        <w:tblW w:w="9209" w:type="dxa"/>
        <w:tblCellMar>
          <w:left w:w="70" w:type="dxa"/>
          <w:right w:w="70" w:type="dxa"/>
        </w:tblCellMar>
        <w:tblLook w:val="04A0" w:firstRow="1" w:lastRow="0" w:firstColumn="1" w:lastColumn="0" w:noHBand="0" w:noVBand="1"/>
      </w:tblPr>
      <w:tblGrid>
        <w:gridCol w:w="2122"/>
        <w:gridCol w:w="7087"/>
      </w:tblGrid>
      <w:tr w:rsidR="00C14671" w:rsidRPr="009E7D15" w14:paraId="5411BF6F" w14:textId="77777777" w:rsidTr="00863BB3">
        <w:trPr>
          <w:trHeight w:val="435"/>
        </w:trPr>
        <w:tc>
          <w:tcPr>
            <w:tcW w:w="2122"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B1CB75F"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Code PRODCOM</w:t>
            </w:r>
          </w:p>
        </w:tc>
        <w:tc>
          <w:tcPr>
            <w:tcW w:w="7087" w:type="dxa"/>
            <w:tcBorders>
              <w:top w:val="single" w:sz="4" w:space="0" w:color="auto"/>
              <w:left w:val="nil"/>
              <w:bottom w:val="single" w:sz="4" w:space="0" w:color="auto"/>
              <w:right w:val="single" w:sz="4" w:space="0" w:color="auto"/>
            </w:tcBorders>
            <w:shd w:val="clear" w:color="000000" w:fill="BFBFBF"/>
            <w:vAlign w:val="center"/>
            <w:hideMark/>
          </w:tcPr>
          <w:p w14:paraId="47B3B41E" w14:textId="77777777" w:rsidR="00C14671" w:rsidRPr="009E7D15" w:rsidRDefault="00C14671" w:rsidP="00C14671">
            <w:pPr>
              <w:spacing w:after="0" w:line="240" w:lineRule="auto"/>
              <w:jc w:val="left"/>
              <w:rPr>
                <w:rFonts w:eastAsia="Times New Roman" w:cs="Arial"/>
                <w:color w:val="000000"/>
                <w:lang w:eastAsia="fr-FR"/>
              </w:rPr>
            </w:pPr>
            <w:r w:rsidRPr="009E7D15">
              <w:rPr>
                <w:rFonts w:eastAsia="Times New Roman" w:cs="Arial"/>
                <w:color w:val="000000"/>
                <w:lang w:eastAsia="fr-FR"/>
              </w:rPr>
              <w:t xml:space="preserve">Catégories produits </w:t>
            </w:r>
          </w:p>
        </w:tc>
      </w:tr>
      <w:tr w:rsidR="00C14671" w:rsidRPr="009E7D15" w14:paraId="387BDA98" w14:textId="77777777" w:rsidTr="00863BB3">
        <w:trPr>
          <w:trHeight w:val="630"/>
        </w:trPr>
        <w:tc>
          <w:tcPr>
            <w:tcW w:w="21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7E9EBAD"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10.85.11.00</w:t>
            </w:r>
          </w:p>
        </w:tc>
        <w:tc>
          <w:tcPr>
            <w:tcW w:w="70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4032A54" w14:textId="1670A2C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Plats cuisinés à base de porc</w:t>
            </w:r>
            <w:r w:rsidR="00EF03BA" w:rsidRPr="009E7D15">
              <w:rPr>
                <w:rFonts w:eastAsia="Times New Roman" w:cs="Arial"/>
                <w:lang w:eastAsia="fr-FR"/>
              </w:rPr>
              <w:t xml:space="preserve"> : </w:t>
            </w:r>
            <w:r w:rsidRPr="009E7D15">
              <w:rPr>
                <w:rFonts w:eastAsia="Times New Roman" w:cs="Arial"/>
                <w:lang w:eastAsia="fr-FR"/>
              </w:rPr>
              <w:t>choucroute garnie, cassoulet, saucisses et petit salé aux lentilles</w:t>
            </w:r>
            <w:r w:rsidR="00A93436" w:rsidRPr="009E7D15">
              <w:rPr>
                <w:rFonts w:eastAsia="Times New Roman" w:cs="Arial"/>
                <w:lang w:eastAsia="fr-FR"/>
              </w:rPr>
              <w:t>…</w:t>
            </w:r>
          </w:p>
        </w:tc>
      </w:tr>
      <w:tr w:rsidR="00C14671" w:rsidRPr="009E7D15" w14:paraId="44040C44" w14:textId="77777777" w:rsidTr="00863BB3">
        <w:trPr>
          <w:trHeight w:val="390"/>
        </w:trPr>
        <w:tc>
          <w:tcPr>
            <w:tcW w:w="212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27DB949"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10.13.15.75</w:t>
            </w:r>
          </w:p>
        </w:tc>
        <w:tc>
          <w:tcPr>
            <w:tcW w:w="7087" w:type="dxa"/>
            <w:tcBorders>
              <w:top w:val="single" w:sz="4" w:space="0" w:color="000000"/>
              <w:left w:val="single" w:sz="4" w:space="0" w:color="000000"/>
              <w:bottom w:val="single" w:sz="4" w:space="0" w:color="000000"/>
              <w:right w:val="single" w:sz="4" w:space="0" w:color="auto"/>
            </w:tcBorders>
            <w:shd w:val="clear" w:color="D9D9D9" w:fill="D9D9D9"/>
            <w:vAlign w:val="center"/>
            <w:hideMark/>
          </w:tcPr>
          <w:p w14:paraId="2C39E49C" w14:textId="5CE04AAB"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Salades composées charcutières avec ingrédient animal &gt;20</w:t>
            </w:r>
            <w:r w:rsidR="003B1D11">
              <w:rPr>
                <w:rFonts w:eastAsia="Times New Roman" w:cs="Arial"/>
                <w:lang w:eastAsia="fr-FR"/>
              </w:rPr>
              <w:t> </w:t>
            </w:r>
            <w:r w:rsidRPr="009E7D15">
              <w:rPr>
                <w:rFonts w:eastAsia="Times New Roman" w:cs="Arial"/>
                <w:lang w:eastAsia="fr-FR"/>
              </w:rPr>
              <w:t>% (cervelas, museau …)</w:t>
            </w:r>
          </w:p>
        </w:tc>
      </w:tr>
      <w:tr w:rsidR="00C14671" w:rsidRPr="009E7D15" w14:paraId="4B107282" w14:textId="77777777" w:rsidTr="00863BB3">
        <w:trPr>
          <w:trHeight w:val="360"/>
        </w:trPr>
        <w:tc>
          <w:tcPr>
            <w:tcW w:w="21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A576424"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10.85.11.00</w:t>
            </w:r>
          </w:p>
        </w:tc>
        <w:tc>
          <w:tcPr>
            <w:tcW w:w="7087" w:type="dxa"/>
            <w:tcBorders>
              <w:top w:val="single" w:sz="4" w:space="0" w:color="000000"/>
              <w:left w:val="single" w:sz="4" w:space="0" w:color="000000"/>
              <w:bottom w:val="single" w:sz="4" w:space="0" w:color="000000"/>
              <w:right w:val="single" w:sz="4" w:space="0" w:color="auto"/>
            </w:tcBorders>
            <w:shd w:val="clear" w:color="auto" w:fill="auto"/>
            <w:vAlign w:val="center"/>
            <w:hideMark/>
          </w:tcPr>
          <w:p w14:paraId="35A9B84F" w14:textId="663FA526"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Salades avec ingrédient animal &lt;20</w:t>
            </w:r>
            <w:r w:rsidR="003B1D11">
              <w:rPr>
                <w:rFonts w:eastAsia="Times New Roman" w:cs="Arial"/>
                <w:lang w:eastAsia="fr-FR"/>
              </w:rPr>
              <w:t> </w:t>
            </w:r>
            <w:r w:rsidRPr="009E7D15">
              <w:rPr>
                <w:rFonts w:eastAsia="Times New Roman" w:cs="Arial"/>
                <w:lang w:eastAsia="fr-FR"/>
              </w:rPr>
              <w:t>%</w:t>
            </w:r>
          </w:p>
        </w:tc>
      </w:tr>
      <w:tr w:rsidR="00C14671" w:rsidRPr="009E7D15" w14:paraId="70459AAE" w14:textId="77777777" w:rsidTr="00863BB3">
        <w:trPr>
          <w:trHeight w:val="630"/>
        </w:trPr>
        <w:tc>
          <w:tcPr>
            <w:tcW w:w="212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105CDD3"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10.85.11.00 10.85.19.10</w:t>
            </w:r>
          </w:p>
        </w:tc>
        <w:tc>
          <w:tcPr>
            <w:tcW w:w="708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6B6075E" w14:textId="4F489C8E" w:rsidR="00C14671" w:rsidRPr="009E7D15" w:rsidRDefault="00C25FB0" w:rsidP="00C14671">
            <w:pPr>
              <w:spacing w:after="0" w:line="240" w:lineRule="auto"/>
              <w:jc w:val="left"/>
              <w:rPr>
                <w:rFonts w:eastAsia="Times New Roman" w:cs="Arial"/>
                <w:lang w:eastAsia="fr-FR"/>
              </w:rPr>
            </w:pPr>
            <w:r w:rsidRPr="009E7D15">
              <w:rPr>
                <w:rFonts w:eastAsia="Times New Roman" w:cs="Arial"/>
                <w:lang w:eastAsia="fr-FR"/>
              </w:rPr>
              <w:t>Charcuteries pâtissières : f</w:t>
            </w:r>
            <w:r w:rsidR="00C14671" w:rsidRPr="009E7D15">
              <w:rPr>
                <w:rFonts w:eastAsia="Times New Roman" w:cs="Arial"/>
                <w:lang w:eastAsia="fr-FR"/>
              </w:rPr>
              <w:t>euilletés, friands et bouchées (à base de viande), saucissons en brioche, croque</w:t>
            </w:r>
            <w:r w:rsidR="006A2494" w:rsidRPr="009E7D15">
              <w:rPr>
                <w:rFonts w:eastAsia="Times New Roman" w:cs="Arial"/>
                <w:lang w:eastAsia="fr-FR"/>
              </w:rPr>
              <w:t>-</w:t>
            </w:r>
            <w:r w:rsidR="00C14671" w:rsidRPr="009E7D15">
              <w:rPr>
                <w:rFonts w:eastAsia="Times New Roman" w:cs="Arial"/>
                <w:lang w:eastAsia="fr-FR"/>
              </w:rPr>
              <w:t>monsieur</w:t>
            </w:r>
            <w:r w:rsidR="006A2494" w:rsidRPr="009E7D15">
              <w:rPr>
                <w:rFonts w:eastAsia="Times New Roman" w:cs="Arial"/>
                <w:lang w:eastAsia="fr-FR"/>
              </w:rPr>
              <w:t>.</w:t>
            </w:r>
          </w:p>
        </w:tc>
      </w:tr>
      <w:tr w:rsidR="00C14671" w:rsidRPr="009E7D15" w14:paraId="7D40B02E" w14:textId="77777777" w:rsidTr="00863BB3">
        <w:trPr>
          <w:trHeight w:val="420"/>
        </w:trPr>
        <w:tc>
          <w:tcPr>
            <w:tcW w:w="21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4BF6E1"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10.85.11.00</w:t>
            </w:r>
          </w:p>
        </w:tc>
        <w:tc>
          <w:tcPr>
            <w:tcW w:w="70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4ADE58"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Autres spécialités salées à base de viande (croissants au jambon, roulés, hot-dogs)</w:t>
            </w:r>
          </w:p>
        </w:tc>
      </w:tr>
      <w:tr w:rsidR="00C14671" w:rsidRPr="009E7D15" w14:paraId="7DE7D386" w14:textId="77777777" w:rsidTr="00863BB3">
        <w:trPr>
          <w:trHeight w:val="420"/>
        </w:trPr>
        <w:tc>
          <w:tcPr>
            <w:tcW w:w="212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5B3C93A"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10.85.14.10</w:t>
            </w:r>
          </w:p>
        </w:tc>
        <w:tc>
          <w:tcPr>
            <w:tcW w:w="7087"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D3B7AEE" w14:textId="28BDF103"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 xml:space="preserve">Pâtes alimentaires cuisinées (lasagnes, </w:t>
            </w:r>
            <w:r w:rsidR="0027296F" w:rsidRPr="009E7D15">
              <w:rPr>
                <w:rFonts w:eastAsia="Times New Roman" w:cs="Arial"/>
                <w:lang w:eastAsia="fr-FR"/>
              </w:rPr>
              <w:t>cannellonis</w:t>
            </w:r>
            <w:r w:rsidRPr="009E7D15">
              <w:rPr>
                <w:rFonts w:eastAsia="Times New Roman" w:cs="Arial"/>
                <w:lang w:eastAsia="fr-FR"/>
              </w:rPr>
              <w:t>, raviolis)</w:t>
            </w:r>
          </w:p>
        </w:tc>
      </w:tr>
      <w:tr w:rsidR="00C14671" w:rsidRPr="009E7D15" w14:paraId="2E92DB79" w14:textId="77777777" w:rsidTr="00863BB3">
        <w:trPr>
          <w:trHeight w:val="345"/>
        </w:trPr>
        <w:tc>
          <w:tcPr>
            <w:tcW w:w="21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1AABE6E" w14:textId="77777777"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10.85.19.10</w:t>
            </w:r>
          </w:p>
        </w:tc>
        <w:tc>
          <w:tcPr>
            <w:tcW w:w="70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585A73" w14:textId="6DF5014C" w:rsidR="00C14671" w:rsidRPr="009E7D15" w:rsidRDefault="00C14671" w:rsidP="00C14671">
            <w:pPr>
              <w:spacing w:after="0" w:line="240" w:lineRule="auto"/>
              <w:jc w:val="left"/>
              <w:rPr>
                <w:rFonts w:eastAsia="Times New Roman" w:cs="Arial"/>
                <w:lang w:eastAsia="fr-FR"/>
              </w:rPr>
            </w:pPr>
            <w:r w:rsidRPr="009E7D15">
              <w:rPr>
                <w:rFonts w:eastAsia="Times New Roman" w:cs="Arial"/>
                <w:lang w:eastAsia="fr-FR"/>
              </w:rPr>
              <w:t xml:space="preserve">Tartes salées, quiches, tartes, pizzas, </w:t>
            </w:r>
            <w:r w:rsidR="0027296F" w:rsidRPr="009E7D15">
              <w:rPr>
                <w:rFonts w:eastAsia="Times New Roman" w:cs="Arial"/>
                <w:lang w:eastAsia="fr-FR"/>
              </w:rPr>
              <w:t>crêpes</w:t>
            </w:r>
            <w:r w:rsidRPr="009E7D15">
              <w:rPr>
                <w:rFonts w:eastAsia="Times New Roman" w:cs="Arial"/>
                <w:lang w:eastAsia="fr-FR"/>
              </w:rPr>
              <w:t xml:space="preserve"> garnies </w:t>
            </w:r>
          </w:p>
        </w:tc>
      </w:tr>
      <w:tr w:rsidR="00C14671" w:rsidRPr="009E7D15" w14:paraId="4437976B" w14:textId="77777777" w:rsidTr="00863BB3">
        <w:trPr>
          <w:trHeight w:val="375"/>
        </w:trPr>
        <w:tc>
          <w:tcPr>
            <w:tcW w:w="2122"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52FA87CC" w14:textId="77777777" w:rsidR="00C14671" w:rsidRPr="009E7D15" w:rsidRDefault="00C14671" w:rsidP="00C14671">
            <w:pPr>
              <w:spacing w:after="0" w:line="240" w:lineRule="auto"/>
              <w:jc w:val="left"/>
              <w:rPr>
                <w:rFonts w:eastAsia="Times New Roman" w:cs="Arial"/>
                <w:i/>
                <w:iCs/>
                <w:lang w:eastAsia="fr-FR"/>
              </w:rPr>
            </w:pPr>
            <w:r w:rsidRPr="009E7D15">
              <w:rPr>
                <w:rFonts w:eastAsia="Times New Roman" w:cs="Arial"/>
                <w:i/>
                <w:iCs/>
                <w:lang w:eastAsia="fr-FR"/>
              </w:rPr>
              <w:t>10.89.16.00</w:t>
            </w:r>
          </w:p>
        </w:tc>
        <w:tc>
          <w:tcPr>
            <w:tcW w:w="7087"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70388AF4" w14:textId="1FE112E8" w:rsidR="00C14671" w:rsidRPr="009E7D15" w:rsidRDefault="00C14671" w:rsidP="00C14671">
            <w:pPr>
              <w:spacing w:after="0" w:line="240" w:lineRule="auto"/>
              <w:jc w:val="left"/>
              <w:rPr>
                <w:rFonts w:eastAsia="Times New Roman" w:cs="Arial"/>
                <w:i/>
                <w:iCs/>
                <w:lang w:eastAsia="fr-FR"/>
              </w:rPr>
            </w:pPr>
            <w:r w:rsidRPr="009E7D15">
              <w:rPr>
                <w:rFonts w:eastAsia="Times New Roman" w:cs="Arial"/>
                <w:i/>
                <w:iCs/>
                <w:lang w:eastAsia="fr-FR"/>
              </w:rPr>
              <w:t>Préparations alimentaires périssables telles que sandwichs et pizzas fraîches</w:t>
            </w:r>
          </w:p>
        </w:tc>
      </w:tr>
    </w:tbl>
    <w:p w14:paraId="796110D8" w14:textId="0D536C8F" w:rsidR="00ED4F79" w:rsidRDefault="00863BB3" w:rsidP="001632FF">
      <w:pPr>
        <w:pStyle w:val="figure"/>
      </w:pPr>
      <w:bookmarkStart w:id="59" w:name="_Ref76569677"/>
      <w:bookmarkStart w:id="60" w:name="_Toc72143353"/>
      <w:r>
        <w:t xml:space="preserve">Tableau </w:t>
      </w:r>
      <w:r w:rsidR="00E27D6E">
        <w:fldChar w:fldCharType="begin"/>
      </w:r>
      <w:r w:rsidR="00E27D6E">
        <w:instrText xml:space="preserve"> SEQ Tableau \* ARABIC </w:instrText>
      </w:r>
      <w:r w:rsidR="00E27D6E">
        <w:fldChar w:fldCharType="separate"/>
      </w:r>
      <w:r w:rsidR="0007597F">
        <w:rPr>
          <w:noProof/>
        </w:rPr>
        <w:t>5</w:t>
      </w:r>
      <w:r w:rsidR="00E27D6E">
        <w:rPr>
          <w:noProof/>
        </w:rPr>
        <w:fldChar w:fldCharType="end"/>
      </w:r>
      <w:bookmarkEnd w:id="59"/>
      <w:r w:rsidR="00ED4F79">
        <w:t xml:space="preserve"> : </w:t>
      </w:r>
      <w:r>
        <w:t>Typologies de produits intégrant des produits de charcuterie salaison parmi les produits alimentaires élaborés</w:t>
      </w:r>
      <w:bookmarkEnd w:id="60"/>
      <w:r>
        <w:t xml:space="preserve"> </w:t>
      </w:r>
    </w:p>
    <w:p w14:paraId="521BD49B" w14:textId="2F9EC7BB" w:rsidR="00863BB3" w:rsidRDefault="00863BB3" w:rsidP="00ED4F79">
      <w:pPr>
        <w:pStyle w:val="Lgende"/>
        <w:rPr>
          <w:b/>
        </w:rPr>
      </w:pPr>
      <w:r w:rsidRPr="001632FF">
        <w:t>(</w:t>
      </w:r>
      <w:r w:rsidR="007B3B77" w:rsidRPr="001632FF">
        <w:t xml:space="preserve">Ifip d’après enquête </w:t>
      </w:r>
      <w:r w:rsidRPr="001632FF">
        <w:t>PRODCOM</w:t>
      </w:r>
      <w:r w:rsidR="001632FF">
        <w:t xml:space="preserve"> Fict et Adepale</w:t>
      </w:r>
      <w:r w:rsidRPr="001632FF">
        <w:t>)</w:t>
      </w:r>
    </w:p>
    <w:p w14:paraId="7E00F659" w14:textId="77777777" w:rsidR="00D86882" w:rsidRPr="001632FF" w:rsidRDefault="00D86882" w:rsidP="00D86882">
      <w:pPr>
        <w:pStyle w:val="Puce1"/>
        <w:numPr>
          <w:ilvl w:val="0"/>
          <w:numId w:val="11"/>
        </w:numPr>
        <w:rPr>
          <w:sz w:val="20"/>
        </w:rPr>
      </w:pPr>
      <w:r>
        <w:rPr>
          <w:sz w:val="20"/>
        </w:rPr>
        <w:t xml:space="preserve">Approche de reconstitution du marché à partir des données consolidées FICT et Adepale </w:t>
      </w:r>
    </w:p>
    <w:p w14:paraId="2D12DC4D" w14:textId="5CB165F7" w:rsidR="00D86882" w:rsidRDefault="00D86882" w:rsidP="00D86882">
      <w:r>
        <w:t xml:space="preserve">Les données de production obtenues par enquête auprès de la FICT et de l’Adepale ne renseignent </w:t>
      </w:r>
      <w:r w:rsidR="004C6A24">
        <w:t>que marginalement</w:t>
      </w:r>
      <w:r>
        <w:t xml:space="preserve"> la part de produits traiteurs conditionnés en surgelés, une estimation est effectuée à partir de données d’achat des ménages </w:t>
      </w:r>
      <w:r w:rsidR="0035113B">
        <w:t xml:space="preserve">à partir du panel </w:t>
      </w:r>
      <w:r>
        <w:t>Kantar</w:t>
      </w:r>
      <w:r w:rsidR="0035113B">
        <w:t xml:space="preserve"> pour 2018</w:t>
      </w:r>
      <w:r>
        <w:t>.</w:t>
      </w:r>
    </w:p>
    <w:p w14:paraId="69C6CF53" w14:textId="4C62BABB" w:rsidR="00D86882" w:rsidRDefault="00D86882" w:rsidP="0035113B">
      <w:r>
        <w:t>Par ailleurs, l’enquête renseignée par les adhérents de l’Adepale est partielle puisqu’une partie des données est soumise au secret statistique et par conséquent non communiquée.</w:t>
      </w:r>
      <w:r w:rsidR="004C6A24">
        <w:t xml:space="preserve"> </w:t>
      </w:r>
      <w:r>
        <w:t xml:space="preserve">La consolidation des </w:t>
      </w:r>
      <w:r w:rsidR="004C6A24">
        <w:t xml:space="preserve">volumes </w:t>
      </w:r>
      <w:r w:rsidR="00F26994">
        <w:t>donne</w:t>
      </w:r>
      <w:r w:rsidR="004C6A24">
        <w:t xml:space="preserve"> un marché total </w:t>
      </w:r>
      <w:r w:rsidR="00A23049">
        <w:t xml:space="preserve">d’environ 600 kt pour les produits </w:t>
      </w:r>
      <w:r w:rsidR="004C6A24">
        <w:t>susceptible</w:t>
      </w:r>
      <w:r w:rsidR="002A05D1">
        <w:t>s</w:t>
      </w:r>
      <w:r w:rsidR="004C6A24">
        <w:t xml:space="preserve"> d’absorber des produits du porc. En effet, les données obtenues par enquête </w:t>
      </w:r>
      <w:r w:rsidR="00F26994">
        <w:t>présentent</w:t>
      </w:r>
      <w:r w:rsidR="004C6A24">
        <w:t xml:space="preserve"> un taux de couverture relativement bas pour un certain nombre de segments de produits que sont les plats cuisinés </w:t>
      </w:r>
      <w:r w:rsidR="0035113B">
        <w:t xml:space="preserve">appertisés </w:t>
      </w:r>
      <w:r w:rsidR="004C6A24">
        <w:t>à base de porc, les salades avec ingrédient animal inférieur à 20</w:t>
      </w:r>
      <w:r w:rsidR="003B1D11">
        <w:t> </w:t>
      </w:r>
      <w:r w:rsidR="004C6A24">
        <w:t>%</w:t>
      </w:r>
      <w:r w:rsidR="0035113B">
        <w:t xml:space="preserve"> et les sandwichs en frais.</w:t>
      </w:r>
      <w:r w:rsidR="004C6A24">
        <w:t xml:space="preserve"> </w:t>
      </w:r>
      <w:r w:rsidR="0035113B">
        <w:t xml:space="preserve">Les données relatives aux pâtes cuisinées en frais ne sont pas connues. </w:t>
      </w:r>
    </w:p>
    <w:tbl>
      <w:tblPr>
        <w:tblW w:w="9634" w:type="dxa"/>
        <w:tblCellMar>
          <w:left w:w="70" w:type="dxa"/>
          <w:right w:w="70" w:type="dxa"/>
        </w:tblCellMar>
        <w:tblLook w:val="04A0" w:firstRow="1" w:lastRow="0" w:firstColumn="1" w:lastColumn="0" w:noHBand="0" w:noVBand="1"/>
      </w:tblPr>
      <w:tblGrid>
        <w:gridCol w:w="1495"/>
        <w:gridCol w:w="4236"/>
        <w:gridCol w:w="785"/>
        <w:gridCol w:w="992"/>
        <w:gridCol w:w="1276"/>
        <w:gridCol w:w="850"/>
      </w:tblGrid>
      <w:tr w:rsidR="00D86882" w:rsidRPr="00D86882" w14:paraId="689B4E60" w14:textId="77777777" w:rsidTr="004C6A24">
        <w:trPr>
          <w:trHeight w:val="645"/>
        </w:trPr>
        <w:tc>
          <w:tcPr>
            <w:tcW w:w="149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8F8C537" w14:textId="77777777"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lastRenderedPageBreak/>
              <w:t>Code PRODCOM</w:t>
            </w:r>
          </w:p>
        </w:tc>
        <w:tc>
          <w:tcPr>
            <w:tcW w:w="4236" w:type="dxa"/>
            <w:tcBorders>
              <w:top w:val="single" w:sz="4" w:space="0" w:color="auto"/>
              <w:left w:val="nil"/>
              <w:bottom w:val="single" w:sz="4" w:space="0" w:color="auto"/>
              <w:right w:val="single" w:sz="4" w:space="0" w:color="auto"/>
            </w:tcBorders>
            <w:shd w:val="clear" w:color="000000" w:fill="BFBFBF"/>
            <w:vAlign w:val="center"/>
            <w:hideMark/>
          </w:tcPr>
          <w:p w14:paraId="0AB2B1AA" w14:textId="77777777" w:rsidR="00D86882" w:rsidRPr="00ED4F79" w:rsidRDefault="00D86882" w:rsidP="00ED4F79">
            <w:pPr>
              <w:keepNext/>
              <w:spacing w:after="0" w:line="240" w:lineRule="auto"/>
              <w:jc w:val="left"/>
              <w:rPr>
                <w:rFonts w:eastAsia="Times New Roman" w:cs="Arial"/>
                <w:b/>
                <w:bCs/>
                <w:color w:val="000000"/>
                <w:sz w:val="20"/>
                <w:szCs w:val="20"/>
                <w:lang w:eastAsia="fr-FR"/>
              </w:rPr>
            </w:pPr>
            <w:r w:rsidRPr="00ED4F79">
              <w:rPr>
                <w:rFonts w:eastAsia="Times New Roman" w:cs="Arial"/>
                <w:b/>
                <w:bCs/>
                <w:color w:val="000000"/>
                <w:sz w:val="20"/>
                <w:szCs w:val="20"/>
                <w:lang w:eastAsia="fr-FR"/>
              </w:rPr>
              <w:t xml:space="preserve">Catégories produits </w:t>
            </w:r>
          </w:p>
        </w:tc>
        <w:tc>
          <w:tcPr>
            <w:tcW w:w="78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45682B4" w14:textId="77777777"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 xml:space="preserve">Frais </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5E0F2DC" w14:textId="77777777"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 xml:space="preserve">Surgelé </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1D18FA1" w14:textId="60F0FCCD"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Appertisé</w:t>
            </w:r>
          </w:p>
        </w:tc>
        <w:tc>
          <w:tcPr>
            <w:tcW w:w="85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F7FE5AE" w14:textId="77777777" w:rsidR="00D86882" w:rsidRPr="00ED4F79" w:rsidRDefault="00D86882" w:rsidP="00ED4F79">
            <w:pPr>
              <w:keepNext/>
              <w:spacing w:after="0" w:line="240" w:lineRule="auto"/>
              <w:jc w:val="left"/>
              <w:rPr>
                <w:rFonts w:eastAsia="Times New Roman" w:cs="Arial"/>
                <w:b/>
                <w:bCs/>
                <w:sz w:val="20"/>
                <w:szCs w:val="20"/>
                <w:lang w:eastAsia="fr-FR"/>
              </w:rPr>
            </w:pPr>
            <w:r w:rsidRPr="00ED4F79">
              <w:rPr>
                <w:rFonts w:eastAsia="Times New Roman" w:cs="Arial"/>
                <w:b/>
                <w:bCs/>
                <w:sz w:val="20"/>
                <w:szCs w:val="20"/>
                <w:lang w:eastAsia="fr-FR"/>
              </w:rPr>
              <w:t xml:space="preserve">Total </w:t>
            </w:r>
          </w:p>
        </w:tc>
      </w:tr>
      <w:tr w:rsidR="00D86882" w:rsidRPr="00D86882" w14:paraId="6F03A025" w14:textId="77777777" w:rsidTr="004C6A24">
        <w:trPr>
          <w:trHeight w:val="630"/>
        </w:trPr>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91AB6FB"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10.85.11.00</w:t>
            </w:r>
          </w:p>
        </w:tc>
        <w:tc>
          <w:tcPr>
            <w:tcW w:w="423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0EA8990"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Plats cuisinés à base de porc choucroute garnie, cassoulet, saucisses et petit salé aux lentilles, autres plats cuisinés à base de viande de porc.</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0AC0CA3"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22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36DB351" w14:textId="7B6DC7C9" w:rsidR="00D86882" w:rsidRPr="00ED4F79" w:rsidRDefault="00D86882" w:rsidP="00ED4F79">
            <w:pPr>
              <w:keepNext/>
              <w:spacing w:after="0" w:line="240" w:lineRule="auto"/>
              <w:jc w:val="right"/>
              <w:rPr>
                <w:rFonts w:eastAsia="Times New Roman" w:cs="Arial"/>
                <w:i/>
                <w:iCs/>
                <w:sz w:val="20"/>
                <w:szCs w:val="20"/>
                <w:lang w:eastAsia="fr-FR"/>
              </w:rPr>
            </w:pPr>
            <w:r w:rsidRPr="00ED4F79">
              <w:rPr>
                <w:rFonts w:eastAsia="Times New Roman" w:cs="Arial"/>
                <w:i/>
                <w:iCs/>
                <w:sz w:val="20"/>
                <w:szCs w:val="20"/>
                <w:lang w:eastAsia="fr-FR"/>
              </w:rPr>
              <w:t xml:space="preserve">         1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84F129"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 xml:space="preserve"> 75,7 (38,8)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124775B"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99   </w:t>
            </w:r>
          </w:p>
        </w:tc>
      </w:tr>
      <w:tr w:rsidR="00D86882" w:rsidRPr="00D86882" w14:paraId="4E207684" w14:textId="77777777" w:rsidTr="004C6A24">
        <w:trPr>
          <w:trHeight w:val="480"/>
        </w:trPr>
        <w:tc>
          <w:tcPr>
            <w:tcW w:w="149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9238D39"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10.13.15.75</w:t>
            </w:r>
          </w:p>
        </w:tc>
        <w:tc>
          <w:tcPr>
            <w:tcW w:w="4236" w:type="dxa"/>
            <w:tcBorders>
              <w:top w:val="single" w:sz="4" w:space="0" w:color="000000"/>
              <w:left w:val="single" w:sz="4" w:space="0" w:color="000000"/>
              <w:bottom w:val="single" w:sz="4" w:space="0" w:color="000000"/>
              <w:right w:val="single" w:sz="4" w:space="0" w:color="auto"/>
            </w:tcBorders>
            <w:shd w:val="clear" w:color="D9D9D9" w:fill="D9D9D9"/>
            <w:vAlign w:val="center"/>
            <w:hideMark/>
          </w:tcPr>
          <w:p w14:paraId="63EDAABB" w14:textId="49054352"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Salades composées charcutières avec ingrédient animal &gt;20 % (cervelas, museau)</w:t>
            </w:r>
          </w:p>
        </w:tc>
        <w:tc>
          <w:tcPr>
            <w:tcW w:w="78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FBBBED9"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10   </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095486C" w14:textId="77777777" w:rsidR="00D86882" w:rsidRPr="00ED4F79" w:rsidRDefault="00D86882" w:rsidP="00ED4F79">
            <w:pPr>
              <w:keepNext/>
              <w:spacing w:after="0" w:line="240" w:lineRule="auto"/>
              <w:jc w:val="right"/>
              <w:rPr>
                <w:rFonts w:eastAsia="Times New Roman" w:cs="Arial"/>
                <w:i/>
                <w:iCs/>
                <w:sz w:val="20"/>
                <w:szCs w:val="20"/>
                <w:lang w:eastAsia="fr-FR"/>
              </w:rPr>
            </w:pPr>
            <w:r w:rsidRPr="00ED4F79">
              <w:rPr>
                <w:rFonts w:eastAsia="Times New Roman" w:cs="Arial"/>
                <w:i/>
                <w:iCs/>
                <w:sz w:val="20"/>
                <w:szCs w:val="20"/>
                <w:lang w:eastAsia="fr-FR"/>
              </w:rPr>
              <w:t xml:space="preserve">        -     </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A083CEA"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     </w:t>
            </w:r>
          </w:p>
        </w:tc>
        <w:tc>
          <w:tcPr>
            <w:tcW w:w="85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7915A323"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10   </w:t>
            </w:r>
          </w:p>
        </w:tc>
      </w:tr>
      <w:tr w:rsidR="00D86882" w:rsidRPr="00D86882" w14:paraId="33126618" w14:textId="77777777" w:rsidTr="004C6A24">
        <w:trPr>
          <w:trHeight w:val="510"/>
        </w:trPr>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6F8915"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10.85.11.00</w:t>
            </w:r>
          </w:p>
        </w:tc>
        <w:tc>
          <w:tcPr>
            <w:tcW w:w="4236" w:type="dxa"/>
            <w:tcBorders>
              <w:top w:val="single" w:sz="4" w:space="0" w:color="000000"/>
              <w:left w:val="single" w:sz="4" w:space="0" w:color="000000"/>
              <w:bottom w:val="single" w:sz="4" w:space="0" w:color="000000"/>
              <w:right w:val="single" w:sz="4" w:space="0" w:color="auto"/>
            </w:tcBorders>
            <w:shd w:val="clear" w:color="auto" w:fill="auto"/>
            <w:vAlign w:val="center"/>
            <w:hideMark/>
          </w:tcPr>
          <w:p w14:paraId="27EAD062" w14:textId="691EEFAF"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Salades avec ingrédient animal &lt;20 %</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6490CB3" w14:textId="77777777" w:rsidR="00D86882" w:rsidRPr="00ED4F79" w:rsidRDefault="00D86882" w:rsidP="00ED4F79">
            <w:pPr>
              <w:keepNext/>
              <w:spacing w:after="0" w:line="240" w:lineRule="auto"/>
              <w:jc w:val="right"/>
              <w:rPr>
                <w:rFonts w:eastAsia="Times New Roman" w:cs="Arial"/>
                <w:b/>
                <w:bCs/>
                <w:sz w:val="20"/>
                <w:szCs w:val="20"/>
                <w:lang w:eastAsia="fr-FR"/>
              </w:rPr>
            </w:pPr>
            <w:r w:rsidRPr="00ED4F79">
              <w:rPr>
                <w:rFonts w:eastAsia="Times New Roman" w:cs="Arial"/>
                <w:b/>
                <w:bCs/>
                <w:sz w:val="20"/>
                <w:szCs w:val="20"/>
                <w:lang w:eastAsia="fr-FR"/>
              </w:rPr>
              <w:t>&lt;&lt;215</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B792BB5" w14:textId="7CAABC27" w:rsidR="00D86882" w:rsidRPr="00ED4F79" w:rsidRDefault="00E27690" w:rsidP="00ED4F79">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28EA230"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&lt;1,9</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4F0C069"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&lt;&lt;217</w:t>
            </w:r>
          </w:p>
        </w:tc>
      </w:tr>
      <w:tr w:rsidR="00D86882" w:rsidRPr="00D86882" w14:paraId="1724398C" w14:textId="77777777" w:rsidTr="004C6A24">
        <w:trPr>
          <w:trHeight w:val="630"/>
        </w:trPr>
        <w:tc>
          <w:tcPr>
            <w:tcW w:w="149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3E37A69"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10.85.11.00 10.85.19.10</w:t>
            </w:r>
          </w:p>
        </w:tc>
        <w:tc>
          <w:tcPr>
            <w:tcW w:w="423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8DC0A3A" w14:textId="68E019BD"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Feuilletés, friands et bouchées (à base de viande), saucissons en brioche, croque</w:t>
            </w:r>
            <w:r w:rsidR="004C6A24" w:rsidRPr="00ED4F79">
              <w:rPr>
                <w:rFonts w:eastAsia="Times New Roman" w:cs="Arial"/>
                <w:sz w:val="20"/>
                <w:szCs w:val="20"/>
                <w:lang w:eastAsia="fr-FR"/>
              </w:rPr>
              <w:t>-</w:t>
            </w:r>
            <w:r w:rsidRPr="00ED4F79">
              <w:rPr>
                <w:rFonts w:eastAsia="Times New Roman" w:cs="Arial"/>
                <w:sz w:val="20"/>
                <w:szCs w:val="20"/>
                <w:lang w:eastAsia="fr-FR"/>
              </w:rPr>
              <w:t>monsieur</w:t>
            </w:r>
          </w:p>
        </w:tc>
        <w:tc>
          <w:tcPr>
            <w:tcW w:w="78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C81251F"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11   </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179C5C5" w14:textId="1AF295E5" w:rsidR="00D86882" w:rsidRPr="00ED4F79" w:rsidRDefault="00E27690" w:rsidP="00E27690">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7A4D02F"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     </w:t>
            </w:r>
          </w:p>
        </w:tc>
        <w:tc>
          <w:tcPr>
            <w:tcW w:w="85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8D38F10"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11   </w:t>
            </w:r>
          </w:p>
        </w:tc>
      </w:tr>
      <w:tr w:rsidR="00D86882" w:rsidRPr="00D86882" w14:paraId="77AC0307" w14:textId="77777777" w:rsidTr="004C6A24">
        <w:trPr>
          <w:trHeight w:val="525"/>
        </w:trPr>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C07671"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10.85.11.00</w:t>
            </w:r>
          </w:p>
        </w:tc>
        <w:tc>
          <w:tcPr>
            <w:tcW w:w="423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98CAAEF"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Autres spécialités salées à base de viande (croissants au jambon, roulés, hot-dogs)</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4868384" w14:textId="77777777" w:rsidR="00D86882" w:rsidRPr="00ED4F79" w:rsidRDefault="00D86882" w:rsidP="00ED4F79">
            <w:pPr>
              <w:keepNext/>
              <w:spacing w:after="0" w:line="240" w:lineRule="auto"/>
              <w:jc w:val="right"/>
              <w:rPr>
                <w:rFonts w:eastAsia="Times New Roman" w:cs="Arial"/>
                <w:bCs/>
                <w:sz w:val="20"/>
                <w:szCs w:val="20"/>
                <w:lang w:eastAsia="fr-FR"/>
              </w:rPr>
            </w:pPr>
            <w:r w:rsidRPr="00ED4F79">
              <w:rPr>
                <w:rFonts w:eastAsia="Times New Roman" w:cs="Arial"/>
                <w:bCs/>
                <w:sz w:val="20"/>
                <w:szCs w:val="20"/>
                <w:lang w:eastAsia="fr-FR"/>
              </w:rPr>
              <w:t xml:space="preserve">      24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7703FFC" w14:textId="2BDB29FA" w:rsidR="00D86882" w:rsidRPr="00ED4F79" w:rsidRDefault="00E27690" w:rsidP="00E27690">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8538901"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BBB8C3"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24   </w:t>
            </w:r>
          </w:p>
        </w:tc>
      </w:tr>
      <w:tr w:rsidR="00D86882" w:rsidRPr="00D86882" w14:paraId="00C2EA99" w14:textId="77777777" w:rsidTr="004C6A24">
        <w:trPr>
          <w:trHeight w:val="420"/>
        </w:trPr>
        <w:tc>
          <w:tcPr>
            <w:tcW w:w="149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CFD1CDB"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10.85.14.10</w:t>
            </w:r>
          </w:p>
        </w:tc>
        <w:tc>
          <w:tcPr>
            <w:tcW w:w="423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548B408" w14:textId="491F9F3C"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 xml:space="preserve">Pâtes alimentaires cuisinées (lasagnes, </w:t>
            </w:r>
            <w:r w:rsidR="004C6A24" w:rsidRPr="00ED4F79">
              <w:rPr>
                <w:rFonts w:eastAsia="Times New Roman" w:cs="Arial"/>
                <w:sz w:val="20"/>
                <w:szCs w:val="20"/>
                <w:lang w:eastAsia="fr-FR"/>
              </w:rPr>
              <w:t>cannellonis</w:t>
            </w:r>
            <w:r w:rsidRPr="00ED4F79">
              <w:rPr>
                <w:rFonts w:eastAsia="Times New Roman" w:cs="Arial"/>
                <w:sz w:val="20"/>
                <w:szCs w:val="20"/>
                <w:lang w:eastAsia="fr-FR"/>
              </w:rPr>
              <w:t>, raviolis)</w:t>
            </w:r>
          </w:p>
        </w:tc>
        <w:tc>
          <w:tcPr>
            <w:tcW w:w="785"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412F72C5"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NC </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452BD91"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 xml:space="preserve">       0,5   </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53F40E4"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&lt;&lt;78</w:t>
            </w:r>
          </w:p>
        </w:tc>
        <w:tc>
          <w:tcPr>
            <w:tcW w:w="85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66A91CCE"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&lt;&lt;79 </w:t>
            </w:r>
          </w:p>
        </w:tc>
      </w:tr>
      <w:tr w:rsidR="00D86882" w:rsidRPr="00D86882" w14:paraId="39F566FB" w14:textId="77777777" w:rsidTr="004C6A24">
        <w:trPr>
          <w:trHeight w:val="345"/>
        </w:trPr>
        <w:tc>
          <w:tcPr>
            <w:tcW w:w="149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AEA84D" w14:textId="77777777"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10.85.19.10</w:t>
            </w:r>
          </w:p>
        </w:tc>
        <w:tc>
          <w:tcPr>
            <w:tcW w:w="423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77B7F11" w14:textId="285385CA" w:rsidR="00D86882" w:rsidRPr="00ED4F79" w:rsidRDefault="00D86882" w:rsidP="00ED4F79">
            <w:pPr>
              <w:keepNext/>
              <w:spacing w:after="0" w:line="240" w:lineRule="auto"/>
              <w:jc w:val="left"/>
              <w:rPr>
                <w:rFonts w:eastAsia="Times New Roman" w:cs="Arial"/>
                <w:sz w:val="20"/>
                <w:szCs w:val="20"/>
                <w:lang w:eastAsia="fr-FR"/>
              </w:rPr>
            </w:pPr>
            <w:r w:rsidRPr="00ED4F79">
              <w:rPr>
                <w:rFonts w:eastAsia="Times New Roman" w:cs="Arial"/>
                <w:sz w:val="20"/>
                <w:szCs w:val="20"/>
                <w:lang w:eastAsia="fr-FR"/>
              </w:rPr>
              <w:t xml:space="preserve">Tartes salées, quiches, tartes, pizzas, </w:t>
            </w:r>
            <w:r w:rsidR="004C6A24" w:rsidRPr="00ED4F79">
              <w:rPr>
                <w:rFonts w:eastAsia="Times New Roman" w:cs="Arial"/>
                <w:sz w:val="20"/>
                <w:szCs w:val="20"/>
                <w:lang w:eastAsia="fr-FR"/>
              </w:rPr>
              <w:t>crêpes</w:t>
            </w:r>
            <w:r w:rsidRPr="00ED4F79">
              <w:rPr>
                <w:rFonts w:eastAsia="Times New Roman" w:cs="Arial"/>
                <w:sz w:val="20"/>
                <w:szCs w:val="20"/>
                <w:lang w:eastAsia="fr-FR"/>
              </w:rPr>
              <w:t xml:space="preserve"> garnies </w:t>
            </w:r>
          </w:p>
        </w:tc>
        <w:tc>
          <w:tcPr>
            <w:tcW w:w="7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7C6A676"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57   </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ECDD4C"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 xml:space="preserve">       0,8   </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BF2A40B"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     </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8C285E" w14:textId="77777777" w:rsidR="00D86882" w:rsidRPr="00ED4F79" w:rsidRDefault="00D86882" w:rsidP="00ED4F79">
            <w:pPr>
              <w:keepNext/>
              <w:spacing w:after="0" w:line="240" w:lineRule="auto"/>
              <w:jc w:val="right"/>
              <w:rPr>
                <w:rFonts w:eastAsia="Times New Roman" w:cs="Arial"/>
                <w:sz w:val="20"/>
                <w:szCs w:val="20"/>
                <w:lang w:eastAsia="fr-FR"/>
              </w:rPr>
            </w:pPr>
            <w:r w:rsidRPr="00ED4F79">
              <w:rPr>
                <w:rFonts w:eastAsia="Times New Roman" w:cs="Arial"/>
                <w:sz w:val="20"/>
                <w:szCs w:val="20"/>
                <w:lang w:eastAsia="fr-FR"/>
              </w:rPr>
              <w:t xml:space="preserve">    58   </w:t>
            </w:r>
          </w:p>
        </w:tc>
      </w:tr>
      <w:tr w:rsidR="00D86882" w:rsidRPr="00D86882" w14:paraId="4FB3C29D" w14:textId="77777777" w:rsidTr="004C6A24">
        <w:trPr>
          <w:trHeight w:val="375"/>
        </w:trPr>
        <w:tc>
          <w:tcPr>
            <w:tcW w:w="1495"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167C73F1" w14:textId="77777777" w:rsidR="00D86882" w:rsidRPr="00ED4F79" w:rsidRDefault="00D86882" w:rsidP="00ED4F79">
            <w:pPr>
              <w:keepNext/>
              <w:spacing w:after="0" w:line="240" w:lineRule="auto"/>
              <w:jc w:val="left"/>
              <w:rPr>
                <w:rFonts w:eastAsia="Times New Roman" w:cs="Arial"/>
                <w:i/>
                <w:iCs/>
                <w:sz w:val="20"/>
                <w:szCs w:val="20"/>
                <w:lang w:eastAsia="fr-FR"/>
              </w:rPr>
            </w:pPr>
            <w:r w:rsidRPr="00ED4F79">
              <w:rPr>
                <w:rFonts w:eastAsia="Times New Roman" w:cs="Arial"/>
                <w:i/>
                <w:iCs/>
                <w:sz w:val="20"/>
                <w:szCs w:val="20"/>
                <w:lang w:eastAsia="fr-FR"/>
              </w:rPr>
              <w:t>10.89.16.00</w:t>
            </w:r>
          </w:p>
        </w:tc>
        <w:tc>
          <w:tcPr>
            <w:tcW w:w="4236"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3F78A657" w14:textId="6A353DB0" w:rsidR="00D86882" w:rsidRPr="00ED4F79" w:rsidRDefault="00D86882" w:rsidP="00ED4F79">
            <w:pPr>
              <w:keepNext/>
              <w:spacing w:after="0" w:line="240" w:lineRule="auto"/>
              <w:jc w:val="left"/>
              <w:rPr>
                <w:rFonts w:eastAsia="Times New Roman" w:cs="Arial"/>
                <w:i/>
                <w:iCs/>
                <w:sz w:val="20"/>
                <w:szCs w:val="20"/>
                <w:lang w:eastAsia="fr-FR"/>
              </w:rPr>
            </w:pPr>
            <w:r w:rsidRPr="00ED4F79">
              <w:rPr>
                <w:rFonts w:eastAsia="Times New Roman" w:cs="Arial"/>
                <w:i/>
                <w:iCs/>
                <w:sz w:val="20"/>
                <w:szCs w:val="20"/>
                <w:lang w:eastAsia="fr-FR"/>
              </w:rPr>
              <w:t>Préparations alimentaires périssables telles que sandwichs et pizzas fraîches</w:t>
            </w:r>
          </w:p>
        </w:tc>
        <w:tc>
          <w:tcPr>
            <w:tcW w:w="785"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12921D84" w14:textId="77777777" w:rsidR="00D86882" w:rsidRPr="00ED4F79" w:rsidRDefault="00D86882" w:rsidP="00ED4F79">
            <w:pPr>
              <w:keepNext/>
              <w:spacing w:after="0" w:line="240" w:lineRule="auto"/>
              <w:jc w:val="right"/>
              <w:rPr>
                <w:rFonts w:eastAsia="Times New Roman" w:cs="Arial"/>
                <w:b/>
                <w:bCs/>
                <w:i/>
                <w:iCs/>
                <w:sz w:val="20"/>
                <w:szCs w:val="20"/>
                <w:lang w:eastAsia="fr-FR"/>
              </w:rPr>
            </w:pPr>
            <w:r w:rsidRPr="00ED4F79">
              <w:rPr>
                <w:rFonts w:eastAsia="Times New Roman" w:cs="Arial"/>
                <w:b/>
                <w:bCs/>
                <w:i/>
                <w:iCs/>
                <w:sz w:val="20"/>
                <w:szCs w:val="20"/>
                <w:lang w:eastAsia="fr-FR"/>
              </w:rPr>
              <w:t>69,4</w:t>
            </w:r>
          </w:p>
        </w:tc>
        <w:tc>
          <w:tcPr>
            <w:tcW w:w="992"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0A83167D" w14:textId="4394D4E2" w:rsidR="00D86882" w:rsidRPr="00ED4F79" w:rsidRDefault="00E27690" w:rsidP="00ED4F79">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1276"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62028277" w14:textId="05F9E681" w:rsidR="00D86882" w:rsidRPr="00ED4F79" w:rsidRDefault="00E27690" w:rsidP="00ED4F79">
            <w:pPr>
              <w:keepNext/>
              <w:spacing w:after="0" w:line="240" w:lineRule="auto"/>
              <w:jc w:val="right"/>
              <w:rPr>
                <w:rFonts w:eastAsia="Times New Roman" w:cs="Arial"/>
                <w:i/>
                <w:iCs/>
                <w:sz w:val="20"/>
                <w:szCs w:val="20"/>
                <w:lang w:eastAsia="fr-FR"/>
              </w:rPr>
            </w:pPr>
            <w:r>
              <w:rPr>
                <w:rFonts w:eastAsia="Times New Roman" w:cs="Arial"/>
                <w:i/>
                <w:iCs/>
                <w:sz w:val="20"/>
                <w:szCs w:val="20"/>
                <w:lang w:eastAsia="fr-FR"/>
              </w:rPr>
              <w:t>-</w:t>
            </w:r>
          </w:p>
        </w:tc>
        <w:tc>
          <w:tcPr>
            <w:tcW w:w="850"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1553ECE5" w14:textId="77777777" w:rsidR="00D86882" w:rsidRPr="00ED4F79" w:rsidRDefault="00D86882" w:rsidP="00ED4F79">
            <w:pPr>
              <w:keepNext/>
              <w:spacing w:after="0" w:line="240" w:lineRule="auto"/>
              <w:jc w:val="right"/>
              <w:rPr>
                <w:rFonts w:eastAsia="Times New Roman" w:cs="Arial"/>
                <w:i/>
                <w:iCs/>
                <w:sz w:val="20"/>
                <w:szCs w:val="20"/>
                <w:lang w:eastAsia="fr-FR"/>
              </w:rPr>
            </w:pPr>
            <w:r w:rsidRPr="00ED4F79">
              <w:rPr>
                <w:rFonts w:eastAsia="Times New Roman" w:cs="Arial"/>
                <w:i/>
                <w:iCs/>
                <w:sz w:val="20"/>
                <w:szCs w:val="20"/>
                <w:lang w:eastAsia="fr-FR"/>
              </w:rPr>
              <w:t>69,4</w:t>
            </w:r>
          </w:p>
        </w:tc>
      </w:tr>
    </w:tbl>
    <w:p w14:paraId="0CF4EA40" w14:textId="76F504CC" w:rsidR="00ED4F79" w:rsidRPr="00ED4F79" w:rsidRDefault="00D86882" w:rsidP="00ED4F79">
      <w:pPr>
        <w:pStyle w:val="figure"/>
        <w:rPr>
          <w:rStyle w:val="figureCar"/>
          <w:b/>
          <w:bCs/>
          <w:iCs/>
        </w:rPr>
      </w:pPr>
      <w:bookmarkStart w:id="61" w:name="_Toc72143354"/>
      <w:r w:rsidRPr="00ED4F79">
        <w:t xml:space="preserve">Tableau </w:t>
      </w:r>
      <w:r w:rsidR="00E27D6E">
        <w:fldChar w:fldCharType="begin"/>
      </w:r>
      <w:r w:rsidR="00E27D6E">
        <w:instrText xml:space="preserve"> SEQ Tableau \* ARABIC </w:instrText>
      </w:r>
      <w:r w:rsidR="00E27D6E">
        <w:fldChar w:fldCharType="separate"/>
      </w:r>
      <w:r w:rsidR="0007597F">
        <w:rPr>
          <w:noProof/>
        </w:rPr>
        <w:t>6</w:t>
      </w:r>
      <w:r w:rsidR="00E27D6E">
        <w:rPr>
          <w:noProof/>
        </w:rPr>
        <w:fldChar w:fldCharType="end"/>
      </w:r>
      <w:r w:rsidR="00ED4F79" w:rsidRPr="00ED4F79">
        <w:rPr>
          <w:rStyle w:val="figureCar"/>
          <w:b/>
          <w:bCs/>
          <w:iCs/>
        </w:rPr>
        <w:t xml:space="preserve"> : </w:t>
      </w:r>
      <w:r w:rsidR="0035113B" w:rsidRPr="00ED4F79">
        <w:rPr>
          <w:rStyle w:val="figureCar"/>
          <w:b/>
          <w:bCs/>
          <w:iCs/>
        </w:rPr>
        <w:t>Reconstitution des volumes de production des produits traiteurs intégrant potentiellement du porc</w:t>
      </w:r>
      <w:bookmarkEnd w:id="61"/>
      <w:r w:rsidR="0035113B" w:rsidRPr="00ED4F79">
        <w:rPr>
          <w:rStyle w:val="figureCar"/>
          <w:b/>
          <w:bCs/>
          <w:iCs/>
        </w:rPr>
        <w:t xml:space="preserve"> </w:t>
      </w:r>
      <w:r w:rsidR="002A05D1">
        <w:rPr>
          <w:rStyle w:val="figureCar"/>
          <w:b/>
          <w:bCs/>
          <w:iCs/>
        </w:rPr>
        <w:t>en kt</w:t>
      </w:r>
    </w:p>
    <w:p w14:paraId="1F50A201" w14:textId="5ED42DFB" w:rsidR="001632FF" w:rsidRDefault="00D86882" w:rsidP="00ED4F79">
      <w:pPr>
        <w:pStyle w:val="Lgende"/>
      </w:pPr>
      <w:r w:rsidRPr="00D86882">
        <w:t>(Ifip d’après</w:t>
      </w:r>
      <w:r w:rsidR="0035113B">
        <w:t xml:space="preserve"> PRODCO</w:t>
      </w:r>
      <w:r w:rsidR="00D60F21">
        <w:t>M</w:t>
      </w:r>
      <w:r w:rsidR="0035113B">
        <w:t>, enquêtes ADEPALE et FICT</w:t>
      </w:r>
      <w:r w:rsidRPr="00D86882">
        <w:t>)</w:t>
      </w:r>
    </w:p>
    <w:p w14:paraId="4A8D900E" w14:textId="327A46FD" w:rsidR="00B31C44" w:rsidRPr="001632FF" w:rsidRDefault="001632FF" w:rsidP="0027296F">
      <w:pPr>
        <w:pStyle w:val="Puce1"/>
        <w:numPr>
          <w:ilvl w:val="0"/>
          <w:numId w:val="11"/>
        </w:numPr>
        <w:rPr>
          <w:sz w:val="20"/>
        </w:rPr>
      </w:pPr>
      <w:r>
        <w:rPr>
          <w:sz w:val="20"/>
        </w:rPr>
        <w:t xml:space="preserve">Focus sur la charcuterie pâtissière et les plats cuisinés à base de porc </w:t>
      </w:r>
      <w:r w:rsidR="0035113B">
        <w:rPr>
          <w:sz w:val="20"/>
        </w:rPr>
        <w:t xml:space="preserve">à partir des données d’enquête PRODCOM FICT </w:t>
      </w:r>
    </w:p>
    <w:p w14:paraId="54133409" w14:textId="38C3CC9E" w:rsidR="0027296F" w:rsidRDefault="00CD4205" w:rsidP="0027296F">
      <w:r>
        <w:t xml:space="preserve">L’observation </w:t>
      </w:r>
      <w:r w:rsidR="00C25FB0">
        <w:t xml:space="preserve">des volumes </w:t>
      </w:r>
      <w:r w:rsidR="008C201B">
        <w:t xml:space="preserve">de production avant exportation </w:t>
      </w:r>
      <w:r w:rsidR="00C25FB0">
        <w:t>entre 2010 et 2018</w:t>
      </w:r>
      <w:r w:rsidR="008C201B">
        <w:t xml:space="preserve">, </w:t>
      </w:r>
      <w:r w:rsidR="00C25FB0">
        <w:t xml:space="preserve">à partir des données </w:t>
      </w:r>
      <w:r w:rsidR="001F2691">
        <w:t>partielles issues uniquement de</w:t>
      </w:r>
      <w:r w:rsidR="00C25FB0">
        <w:t xml:space="preserve"> l’enquête FICT </w:t>
      </w:r>
      <w:r>
        <w:t>d</w:t>
      </w:r>
      <w:r w:rsidR="00432AF6">
        <w:t>es plats cuisinés et salades</w:t>
      </w:r>
      <w:r w:rsidR="00C25FB0">
        <w:t xml:space="preserve"> charcutières</w:t>
      </w:r>
      <w:r w:rsidR="00432AF6">
        <w:t xml:space="preserve"> d’une part et </w:t>
      </w:r>
      <w:r w:rsidR="001F2691">
        <w:t>des</w:t>
      </w:r>
      <w:r w:rsidR="00432AF6">
        <w:t xml:space="preserve"> charcuteries pâtissières d’autre part</w:t>
      </w:r>
      <w:r w:rsidR="00C25FB0">
        <w:t>,</w:t>
      </w:r>
      <w:r w:rsidR="00432AF6">
        <w:t xml:space="preserve"> fait apparaitre un plus bas en 2016</w:t>
      </w:r>
      <w:r w:rsidR="00C25FB0">
        <w:t xml:space="preserve"> puis une reprise</w:t>
      </w:r>
      <w:r w:rsidR="008C201B">
        <w:t xml:space="preserve"> jusqu’en 2018.</w:t>
      </w:r>
      <w:r w:rsidR="0065434C">
        <w:t xml:space="preserve"> </w:t>
      </w:r>
    </w:p>
    <w:p w14:paraId="2755F679" w14:textId="3763EFC5" w:rsidR="00AB101C" w:rsidRDefault="00D936CD" w:rsidP="0027296F">
      <w:r>
        <w:rPr>
          <w:noProof/>
        </w:rPr>
        <mc:AlternateContent>
          <mc:Choice Requires="wps">
            <w:drawing>
              <wp:anchor distT="0" distB="0" distL="114300" distR="114300" simplePos="0" relativeHeight="251658257" behindDoc="0" locked="0" layoutInCell="1" allowOverlap="1" wp14:anchorId="2FD86E8C" wp14:editId="6FE77380">
                <wp:simplePos x="0" y="0"/>
                <wp:positionH relativeFrom="column">
                  <wp:posOffset>4613266</wp:posOffset>
                </wp:positionH>
                <wp:positionV relativeFrom="paragraph">
                  <wp:posOffset>1094521</wp:posOffset>
                </wp:positionV>
                <wp:extent cx="859448" cy="202157"/>
                <wp:effectExtent l="0" t="57150" r="0" b="26670"/>
                <wp:wrapNone/>
                <wp:docPr id="36" name="Connecteur droit avec flèche 36"/>
                <wp:cNvGraphicFramePr/>
                <a:graphic xmlns:a="http://schemas.openxmlformats.org/drawingml/2006/main">
                  <a:graphicData uri="http://schemas.microsoft.com/office/word/2010/wordprocessingShape">
                    <wps:wsp>
                      <wps:cNvCnPr/>
                      <wps:spPr>
                        <a:xfrm flipV="1">
                          <a:off x="0" y="0"/>
                          <a:ext cx="859448" cy="202157"/>
                        </a:xfrm>
                        <a:prstGeom prst="straightConnector1">
                          <a:avLst/>
                        </a:prstGeom>
                        <a:ln>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404363" id="Connecteur droit avec flèche 36" o:spid="_x0000_s1026" type="#_x0000_t32" style="position:absolute;margin-left:363.25pt;margin-top:86.2pt;width:67.65pt;height:15.9pt;flip:y;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BZiGAIAAIMEAAAOAAAAZHJzL2Uyb0RvYy54bWysVMmOGyEQvUfKPyDucbc9Y2diuT0HTyaX&#10;LNZkuTNQuJHYBHj7o/xHfiwFtDurIiXKBTVFvVdVj0evbk9GkwOEqJzt6HTSUgKWO6HsrqMfP9w/&#10;u6EkJmYF085CR88Q6e366ZPV0S9h5nqnBQSCJDYuj76jfUp+2TSR92BYnDgPFg+lC4Yl3IZdIwI7&#10;IrvRzaxtF83RBeGD4xAjRu/qIV0XfimBp3dSRkhEdxR7S2UNZX3Ma7NeseUuMN8rPrTB/qELw5TF&#10;oiPVHUuM7IP6hcooHlx0Mk24M42TUnEoM+A00/anad73zEOZBcWJfpQp/j9a/vawDUSJjl4tKLHM&#10;4B1tnLUoHOwDEcGpRNgBOJH6y2e8FYJ5KNrRxyViN3Ybhl3025AVOMlgMFn5T+iHoglOSU5F8vMo&#10;OZwS4Ri8mb+4vkaPcDyatbPp/HlmbypNpvMhplfgDMkfHY0pMLXr09CjC7UEO7yOqQIvgAzWNq/R&#10;aSXuldZlk50FGx3IgaEn0qkS6L1540SNLeZtOzgDw+ifGr66hLG74s/MUnr9oUBiSr+0gqSzRy1T&#10;UMzuNAxT5YaarF1Vq3yls4ba7ANIvApUpfY0Fqn1Gedg03RkwuwMkzjYCGyL4H8EDvkZCuWB/A14&#10;RJTKzqYRbJR14XfVs8L1ZmTNvyhQ584SPDpxLj4q0qDTi6rDq8xP6ft9gX/7d6y/AgAA//8DAFBL&#10;AwQUAAYACAAAACEA9DFyw+IAAAALAQAADwAAAGRycy9kb3ducmV2LnhtbEyPTU/CQBRF9yb+h8kj&#10;cSdTamlJ6ZQQjCZuwFYWLofOo22cj6YzQP33Ple6fLkn951bbCaj2RVH3zsrYDGPgKFtnOptK+D4&#10;8fK4AuaDtEpqZ1HAN3rYlPd3hcyVu9kKr3VoGZVYn0sBXQhDzrlvOjTSz92AlrKzG40MdI4tV6O8&#10;UbnRPI6ilBvZW/rQyQF3HTZf9cUI0G+Hz/fn7f61zs5Px/3SVW6XVEI8zKbtGljAKfzB8KtP6lCS&#10;08ldrPJMC8jidEkoBVmcACNilS5ozElAHCUx8LLg/zeUPwAAAP//AwBQSwECLQAUAAYACAAAACEA&#10;toM4kv4AAADhAQAAEwAAAAAAAAAAAAAAAAAAAAAAW0NvbnRlbnRfVHlwZXNdLnhtbFBLAQItABQA&#10;BgAIAAAAIQA4/SH/1gAAAJQBAAALAAAAAAAAAAAAAAAAAC8BAABfcmVscy8ucmVsc1BLAQItABQA&#10;BgAIAAAAIQChZBZiGAIAAIMEAAAOAAAAAAAAAAAAAAAAAC4CAABkcnMvZTJvRG9jLnhtbFBLAQIt&#10;ABQABgAIAAAAIQD0MXLD4gAAAAsBAAAPAAAAAAAAAAAAAAAAAHIEAABkcnMvZG93bnJldi54bWxQ&#10;SwUGAAAAAAQABADzAAAAgQUAAAAA&#10;" strokecolor="#5a5a5a [2109]" strokeweight=".5pt">
                <v:stroke endarrow="block" joinstyle="miter"/>
              </v:shape>
            </w:pict>
          </mc:Fallback>
        </mc:AlternateContent>
      </w:r>
      <w:r w:rsidR="00432AF6">
        <w:rPr>
          <w:noProof/>
        </w:rPr>
        <mc:AlternateContent>
          <mc:Choice Requires="wps">
            <w:drawing>
              <wp:anchor distT="0" distB="0" distL="114300" distR="114300" simplePos="0" relativeHeight="251658255" behindDoc="0" locked="0" layoutInCell="1" allowOverlap="1" wp14:anchorId="78296659" wp14:editId="2C13D180">
                <wp:simplePos x="0" y="0"/>
                <wp:positionH relativeFrom="column">
                  <wp:posOffset>4545027</wp:posOffset>
                </wp:positionH>
                <wp:positionV relativeFrom="paragraph">
                  <wp:posOffset>398485</wp:posOffset>
                </wp:positionV>
                <wp:extent cx="873096" cy="215294"/>
                <wp:effectExtent l="0" t="57150" r="0" b="32385"/>
                <wp:wrapNone/>
                <wp:docPr id="34" name="Connecteur droit avec flèche 34"/>
                <wp:cNvGraphicFramePr/>
                <a:graphic xmlns:a="http://schemas.openxmlformats.org/drawingml/2006/main">
                  <a:graphicData uri="http://schemas.microsoft.com/office/word/2010/wordprocessingShape">
                    <wps:wsp>
                      <wps:cNvCnPr/>
                      <wps:spPr>
                        <a:xfrm flipV="1">
                          <a:off x="0" y="0"/>
                          <a:ext cx="873096" cy="215294"/>
                        </a:xfrm>
                        <a:prstGeom prst="straightConnector1">
                          <a:avLst/>
                        </a:prstGeom>
                        <a:ln>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5EB49B5" id="Connecteur droit avec flèche 34" o:spid="_x0000_s1026" type="#_x0000_t32" style="position:absolute;margin-left:357.9pt;margin-top:31.4pt;width:68.75pt;height:16.95pt;flip:y;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R8YGgIAAIMEAAAOAAAAZHJzL2Uyb0RvYy54bWysVMmOGyEQvUfKPyDucbftjDNjuT0HTyaX&#10;LNZkuTNQuJHYBHj7o/xHfiwFtDurIiXKBTVFvfeqHkWvbk9GkwOEqJzt6HTSUgKWO6HsrqMfP9w/&#10;u6YkJmYF085CR88Q6e366ZPV0S9h5nqnBQSCJDYuj76jfUp+2TSR92BYnDgPFg+lC4Yl3IZdIwI7&#10;IrvRzaxtF83RBeGD4xAjRu/qIV0XfimBp3dSRkhEdxRrS2UNZX3Ma7NeseUuMN8rPpTB/qEKw5RF&#10;0ZHqjiVG9kH9QmUUDy46mSbcmcZJqTiUHrCbaftTN+975qH0guZEP9oU/x8tf3vYBqJER+fPKbHM&#10;4B1tnLVoHOwDEcGpRNgBOJH6y2e8FYJ5aNrRxyViN3Ybhl3025AdOMlgMFn5TzgPxRPskpyK5efR&#10;cjglwjF4/WLe3iwo4Xg0m17Nbgp7U2kynQ8xvQJnSP7oaEyBqV2fhhpdqBLs8DomLASBF0AGa5vX&#10;6LQS90rrssmTBRsdyIHhTKRTJdB788aJGltcte0wGRjG+anh+SWMImU+M0uR/EEgMaVfWkHS2aOX&#10;KShmdxqyZ4jLBTXZu+pW+UpnDbXYB5B4FehKrWkUqfqMc7BpOjJhdoZJbGwEtsXwPwKH/AyF8kD+&#10;BjwiirKzaQQbZV34nXp2uDYva/7Fgdp3tuDRiXOZo2INTnrxaniV+Sl9vy/wb/+O9VcAAAD//wMA&#10;UEsDBBQABgAIAAAAIQDzbTop4gAAAAkBAAAPAAAAZHJzL2Rvd25yZXYueG1sTI/NTsMwEITvSLyD&#10;tUjcqNOGJG2aTVUVgcSlkNADRzfeJhH+iWK3DW+POcFpNdrRzDfFZtKKXWh0vTUI81kEjExjZW9a&#10;hMPH88MSmPPCSKGsIYRvcrApb28KkUt7NRVdat+yEGJcLhA674ecc9d0pIWb2YFM+J3sqIUPcmy5&#10;HMU1hGvFF1GUci16Exo6MdCuo+arPmsE9fr2+f603b/U2Sk+7BNb2d1jhXh/N23XwDxN/s8Mv/gB&#10;HcrAdLRnIx1TCNk8CegeIV2EGwzLJI6BHRFWaQa8LPj/BeUPAAAA//8DAFBLAQItABQABgAIAAAA&#10;IQC2gziS/gAAAOEBAAATAAAAAAAAAAAAAAAAAAAAAABbQ29udGVudF9UeXBlc10ueG1sUEsBAi0A&#10;FAAGAAgAAAAhADj9If/WAAAAlAEAAAsAAAAAAAAAAAAAAAAALwEAAF9yZWxzLy5yZWxzUEsBAi0A&#10;FAAGAAgAAAAhACoxHxgaAgAAgwQAAA4AAAAAAAAAAAAAAAAALgIAAGRycy9lMm9Eb2MueG1sUEsB&#10;Ai0AFAAGAAgAAAAhAPNtOiniAAAACQEAAA8AAAAAAAAAAAAAAAAAdAQAAGRycy9kb3ducmV2Lnht&#10;bFBLBQYAAAAABAAEAPMAAACDBQAAAAA=&#10;" strokecolor="#5a5a5a [2109]" strokeweight=".5pt">
                <v:stroke endarrow="block" joinstyle="miter"/>
              </v:shape>
            </w:pict>
          </mc:Fallback>
        </mc:AlternateContent>
      </w:r>
      <w:r w:rsidR="00432AF6">
        <w:rPr>
          <w:noProof/>
        </w:rPr>
        <mc:AlternateContent>
          <mc:Choice Requires="wps">
            <w:drawing>
              <wp:anchor distT="0" distB="0" distL="114300" distR="114300" simplePos="0" relativeHeight="251658256" behindDoc="0" locked="0" layoutInCell="1" allowOverlap="1" wp14:anchorId="6F059206" wp14:editId="48F0B5EA">
                <wp:simplePos x="0" y="0"/>
                <wp:positionH relativeFrom="column">
                  <wp:posOffset>1926334</wp:posOffset>
                </wp:positionH>
                <wp:positionV relativeFrom="paragraph">
                  <wp:posOffset>984686</wp:posOffset>
                </wp:positionV>
                <wp:extent cx="2361063" cy="354841"/>
                <wp:effectExtent l="0" t="0" r="39370" b="83820"/>
                <wp:wrapNone/>
                <wp:docPr id="35" name="Connecteur droit avec flèche 35"/>
                <wp:cNvGraphicFramePr/>
                <a:graphic xmlns:a="http://schemas.openxmlformats.org/drawingml/2006/main">
                  <a:graphicData uri="http://schemas.microsoft.com/office/word/2010/wordprocessingShape">
                    <wps:wsp>
                      <wps:cNvCnPr/>
                      <wps:spPr>
                        <a:xfrm>
                          <a:off x="0" y="0"/>
                          <a:ext cx="2361063" cy="354841"/>
                        </a:xfrm>
                        <a:prstGeom prst="straightConnector1">
                          <a:avLst/>
                        </a:prstGeom>
                        <a:ln>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B27F6CA" id="Connecteur droit avec flèche 35" o:spid="_x0000_s1026" type="#_x0000_t32" style="position:absolute;margin-left:151.7pt;margin-top:77.55pt;width:185.9pt;height:27.95pt;z-index:251658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EoBEwIAAHoEAAAOAAAAZHJzL2Uyb0RvYy54bWyslMmOGyEQhu+R8g6Ie9xte2yNLLfn4Mnk&#10;ksXKJA/AsLiR2FTg7Y3yHnmxFNDuyaZIiXKhoeCv5aPo9d3ZGnKUELV3HZ1OWkqk415ot+/o508P&#10;r24piYk5wYx3sqMXGend5uWL9Sms5Mz33ggJBJ24uDqFjvYphVXTRN5Ly+LEB+lwU3mwLOES9o0A&#10;dkLv1jSztl02Jw8igOcyRrTe1026Kf6Vkjx9UCrKRExHMbdURijjUx6bzZqt9sBCr/mQBvuHLCzT&#10;DoOOru5ZYuQA+hdXVnPw0as04d42XinNZakBq5m2P1Xz2LMgSy0IJ4YRU/x/bvn74w6IFh2dLyhx&#10;zOIdbb1zCE4egAjwOhF2lJwo8/UL3grBcwjtFOIKtVu3g2EVww4ygbMCm79YGzkX0JcRtDwnwtE4&#10;my+n7XJOCce9+eLm9maanTbP6gAxvZHekjzpaEzA9L5PQ2oepoU2O76NqQqvghzauDxGb7R40MaU&#10;RW4ouTVAjgxbIZ2rA3Ow77yotuWibYeGQDO2TTXPr2bMrrRl9lJy/SFAYtq8doKkS0CECTRzeyOH&#10;qnJCTUZWIZVZuhhZk/0oFd4AYqk5jUFqfMa5dOnKxzg8nWUKCxuFbaHxR+FwPktleRd/Ix4VJbJ3&#10;aRRb7Tz8LnomXG9G1fNXArXujODJi0tpn4IGG7xQHR5jfkHfr4v8+Zex+QYAAP//AwBQSwMEFAAG&#10;AAgAAAAhAKWSAUXeAAAACwEAAA8AAABkcnMvZG93bnJldi54bWxMj81OhDAUhfcmvkNzTdw5LSBg&#10;kDIxqEsX8/MAHbgWMvSW0MLA21tXurw5X875brlfzcAWnFxvSUK0E8CQGtv2pCWcT59PL8CcV9Sq&#10;wRJK2NDBvrq/K1XR2hsdcDl6zUIJuUJJ6LwfC85d06FRbmdHpJB928koH85J83ZSt1BuBh4LkXGj&#10;egoLnRqx7rC5Hmcj4SN5P+Xb7PVy/arnQ663M2W1lI8P69srMI+r/4PhVz+oQxWcLnam1rFBQiKS&#10;54CGIE0jYIHI8jQGdpEQR5EAXpX8/w/VDwAAAP//AwBQSwECLQAUAAYACAAAACEAtoM4kv4AAADh&#10;AQAAEwAAAAAAAAAAAAAAAAAAAAAAW0NvbnRlbnRfVHlwZXNdLnhtbFBLAQItABQABgAIAAAAIQA4&#10;/SH/1gAAAJQBAAALAAAAAAAAAAAAAAAAAC8BAABfcmVscy8ucmVsc1BLAQItABQABgAIAAAAIQCE&#10;oEoBEwIAAHoEAAAOAAAAAAAAAAAAAAAAAC4CAABkcnMvZTJvRG9jLnhtbFBLAQItABQABgAIAAAA&#10;IQClkgFF3gAAAAsBAAAPAAAAAAAAAAAAAAAAAG0EAABkcnMvZG93bnJldi54bWxQSwUGAAAAAAQA&#10;BADzAAAAeAUAAAAA&#10;" strokecolor="#5a5a5a [2109]" strokeweight=".5pt">
                <v:stroke endarrow="block" joinstyle="miter"/>
              </v:shape>
            </w:pict>
          </mc:Fallback>
        </mc:AlternateContent>
      </w:r>
      <w:r w:rsidR="00432AF6">
        <w:rPr>
          <w:noProof/>
        </w:rPr>
        <mc:AlternateContent>
          <mc:Choice Requires="wps">
            <w:drawing>
              <wp:anchor distT="0" distB="0" distL="114300" distR="114300" simplePos="0" relativeHeight="251658254" behindDoc="0" locked="0" layoutInCell="1" allowOverlap="1" wp14:anchorId="3C6122A5" wp14:editId="6D77C765">
                <wp:simplePos x="0" y="0"/>
                <wp:positionH relativeFrom="column">
                  <wp:posOffset>1951951</wp:posOffset>
                </wp:positionH>
                <wp:positionV relativeFrom="paragraph">
                  <wp:posOffset>259450</wp:posOffset>
                </wp:positionV>
                <wp:extent cx="2361063" cy="354841"/>
                <wp:effectExtent l="0" t="0" r="39370" b="83820"/>
                <wp:wrapNone/>
                <wp:docPr id="33" name="Connecteur droit avec flèche 33"/>
                <wp:cNvGraphicFramePr/>
                <a:graphic xmlns:a="http://schemas.openxmlformats.org/drawingml/2006/main">
                  <a:graphicData uri="http://schemas.microsoft.com/office/word/2010/wordprocessingShape">
                    <wps:wsp>
                      <wps:cNvCnPr/>
                      <wps:spPr>
                        <a:xfrm>
                          <a:off x="0" y="0"/>
                          <a:ext cx="2361063" cy="354841"/>
                        </a:xfrm>
                        <a:prstGeom prst="straightConnector1">
                          <a:avLst/>
                        </a:prstGeom>
                        <a:ln>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A84BA06" id="Connecteur droit avec flèche 33" o:spid="_x0000_s1026" type="#_x0000_t32" style="position:absolute;margin-left:153.7pt;margin-top:20.45pt;width:185.9pt;height:27.95pt;z-index:25165825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y+LEwIAAHoEAAAOAAAAZHJzL2Uyb0RvYy54bWyslMmOGyEQhu+R8g6Ie9xte8YaWW7PwZPJ&#10;JcsokzwAQxc2EpsKvL1R3iMvlgLaPdkUKVEuNBT8tXwUvbo9WcMOgFF71/HppOUMnPS9dtuOf/50&#10;/+qGs5iE64XxDjp+hshv1y9frI5hCTO/86YHZOTExeUxdHyXUlg2TZQ7sCJOfABHm8qjFYmWuG16&#10;FEfybk0za9tFc/TYB/QSYiTrXd3k6+JfKZDpg1IREjMdp9xSGbGMT3ls1iux3KIIOy2HNMQ/ZGGF&#10;dhR0dHUnkmB71L+4slqij16lifS28UppCaUGqmba/lTN404EKLUQnBhGTPH/uZXvDw/IdN/x+Zwz&#10;Jyzd0cY7R+Bgj6xHrxMTB5BMma9f6FYYnSNoxxCXpN24BxxWMTxgJnBSaPOXamOnAvo8goZTYpKM&#10;s/li2i4ooKS9+fXVzdU0O22e1QFjegPesjzpeEwo9HaXhtQ8TgttcXgbUxVeBDm0cXmM3uj+XhtT&#10;FrmhYGOQHQS1QjpVB2Zv3/m+2hbXbTs0BJmpbap5fjFTdqUts5eS6w8BktDmtetZOgdCmFALtzUw&#10;VJUTajKyCqnM0tlATfYjKLoBwlJzGoPU+EJKcOnCxzg6nWWKChuFbaHxR+FwPkuhvIu/EY+KEtm7&#10;NIqtdh5/Fz0Trjej6vkLgVp3RvDk+3Npn4KGGrxQHR5jfkHfr4v8+Zex/gYAAP//AwBQSwMEFAAG&#10;AAgAAAAhAIQD+eTeAAAACQEAAA8AAABkcnMvZG93bnJldi54bWxMj8tugzAQRfeV+g/WVOqusZtE&#10;EChDVNF22UUeH+Bgx6DgMcKGwN/XXbXL0T2690yxn23HJj341hHC60oA01Q71ZJBOJ++XnbAfJCk&#10;ZOdIIyzaw758fChkrtydDno6BsNiCflcIjQh9Dnnvm60lX7lek0xu7rByhDPwXA1yHsstx1fC5Fw&#10;K1uKC43sddXo+nYcLcLn5uOULmMw0+27Gg+pWc6UVIjPT/P7G7Cg5/AHw69+VIcyOl3cSMqzDmEj&#10;0m1EEbYiAxaBJM3WwC4IWbIDXhb8/wflDwAAAP//AwBQSwECLQAUAAYACAAAACEAtoM4kv4AAADh&#10;AQAAEwAAAAAAAAAAAAAAAAAAAAAAW0NvbnRlbnRfVHlwZXNdLnhtbFBLAQItABQABgAIAAAAIQA4&#10;/SH/1gAAAJQBAAALAAAAAAAAAAAAAAAAAC8BAABfcmVscy8ucmVsc1BLAQItABQABgAIAAAAIQDM&#10;Uy+LEwIAAHoEAAAOAAAAAAAAAAAAAAAAAC4CAABkcnMvZTJvRG9jLnhtbFBLAQItABQABgAIAAAA&#10;IQCEA/nk3gAAAAkBAAAPAAAAAAAAAAAAAAAAAG0EAABkcnMvZG93bnJldi54bWxQSwUGAAAAAAQA&#10;BADzAAAAeAUAAAAA&#10;" strokecolor="#5a5a5a [2109]" strokeweight=".5pt">
                <v:stroke endarrow="block" joinstyle="miter"/>
              </v:shape>
            </w:pict>
          </mc:Fallback>
        </mc:AlternateContent>
      </w:r>
      <w:r w:rsidR="00286BA2">
        <w:rPr>
          <w:noProof/>
        </w:rPr>
        <w:drawing>
          <wp:inline distT="0" distB="0" distL="0" distR="0" wp14:anchorId="0ABA888D" wp14:editId="2E6EC373">
            <wp:extent cx="5850890" cy="2333768"/>
            <wp:effectExtent l="0" t="0" r="0" b="0"/>
            <wp:docPr id="31" name="Graphique 31">
              <a:extLst xmlns:a="http://schemas.openxmlformats.org/drawingml/2006/main">
                <a:ext uri="{FF2B5EF4-FFF2-40B4-BE49-F238E27FC236}">
                  <a16:creationId xmlns:a16="http://schemas.microsoft.com/office/drawing/2014/main" id="{F623BDF3-7EFE-4CF2-ACAC-256E7A6ABA2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06476768" w14:textId="414C63F7" w:rsidR="001632FF" w:rsidRDefault="007B3B77" w:rsidP="00187C22">
      <w:pPr>
        <w:pStyle w:val="figure"/>
        <w:rPr>
          <w:i/>
        </w:rPr>
      </w:pPr>
      <w:bookmarkStart w:id="62" w:name="_Ref77693140"/>
      <w:bookmarkStart w:id="63" w:name="_Toc69511402"/>
      <w:r w:rsidRPr="007B3B77">
        <w:t xml:space="preserve">Figure </w:t>
      </w:r>
      <w:r w:rsidR="00E27D6E">
        <w:fldChar w:fldCharType="begin"/>
      </w:r>
      <w:r w:rsidR="00E27D6E">
        <w:instrText xml:space="preserve"> SEQ Figure \* ARABIC </w:instrText>
      </w:r>
      <w:r w:rsidR="00E27D6E">
        <w:fldChar w:fldCharType="separate"/>
      </w:r>
      <w:r w:rsidR="0007597F">
        <w:rPr>
          <w:noProof/>
        </w:rPr>
        <w:t>10</w:t>
      </w:r>
      <w:r w:rsidR="00E27D6E">
        <w:rPr>
          <w:noProof/>
        </w:rPr>
        <w:fldChar w:fldCharType="end"/>
      </w:r>
      <w:bookmarkEnd w:id="62"/>
      <w:r w:rsidRPr="007B3B77">
        <w:t xml:space="preserve"> : </w:t>
      </w:r>
      <w:r w:rsidR="002A578B">
        <w:t>Suivi des volumes de charcuterie pâtissière</w:t>
      </w:r>
      <w:r w:rsidRPr="007B3B77">
        <w:t xml:space="preserve"> </w:t>
      </w:r>
      <w:r w:rsidR="001632FF">
        <w:t>et plats cuisinés de porc</w:t>
      </w:r>
      <w:bookmarkEnd w:id="63"/>
      <w:r w:rsidR="001632FF">
        <w:t xml:space="preserve"> </w:t>
      </w:r>
      <w:r w:rsidR="002A05D1">
        <w:t>en kt</w:t>
      </w:r>
    </w:p>
    <w:p w14:paraId="6C419889" w14:textId="424904BC" w:rsidR="00AB101C" w:rsidRPr="00ED4F79" w:rsidRDefault="007B3B77" w:rsidP="00ED4F79">
      <w:pPr>
        <w:pStyle w:val="Lgende"/>
      </w:pPr>
      <w:r w:rsidRPr="00ED4F79">
        <w:t>(Ifip d’après enquête PRODCOM)</w:t>
      </w:r>
    </w:p>
    <w:p w14:paraId="262514A0" w14:textId="6B5F5163" w:rsidR="00A93436" w:rsidRDefault="00A93436" w:rsidP="0027296F">
      <w:r>
        <w:t>Les produits de charcuterie pâtissière voient leur croissance soutenue par des produits conditionnés (libre-service et frais-emballé) soient plus de 95% des volumes à +</w:t>
      </w:r>
      <w:r w:rsidR="009775E2">
        <w:t>11% entre</w:t>
      </w:r>
      <w:r>
        <w:t xml:space="preserve"> 2016</w:t>
      </w:r>
      <w:r w:rsidR="009775E2">
        <w:t xml:space="preserve"> et 2018</w:t>
      </w:r>
      <w:r>
        <w:t xml:space="preserve"> comparativement au</w:t>
      </w:r>
      <w:r w:rsidR="009775E2">
        <w:t>x</w:t>
      </w:r>
      <w:r>
        <w:t xml:space="preserve"> produits </w:t>
      </w:r>
      <w:r w:rsidR="009775E2">
        <w:t xml:space="preserve">à </w:t>
      </w:r>
      <w:r>
        <w:t xml:space="preserve">poids variable en recul de 8,9% </w:t>
      </w:r>
      <w:r w:rsidR="009775E2">
        <w:t xml:space="preserve">entre </w:t>
      </w:r>
      <w:r>
        <w:t>2016</w:t>
      </w:r>
      <w:r w:rsidR="009775E2">
        <w:t xml:space="preserve"> et 2018</w:t>
      </w:r>
      <w:r>
        <w:t>. En ce qui concerne les plats cuisinés</w:t>
      </w:r>
      <w:r w:rsidR="008C201B">
        <w:t xml:space="preserve"> de porc</w:t>
      </w:r>
      <w:r>
        <w:t xml:space="preserve">, </w:t>
      </w:r>
      <w:r w:rsidR="00C66E74">
        <w:t xml:space="preserve">ils progressent de 21% entre 2016 et 2018. Cependant </w:t>
      </w:r>
      <w:r>
        <w:t xml:space="preserve">à rebours du total de la catégorie, </w:t>
      </w:r>
      <w:r w:rsidR="008C201B">
        <w:t xml:space="preserve">les </w:t>
      </w:r>
      <w:r>
        <w:t>produits appertisés</w:t>
      </w:r>
      <w:r w:rsidR="008C201B">
        <w:t xml:space="preserve"> pèseraient encore </w:t>
      </w:r>
      <w:r>
        <w:t xml:space="preserve">plus de 50% des volumes en 2018 </w:t>
      </w:r>
      <w:r w:rsidR="00B14CB4">
        <w:t>devant les produits frais (45%) et le surgelé (</w:t>
      </w:r>
      <w:r w:rsidR="00C66E74">
        <w:t xml:space="preserve">moins de </w:t>
      </w:r>
      <w:r w:rsidR="00B14CB4">
        <w:t xml:space="preserve">3%). Ce contexte peut </w:t>
      </w:r>
      <w:r w:rsidR="00B14CB4">
        <w:lastRenderedPageBreak/>
        <w:t>être relié</w:t>
      </w:r>
      <w:r w:rsidR="008C201B">
        <w:t xml:space="preserve"> </w:t>
      </w:r>
      <w:r w:rsidR="00B14CB4">
        <w:t>à</w:t>
      </w:r>
      <w:r>
        <w:t xml:space="preserve"> la dimension régionale des produits (choucroute, petit salé…) </w:t>
      </w:r>
      <w:r w:rsidR="008C201B">
        <w:t xml:space="preserve">et </w:t>
      </w:r>
      <w:r w:rsidR="00B14CB4">
        <w:t xml:space="preserve">au </w:t>
      </w:r>
      <w:r>
        <w:t xml:space="preserve">poids des circuits spécialisés particulièrement important </w:t>
      </w:r>
      <w:r w:rsidR="008C201B">
        <w:t>en plats cuisinés frais et appertisés, soit de l’ordre de</w:t>
      </w:r>
      <w:r>
        <w:t xml:space="preserve"> 1</w:t>
      </w:r>
      <w:r w:rsidR="008C201B">
        <w:t>5</w:t>
      </w:r>
      <w:r>
        <w:t>% selon l’Adepale</w:t>
      </w:r>
      <w:r w:rsidR="00C66E74">
        <w:t>. Sur la même période de comparaison</w:t>
      </w:r>
      <w:r>
        <w:t xml:space="preserve">, </w:t>
      </w:r>
      <w:r w:rsidR="00C66E74">
        <w:t>les plats cuisinés de porc progressent plus rapidement en frais (+32%) qu’en appertisés (+13%) en ligne avec la tendance du total plats cuisinés.</w:t>
      </w:r>
    </w:p>
    <w:p w14:paraId="634F06D9" w14:textId="660B0CEE" w:rsidR="00944AE7" w:rsidRDefault="00132597" w:rsidP="00944AE7">
      <w:pPr>
        <w:pStyle w:val="Titre3"/>
      </w:pPr>
      <w:bookmarkStart w:id="64" w:name="_Toc78131558"/>
      <w:r>
        <w:t>2.</w:t>
      </w:r>
      <w:r w:rsidR="00944AE7">
        <w:t>2</w:t>
      </w:r>
      <w:r>
        <w:t>.</w:t>
      </w:r>
      <w:r w:rsidR="0082472B">
        <w:t>5</w:t>
      </w:r>
      <w:r>
        <w:t xml:space="preserve">. Appariements de données de production et de données </w:t>
      </w:r>
      <w:r w:rsidR="00FD4201">
        <w:t xml:space="preserve">import </w:t>
      </w:r>
      <w:r w:rsidR="00944AE7">
        <w:t>–</w:t>
      </w:r>
      <w:r w:rsidR="00FD4201">
        <w:t xml:space="preserve"> export</w:t>
      </w:r>
      <w:bookmarkEnd w:id="64"/>
    </w:p>
    <w:p w14:paraId="01604FB5" w14:textId="55190013" w:rsidR="0014673E" w:rsidRPr="00944AE7" w:rsidRDefault="0014673E" w:rsidP="0046597E">
      <w:pPr>
        <w:pStyle w:val="Titre4"/>
      </w:pPr>
      <w:bookmarkStart w:id="65" w:name="_Toc78131559"/>
      <w:r w:rsidRPr="00D00A7D">
        <w:t>2.</w:t>
      </w:r>
      <w:r>
        <w:t>2</w:t>
      </w:r>
      <w:r w:rsidRPr="00D00A7D">
        <w:t>.</w:t>
      </w:r>
      <w:r w:rsidR="0082472B">
        <w:t>5</w:t>
      </w:r>
      <w:r w:rsidRPr="00D00A7D">
        <w:t>.</w:t>
      </w:r>
      <w:r>
        <w:t>1</w:t>
      </w:r>
      <w:r w:rsidRPr="00D00A7D">
        <w:t xml:space="preserve">. </w:t>
      </w:r>
      <w:r>
        <w:t>Codification des produits</w:t>
      </w:r>
      <w:bookmarkEnd w:id="65"/>
      <w:r>
        <w:t xml:space="preserve"> </w:t>
      </w:r>
    </w:p>
    <w:p w14:paraId="4CE486D9" w14:textId="2D52FF7A" w:rsidR="0014673E" w:rsidRPr="00D00D3A" w:rsidRDefault="0014673E" w:rsidP="0014673E">
      <w:pPr>
        <w:rPr>
          <w:rFonts w:cs="Arial"/>
          <w:spacing w:val="-2"/>
        </w:rPr>
      </w:pPr>
      <w:r w:rsidRPr="00D00D3A">
        <w:rPr>
          <w:rFonts w:cs="Arial"/>
          <w:spacing w:val="-2"/>
        </w:rPr>
        <w:t xml:space="preserve">La codification des produits </w:t>
      </w:r>
      <w:r w:rsidR="006A3537">
        <w:rPr>
          <w:rFonts w:cs="Arial"/>
          <w:spacing w:val="-2"/>
        </w:rPr>
        <w:t xml:space="preserve">qui figurent dans </w:t>
      </w:r>
      <w:r w:rsidRPr="00D00D3A">
        <w:rPr>
          <w:rFonts w:cs="Arial"/>
          <w:spacing w:val="-2"/>
        </w:rPr>
        <w:t>la liste PRODCOM (Production Communautaire)</w:t>
      </w:r>
      <w:r w:rsidR="006A3537">
        <w:rPr>
          <w:rFonts w:cs="Arial"/>
          <w:spacing w:val="-2"/>
        </w:rPr>
        <w:t>,</w:t>
      </w:r>
      <w:r w:rsidRPr="00D00D3A">
        <w:rPr>
          <w:rFonts w:cs="Arial"/>
          <w:spacing w:val="-2"/>
        </w:rPr>
        <w:t xml:space="preserve"> s’effectue sur huit chiffres. Les quatre premiers reprennent les chiffres de la Nomenclature statistique des Activités économiques dans la Communauté Européenne (NACE) et les six premiers ceux de la Classification des Produits Associés aux activités (CPA), déclinaison française et européenne de la nomenclature de produits officialisée des Nations Unies de 2006.</w:t>
      </w:r>
    </w:p>
    <w:p w14:paraId="24B0F35E" w14:textId="79C72FB5" w:rsidR="00944AE7" w:rsidRPr="00944AE7" w:rsidRDefault="00944AE7" w:rsidP="0046597E">
      <w:pPr>
        <w:pStyle w:val="Titre4"/>
      </w:pPr>
      <w:bookmarkStart w:id="66" w:name="_Toc78131560"/>
      <w:r w:rsidRPr="0046597E">
        <w:t>2.2.</w:t>
      </w:r>
      <w:r w:rsidR="0082472B">
        <w:t>5</w:t>
      </w:r>
      <w:r w:rsidRPr="0046597E">
        <w:t>.</w:t>
      </w:r>
      <w:r w:rsidR="0014673E" w:rsidRPr="0046597E">
        <w:t>2</w:t>
      </w:r>
      <w:r w:rsidRPr="0046597E">
        <w:t>. Méthode d’appariement</w:t>
      </w:r>
      <w:bookmarkEnd w:id="66"/>
      <w:r w:rsidRPr="0046597E">
        <w:t xml:space="preserve"> </w:t>
      </w:r>
    </w:p>
    <w:p w14:paraId="38EAE913" w14:textId="08615D72" w:rsidR="00BE6A00" w:rsidRDefault="00FD4201" w:rsidP="00955860">
      <w:pPr>
        <w:spacing w:after="120"/>
        <w:rPr>
          <w:rFonts w:cs="Arial"/>
        </w:rPr>
      </w:pPr>
      <w:r>
        <w:rPr>
          <w:rFonts w:cs="Arial"/>
        </w:rPr>
        <w:t>L’établissement de</w:t>
      </w:r>
      <w:r w:rsidR="001A36E5" w:rsidRPr="00CE1445">
        <w:rPr>
          <w:rFonts w:cs="Arial"/>
        </w:rPr>
        <w:t xml:space="preserve"> correspondances entre </w:t>
      </w:r>
      <w:r w:rsidR="00CE1445">
        <w:rPr>
          <w:rFonts w:cs="Arial"/>
        </w:rPr>
        <w:t xml:space="preserve">les données </w:t>
      </w:r>
      <w:r w:rsidR="00132597" w:rsidRPr="00CE1445">
        <w:rPr>
          <w:rFonts w:cs="Arial"/>
        </w:rPr>
        <w:t>PRODCOM</w:t>
      </w:r>
      <w:r w:rsidR="001A36E5" w:rsidRPr="00CE1445">
        <w:rPr>
          <w:rFonts w:cs="Arial"/>
        </w:rPr>
        <w:t xml:space="preserve"> et </w:t>
      </w:r>
      <w:r w:rsidR="00CE1445">
        <w:rPr>
          <w:rFonts w:cs="Arial"/>
        </w:rPr>
        <w:t xml:space="preserve">celles de </w:t>
      </w:r>
      <w:r w:rsidR="001A36E5" w:rsidRPr="00CE1445">
        <w:rPr>
          <w:rFonts w:cs="Arial"/>
        </w:rPr>
        <w:t xml:space="preserve">la Nomenclature Combinée </w:t>
      </w:r>
      <w:r>
        <w:rPr>
          <w:rFonts w:cs="Arial"/>
        </w:rPr>
        <w:t xml:space="preserve">prennent appui sur </w:t>
      </w:r>
      <w:r w:rsidR="001A36E5" w:rsidRPr="00CE1445">
        <w:rPr>
          <w:rFonts w:cs="Arial"/>
        </w:rPr>
        <w:t>le serveur de métadonnées d'Eurostat</w:t>
      </w:r>
      <w:r>
        <w:rPr>
          <w:rFonts w:cs="Arial"/>
        </w:rPr>
        <w:t>,</w:t>
      </w:r>
      <w:r w:rsidR="001A36E5" w:rsidRPr="00CE1445">
        <w:rPr>
          <w:rFonts w:cs="Arial"/>
        </w:rPr>
        <w:t xml:space="preserve"> RAMON </w:t>
      </w:r>
      <w:r>
        <w:rPr>
          <w:rFonts w:cs="Arial"/>
        </w:rPr>
        <w:t>(</w:t>
      </w:r>
      <w:r w:rsidR="001A36E5" w:rsidRPr="00CE1445">
        <w:rPr>
          <w:rFonts w:cs="Arial"/>
        </w:rPr>
        <w:t>Reference And Management Of Nomenclatures</w:t>
      </w:r>
      <w:r>
        <w:rPr>
          <w:rFonts w:cs="Arial"/>
        </w:rPr>
        <w:t>)</w:t>
      </w:r>
      <w:r w:rsidR="001A36E5" w:rsidRPr="00CE1445">
        <w:rPr>
          <w:rFonts w:cs="Arial"/>
        </w:rPr>
        <w:t xml:space="preserve"> </w:t>
      </w:r>
      <w:r>
        <w:rPr>
          <w:rFonts w:cs="Arial"/>
        </w:rPr>
        <w:t>qui</w:t>
      </w:r>
      <w:r w:rsidR="001A36E5" w:rsidRPr="00CE1445">
        <w:rPr>
          <w:rFonts w:cs="Arial"/>
        </w:rPr>
        <w:t xml:space="preserve"> fournit une liste des nomenclatures statistiques, de leur structure et de leurs catégories. </w:t>
      </w:r>
      <w:r w:rsidR="00FB7A1A" w:rsidRPr="00FB7A1A">
        <w:rPr>
          <w:rFonts w:cs="Arial"/>
        </w:rPr>
        <w:t>Les deux nomenclatures sont à 8 chiffres mais PRODCOM se révèle moins précis que la nomenclature douanière européenne, un même code produit englobant souvent plusieurs codes douaniers</w:t>
      </w:r>
      <w:r w:rsidR="00BE6A00">
        <w:rPr>
          <w:rFonts w:cs="Arial"/>
        </w:rPr>
        <w:t xml:space="preserve"> ou un code PRODCOM pouvant correspondre</w:t>
      </w:r>
      <w:r w:rsidR="00944AE7">
        <w:rPr>
          <w:rFonts w:cs="Arial"/>
        </w:rPr>
        <w:t xml:space="preserve"> partiellement </w:t>
      </w:r>
      <w:r w:rsidR="00BE6A00">
        <w:rPr>
          <w:rFonts w:cs="Arial"/>
        </w:rPr>
        <w:t xml:space="preserve">seulement </w:t>
      </w:r>
      <w:r w:rsidR="00944AE7">
        <w:rPr>
          <w:rFonts w:cs="Arial"/>
        </w:rPr>
        <w:t>à une liste de codes douaniers</w:t>
      </w:r>
      <w:r w:rsidR="00667DBE">
        <w:rPr>
          <w:rFonts w:cs="Arial"/>
        </w:rPr>
        <w:t xml:space="preserve"> (</w:t>
      </w:r>
      <w:r w:rsidR="0046597E">
        <w:rPr>
          <w:rFonts w:cs="Arial"/>
        </w:rPr>
        <w:fldChar w:fldCharType="begin"/>
      </w:r>
      <w:r w:rsidR="0046597E">
        <w:rPr>
          <w:rFonts w:cs="Arial"/>
        </w:rPr>
        <w:instrText xml:space="preserve"> REF _Ref58405077 \h </w:instrText>
      </w:r>
      <w:r w:rsidR="0046597E">
        <w:rPr>
          <w:rFonts w:cs="Arial"/>
        </w:rPr>
      </w:r>
      <w:r w:rsidR="0046597E">
        <w:rPr>
          <w:rFonts w:cs="Arial"/>
        </w:rPr>
        <w:fldChar w:fldCharType="separate"/>
      </w:r>
      <w:r w:rsidR="0007597F" w:rsidRPr="005267CA">
        <w:rPr>
          <w:rStyle w:val="figureCar"/>
          <w:rFonts w:eastAsiaTheme="minorHAnsi"/>
          <w:b w:val="0"/>
          <w:bCs w:val="0"/>
          <w:iCs w:val="0"/>
        </w:rPr>
        <w:t xml:space="preserve">Tableau </w:t>
      </w:r>
      <w:r w:rsidR="0007597F">
        <w:rPr>
          <w:rStyle w:val="figureCar"/>
          <w:rFonts w:eastAsiaTheme="minorHAnsi"/>
          <w:b w:val="0"/>
          <w:bCs w:val="0"/>
          <w:iCs w:val="0"/>
          <w:noProof/>
        </w:rPr>
        <w:t>7</w:t>
      </w:r>
      <w:r w:rsidR="0046597E">
        <w:rPr>
          <w:rFonts w:cs="Arial"/>
        </w:rPr>
        <w:fldChar w:fldCharType="end"/>
      </w:r>
      <w:r w:rsidR="00667DBE">
        <w:rPr>
          <w:rFonts w:cs="Arial"/>
        </w:rPr>
        <w:t>)</w:t>
      </w:r>
      <w:r w:rsidR="00BE6A00">
        <w:rPr>
          <w:rFonts w:cs="Arial"/>
        </w:rPr>
        <w:t xml:space="preserve">. </w:t>
      </w:r>
    </w:p>
    <w:tbl>
      <w:tblPr>
        <w:tblW w:w="9351" w:type="dxa"/>
        <w:jc w:val="center"/>
        <w:tblCellMar>
          <w:left w:w="70" w:type="dxa"/>
          <w:right w:w="70" w:type="dxa"/>
        </w:tblCellMar>
        <w:tblLook w:val="04A0" w:firstRow="1" w:lastRow="0" w:firstColumn="1" w:lastColumn="0" w:noHBand="0" w:noVBand="1"/>
      </w:tblPr>
      <w:tblGrid>
        <w:gridCol w:w="1838"/>
        <w:gridCol w:w="2835"/>
        <w:gridCol w:w="4678"/>
      </w:tblGrid>
      <w:tr w:rsidR="00475BCF" w:rsidRPr="00475BCF" w14:paraId="6829C9FF" w14:textId="77777777" w:rsidTr="00AD206C">
        <w:trPr>
          <w:trHeight w:val="390"/>
          <w:jc w:val="center"/>
        </w:trPr>
        <w:tc>
          <w:tcPr>
            <w:tcW w:w="183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7AB0CE9B" w14:textId="7E737FC9" w:rsidR="00475BCF" w:rsidRPr="0046597E" w:rsidRDefault="00475BCF" w:rsidP="00475BCF">
            <w:pPr>
              <w:spacing w:after="0" w:line="240" w:lineRule="auto"/>
              <w:rPr>
                <w:rFonts w:eastAsia="Times New Roman" w:cs="Arial"/>
                <w:b/>
                <w:bCs/>
                <w:color w:val="000000"/>
                <w:sz w:val="20"/>
                <w:szCs w:val="20"/>
                <w:lang w:eastAsia="fr-FR"/>
              </w:rPr>
            </w:pPr>
            <w:r w:rsidRPr="0046597E">
              <w:rPr>
                <w:rFonts w:eastAsia="Times New Roman" w:cs="Arial"/>
                <w:b/>
                <w:bCs/>
                <w:color w:val="000000"/>
                <w:sz w:val="20"/>
                <w:szCs w:val="20"/>
                <w:lang w:eastAsia="fr-FR"/>
              </w:rPr>
              <w:t>Code PRODCOM</w:t>
            </w:r>
          </w:p>
        </w:tc>
        <w:tc>
          <w:tcPr>
            <w:tcW w:w="2835"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BF2FC81" w14:textId="77777777" w:rsidR="00475BCF" w:rsidRPr="0046597E" w:rsidRDefault="00475BCF" w:rsidP="00475BCF">
            <w:pPr>
              <w:spacing w:after="0" w:line="240" w:lineRule="auto"/>
              <w:rPr>
                <w:rFonts w:eastAsia="Times New Roman" w:cs="Arial"/>
                <w:b/>
                <w:bCs/>
                <w:color w:val="000000"/>
                <w:sz w:val="20"/>
                <w:szCs w:val="20"/>
                <w:lang w:eastAsia="fr-FR"/>
              </w:rPr>
            </w:pPr>
            <w:r w:rsidRPr="0046597E">
              <w:rPr>
                <w:rFonts w:eastAsia="Times New Roman" w:cs="Arial"/>
                <w:b/>
                <w:bCs/>
                <w:color w:val="000000"/>
                <w:sz w:val="20"/>
                <w:szCs w:val="20"/>
                <w:lang w:eastAsia="fr-FR"/>
              </w:rPr>
              <w:t>NC8</w:t>
            </w:r>
          </w:p>
        </w:tc>
        <w:tc>
          <w:tcPr>
            <w:tcW w:w="467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3CDC5CA" w14:textId="77777777" w:rsidR="00475BCF" w:rsidRPr="0046597E" w:rsidRDefault="00475BCF" w:rsidP="00475BCF">
            <w:pPr>
              <w:spacing w:after="0" w:line="240" w:lineRule="auto"/>
              <w:rPr>
                <w:rFonts w:eastAsia="Times New Roman" w:cs="Arial"/>
                <w:b/>
                <w:bCs/>
                <w:color w:val="000000"/>
                <w:sz w:val="20"/>
                <w:szCs w:val="20"/>
                <w:lang w:eastAsia="fr-FR"/>
              </w:rPr>
            </w:pPr>
            <w:r w:rsidRPr="0046597E">
              <w:rPr>
                <w:rFonts w:eastAsia="Times New Roman" w:cs="Arial"/>
                <w:b/>
                <w:bCs/>
                <w:color w:val="000000"/>
                <w:sz w:val="20"/>
                <w:szCs w:val="20"/>
                <w:lang w:eastAsia="fr-FR"/>
              </w:rPr>
              <w:t xml:space="preserve">Descriptif Simplifié du NC8 </w:t>
            </w:r>
          </w:p>
        </w:tc>
      </w:tr>
      <w:tr w:rsidR="00475BCF" w:rsidRPr="00475BCF" w14:paraId="5405832B" w14:textId="77777777" w:rsidTr="00AD206C">
        <w:trPr>
          <w:trHeight w:val="390"/>
          <w:jc w:val="center"/>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26371FE5"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10.11.12.50</w:t>
            </w:r>
          </w:p>
        </w:tc>
        <w:tc>
          <w:tcPr>
            <w:tcW w:w="2835" w:type="dxa"/>
            <w:tcBorders>
              <w:top w:val="nil"/>
              <w:left w:val="nil"/>
              <w:bottom w:val="single" w:sz="4" w:space="0" w:color="auto"/>
              <w:right w:val="single" w:sz="4" w:space="0" w:color="auto"/>
            </w:tcBorders>
            <w:shd w:val="clear" w:color="auto" w:fill="auto"/>
            <w:noWrap/>
            <w:vAlign w:val="center"/>
            <w:hideMark/>
          </w:tcPr>
          <w:p w14:paraId="2BCF4904" w14:textId="3E0A1422"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0203[.12(.11 + .19 + .90)]</w:t>
            </w:r>
          </w:p>
        </w:tc>
        <w:tc>
          <w:tcPr>
            <w:tcW w:w="4678" w:type="dxa"/>
            <w:tcBorders>
              <w:top w:val="nil"/>
              <w:left w:val="nil"/>
              <w:bottom w:val="single" w:sz="4" w:space="0" w:color="auto"/>
              <w:right w:val="single" w:sz="4" w:space="0" w:color="auto"/>
            </w:tcBorders>
            <w:shd w:val="clear" w:color="auto" w:fill="auto"/>
            <w:noWrap/>
            <w:vAlign w:val="center"/>
            <w:hideMark/>
          </w:tcPr>
          <w:p w14:paraId="4A30FA77"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Jambons, épaules de porcs et leurs morceaux non désossés, frais ou réfrigérés</w:t>
            </w:r>
          </w:p>
        </w:tc>
      </w:tr>
      <w:tr w:rsidR="00475BCF" w:rsidRPr="00475BCF" w14:paraId="049B5A9A" w14:textId="77777777" w:rsidTr="00AD206C">
        <w:trPr>
          <w:trHeight w:val="357"/>
          <w:jc w:val="center"/>
        </w:trPr>
        <w:tc>
          <w:tcPr>
            <w:tcW w:w="183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7285DD96"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10.11.12.90</w:t>
            </w:r>
          </w:p>
        </w:tc>
        <w:tc>
          <w:tcPr>
            <w:tcW w:w="2835"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492C2F3" w14:textId="1A5534CE"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0203</w:t>
            </w:r>
            <w:r w:rsidR="00C82925" w:rsidRPr="0046597E">
              <w:rPr>
                <w:rFonts w:eastAsia="Times New Roman" w:cs="Arial"/>
                <w:color w:val="000000"/>
                <w:sz w:val="20"/>
                <w:szCs w:val="20"/>
                <w:lang w:eastAsia="fr-FR"/>
              </w:rPr>
              <w:t>[</w:t>
            </w:r>
            <w:r w:rsidRPr="0046597E">
              <w:rPr>
                <w:rFonts w:eastAsia="Times New Roman" w:cs="Arial"/>
                <w:color w:val="000000"/>
                <w:sz w:val="20"/>
                <w:szCs w:val="20"/>
                <w:lang w:eastAsia="fr-FR"/>
              </w:rPr>
              <w:t>.19 (.11 +15,55,59</w:t>
            </w:r>
            <w:r w:rsidR="00C82925" w:rsidRPr="0046597E">
              <w:rPr>
                <w:rFonts w:eastAsia="Times New Roman" w:cs="Arial"/>
                <w:color w:val="000000"/>
                <w:sz w:val="20"/>
                <w:szCs w:val="20"/>
                <w:lang w:eastAsia="fr-FR"/>
              </w:rPr>
              <w:t>)]</w:t>
            </w:r>
          </w:p>
        </w:tc>
        <w:tc>
          <w:tcPr>
            <w:tcW w:w="467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5D4D96B4"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 xml:space="preserve">Autres viandes porcines, fraîches ou réfrigérées </w:t>
            </w:r>
          </w:p>
        </w:tc>
      </w:tr>
      <w:tr w:rsidR="00475BCF" w:rsidRPr="00475BCF" w14:paraId="6A3985FD" w14:textId="77777777" w:rsidTr="00AD206C">
        <w:trPr>
          <w:trHeight w:val="495"/>
          <w:jc w:val="center"/>
        </w:trPr>
        <w:tc>
          <w:tcPr>
            <w:tcW w:w="1838" w:type="dxa"/>
            <w:tcBorders>
              <w:top w:val="nil"/>
              <w:left w:val="single" w:sz="4" w:space="0" w:color="auto"/>
              <w:bottom w:val="single" w:sz="4" w:space="0" w:color="auto"/>
              <w:right w:val="single" w:sz="4" w:space="0" w:color="auto"/>
            </w:tcBorders>
            <w:shd w:val="clear" w:color="auto" w:fill="auto"/>
            <w:noWrap/>
            <w:vAlign w:val="center"/>
            <w:hideMark/>
          </w:tcPr>
          <w:p w14:paraId="56EF65F0"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 xml:space="preserve">p.10.11.32.50 </w:t>
            </w:r>
          </w:p>
        </w:tc>
        <w:tc>
          <w:tcPr>
            <w:tcW w:w="2835" w:type="dxa"/>
            <w:tcBorders>
              <w:top w:val="nil"/>
              <w:left w:val="nil"/>
              <w:bottom w:val="single" w:sz="4" w:space="0" w:color="auto"/>
              <w:right w:val="single" w:sz="4" w:space="0" w:color="auto"/>
            </w:tcBorders>
            <w:shd w:val="clear" w:color="auto" w:fill="auto"/>
            <w:noWrap/>
            <w:vAlign w:val="center"/>
            <w:hideMark/>
          </w:tcPr>
          <w:p w14:paraId="39269788"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0203[.22(.11 + .19 + .90)]</w:t>
            </w:r>
          </w:p>
        </w:tc>
        <w:tc>
          <w:tcPr>
            <w:tcW w:w="4678" w:type="dxa"/>
            <w:tcBorders>
              <w:top w:val="nil"/>
              <w:left w:val="nil"/>
              <w:bottom w:val="single" w:sz="4" w:space="0" w:color="auto"/>
              <w:right w:val="single" w:sz="4" w:space="0" w:color="auto"/>
            </w:tcBorders>
            <w:shd w:val="clear" w:color="auto" w:fill="auto"/>
            <w:noWrap/>
            <w:vAlign w:val="center"/>
            <w:hideMark/>
          </w:tcPr>
          <w:p w14:paraId="1890131A"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 xml:space="preserve">Jambons, épaules de porc et leurs morceaux non désossés, congelés </w:t>
            </w:r>
          </w:p>
        </w:tc>
      </w:tr>
      <w:tr w:rsidR="00475BCF" w:rsidRPr="00475BCF" w14:paraId="2821D743" w14:textId="77777777" w:rsidTr="00AD206C">
        <w:trPr>
          <w:trHeight w:val="600"/>
          <w:jc w:val="center"/>
        </w:trPr>
        <w:tc>
          <w:tcPr>
            <w:tcW w:w="183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3BD627EE"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 xml:space="preserve">p.10.11.32.90 </w:t>
            </w:r>
          </w:p>
        </w:tc>
        <w:tc>
          <w:tcPr>
            <w:tcW w:w="2835"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21C6BA51"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0203[.29(.11 + .13 + .15 + .55 + .59 + .90)]</w:t>
            </w:r>
          </w:p>
        </w:tc>
        <w:tc>
          <w:tcPr>
            <w:tcW w:w="4678"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5FE67BA2" w14:textId="77777777" w:rsidR="00475BCF" w:rsidRPr="0046597E" w:rsidRDefault="00475BCF" w:rsidP="00475BCF">
            <w:pPr>
              <w:spacing w:after="0" w:line="240" w:lineRule="auto"/>
              <w:rPr>
                <w:rFonts w:eastAsia="Times New Roman" w:cs="Arial"/>
                <w:color w:val="000000"/>
                <w:sz w:val="20"/>
                <w:szCs w:val="20"/>
                <w:lang w:eastAsia="fr-FR"/>
              </w:rPr>
            </w:pPr>
            <w:r w:rsidRPr="0046597E">
              <w:rPr>
                <w:rFonts w:eastAsia="Times New Roman" w:cs="Arial"/>
                <w:color w:val="000000"/>
                <w:sz w:val="20"/>
                <w:szCs w:val="20"/>
                <w:lang w:eastAsia="fr-FR"/>
              </w:rPr>
              <w:t>Autres viandes porcines, congelées ou surgelées (à l’exclusion des carcasses ou demi-carcasses et des jambons, épaules et leurs morceaux, non désossés)</w:t>
            </w:r>
          </w:p>
        </w:tc>
      </w:tr>
    </w:tbl>
    <w:p w14:paraId="0C039E73" w14:textId="4E8C25BB" w:rsidR="00ED4F79" w:rsidRDefault="00695391" w:rsidP="00D86882">
      <w:pPr>
        <w:pStyle w:val="figure"/>
        <w:rPr>
          <w:rStyle w:val="figureCar"/>
          <w:b/>
          <w:bCs/>
          <w:iCs/>
        </w:rPr>
      </w:pPr>
      <w:bookmarkStart w:id="67" w:name="_Ref58405077"/>
      <w:bookmarkStart w:id="68" w:name="_Toc72143355"/>
      <w:r w:rsidRPr="005267CA">
        <w:rPr>
          <w:rStyle w:val="figureCar"/>
          <w:b/>
          <w:bCs/>
          <w:iCs/>
        </w:rPr>
        <w:t>Tableau</w:t>
      </w:r>
      <w:r w:rsidR="0046597E" w:rsidRPr="005267CA">
        <w:rPr>
          <w:rStyle w:val="figureCar"/>
          <w:b/>
          <w:bCs/>
          <w:iCs/>
        </w:rPr>
        <w:t xml:space="preserve">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7</w:t>
      </w:r>
      <w:r w:rsidRPr="005267CA">
        <w:rPr>
          <w:rStyle w:val="figureCar"/>
          <w:b/>
          <w:bCs/>
          <w:iCs/>
        </w:rPr>
        <w:fldChar w:fldCharType="end"/>
      </w:r>
      <w:bookmarkEnd w:id="67"/>
      <w:r w:rsidR="0046597E" w:rsidRPr="005267CA">
        <w:rPr>
          <w:rStyle w:val="figureCar"/>
          <w:b/>
          <w:bCs/>
          <w:iCs/>
        </w:rPr>
        <w:t xml:space="preserve"> : </w:t>
      </w:r>
      <w:r w:rsidR="00475BCF" w:rsidRPr="005267CA">
        <w:rPr>
          <w:rStyle w:val="figureCar"/>
          <w:b/>
          <w:bCs/>
          <w:iCs/>
        </w:rPr>
        <w:t>Déclinaison du tableau de correspondance PRODCOM 2018</w:t>
      </w:r>
      <w:r w:rsidR="00221889" w:rsidRPr="005267CA">
        <w:rPr>
          <w:rStyle w:val="figureCar"/>
          <w:b/>
          <w:bCs/>
          <w:iCs/>
        </w:rPr>
        <w:t xml:space="preserve"> et </w:t>
      </w:r>
      <w:r w:rsidR="00475BCF" w:rsidRPr="005267CA">
        <w:rPr>
          <w:rStyle w:val="figureCar"/>
          <w:b/>
          <w:bCs/>
          <w:iCs/>
        </w:rPr>
        <w:t>N</w:t>
      </w:r>
      <w:r w:rsidR="00221889" w:rsidRPr="005267CA">
        <w:rPr>
          <w:rStyle w:val="figureCar"/>
          <w:b/>
          <w:bCs/>
          <w:iCs/>
        </w:rPr>
        <w:t>C</w:t>
      </w:r>
      <w:r w:rsidR="00475BCF" w:rsidRPr="005267CA">
        <w:rPr>
          <w:rStyle w:val="figureCar"/>
          <w:b/>
          <w:bCs/>
          <w:iCs/>
        </w:rPr>
        <w:t xml:space="preserve"> 2018 sur </w:t>
      </w:r>
      <w:r w:rsidR="00221889" w:rsidRPr="005267CA">
        <w:rPr>
          <w:rStyle w:val="figureCar"/>
          <w:b/>
          <w:bCs/>
          <w:iCs/>
        </w:rPr>
        <w:t xml:space="preserve">des </w:t>
      </w:r>
      <w:r w:rsidR="00475BCF" w:rsidRPr="005267CA">
        <w:rPr>
          <w:rStyle w:val="figureCar"/>
          <w:b/>
          <w:bCs/>
          <w:iCs/>
        </w:rPr>
        <w:t xml:space="preserve">codes </w:t>
      </w:r>
      <w:r w:rsidR="00221889" w:rsidRPr="005267CA">
        <w:rPr>
          <w:rStyle w:val="figureCar"/>
          <w:b/>
          <w:bCs/>
          <w:iCs/>
        </w:rPr>
        <w:t xml:space="preserve">de </w:t>
      </w:r>
      <w:r w:rsidR="00475BCF" w:rsidRPr="005267CA">
        <w:rPr>
          <w:rStyle w:val="figureCar"/>
          <w:b/>
          <w:bCs/>
          <w:iCs/>
        </w:rPr>
        <w:t>viandes fraîches</w:t>
      </w:r>
      <w:bookmarkEnd w:id="68"/>
    </w:p>
    <w:p w14:paraId="4A0F0866" w14:textId="43040369" w:rsidR="00475BCF" w:rsidRPr="005267CA" w:rsidRDefault="00475BCF" w:rsidP="00ED4F79">
      <w:pPr>
        <w:pStyle w:val="Lgende"/>
      </w:pPr>
      <w:r w:rsidRPr="005267CA">
        <w:t xml:space="preserve"> </w:t>
      </w:r>
      <w:r w:rsidRPr="00D86882">
        <w:t>(Ifip d’après Eurostat et Ministère de l’Agriculture et de l’Alimentation)</w:t>
      </w:r>
    </w:p>
    <w:p w14:paraId="13B3C0FA" w14:textId="1EF14C9A" w:rsidR="009F3A0D" w:rsidRDefault="00475BCF" w:rsidP="00944AE7">
      <w:pPr>
        <w:rPr>
          <w:rFonts w:cs="Arial"/>
        </w:rPr>
      </w:pPr>
      <w:r>
        <w:rPr>
          <w:rFonts w:cs="Arial"/>
        </w:rPr>
        <w:t xml:space="preserve">Les codes NC8 dont le suffixe est « 90 » correspondent aux animaux non domestiqués et ne sont pas pris en compte dans le cadre de l’étude. </w:t>
      </w:r>
      <w:r w:rsidR="00FF118E">
        <w:rPr>
          <w:rFonts w:cs="Arial"/>
        </w:rPr>
        <w:t>Cependant, les volumes PRODCOM correspondant agrègent les volumes issus de la fraction non domestique</w:t>
      </w:r>
      <w:r w:rsidR="00C334F6">
        <w:rPr>
          <w:rFonts w:cs="Arial"/>
        </w:rPr>
        <w:t xml:space="preserve">. </w:t>
      </w:r>
      <w:r>
        <w:rPr>
          <w:rFonts w:cs="Arial"/>
        </w:rPr>
        <w:t>L</w:t>
      </w:r>
      <w:r w:rsidR="00E1779E">
        <w:rPr>
          <w:rFonts w:cs="Arial"/>
        </w:rPr>
        <w:t>es</w:t>
      </w:r>
      <w:r>
        <w:rPr>
          <w:rFonts w:cs="Arial"/>
        </w:rPr>
        <w:t xml:space="preserve"> données de correspondance</w:t>
      </w:r>
      <w:r w:rsidR="00E1779E">
        <w:rPr>
          <w:rFonts w:cs="Arial"/>
        </w:rPr>
        <w:t xml:space="preserve"> utilisées dans cette étude</w:t>
      </w:r>
      <w:r>
        <w:rPr>
          <w:rFonts w:cs="Arial"/>
        </w:rPr>
        <w:t xml:space="preserve"> sont à retrouver en Annexe 2</w:t>
      </w:r>
      <w:r w:rsidR="001164A3">
        <w:rPr>
          <w:rFonts w:cs="Arial"/>
        </w:rPr>
        <w:t>.</w:t>
      </w:r>
      <w:r w:rsidR="009F3A0D">
        <w:rPr>
          <w:rFonts w:cs="Arial"/>
        </w:rPr>
        <w:t xml:space="preserve"> </w:t>
      </w:r>
    </w:p>
    <w:p w14:paraId="20C85D1C" w14:textId="52D80836" w:rsidR="007C7AA3" w:rsidRDefault="007C7AA3" w:rsidP="007C7AA3">
      <w:pPr>
        <w:pStyle w:val="Titre4"/>
      </w:pPr>
      <w:bookmarkStart w:id="69" w:name="_Toc78131561"/>
      <w:r w:rsidRPr="00D00A7D">
        <w:t>2.</w:t>
      </w:r>
      <w:r>
        <w:t>2</w:t>
      </w:r>
      <w:r w:rsidRPr="00D00A7D">
        <w:t>.</w:t>
      </w:r>
      <w:r w:rsidR="0082472B">
        <w:t>5</w:t>
      </w:r>
      <w:r w:rsidRPr="00D00A7D">
        <w:t>.</w:t>
      </w:r>
      <w:r>
        <w:t>3</w:t>
      </w:r>
      <w:r w:rsidRPr="00D00A7D">
        <w:t xml:space="preserve">. </w:t>
      </w:r>
      <w:r w:rsidR="002A14D9">
        <w:t>Principes</w:t>
      </w:r>
      <w:r w:rsidR="008A6FE5">
        <w:t xml:space="preserve"> </w:t>
      </w:r>
      <w:r>
        <w:t>de l’appariement des données</w:t>
      </w:r>
      <w:r w:rsidR="00E94BD0">
        <w:t xml:space="preserve"> de production et douanières</w:t>
      </w:r>
      <w:bookmarkEnd w:id="69"/>
    </w:p>
    <w:p w14:paraId="41F87DF8" w14:textId="5B07857F" w:rsidR="007C7AA3" w:rsidRDefault="007F04EC" w:rsidP="007C7AA3">
      <w:pPr>
        <w:rPr>
          <w:lang w:val="fr-CA" w:eastAsia="fr-FR"/>
        </w:rPr>
      </w:pPr>
      <w:r>
        <w:rPr>
          <w:lang w:val="fr-CA" w:eastAsia="fr-FR"/>
        </w:rPr>
        <w:t xml:space="preserve">L’appariement des données de production </w:t>
      </w:r>
      <w:r w:rsidR="004A2B26">
        <w:rPr>
          <w:lang w:val="fr-CA" w:eastAsia="fr-FR"/>
        </w:rPr>
        <w:t>avec l</w:t>
      </w:r>
      <w:r w:rsidR="00740F04">
        <w:rPr>
          <w:lang w:val="fr-CA" w:eastAsia="fr-FR"/>
        </w:rPr>
        <w:t xml:space="preserve">es données douanières permet d’approcher un disponible à la consommation en sortie de la phase d’abattage découpe </w:t>
      </w:r>
      <w:r w:rsidR="00B96BA4">
        <w:rPr>
          <w:lang w:val="fr-CA" w:eastAsia="fr-FR"/>
        </w:rPr>
        <w:t>tel que traité par les abatteurs</w:t>
      </w:r>
      <w:r w:rsidR="00955860">
        <w:rPr>
          <w:lang w:val="fr-CA" w:eastAsia="fr-FR"/>
        </w:rPr>
        <w:t xml:space="preserve"> </w:t>
      </w:r>
      <w:r w:rsidR="00B96BA4">
        <w:rPr>
          <w:lang w:val="fr-CA" w:eastAsia="fr-FR"/>
        </w:rPr>
        <w:t xml:space="preserve">découpeurs </w:t>
      </w:r>
      <w:r w:rsidR="00740F04">
        <w:rPr>
          <w:lang w:val="fr-CA" w:eastAsia="fr-FR"/>
        </w:rPr>
        <w:t>(</w:t>
      </w:r>
      <w:r w:rsidR="00B96BA4">
        <w:rPr>
          <w:lang w:val="fr-CA" w:eastAsia="fr-FR"/>
        </w:rPr>
        <w:t xml:space="preserve">activité </w:t>
      </w:r>
      <w:r w:rsidR="00740F04">
        <w:rPr>
          <w:lang w:val="fr-CA" w:eastAsia="fr-FR"/>
        </w:rPr>
        <w:t>10.11.Z) puis en sortie de transformation par l’industrie de la charcuterie salaison</w:t>
      </w:r>
      <w:r w:rsidR="007B48E1">
        <w:rPr>
          <w:lang w:val="fr-CA" w:eastAsia="fr-FR"/>
        </w:rPr>
        <w:t xml:space="preserve"> (</w:t>
      </w:r>
      <w:r w:rsidR="00B96BA4">
        <w:rPr>
          <w:lang w:val="fr-CA" w:eastAsia="fr-FR"/>
        </w:rPr>
        <w:t xml:space="preserve">activité </w:t>
      </w:r>
      <w:r w:rsidR="007B48E1">
        <w:rPr>
          <w:lang w:val="fr-CA" w:eastAsia="fr-FR"/>
        </w:rPr>
        <w:t xml:space="preserve">10.13.A). </w:t>
      </w:r>
      <w:r w:rsidR="00B96BA4">
        <w:rPr>
          <w:lang w:val="fr-CA" w:eastAsia="fr-FR"/>
        </w:rPr>
        <w:t xml:space="preserve">Ces </w:t>
      </w:r>
      <w:r w:rsidR="001678A0">
        <w:rPr>
          <w:lang w:val="fr-CA" w:eastAsia="fr-FR"/>
        </w:rPr>
        <w:t xml:space="preserve">enquêtes donnent un éclairage </w:t>
      </w:r>
      <w:r w:rsidR="004B4BF8">
        <w:rPr>
          <w:lang w:val="fr-CA" w:eastAsia="fr-FR"/>
        </w:rPr>
        <w:t xml:space="preserve">significatif </w:t>
      </w:r>
      <w:r w:rsidR="00B96BA4">
        <w:rPr>
          <w:lang w:val="fr-CA" w:eastAsia="fr-FR"/>
        </w:rPr>
        <w:t>sur l’activité globale conduite par les opérateurs de l’abattage découpe puis de la transformation mais ne reflètent pas l’exhaustivité des opérations conduites. A titre d’illustration, les demi-carcasses transformées peuvent être désossées, découpées et en partie transformée</w:t>
      </w:r>
      <w:r w:rsidR="001678A0">
        <w:rPr>
          <w:lang w:val="fr-CA" w:eastAsia="fr-FR"/>
        </w:rPr>
        <w:t>s</w:t>
      </w:r>
      <w:r w:rsidR="00B96BA4">
        <w:rPr>
          <w:lang w:val="fr-CA" w:eastAsia="fr-FR"/>
        </w:rPr>
        <w:t xml:space="preserve"> par </w:t>
      </w:r>
      <w:r w:rsidR="00F76DB5">
        <w:rPr>
          <w:lang w:val="fr-CA" w:eastAsia="fr-FR"/>
        </w:rPr>
        <w:t xml:space="preserve">les laboratoires </w:t>
      </w:r>
      <w:r w:rsidR="00F76DB5">
        <w:rPr>
          <w:lang w:val="fr-CA" w:eastAsia="fr-FR"/>
        </w:rPr>
        <w:lastRenderedPageBreak/>
        <w:t xml:space="preserve">des Grandes Surfaces Alimentaires (GSA) ou </w:t>
      </w:r>
      <w:r w:rsidR="00B96BA4">
        <w:rPr>
          <w:lang w:val="fr-CA" w:eastAsia="fr-FR"/>
        </w:rPr>
        <w:t>les artisans bouchers charcutiers traiteurs dont l’activité ne fait pas l’objet d’un suivi dédié comme mentionné plus haut.</w:t>
      </w:r>
      <w:r w:rsidR="001678A0">
        <w:rPr>
          <w:lang w:val="fr-CA" w:eastAsia="fr-FR"/>
        </w:rPr>
        <w:t xml:space="preserve"> </w:t>
      </w:r>
    </w:p>
    <w:p w14:paraId="769ACA21" w14:textId="2EAD899F" w:rsidR="00740F04" w:rsidRPr="007C7AA3" w:rsidRDefault="004B4BF8" w:rsidP="007C7AA3">
      <w:pPr>
        <w:rPr>
          <w:lang w:val="fr-CA" w:eastAsia="fr-FR"/>
        </w:rPr>
      </w:pPr>
      <w:r>
        <w:rPr>
          <w:lang w:val="fr-CA" w:eastAsia="fr-FR"/>
        </w:rPr>
        <w:t>Par ailleurs, d</w:t>
      </w:r>
      <w:r w:rsidR="00740F04">
        <w:rPr>
          <w:lang w:val="fr-CA" w:eastAsia="fr-FR"/>
        </w:rPr>
        <w:t>ans la mesure où les abats</w:t>
      </w:r>
      <w:r>
        <w:rPr>
          <w:lang w:val="fr-CA" w:eastAsia="fr-FR"/>
        </w:rPr>
        <w:t>,</w:t>
      </w:r>
      <w:r w:rsidR="00740F04">
        <w:rPr>
          <w:lang w:val="fr-CA" w:eastAsia="fr-FR"/>
        </w:rPr>
        <w:t xml:space="preserve"> </w:t>
      </w:r>
      <w:r w:rsidR="00B256C7">
        <w:rPr>
          <w:lang w:val="fr-CA" w:eastAsia="fr-FR"/>
        </w:rPr>
        <w:t>au travers de produits tels que le foie, la jou</w:t>
      </w:r>
      <w:r w:rsidR="00B96BA4">
        <w:rPr>
          <w:lang w:val="fr-CA" w:eastAsia="fr-FR"/>
        </w:rPr>
        <w:t>e,</w:t>
      </w:r>
      <w:r w:rsidR="00B256C7">
        <w:rPr>
          <w:lang w:val="fr-CA" w:eastAsia="fr-FR"/>
        </w:rPr>
        <w:t xml:space="preserve"> font partie</w:t>
      </w:r>
      <w:r w:rsidR="000D70EB">
        <w:rPr>
          <w:lang w:val="fr-CA" w:eastAsia="fr-FR"/>
        </w:rPr>
        <w:t xml:space="preserve"> </w:t>
      </w:r>
      <w:r w:rsidR="00B256C7">
        <w:rPr>
          <w:lang w:val="fr-CA" w:eastAsia="fr-FR"/>
        </w:rPr>
        <w:t xml:space="preserve">des produits </w:t>
      </w:r>
      <w:r w:rsidR="006C079A">
        <w:rPr>
          <w:lang w:val="fr-CA" w:eastAsia="fr-FR"/>
        </w:rPr>
        <w:t>à destination de la consommation humaine</w:t>
      </w:r>
      <w:r w:rsidR="00125C78">
        <w:rPr>
          <w:lang w:val="fr-CA" w:eastAsia="fr-FR"/>
        </w:rPr>
        <w:t xml:space="preserve"> </w:t>
      </w:r>
      <w:r w:rsidR="00D83B75">
        <w:rPr>
          <w:lang w:val="fr-CA" w:eastAsia="fr-FR"/>
        </w:rPr>
        <w:t>f</w:t>
      </w:r>
      <w:r w:rsidR="00125C78">
        <w:rPr>
          <w:lang w:val="fr-CA" w:eastAsia="fr-FR"/>
        </w:rPr>
        <w:t>rançaise</w:t>
      </w:r>
      <w:r w:rsidR="006C079A">
        <w:rPr>
          <w:lang w:val="fr-CA" w:eastAsia="fr-FR"/>
        </w:rPr>
        <w:t>, ils sont à comptabiliser dans le</w:t>
      </w:r>
      <w:r w:rsidR="000D70EB">
        <w:rPr>
          <w:lang w:val="fr-CA" w:eastAsia="fr-FR"/>
        </w:rPr>
        <w:t xml:space="preserve"> disponible à la consommation</w:t>
      </w:r>
      <w:r w:rsidR="006C079A">
        <w:rPr>
          <w:lang w:val="fr-CA" w:eastAsia="fr-FR"/>
        </w:rPr>
        <w:t xml:space="preserve">. Aussi, </w:t>
      </w:r>
      <w:r w:rsidR="00603F20">
        <w:rPr>
          <w:lang w:val="fr-CA" w:eastAsia="fr-FR"/>
        </w:rPr>
        <w:t xml:space="preserve">le parti pris </w:t>
      </w:r>
      <w:r w:rsidR="00CE19E6">
        <w:rPr>
          <w:lang w:val="fr-CA" w:eastAsia="fr-FR"/>
        </w:rPr>
        <w:t>sur la partie à suivre</w:t>
      </w:r>
      <w:r w:rsidR="00603F20">
        <w:rPr>
          <w:lang w:val="fr-CA" w:eastAsia="fr-FR"/>
        </w:rPr>
        <w:t xml:space="preserve"> du rapport</w:t>
      </w:r>
      <w:r w:rsidR="00CE19E6">
        <w:rPr>
          <w:lang w:val="fr-CA" w:eastAsia="fr-FR"/>
        </w:rPr>
        <w:t>,</w:t>
      </w:r>
      <w:r w:rsidR="00603F20">
        <w:rPr>
          <w:lang w:val="fr-CA" w:eastAsia="fr-FR"/>
        </w:rPr>
        <w:t xml:space="preserve"> est de présenter les données de la filière au </w:t>
      </w:r>
      <w:r w:rsidR="00DE0223">
        <w:rPr>
          <w:lang w:val="fr-CA" w:eastAsia="fr-FR"/>
        </w:rPr>
        <w:t>travers de volume</w:t>
      </w:r>
      <w:r w:rsidR="00CE19E6">
        <w:rPr>
          <w:lang w:val="fr-CA" w:eastAsia="fr-FR"/>
        </w:rPr>
        <w:t>s</w:t>
      </w:r>
      <w:r w:rsidR="00DE0223">
        <w:rPr>
          <w:lang w:val="fr-CA" w:eastAsia="fr-FR"/>
        </w:rPr>
        <w:t xml:space="preserve"> </w:t>
      </w:r>
      <w:r w:rsidR="00B96BA4">
        <w:rPr>
          <w:lang w:val="fr-CA" w:eastAsia="fr-FR"/>
        </w:rPr>
        <w:t xml:space="preserve">exprimés en </w:t>
      </w:r>
      <w:r w:rsidR="00DE0223">
        <w:rPr>
          <w:lang w:val="fr-CA" w:eastAsia="fr-FR"/>
        </w:rPr>
        <w:t>tonnes</w:t>
      </w:r>
      <w:r w:rsidR="00A30713">
        <w:rPr>
          <w:lang w:val="fr-CA" w:eastAsia="fr-FR"/>
        </w:rPr>
        <w:t xml:space="preserve"> plutôt qu’en Tec (tonnes équivalent carcasse)</w:t>
      </w:r>
      <w:r w:rsidR="00DE0223">
        <w:rPr>
          <w:lang w:val="fr-CA" w:eastAsia="fr-FR"/>
        </w:rPr>
        <w:t>.</w:t>
      </w:r>
    </w:p>
    <w:p w14:paraId="18C162BA" w14:textId="284DAF94" w:rsidR="007C7AA3" w:rsidRPr="002A14D9" w:rsidRDefault="002A14D9" w:rsidP="002A14D9">
      <w:pPr>
        <w:pStyle w:val="Titre4"/>
      </w:pPr>
      <w:bookmarkStart w:id="70" w:name="_Toc78131562"/>
      <w:r>
        <w:t xml:space="preserve">2.2.5.4 </w:t>
      </w:r>
      <w:r w:rsidR="00E94BD0">
        <w:t>Résultats d’a</w:t>
      </w:r>
      <w:r>
        <w:t>ppariement de l’a</w:t>
      </w:r>
      <w:r w:rsidR="00BC0882" w:rsidRPr="002A14D9">
        <w:t>ctivité abattage découpe</w:t>
      </w:r>
      <w:r w:rsidR="00046580" w:rsidRPr="002A14D9">
        <w:t xml:space="preserve"> </w:t>
      </w:r>
      <w:r w:rsidR="00BC0882" w:rsidRPr="002A14D9">
        <w:t>(10.11.Z)</w:t>
      </w:r>
      <w:r w:rsidR="007C7AA3" w:rsidRPr="002A14D9">
        <w:t> :</w:t>
      </w:r>
      <w:bookmarkEnd w:id="70"/>
      <w:r w:rsidR="007C7AA3" w:rsidRPr="002A14D9">
        <w:t xml:space="preserve"> </w:t>
      </w:r>
    </w:p>
    <w:p w14:paraId="364B8B79" w14:textId="35F27C5D" w:rsidR="009D23E8" w:rsidRDefault="00761956" w:rsidP="000744CE">
      <w:pPr>
        <w:spacing w:after="0"/>
        <w:rPr>
          <w:lang w:val="fr-CA" w:eastAsia="fr-FR"/>
        </w:rPr>
      </w:pPr>
      <w:r>
        <w:rPr>
          <w:lang w:eastAsia="fr-FR"/>
        </w:rPr>
        <w:t>L</w:t>
      </w:r>
      <w:r w:rsidR="00D84810" w:rsidRPr="00AD2F26">
        <w:rPr>
          <w:lang w:val="fr-CA" w:eastAsia="fr-FR"/>
        </w:rPr>
        <w:t xml:space="preserve">e disponible </w:t>
      </w:r>
      <w:r w:rsidR="007124DB">
        <w:rPr>
          <w:lang w:val="fr-CA" w:eastAsia="fr-FR"/>
        </w:rPr>
        <w:t xml:space="preserve">soit la ressource </w:t>
      </w:r>
      <w:r w:rsidR="00020BE1">
        <w:rPr>
          <w:lang w:val="fr-CA" w:eastAsia="fr-FR"/>
        </w:rPr>
        <w:t xml:space="preserve">accessible </w:t>
      </w:r>
      <w:r w:rsidR="007124DB">
        <w:rPr>
          <w:lang w:val="fr-CA" w:eastAsia="fr-FR"/>
        </w:rPr>
        <w:t xml:space="preserve">après importation et exportation </w:t>
      </w:r>
      <w:r w:rsidR="00020BE1">
        <w:rPr>
          <w:lang w:val="fr-CA" w:eastAsia="fr-FR"/>
        </w:rPr>
        <w:t>pour</w:t>
      </w:r>
      <w:r w:rsidR="00D84810" w:rsidRPr="00AD2F26">
        <w:rPr>
          <w:lang w:val="fr-CA" w:eastAsia="fr-FR"/>
        </w:rPr>
        <w:t xml:space="preserve"> la transformation sur le marché </w:t>
      </w:r>
      <w:r w:rsidR="00020BE1">
        <w:rPr>
          <w:lang w:val="fr-CA" w:eastAsia="fr-FR"/>
        </w:rPr>
        <w:t xml:space="preserve">Français </w:t>
      </w:r>
      <w:r w:rsidR="00D84810" w:rsidRPr="00AD2F26">
        <w:rPr>
          <w:lang w:val="fr-CA" w:eastAsia="fr-FR"/>
        </w:rPr>
        <w:t xml:space="preserve">se structure </w:t>
      </w:r>
      <w:r w:rsidR="00F62971">
        <w:rPr>
          <w:lang w:val="fr-CA" w:eastAsia="fr-FR"/>
        </w:rPr>
        <w:t>en</w:t>
      </w:r>
      <w:r w:rsidR="00E6226E">
        <w:rPr>
          <w:lang w:val="fr-CA" w:eastAsia="fr-FR"/>
        </w:rPr>
        <w:t xml:space="preserve">tre des </w:t>
      </w:r>
      <w:r w:rsidR="00BC035A">
        <w:rPr>
          <w:lang w:val="fr-CA" w:eastAsia="fr-FR"/>
        </w:rPr>
        <w:t>catégories</w:t>
      </w:r>
      <w:r w:rsidR="00020BE1">
        <w:rPr>
          <w:lang w:val="fr-CA" w:eastAsia="fr-FR"/>
        </w:rPr>
        <w:t xml:space="preserve"> </w:t>
      </w:r>
      <w:r w:rsidR="00F62971">
        <w:rPr>
          <w:lang w:val="fr-CA" w:eastAsia="fr-FR"/>
        </w:rPr>
        <w:t>identifiées par l</w:t>
      </w:r>
      <w:r w:rsidR="00D60472">
        <w:rPr>
          <w:lang w:val="fr-CA" w:eastAsia="fr-FR"/>
        </w:rPr>
        <w:t>’</w:t>
      </w:r>
      <w:r w:rsidR="00F62971">
        <w:rPr>
          <w:lang w:val="fr-CA" w:eastAsia="fr-FR"/>
        </w:rPr>
        <w:t xml:space="preserve">espèce </w:t>
      </w:r>
      <w:r w:rsidR="00D60472">
        <w:rPr>
          <w:lang w:val="fr-CA" w:eastAsia="fr-FR"/>
        </w:rPr>
        <w:t xml:space="preserve">porc </w:t>
      </w:r>
      <w:r w:rsidR="00F62971">
        <w:rPr>
          <w:lang w:val="fr-CA" w:eastAsia="fr-FR"/>
        </w:rPr>
        <w:t>et des catégories multi</w:t>
      </w:r>
      <w:r w:rsidR="00956220">
        <w:rPr>
          <w:lang w:val="fr-CA" w:eastAsia="fr-FR"/>
        </w:rPr>
        <w:t>-</w:t>
      </w:r>
      <w:r w:rsidR="00F62971">
        <w:rPr>
          <w:lang w:val="fr-CA" w:eastAsia="fr-FR"/>
        </w:rPr>
        <w:t>espèces</w:t>
      </w:r>
      <w:r w:rsidR="00956220">
        <w:rPr>
          <w:lang w:val="fr-CA" w:eastAsia="fr-FR"/>
        </w:rPr>
        <w:t xml:space="preserve"> non dissociables</w:t>
      </w:r>
      <w:r w:rsidR="00E94BD0">
        <w:rPr>
          <w:lang w:val="fr-CA" w:eastAsia="fr-FR"/>
        </w:rPr>
        <w:t xml:space="preserve">. </w:t>
      </w:r>
    </w:p>
    <w:p w14:paraId="2B13907B" w14:textId="48F9ACD1" w:rsidR="009D23E8" w:rsidRPr="00E85C02" w:rsidRDefault="00E85C02" w:rsidP="00A305CD">
      <w:pPr>
        <w:pStyle w:val="Puce1"/>
        <w:numPr>
          <w:ilvl w:val="0"/>
          <w:numId w:val="13"/>
        </w:numPr>
        <w:ind w:left="714" w:hanging="357"/>
      </w:pPr>
      <w:r>
        <w:t xml:space="preserve">Viande de porc brute </w:t>
      </w:r>
      <w:r w:rsidR="006D66DD">
        <w:t xml:space="preserve">1820 </w:t>
      </w:r>
      <w:r w:rsidR="00957F11">
        <w:t>kt</w:t>
      </w:r>
      <w:r w:rsidR="006D66DD">
        <w:t xml:space="preserve"> </w:t>
      </w:r>
    </w:p>
    <w:p w14:paraId="3086F4F2" w14:textId="7FF341F5" w:rsidR="004A6FA6" w:rsidRDefault="00BC6FC5" w:rsidP="00020BE1">
      <w:pPr>
        <w:rPr>
          <w:lang w:val="fr-CA" w:eastAsia="fr-FR"/>
        </w:rPr>
      </w:pPr>
      <w:r>
        <w:rPr>
          <w:lang w:val="fr-CA" w:eastAsia="fr-FR"/>
        </w:rPr>
        <w:t>E</w:t>
      </w:r>
      <w:r w:rsidR="00761956">
        <w:rPr>
          <w:lang w:val="fr-CA" w:eastAsia="fr-FR"/>
        </w:rPr>
        <w:t>nviron</w:t>
      </w:r>
      <w:r w:rsidR="00761956" w:rsidRPr="00956220">
        <w:rPr>
          <w:lang w:val="fr-CA" w:eastAsia="fr-FR"/>
        </w:rPr>
        <w:t xml:space="preserve"> 1 </w:t>
      </w:r>
      <w:r w:rsidR="006C4718">
        <w:rPr>
          <w:lang w:val="fr-CA" w:eastAsia="fr-FR"/>
        </w:rPr>
        <w:t>820</w:t>
      </w:r>
      <w:r w:rsidR="00761956" w:rsidRPr="00956220">
        <w:rPr>
          <w:lang w:val="fr-CA" w:eastAsia="fr-FR"/>
        </w:rPr>
        <w:t xml:space="preserve"> </w:t>
      </w:r>
      <w:r w:rsidR="00957F11">
        <w:rPr>
          <w:lang w:val="fr-CA" w:eastAsia="fr-FR"/>
        </w:rPr>
        <w:t>kt</w:t>
      </w:r>
      <w:r w:rsidR="00761956">
        <w:rPr>
          <w:lang w:val="fr-CA" w:eastAsia="fr-FR"/>
        </w:rPr>
        <w:t xml:space="preserve"> de</w:t>
      </w:r>
      <w:r w:rsidR="00956220">
        <w:rPr>
          <w:lang w:val="fr-CA" w:eastAsia="fr-FR"/>
        </w:rPr>
        <w:t xml:space="preserve"> </w:t>
      </w:r>
      <w:r w:rsidR="00F76DB5" w:rsidRPr="00956220">
        <w:rPr>
          <w:lang w:val="fr-CA" w:eastAsia="fr-FR"/>
        </w:rPr>
        <w:t>viande de porc brute</w:t>
      </w:r>
      <w:r w:rsidR="00D84810" w:rsidRPr="00956220">
        <w:rPr>
          <w:lang w:val="fr-CA" w:eastAsia="fr-FR"/>
        </w:rPr>
        <w:t xml:space="preserve"> sous forme de</w:t>
      </w:r>
      <w:r w:rsidR="007124DB">
        <w:rPr>
          <w:lang w:val="fr-CA" w:eastAsia="fr-FR"/>
        </w:rPr>
        <w:t xml:space="preserve"> carcasses ou</w:t>
      </w:r>
      <w:r w:rsidR="00D84810" w:rsidRPr="00956220">
        <w:rPr>
          <w:lang w:val="fr-CA" w:eastAsia="fr-FR"/>
        </w:rPr>
        <w:t xml:space="preserve"> demi</w:t>
      </w:r>
      <w:r w:rsidR="00955860">
        <w:rPr>
          <w:lang w:val="fr-CA" w:eastAsia="fr-FR"/>
        </w:rPr>
        <w:t>-</w:t>
      </w:r>
      <w:r w:rsidR="00D84810" w:rsidRPr="00956220">
        <w:rPr>
          <w:lang w:val="fr-CA" w:eastAsia="fr-FR"/>
        </w:rPr>
        <w:t xml:space="preserve">carcasses ou pièces </w:t>
      </w:r>
      <w:r w:rsidR="00956220">
        <w:rPr>
          <w:lang w:val="fr-CA" w:eastAsia="fr-FR"/>
        </w:rPr>
        <w:t>en considérant</w:t>
      </w:r>
      <w:r w:rsidR="00761956">
        <w:rPr>
          <w:lang w:val="fr-CA" w:eastAsia="fr-FR"/>
        </w:rPr>
        <w:t xml:space="preserve"> </w:t>
      </w:r>
      <w:r w:rsidR="00956220">
        <w:rPr>
          <w:lang w:val="fr-CA" w:eastAsia="fr-FR"/>
        </w:rPr>
        <w:t>la part</w:t>
      </w:r>
      <w:r w:rsidR="00761956">
        <w:rPr>
          <w:lang w:val="fr-CA" w:eastAsia="fr-FR"/>
        </w:rPr>
        <w:t xml:space="preserve"> </w:t>
      </w:r>
      <w:r w:rsidR="00345CE3">
        <w:rPr>
          <w:lang w:val="fr-CA" w:eastAsia="fr-FR"/>
        </w:rPr>
        <w:t>« </w:t>
      </w:r>
      <w:r w:rsidR="00761956">
        <w:rPr>
          <w:lang w:val="fr-CA" w:eastAsia="fr-FR"/>
        </w:rPr>
        <w:t>non domestique</w:t>
      </w:r>
      <w:r w:rsidR="00345CE3">
        <w:rPr>
          <w:lang w:val="fr-CA" w:eastAsia="fr-FR"/>
        </w:rPr>
        <w:t> »</w:t>
      </w:r>
      <w:r w:rsidR="00761956">
        <w:rPr>
          <w:lang w:val="fr-CA" w:eastAsia="fr-FR"/>
        </w:rPr>
        <w:t xml:space="preserve"> comme négligeab</w:t>
      </w:r>
      <w:r w:rsidR="00020BE1">
        <w:rPr>
          <w:lang w:val="fr-CA" w:eastAsia="fr-FR"/>
        </w:rPr>
        <w:t xml:space="preserve">le. </w:t>
      </w:r>
    </w:p>
    <w:tbl>
      <w:tblPr>
        <w:tblW w:w="9209" w:type="dxa"/>
        <w:tblCellMar>
          <w:left w:w="70" w:type="dxa"/>
          <w:right w:w="70" w:type="dxa"/>
        </w:tblCellMar>
        <w:tblLook w:val="04A0" w:firstRow="1" w:lastRow="0" w:firstColumn="1" w:lastColumn="0" w:noHBand="0" w:noVBand="1"/>
      </w:tblPr>
      <w:tblGrid>
        <w:gridCol w:w="1696"/>
        <w:gridCol w:w="1078"/>
        <w:gridCol w:w="5443"/>
        <w:gridCol w:w="992"/>
      </w:tblGrid>
      <w:tr w:rsidR="00020BE1" w:rsidRPr="00A52024" w14:paraId="29F47222" w14:textId="77777777" w:rsidTr="00020BE1">
        <w:trPr>
          <w:trHeight w:val="275"/>
        </w:trPr>
        <w:tc>
          <w:tcPr>
            <w:tcW w:w="169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7A14B0D" w14:textId="77777777" w:rsidR="00020BE1" w:rsidRPr="00A52024" w:rsidRDefault="00020BE1" w:rsidP="00AD206C">
            <w:pPr>
              <w:spacing w:after="0" w:line="240" w:lineRule="auto"/>
              <w:jc w:val="left"/>
              <w:rPr>
                <w:rFonts w:eastAsia="Times New Roman" w:cs="Arial"/>
                <w:b/>
                <w:i/>
                <w:color w:val="000000"/>
                <w:sz w:val="20"/>
                <w:szCs w:val="20"/>
                <w:lang w:eastAsia="fr-FR"/>
              </w:rPr>
            </w:pPr>
            <w:r w:rsidRPr="00A52024">
              <w:rPr>
                <w:rFonts w:eastAsia="Times New Roman" w:cs="Arial"/>
                <w:b/>
                <w:i/>
                <w:color w:val="000000"/>
                <w:sz w:val="20"/>
                <w:szCs w:val="20"/>
                <w:lang w:eastAsia="fr-FR"/>
              </w:rPr>
              <w:t xml:space="preserve">Code Prodcom </w:t>
            </w:r>
          </w:p>
        </w:tc>
        <w:tc>
          <w:tcPr>
            <w:tcW w:w="107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1C8FE85" w14:textId="77777777" w:rsidR="00020BE1" w:rsidRPr="00A52024" w:rsidRDefault="00020BE1" w:rsidP="00AD206C">
            <w:pPr>
              <w:spacing w:after="0" w:line="240" w:lineRule="auto"/>
              <w:jc w:val="center"/>
              <w:rPr>
                <w:rFonts w:eastAsia="Times New Roman" w:cs="Arial"/>
                <w:b/>
                <w:i/>
                <w:color w:val="000000"/>
                <w:sz w:val="20"/>
                <w:szCs w:val="20"/>
                <w:lang w:eastAsia="fr-FR"/>
              </w:rPr>
            </w:pPr>
            <w:r w:rsidRPr="00A52024">
              <w:rPr>
                <w:rFonts w:eastAsia="Times New Roman" w:cs="Arial"/>
                <w:b/>
                <w:i/>
                <w:color w:val="000000"/>
                <w:sz w:val="20"/>
                <w:szCs w:val="20"/>
                <w:lang w:eastAsia="fr-FR"/>
              </w:rPr>
              <w:t>NC</w:t>
            </w:r>
          </w:p>
        </w:tc>
        <w:tc>
          <w:tcPr>
            <w:tcW w:w="544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6D93B7D" w14:textId="3FE4C4A8" w:rsidR="00020BE1" w:rsidRPr="00A52024" w:rsidRDefault="00020BE1" w:rsidP="00AD206C">
            <w:pPr>
              <w:spacing w:after="0" w:line="240" w:lineRule="auto"/>
              <w:jc w:val="left"/>
              <w:rPr>
                <w:rFonts w:eastAsia="Times New Roman" w:cs="Arial"/>
                <w:b/>
                <w:i/>
                <w:color w:val="000000"/>
                <w:sz w:val="20"/>
                <w:szCs w:val="20"/>
                <w:lang w:eastAsia="fr-FR"/>
              </w:rPr>
            </w:pPr>
            <w:r w:rsidRPr="00A52024">
              <w:rPr>
                <w:rFonts w:eastAsia="Times New Roman" w:cs="Arial"/>
                <w:b/>
                <w:i/>
                <w:color w:val="000000"/>
                <w:sz w:val="20"/>
                <w:szCs w:val="20"/>
                <w:lang w:eastAsia="fr-FR"/>
              </w:rPr>
              <w:t xml:space="preserve">Total </w:t>
            </w:r>
            <w:r w:rsidR="005F1C55" w:rsidRPr="005F1C55">
              <w:rPr>
                <w:rFonts w:eastAsia="Times New Roman" w:cs="Arial"/>
                <w:b/>
                <w:i/>
                <w:color w:val="000000"/>
                <w:sz w:val="20"/>
                <w:szCs w:val="20"/>
                <w:lang w:eastAsia="fr-FR"/>
              </w:rPr>
              <w:t>v</w:t>
            </w:r>
            <w:r w:rsidR="005F1C55" w:rsidRPr="005F1C55">
              <w:rPr>
                <w:rFonts w:eastAsia="Times New Roman"/>
                <w:b/>
                <w:i/>
                <w:color w:val="000000"/>
                <w:sz w:val="20"/>
                <w:szCs w:val="20"/>
              </w:rPr>
              <w:t>iande de</w:t>
            </w:r>
            <w:r w:rsidR="005F1C55">
              <w:rPr>
                <w:rFonts w:eastAsia="Times New Roman"/>
                <w:b/>
                <w:i/>
                <w:color w:val="000000"/>
              </w:rPr>
              <w:t xml:space="preserve"> </w:t>
            </w:r>
            <w:r w:rsidRPr="00A52024">
              <w:rPr>
                <w:rFonts w:eastAsia="Times New Roman" w:cs="Arial"/>
                <w:b/>
                <w:i/>
                <w:color w:val="000000"/>
                <w:sz w:val="20"/>
                <w:szCs w:val="20"/>
                <w:lang w:eastAsia="fr-FR"/>
              </w:rPr>
              <w:t>porc</w:t>
            </w:r>
            <w:r>
              <w:rPr>
                <w:rFonts w:eastAsia="Times New Roman" w:cs="Arial"/>
                <w:b/>
                <w:i/>
                <w:color w:val="000000"/>
                <w:sz w:val="20"/>
                <w:szCs w:val="20"/>
                <w:lang w:eastAsia="fr-FR"/>
              </w:rPr>
              <w:t xml:space="preserve"> </w:t>
            </w:r>
            <w:r w:rsidR="00A06B1B">
              <w:rPr>
                <w:rFonts w:eastAsia="Times New Roman" w:cs="Arial"/>
                <w:b/>
                <w:i/>
                <w:color w:val="000000"/>
                <w:sz w:val="20"/>
                <w:szCs w:val="20"/>
                <w:lang w:eastAsia="fr-FR"/>
              </w:rPr>
              <w:t>« brut</w:t>
            </w:r>
            <w:r w:rsidR="005F1C55">
              <w:rPr>
                <w:rFonts w:eastAsia="Times New Roman" w:cs="Arial"/>
                <w:b/>
                <w:i/>
                <w:color w:val="000000"/>
                <w:sz w:val="20"/>
                <w:szCs w:val="20"/>
                <w:lang w:eastAsia="fr-FR"/>
              </w:rPr>
              <w:t>e</w:t>
            </w:r>
            <w:r w:rsidR="00A06B1B">
              <w:rPr>
                <w:rFonts w:eastAsia="Times New Roman" w:cs="Arial"/>
                <w:b/>
                <w:i/>
                <w:color w:val="000000"/>
                <w:sz w:val="20"/>
                <w:szCs w:val="20"/>
                <w:lang w:eastAsia="fr-FR"/>
              </w:rPr>
              <w:t xml:space="preserve"> » </w:t>
            </w:r>
            <w:r w:rsidR="005C7773">
              <w:rPr>
                <w:rFonts w:eastAsia="Times New Roman" w:cs="Arial"/>
                <w:b/>
                <w:i/>
                <w:color w:val="000000"/>
                <w:sz w:val="20"/>
                <w:szCs w:val="20"/>
                <w:lang w:eastAsia="fr-FR"/>
              </w:rPr>
              <w:t xml:space="preserve">en </w:t>
            </w:r>
            <w:r w:rsidR="00957F11">
              <w:rPr>
                <w:rFonts w:eastAsia="Times New Roman" w:cs="Arial"/>
                <w:b/>
                <w:i/>
                <w:color w:val="000000"/>
                <w:sz w:val="20"/>
                <w:szCs w:val="20"/>
                <w:lang w:eastAsia="fr-FR"/>
              </w:rPr>
              <w:t>kt</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6CBF7F7" w14:textId="2C290117" w:rsidR="00020BE1" w:rsidRPr="00A52024" w:rsidRDefault="00020BE1" w:rsidP="00AD206C">
            <w:pPr>
              <w:spacing w:after="0" w:line="240" w:lineRule="auto"/>
              <w:jc w:val="right"/>
              <w:rPr>
                <w:rFonts w:eastAsia="Times New Roman" w:cs="Arial"/>
                <w:b/>
                <w:i/>
                <w:color w:val="000000"/>
                <w:sz w:val="20"/>
                <w:szCs w:val="20"/>
                <w:lang w:eastAsia="fr-FR"/>
              </w:rPr>
            </w:pPr>
            <w:r w:rsidRPr="00A52024">
              <w:rPr>
                <w:rFonts w:eastAsia="Times New Roman" w:cs="Arial"/>
                <w:b/>
                <w:i/>
                <w:color w:val="000000"/>
                <w:sz w:val="20"/>
                <w:szCs w:val="20"/>
                <w:lang w:eastAsia="fr-FR"/>
              </w:rPr>
              <w:t>1 8</w:t>
            </w:r>
            <w:r w:rsidR="00FB5B45">
              <w:rPr>
                <w:rFonts w:eastAsia="Times New Roman" w:cs="Arial"/>
                <w:b/>
                <w:i/>
                <w:color w:val="000000"/>
                <w:sz w:val="20"/>
                <w:szCs w:val="20"/>
                <w:lang w:eastAsia="fr-FR"/>
              </w:rPr>
              <w:t>20</w:t>
            </w:r>
          </w:p>
        </w:tc>
      </w:tr>
      <w:tr w:rsidR="00020BE1" w:rsidRPr="00A52024" w14:paraId="0528592B" w14:textId="77777777" w:rsidTr="00020BE1">
        <w:trPr>
          <w:trHeight w:val="660"/>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21CB4D0F"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10.11.12.30</w:t>
            </w:r>
          </w:p>
        </w:tc>
        <w:tc>
          <w:tcPr>
            <w:tcW w:w="1078" w:type="dxa"/>
            <w:tcBorders>
              <w:top w:val="nil"/>
              <w:left w:val="nil"/>
              <w:bottom w:val="single" w:sz="4" w:space="0" w:color="auto"/>
              <w:right w:val="single" w:sz="4" w:space="0" w:color="auto"/>
            </w:tcBorders>
            <w:shd w:val="clear" w:color="auto" w:fill="auto"/>
            <w:noWrap/>
            <w:vAlign w:val="center"/>
            <w:hideMark/>
          </w:tcPr>
          <w:p w14:paraId="0F57EF9A"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0203.11</w:t>
            </w:r>
          </w:p>
        </w:tc>
        <w:tc>
          <w:tcPr>
            <w:tcW w:w="5443" w:type="dxa"/>
            <w:tcBorders>
              <w:top w:val="nil"/>
              <w:left w:val="nil"/>
              <w:bottom w:val="single" w:sz="4" w:space="0" w:color="auto"/>
              <w:right w:val="single" w:sz="4" w:space="0" w:color="auto"/>
            </w:tcBorders>
            <w:shd w:val="clear" w:color="auto" w:fill="auto"/>
            <w:vAlign w:val="center"/>
            <w:hideMark/>
          </w:tcPr>
          <w:p w14:paraId="3B8F8E6F"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Viandes porcines, </w:t>
            </w:r>
            <w:r w:rsidRPr="009D7D03">
              <w:rPr>
                <w:rFonts w:eastAsia="Times New Roman" w:cs="Arial"/>
                <w:color w:val="000000"/>
                <w:sz w:val="20"/>
                <w:szCs w:val="20"/>
                <w:u w:val="single"/>
                <w:lang w:eastAsia="fr-FR"/>
              </w:rPr>
              <w:t>fraîches ou réfrigérées</w:t>
            </w:r>
            <w:r w:rsidRPr="009D7D03">
              <w:rPr>
                <w:rFonts w:eastAsia="Times New Roman" w:cs="Arial"/>
                <w:color w:val="000000"/>
                <w:sz w:val="20"/>
                <w:szCs w:val="20"/>
                <w:lang w:eastAsia="fr-FR"/>
              </w:rPr>
              <w:t>, en carcasses ou demi-carcasses, y compris les viandes fraîches emballées avec du sel pour conservation temporaire</w:t>
            </w:r>
          </w:p>
        </w:tc>
        <w:tc>
          <w:tcPr>
            <w:tcW w:w="992" w:type="dxa"/>
            <w:tcBorders>
              <w:top w:val="nil"/>
              <w:left w:val="nil"/>
              <w:bottom w:val="single" w:sz="4" w:space="0" w:color="auto"/>
              <w:right w:val="single" w:sz="4" w:space="0" w:color="auto"/>
            </w:tcBorders>
            <w:shd w:val="clear" w:color="auto" w:fill="auto"/>
            <w:noWrap/>
            <w:vAlign w:val="center"/>
            <w:hideMark/>
          </w:tcPr>
          <w:p w14:paraId="0D58079A" w14:textId="716106C6" w:rsidR="00020BE1" w:rsidRPr="009D7D03" w:rsidRDefault="00FB5B45" w:rsidP="00AD206C">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223</w:t>
            </w:r>
          </w:p>
        </w:tc>
      </w:tr>
      <w:tr w:rsidR="00020BE1" w:rsidRPr="00A52024" w14:paraId="13D98276" w14:textId="77777777" w:rsidTr="00020BE1">
        <w:trPr>
          <w:trHeight w:val="417"/>
        </w:trPr>
        <w:tc>
          <w:tcPr>
            <w:tcW w:w="169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7F17F44"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10.11.32.30</w:t>
            </w:r>
          </w:p>
        </w:tc>
        <w:tc>
          <w:tcPr>
            <w:tcW w:w="107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6AC39D6"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0203.21</w:t>
            </w:r>
          </w:p>
        </w:tc>
        <w:tc>
          <w:tcPr>
            <w:tcW w:w="544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8336A09"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Viandes porcines, </w:t>
            </w:r>
            <w:r w:rsidRPr="009D7D03">
              <w:rPr>
                <w:rFonts w:eastAsia="Times New Roman" w:cs="Arial"/>
                <w:color w:val="000000"/>
                <w:sz w:val="20"/>
                <w:szCs w:val="20"/>
                <w:u w:val="single"/>
                <w:lang w:eastAsia="fr-FR"/>
              </w:rPr>
              <w:t>congelées ou surgelées</w:t>
            </w:r>
            <w:r w:rsidRPr="009D7D03">
              <w:rPr>
                <w:rFonts w:eastAsia="Times New Roman" w:cs="Arial"/>
                <w:color w:val="000000"/>
                <w:sz w:val="20"/>
                <w:szCs w:val="20"/>
                <w:lang w:eastAsia="fr-FR"/>
              </w:rPr>
              <w:t>, en carcasses ou demi-carcasses</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777A3F4" w14:textId="3FA8DFC8" w:rsidR="00020BE1" w:rsidRPr="009D7D03" w:rsidRDefault="00FB5B45" w:rsidP="00AD206C">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2</w:t>
            </w:r>
          </w:p>
        </w:tc>
      </w:tr>
      <w:tr w:rsidR="00020BE1" w:rsidRPr="00A52024" w14:paraId="77A6949B" w14:textId="77777777" w:rsidTr="00020BE1">
        <w:trPr>
          <w:trHeight w:val="465"/>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1A6EB2E6"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10.11.12.50</w:t>
            </w:r>
          </w:p>
        </w:tc>
        <w:tc>
          <w:tcPr>
            <w:tcW w:w="1078" w:type="dxa"/>
            <w:tcBorders>
              <w:top w:val="nil"/>
              <w:left w:val="nil"/>
              <w:bottom w:val="single" w:sz="4" w:space="0" w:color="auto"/>
              <w:right w:val="single" w:sz="4" w:space="0" w:color="auto"/>
            </w:tcBorders>
            <w:shd w:val="clear" w:color="auto" w:fill="auto"/>
            <w:noWrap/>
            <w:vAlign w:val="center"/>
            <w:hideMark/>
          </w:tcPr>
          <w:p w14:paraId="23D1E6B7"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eastAsia="Times New Roman" w:cs="Arial"/>
                <w:color w:val="000000"/>
                <w:sz w:val="20"/>
                <w:szCs w:val="20"/>
                <w:lang w:eastAsia="fr-FR"/>
              </w:rPr>
              <w:t>0203.12</w:t>
            </w:r>
          </w:p>
        </w:tc>
        <w:tc>
          <w:tcPr>
            <w:tcW w:w="5443" w:type="dxa"/>
            <w:tcBorders>
              <w:top w:val="nil"/>
              <w:left w:val="nil"/>
              <w:bottom w:val="single" w:sz="4" w:space="0" w:color="auto"/>
              <w:right w:val="single" w:sz="4" w:space="0" w:color="auto"/>
            </w:tcBorders>
            <w:shd w:val="clear" w:color="auto" w:fill="auto"/>
            <w:vAlign w:val="center"/>
            <w:hideMark/>
          </w:tcPr>
          <w:p w14:paraId="468CC70F"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Jambons, épaules de porcs et leurs morceaux non désossés, </w:t>
            </w:r>
            <w:r w:rsidRPr="009D7D03">
              <w:rPr>
                <w:rFonts w:eastAsia="Times New Roman" w:cs="Arial"/>
                <w:color w:val="000000"/>
                <w:sz w:val="20"/>
                <w:szCs w:val="20"/>
                <w:u w:val="single"/>
                <w:lang w:eastAsia="fr-FR"/>
              </w:rPr>
              <w:t>frais ou réfrigérés</w:t>
            </w:r>
          </w:p>
        </w:tc>
        <w:tc>
          <w:tcPr>
            <w:tcW w:w="992" w:type="dxa"/>
            <w:tcBorders>
              <w:top w:val="nil"/>
              <w:left w:val="nil"/>
              <w:bottom w:val="single" w:sz="4" w:space="0" w:color="auto"/>
              <w:right w:val="single" w:sz="4" w:space="0" w:color="auto"/>
            </w:tcBorders>
            <w:shd w:val="clear" w:color="auto" w:fill="auto"/>
            <w:noWrap/>
            <w:vAlign w:val="center"/>
            <w:hideMark/>
          </w:tcPr>
          <w:p w14:paraId="21BD565B" w14:textId="77777777" w:rsidR="00020BE1" w:rsidRPr="009D7D03" w:rsidRDefault="00020BE1" w:rsidP="00AD206C">
            <w:pPr>
              <w:spacing w:after="0" w:line="240" w:lineRule="auto"/>
              <w:jc w:val="right"/>
              <w:rPr>
                <w:rFonts w:eastAsia="Times New Roman" w:cs="Arial"/>
                <w:color w:val="000000"/>
                <w:sz w:val="20"/>
                <w:szCs w:val="20"/>
                <w:lang w:eastAsia="fr-FR"/>
              </w:rPr>
            </w:pPr>
            <w:r w:rsidRPr="009D7D03">
              <w:rPr>
                <w:rFonts w:eastAsia="Times New Roman" w:cs="Arial"/>
                <w:color w:val="000000"/>
                <w:sz w:val="20"/>
                <w:szCs w:val="20"/>
                <w:lang w:eastAsia="fr-FR"/>
              </w:rPr>
              <w:t>577</w:t>
            </w:r>
          </w:p>
        </w:tc>
      </w:tr>
      <w:tr w:rsidR="00020BE1" w:rsidRPr="00A52024" w14:paraId="0178A6F3" w14:textId="77777777" w:rsidTr="00020BE1">
        <w:trPr>
          <w:trHeight w:val="219"/>
        </w:trPr>
        <w:tc>
          <w:tcPr>
            <w:tcW w:w="1696"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4C9FFD50"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cs="Arial"/>
                <w:color w:val="000000"/>
                <w:sz w:val="20"/>
                <w:szCs w:val="20"/>
              </w:rPr>
              <w:t>10.11.32.50</w:t>
            </w:r>
          </w:p>
        </w:tc>
        <w:tc>
          <w:tcPr>
            <w:tcW w:w="1078"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30C5BB68"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0203.19</w:t>
            </w:r>
          </w:p>
        </w:tc>
        <w:tc>
          <w:tcPr>
            <w:tcW w:w="5443" w:type="dxa"/>
            <w:tcBorders>
              <w:top w:val="single" w:sz="4" w:space="0" w:color="auto"/>
              <w:left w:val="single" w:sz="4" w:space="0" w:color="auto"/>
              <w:bottom w:val="single" w:sz="4" w:space="0" w:color="000000"/>
              <w:right w:val="single" w:sz="4" w:space="0" w:color="auto"/>
            </w:tcBorders>
            <w:shd w:val="clear" w:color="D9D9D9" w:fill="D9D9D9"/>
            <w:vAlign w:val="center"/>
            <w:hideMark/>
          </w:tcPr>
          <w:p w14:paraId="2CB35A5A"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Autres viandes porcines, </w:t>
            </w:r>
            <w:r w:rsidRPr="009D7D03">
              <w:rPr>
                <w:rFonts w:eastAsia="Times New Roman" w:cs="Arial"/>
                <w:color w:val="000000"/>
                <w:sz w:val="20"/>
                <w:szCs w:val="20"/>
                <w:u w:val="single"/>
                <w:lang w:eastAsia="fr-FR"/>
              </w:rPr>
              <w:t>fraîches ou réfrigérées</w:t>
            </w:r>
            <w:r w:rsidRPr="009D7D03">
              <w:rPr>
                <w:rFonts w:eastAsia="Times New Roman" w:cs="Arial"/>
                <w:color w:val="000000"/>
                <w:sz w:val="20"/>
                <w:szCs w:val="20"/>
                <w:lang w:eastAsia="fr-FR"/>
              </w:rPr>
              <w:t xml:space="preserve"> </w:t>
            </w:r>
          </w:p>
        </w:tc>
        <w:tc>
          <w:tcPr>
            <w:tcW w:w="992"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779DF2CD" w14:textId="77777777" w:rsidR="00020BE1" w:rsidRPr="009D7D03" w:rsidRDefault="00020BE1" w:rsidP="00AD206C">
            <w:pPr>
              <w:spacing w:after="0" w:line="240" w:lineRule="auto"/>
              <w:jc w:val="right"/>
              <w:rPr>
                <w:rFonts w:eastAsia="Times New Roman" w:cs="Arial"/>
                <w:color w:val="000000"/>
                <w:sz w:val="20"/>
                <w:szCs w:val="20"/>
                <w:lang w:eastAsia="fr-FR"/>
              </w:rPr>
            </w:pPr>
            <w:r w:rsidRPr="009D7D03">
              <w:rPr>
                <w:rFonts w:eastAsia="Times New Roman" w:cs="Arial"/>
                <w:color w:val="000000"/>
                <w:sz w:val="20"/>
                <w:szCs w:val="20"/>
                <w:lang w:eastAsia="fr-FR"/>
              </w:rPr>
              <w:t>827</w:t>
            </w:r>
          </w:p>
        </w:tc>
      </w:tr>
      <w:tr w:rsidR="00020BE1" w:rsidRPr="00A52024" w14:paraId="0E166EFD" w14:textId="77777777" w:rsidTr="00020BE1">
        <w:trPr>
          <w:trHeight w:val="465"/>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A97127"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cs="Arial"/>
                <w:color w:val="000000"/>
                <w:sz w:val="20"/>
                <w:szCs w:val="20"/>
              </w:rPr>
              <w:t>10.11.12.90</w:t>
            </w:r>
          </w:p>
        </w:tc>
        <w:tc>
          <w:tcPr>
            <w:tcW w:w="1078" w:type="dxa"/>
            <w:tcBorders>
              <w:top w:val="single" w:sz="4" w:space="0" w:color="auto"/>
              <w:left w:val="nil"/>
              <w:bottom w:val="single" w:sz="4" w:space="0" w:color="auto"/>
              <w:right w:val="single" w:sz="4" w:space="0" w:color="auto"/>
            </w:tcBorders>
            <w:shd w:val="clear" w:color="auto" w:fill="auto"/>
            <w:noWrap/>
            <w:vAlign w:val="center"/>
            <w:hideMark/>
          </w:tcPr>
          <w:p w14:paraId="5B669379"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0203.22</w:t>
            </w:r>
          </w:p>
        </w:tc>
        <w:tc>
          <w:tcPr>
            <w:tcW w:w="5443" w:type="dxa"/>
            <w:tcBorders>
              <w:top w:val="single" w:sz="4" w:space="0" w:color="auto"/>
              <w:left w:val="nil"/>
              <w:bottom w:val="single" w:sz="4" w:space="0" w:color="auto"/>
              <w:right w:val="single" w:sz="4" w:space="0" w:color="auto"/>
            </w:tcBorders>
            <w:shd w:val="clear" w:color="auto" w:fill="auto"/>
            <w:vAlign w:val="center"/>
            <w:hideMark/>
          </w:tcPr>
          <w:p w14:paraId="0934780B" w14:textId="6FA29B6A"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Jambons, épaules de porc et leurs morceaux non désossés dont </w:t>
            </w:r>
            <w:r w:rsidR="00955860">
              <w:rPr>
                <w:rFonts w:eastAsia="Times New Roman" w:cs="Arial"/>
                <w:color w:val="000000"/>
                <w:sz w:val="20"/>
                <w:szCs w:val="20"/>
                <w:lang w:eastAsia="fr-FR"/>
              </w:rPr>
              <w:t>« Non</w:t>
            </w:r>
            <w:r w:rsidRPr="009D7D03">
              <w:rPr>
                <w:rFonts w:eastAsia="Times New Roman" w:cs="Arial"/>
                <w:color w:val="000000"/>
                <w:sz w:val="20"/>
                <w:szCs w:val="20"/>
                <w:lang w:eastAsia="fr-FR"/>
              </w:rPr>
              <w:t xml:space="preserve"> Domestique</w:t>
            </w:r>
            <w:r w:rsidR="00955860">
              <w:rPr>
                <w:rFonts w:eastAsia="Times New Roman" w:cs="Arial"/>
                <w:color w:val="000000"/>
                <w:sz w:val="20"/>
                <w:szCs w:val="20"/>
                <w:lang w:eastAsia="fr-FR"/>
              </w:rPr>
              <w:t> »</w:t>
            </w:r>
            <w:r w:rsidRPr="009D7D03">
              <w:rPr>
                <w:rFonts w:eastAsia="Times New Roman" w:cs="Arial"/>
                <w:color w:val="000000"/>
                <w:sz w:val="20"/>
                <w:szCs w:val="20"/>
                <w:lang w:eastAsia="fr-FR"/>
              </w:rPr>
              <w:t xml:space="preserve">, </w:t>
            </w:r>
            <w:r w:rsidRPr="009D7D03">
              <w:rPr>
                <w:rFonts w:eastAsia="Times New Roman" w:cs="Arial"/>
                <w:color w:val="000000"/>
                <w:sz w:val="20"/>
                <w:szCs w:val="20"/>
                <w:u w:val="single"/>
                <w:lang w:eastAsia="fr-FR"/>
              </w:rPr>
              <w:t xml:space="preserve">congelés </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3CEDE928" w14:textId="77777777" w:rsidR="00020BE1" w:rsidRPr="009D7D03" w:rsidRDefault="00020BE1" w:rsidP="00AD206C">
            <w:pPr>
              <w:spacing w:after="0" w:line="240" w:lineRule="auto"/>
              <w:jc w:val="right"/>
              <w:rPr>
                <w:rFonts w:eastAsia="Times New Roman" w:cs="Arial"/>
                <w:color w:val="000000"/>
                <w:sz w:val="20"/>
                <w:szCs w:val="20"/>
                <w:lang w:eastAsia="fr-FR"/>
              </w:rPr>
            </w:pPr>
            <w:r w:rsidRPr="009D7D03">
              <w:rPr>
                <w:rFonts w:eastAsia="Times New Roman" w:cs="Arial"/>
                <w:color w:val="000000"/>
                <w:sz w:val="20"/>
                <w:szCs w:val="20"/>
                <w:lang w:eastAsia="fr-FR"/>
              </w:rPr>
              <w:t>57</w:t>
            </w:r>
          </w:p>
        </w:tc>
      </w:tr>
      <w:tr w:rsidR="00020BE1" w:rsidRPr="00A52024" w14:paraId="751F9BFD" w14:textId="77777777" w:rsidTr="00020BE1">
        <w:trPr>
          <w:trHeight w:val="281"/>
        </w:trPr>
        <w:tc>
          <w:tcPr>
            <w:tcW w:w="169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DAC9004"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cs="Arial"/>
                <w:color w:val="000000"/>
                <w:sz w:val="20"/>
                <w:szCs w:val="20"/>
              </w:rPr>
              <w:t>10.11.32.90</w:t>
            </w:r>
          </w:p>
        </w:tc>
        <w:tc>
          <w:tcPr>
            <w:tcW w:w="107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01DB475" w14:textId="77777777" w:rsidR="00020BE1" w:rsidRPr="009D7D03" w:rsidRDefault="00020BE1" w:rsidP="00AD206C">
            <w:pPr>
              <w:spacing w:after="0" w:line="240" w:lineRule="auto"/>
              <w:jc w:val="center"/>
              <w:rPr>
                <w:rFonts w:eastAsia="Times New Roman" w:cs="Arial"/>
                <w:color w:val="000000"/>
                <w:sz w:val="20"/>
                <w:szCs w:val="20"/>
                <w:lang w:eastAsia="fr-FR"/>
              </w:rPr>
            </w:pPr>
            <w:r w:rsidRPr="009D7D03">
              <w:rPr>
                <w:rFonts w:cs="Arial"/>
                <w:color w:val="000000"/>
                <w:sz w:val="20"/>
                <w:szCs w:val="20"/>
              </w:rPr>
              <w:t>0203.29</w:t>
            </w:r>
          </w:p>
        </w:tc>
        <w:tc>
          <w:tcPr>
            <w:tcW w:w="544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EA0BF85" w14:textId="77777777" w:rsidR="00020BE1" w:rsidRPr="009D7D03" w:rsidRDefault="00020BE1" w:rsidP="00AD206C">
            <w:pPr>
              <w:spacing w:after="0" w:line="240" w:lineRule="auto"/>
              <w:jc w:val="left"/>
              <w:rPr>
                <w:rFonts w:eastAsia="Times New Roman" w:cs="Arial"/>
                <w:color w:val="000000"/>
                <w:sz w:val="20"/>
                <w:szCs w:val="20"/>
                <w:lang w:eastAsia="fr-FR"/>
              </w:rPr>
            </w:pPr>
            <w:r w:rsidRPr="009D7D03">
              <w:rPr>
                <w:rFonts w:eastAsia="Times New Roman" w:cs="Arial"/>
                <w:color w:val="000000"/>
                <w:sz w:val="20"/>
                <w:szCs w:val="20"/>
                <w:lang w:eastAsia="fr-FR"/>
              </w:rPr>
              <w:t xml:space="preserve">Autres viandes porcines, </w:t>
            </w:r>
            <w:r w:rsidRPr="009D7D03">
              <w:rPr>
                <w:rFonts w:eastAsia="Times New Roman" w:cs="Arial"/>
                <w:color w:val="000000"/>
                <w:sz w:val="20"/>
                <w:szCs w:val="20"/>
                <w:u w:val="single"/>
                <w:lang w:eastAsia="fr-FR"/>
              </w:rPr>
              <w:t>congelées</w:t>
            </w:r>
            <w:r w:rsidRPr="009D7D03">
              <w:rPr>
                <w:rFonts w:eastAsia="Times New Roman" w:cs="Arial"/>
                <w:color w:val="000000"/>
                <w:sz w:val="20"/>
                <w:szCs w:val="20"/>
                <w:lang w:eastAsia="fr-FR"/>
              </w:rPr>
              <w:t xml:space="preserve"> </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7E05B68" w14:textId="77777777" w:rsidR="00020BE1" w:rsidRPr="009D7D03" w:rsidRDefault="00020BE1" w:rsidP="00AD206C">
            <w:pPr>
              <w:spacing w:after="0" w:line="240" w:lineRule="auto"/>
              <w:jc w:val="right"/>
              <w:rPr>
                <w:rFonts w:eastAsia="Times New Roman" w:cs="Arial"/>
                <w:color w:val="000000"/>
                <w:sz w:val="20"/>
                <w:szCs w:val="20"/>
                <w:lang w:eastAsia="fr-FR"/>
              </w:rPr>
            </w:pPr>
            <w:r w:rsidRPr="009D7D03">
              <w:rPr>
                <w:rFonts w:eastAsia="Times New Roman" w:cs="Arial"/>
                <w:color w:val="000000"/>
                <w:sz w:val="20"/>
                <w:szCs w:val="20"/>
                <w:lang w:eastAsia="fr-FR"/>
              </w:rPr>
              <w:t>134</w:t>
            </w:r>
          </w:p>
        </w:tc>
      </w:tr>
    </w:tbl>
    <w:p w14:paraId="6588479A" w14:textId="5776B8CB" w:rsidR="00A5574A" w:rsidRDefault="00A46579" w:rsidP="00A46579">
      <w:pPr>
        <w:pStyle w:val="figure"/>
        <w:rPr>
          <w:rStyle w:val="figureCar"/>
          <w:b/>
          <w:bCs/>
          <w:iCs/>
        </w:rPr>
      </w:pPr>
      <w:bookmarkStart w:id="71" w:name="_Toc72143356"/>
      <w:r w:rsidRPr="00A46579">
        <w:rPr>
          <w:rStyle w:val="figureCar"/>
          <w:b/>
        </w:rPr>
        <w:t xml:space="preserve">Tableau </w:t>
      </w:r>
      <w:r w:rsidRPr="00A46579">
        <w:rPr>
          <w:rStyle w:val="figureCar"/>
          <w:b/>
        </w:rPr>
        <w:fldChar w:fldCharType="begin"/>
      </w:r>
      <w:r w:rsidRPr="00A46579">
        <w:rPr>
          <w:rStyle w:val="figureCar"/>
          <w:b/>
        </w:rPr>
        <w:instrText xml:space="preserve"> SEQ Tableau \* ARABIC </w:instrText>
      </w:r>
      <w:r w:rsidRPr="00A46579">
        <w:rPr>
          <w:rStyle w:val="figureCar"/>
          <w:b/>
        </w:rPr>
        <w:fldChar w:fldCharType="separate"/>
      </w:r>
      <w:r w:rsidR="0007597F">
        <w:rPr>
          <w:rStyle w:val="figureCar"/>
          <w:b/>
          <w:noProof/>
        </w:rPr>
        <w:t>8</w:t>
      </w:r>
      <w:r w:rsidRPr="00A46579">
        <w:rPr>
          <w:rStyle w:val="figureCar"/>
          <w:b/>
        </w:rPr>
        <w:fldChar w:fldCharType="end"/>
      </w:r>
      <w:r w:rsidR="00A5574A">
        <w:rPr>
          <w:rStyle w:val="figureCar"/>
          <w:b/>
        </w:rPr>
        <w:t> :</w:t>
      </w:r>
      <w:r w:rsidRPr="00A46579">
        <w:rPr>
          <w:rStyle w:val="figureCar"/>
        </w:rPr>
        <w:t xml:space="preserve"> </w:t>
      </w:r>
      <w:r w:rsidR="00020BE1" w:rsidRPr="00A46579">
        <w:rPr>
          <w:rStyle w:val="figureCar"/>
          <w:b/>
          <w:bCs/>
          <w:iCs/>
        </w:rPr>
        <w:t xml:space="preserve">Disponible en viande de porc </w:t>
      </w:r>
      <w:r w:rsidR="00A06B1B">
        <w:rPr>
          <w:rStyle w:val="figureCar"/>
          <w:b/>
          <w:bCs/>
          <w:iCs/>
        </w:rPr>
        <w:t>« </w:t>
      </w:r>
      <w:r w:rsidR="00020BE1" w:rsidRPr="00A46579">
        <w:rPr>
          <w:rStyle w:val="figureCar"/>
          <w:b/>
          <w:bCs/>
          <w:iCs/>
        </w:rPr>
        <w:t>brut</w:t>
      </w:r>
      <w:r w:rsidR="005F1C55">
        <w:rPr>
          <w:rStyle w:val="figureCar"/>
          <w:b/>
          <w:bCs/>
          <w:iCs/>
        </w:rPr>
        <w:t>e</w:t>
      </w:r>
      <w:r w:rsidR="00A06B1B">
        <w:rPr>
          <w:rStyle w:val="figureCar"/>
          <w:b/>
          <w:bCs/>
          <w:iCs/>
        </w:rPr>
        <w:t> »</w:t>
      </w:r>
      <w:r w:rsidR="00020BE1" w:rsidRPr="00A46579">
        <w:rPr>
          <w:rStyle w:val="figureCar"/>
          <w:b/>
          <w:bCs/>
          <w:iCs/>
        </w:rPr>
        <w:t xml:space="preserve"> en sortie d’activité 10.11.Z </w:t>
      </w:r>
      <w:r w:rsidR="00D52669">
        <w:rPr>
          <w:rStyle w:val="figureCar"/>
          <w:b/>
          <w:bCs/>
          <w:iCs/>
        </w:rPr>
        <w:t xml:space="preserve">en </w:t>
      </w:r>
      <w:r w:rsidR="00957F11">
        <w:rPr>
          <w:rStyle w:val="figureCar"/>
          <w:b/>
          <w:bCs/>
          <w:iCs/>
        </w:rPr>
        <w:t>kt</w:t>
      </w:r>
      <w:bookmarkEnd w:id="71"/>
    </w:p>
    <w:p w14:paraId="799D05BE" w14:textId="75E822B4" w:rsidR="00020BE1" w:rsidRPr="00A5574A" w:rsidRDefault="00020BE1" w:rsidP="00A5574A">
      <w:pPr>
        <w:pStyle w:val="Lgende"/>
        <w:rPr>
          <w:rStyle w:val="figureCar"/>
          <w:b w:val="0"/>
          <w:bCs/>
          <w:iCs/>
        </w:rPr>
      </w:pPr>
      <w:r w:rsidRPr="00A5574A">
        <w:rPr>
          <w:rStyle w:val="figureCar"/>
          <w:b w:val="0"/>
          <w:bCs/>
          <w:iCs/>
        </w:rPr>
        <w:t>(Ifip d’après Enquêtes PRODCOM, Eurostat)</w:t>
      </w:r>
    </w:p>
    <w:p w14:paraId="13AB88AD" w14:textId="5F0C9118" w:rsidR="002C6A2F" w:rsidRPr="00246951" w:rsidRDefault="00020BE1" w:rsidP="00761956">
      <w:pPr>
        <w:rPr>
          <w:rFonts w:eastAsia="Times New Roman" w:cs="Arial"/>
          <w:sz w:val="20"/>
          <w:szCs w:val="20"/>
        </w:rPr>
      </w:pPr>
      <w:r>
        <w:rPr>
          <w:lang w:val="fr-CA"/>
        </w:rPr>
        <w:t>L</w:t>
      </w:r>
      <w:r w:rsidR="00716393">
        <w:rPr>
          <w:lang w:val="fr-CA"/>
        </w:rPr>
        <w:t>a</w:t>
      </w:r>
      <w:r w:rsidR="007124DB">
        <w:rPr>
          <w:lang w:val="fr-CA"/>
        </w:rPr>
        <w:t xml:space="preserve"> </w:t>
      </w:r>
      <w:r w:rsidR="00761956" w:rsidRPr="00761956">
        <w:rPr>
          <w:lang w:val="fr-CA"/>
        </w:rPr>
        <w:t>viande</w:t>
      </w:r>
      <w:r w:rsidR="007124DB">
        <w:rPr>
          <w:lang w:val="fr-CA"/>
        </w:rPr>
        <w:t xml:space="preserve"> de porc</w:t>
      </w:r>
      <w:r w:rsidR="00761956" w:rsidRPr="00761956">
        <w:rPr>
          <w:lang w:val="fr-CA"/>
        </w:rPr>
        <w:t xml:space="preserve"> se répartit </w:t>
      </w:r>
      <w:r w:rsidR="007124DB">
        <w:rPr>
          <w:lang w:val="fr-CA"/>
        </w:rPr>
        <w:t xml:space="preserve">en </w:t>
      </w:r>
      <w:r w:rsidR="00BC6FC5" w:rsidRPr="00761956">
        <w:rPr>
          <w:lang w:val="fr-CA"/>
        </w:rPr>
        <w:t xml:space="preserve">longe et poitrine </w:t>
      </w:r>
      <w:r w:rsidR="00BE7BFF">
        <w:rPr>
          <w:lang w:val="fr-CA"/>
        </w:rPr>
        <w:t xml:space="preserve">ou autrement dénommées « autres viandes » </w:t>
      </w:r>
      <w:r w:rsidR="00BC6FC5" w:rsidRPr="00761956">
        <w:rPr>
          <w:lang w:val="fr-CA"/>
        </w:rPr>
        <w:t>(5</w:t>
      </w:r>
      <w:r w:rsidR="00A02D42">
        <w:rPr>
          <w:lang w:val="fr-CA"/>
        </w:rPr>
        <w:t>3</w:t>
      </w:r>
      <w:r w:rsidR="00BC6FC5" w:rsidRPr="00761956">
        <w:rPr>
          <w:lang w:val="fr-CA"/>
        </w:rPr>
        <w:t> %)</w:t>
      </w:r>
      <w:r w:rsidR="00BC6FC5">
        <w:rPr>
          <w:lang w:val="fr-CA"/>
        </w:rPr>
        <w:t xml:space="preserve">, en </w:t>
      </w:r>
      <w:r w:rsidR="00761956" w:rsidRPr="00761956">
        <w:rPr>
          <w:lang w:val="fr-CA"/>
        </w:rPr>
        <w:t>jambon, épaule (3</w:t>
      </w:r>
      <w:r w:rsidR="00A02D42">
        <w:rPr>
          <w:lang w:val="fr-CA"/>
        </w:rPr>
        <w:t>5</w:t>
      </w:r>
      <w:r w:rsidR="00761956" w:rsidRPr="00761956">
        <w:rPr>
          <w:lang w:val="fr-CA"/>
        </w:rPr>
        <w:t> %) et</w:t>
      </w:r>
      <w:r w:rsidR="00BC6FC5">
        <w:rPr>
          <w:lang w:val="fr-CA"/>
        </w:rPr>
        <w:t xml:space="preserve"> </w:t>
      </w:r>
      <w:r w:rsidR="00BC6FC5" w:rsidRPr="00761956">
        <w:rPr>
          <w:lang w:val="fr-CA"/>
        </w:rPr>
        <w:t xml:space="preserve">en </w:t>
      </w:r>
      <w:r w:rsidR="007124DB">
        <w:rPr>
          <w:lang w:val="fr-CA"/>
        </w:rPr>
        <w:t xml:space="preserve">carcasses ou </w:t>
      </w:r>
      <w:r w:rsidR="00BC6FC5" w:rsidRPr="00761956">
        <w:rPr>
          <w:lang w:val="fr-CA"/>
        </w:rPr>
        <w:t>demi</w:t>
      </w:r>
      <w:r w:rsidR="00955860">
        <w:rPr>
          <w:lang w:val="fr-CA"/>
        </w:rPr>
        <w:t>-</w:t>
      </w:r>
      <w:r w:rsidR="00BC6FC5" w:rsidRPr="00761956">
        <w:rPr>
          <w:lang w:val="fr-CA"/>
        </w:rPr>
        <w:t>carcasses (1</w:t>
      </w:r>
      <w:r w:rsidR="000A573F">
        <w:rPr>
          <w:lang w:val="fr-CA"/>
        </w:rPr>
        <w:t>2</w:t>
      </w:r>
      <w:r w:rsidR="00BC6FC5" w:rsidRPr="00761956">
        <w:rPr>
          <w:lang w:val="fr-CA"/>
        </w:rPr>
        <w:t> %)</w:t>
      </w:r>
      <w:r w:rsidR="00761956" w:rsidRPr="00761956">
        <w:rPr>
          <w:lang w:val="fr-CA"/>
        </w:rPr>
        <w:t xml:space="preserve">. </w:t>
      </w:r>
      <w:r w:rsidR="009D7D03">
        <w:rPr>
          <w:lang w:val="fr-CA"/>
        </w:rPr>
        <w:t>Au stade de la production et avant importation et exportation, la part de carcasses ou demi</w:t>
      </w:r>
      <w:r w:rsidR="00955860">
        <w:rPr>
          <w:lang w:val="fr-CA"/>
        </w:rPr>
        <w:t>-</w:t>
      </w:r>
      <w:r w:rsidR="009D7D03">
        <w:rPr>
          <w:lang w:val="fr-CA"/>
        </w:rPr>
        <w:t xml:space="preserve">carcasses en sortie d’abattoir a perdu </w:t>
      </w:r>
      <w:r w:rsidR="008F63F2">
        <w:rPr>
          <w:lang w:val="fr-CA"/>
        </w:rPr>
        <w:t>entre 20</w:t>
      </w:r>
      <w:r w:rsidR="000D2A0B">
        <w:rPr>
          <w:lang w:val="fr-CA"/>
        </w:rPr>
        <w:t>08</w:t>
      </w:r>
      <w:r w:rsidR="008F63F2">
        <w:rPr>
          <w:lang w:val="fr-CA"/>
        </w:rPr>
        <w:t xml:space="preserve"> et 2018, </w:t>
      </w:r>
      <w:r w:rsidR="000D2A0B">
        <w:rPr>
          <w:lang w:val="fr-CA"/>
        </w:rPr>
        <w:t>7</w:t>
      </w:r>
      <w:r w:rsidR="009D7D03">
        <w:rPr>
          <w:lang w:val="fr-CA"/>
        </w:rPr>
        <w:t xml:space="preserve"> points au profit des pièces.</w:t>
      </w:r>
      <w:r w:rsidR="007124DB">
        <w:rPr>
          <w:lang w:val="fr-CA"/>
        </w:rPr>
        <w:t xml:space="preserve"> </w:t>
      </w:r>
      <w:r w:rsidR="00E70986">
        <w:rPr>
          <w:lang w:val="fr-CA"/>
        </w:rPr>
        <w:t xml:space="preserve">Ce point s’inscrit en ligne avec </w:t>
      </w:r>
      <w:r w:rsidR="00C16EE7">
        <w:rPr>
          <w:lang w:val="fr-CA"/>
        </w:rPr>
        <w:t>l</w:t>
      </w:r>
      <w:r w:rsidR="00E70986">
        <w:rPr>
          <w:lang w:val="fr-CA"/>
        </w:rPr>
        <w:t xml:space="preserve">es attentes </w:t>
      </w:r>
      <w:r w:rsidR="00C16EE7">
        <w:rPr>
          <w:lang w:val="fr-CA"/>
        </w:rPr>
        <w:t xml:space="preserve">de la part des transformateurs </w:t>
      </w:r>
      <w:r w:rsidR="00EC5693">
        <w:rPr>
          <w:lang w:val="fr-CA"/>
        </w:rPr>
        <w:t>(</w:t>
      </w:r>
      <w:r w:rsidR="00C16EE7">
        <w:rPr>
          <w:lang w:val="fr-CA"/>
        </w:rPr>
        <w:t>industriels</w:t>
      </w:r>
      <w:r w:rsidR="00EC5693">
        <w:rPr>
          <w:lang w:val="fr-CA"/>
        </w:rPr>
        <w:t>, laboratoires de GSA ou artisans)</w:t>
      </w:r>
      <w:r w:rsidR="00C16EE7">
        <w:rPr>
          <w:lang w:val="fr-CA"/>
        </w:rPr>
        <w:t xml:space="preserve"> </w:t>
      </w:r>
      <w:r w:rsidR="00E70986">
        <w:rPr>
          <w:lang w:val="fr-CA"/>
        </w:rPr>
        <w:t xml:space="preserve">pour des produits service </w:t>
      </w:r>
      <w:r w:rsidR="00FD62A4">
        <w:rPr>
          <w:lang w:val="fr-CA"/>
        </w:rPr>
        <w:t xml:space="preserve">nécessitant moins de reprise </w:t>
      </w:r>
      <w:r w:rsidR="00EC5693">
        <w:rPr>
          <w:lang w:val="fr-CA"/>
        </w:rPr>
        <w:t>manuelle</w:t>
      </w:r>
      <w:r w:rsidR="00C16EE7">
        <w:rPr>
          <w:lang w:val="fr-CA"/>
        </w:rPr>
        <w:t xml:space="preserve">. </w:t>
      </w:r>
      <w:r w:rsidR="00761956" w:rsidRPr="00761956">
        <w:rPr>
          <w:lang w:val="fr-CA"/>
        </w:rPr>
        <w:t>L</w:t>
      </w:r>
      <w:r w:rsidR="003F6A6B">
        <w:rPr>
          <w:lang w:val="fr-CA"/>
        </w:rPr>
        <w:t>e</w:t>
      </w:r>
      <w:r w:rsidR="00761956" w:rsidRPr="00761956">
        <w:rPr>
          <w:lang w:val="fr-CA"/>
        </w:rPr>
        <w:t xml:space="preserve"> frais ou réfrigéré est majoritaire (90 %) comparativement au congelé (10</w:t>
      </w:r>
      <w:r w:rsidR="00E27690">
        <w:rPr>
          <w:lang w:val="fr-CA"/>
        </w:rPr>
        <w:t> </w:t>
      </w:r>
      <w:r w:rsidR="00761956" w:rsidRPr="00761956">
        <w:rPr>
          <w:lang w:val="fr-CA"/>
        </w:rPr>
        <w:t xml:space="preserve">%). </w:t>
      </w:r>
      <w:r w:rsidR="003F6A6B">
        <w:rPr>
          <w:rFonts w:cs="Arial"/>
          <w:lang w:val="fr-CA"/>
        </w:rPr>
        <w:t>(D</w:t>
      </w:r>
      <w:r w:rsidR="00761956" w:rsidRPr="00761956">
        <w:rPr>
          <w:rFonts w:cs="Arial"/>
          <w:lang w:val="fr-CA"/>
        </w:rPr>
        <w:t xml:space="preserve">onnées </w:t>
      </w:r>
      <w:r w:rsidR="003F6A6B">
        <w:rPr>
          <w:rFonts w:cs="Arial"/>
          <w:lang w:val="fr-CA"/>
        </w:rPr>
        <w:t>détaillées en</w:t>
      </w:r>
      <w:r w:rsidR="00761956" w:rsidRPr="00761956">
        <w:rPr>
          <w:rFonts w:cs="Arial"/>
          <w:lang w:val="fr-CA"/>
        </w:rPr>
        <w:t xml:space="preserve"> Annexe </w:t>
      </w:r>
      <w:r w:rsidR="00E07652">
        <w:rPr>
          <w:rFonts w:cs="Arial"/>
          <w:lang w:val="fr-CA"/>
        </w:rPr>
        <w:t>5)</w:t>
      </w:r>
      <w:r w:rsidR="00761956" w:rsidRPr="00761956">
        <w:rPr>
          <w:rFonts w:cs="Arial"/>
          <w:lang w:val="fr-CA"/>
        </w:rPr>
        <w:t>.</w:t>
      </w:r>
    </w:p>
    <w:p w14:paraId="6AF34941" w14:textId="790A480B" w:rsidR="006B0C93" w:rsidRPr="00E85C02" w:rsidRDefault="00D35C0A" w:rsidP="00A305CD">
      <w:pPr>
        <w:pStyle w:val="Puce1"/>
        <w:numPr>
          <w:ilvl w:val="0"/>
          <w:numId w:val="13"/>
        </w:numPr>
        <w:ind w:left="714" w:hanging="357"/>
      </w:pPr>
      <w:r>
        <w:t>Lard, graisses et saindoux 126</w:t>
      </w:r>
      <w:r w:rsidR="006B0C93">
        <w:t xml:space="preserve"> </w:t>
      </w:r>
      <w:r w:rsidR="00957F11">
        <w:t>kt</w:t>
      </w:r>
    </w:p>
    <w:p w14:paraId="1E34444F" w14:textId="00272256" w:rsidR="00CA1046" w:rsidRPr="007124DB" w:rsidRDefault="00F62971" w:rsidP="007124DB">
      <w:pPr>
        <w:rPr>
          <w:lang w:val="fr-CA" w:eastAsia="fr-FR"/>
        </w:rPr>
      </w:pPr>
      <w:r w:rsidRPr="007124DB">
        <w:rPr>
          <w:lang w:val="fr-CA" w:eastAsia="fr-FR"/>
        </w:rPr>
        <w:t xml:space="preserve">Une </w:t>
      </w:r>
      <w:r w:rsidR="007124DB">
        <w:rPr>
          <w:lang w:val="fr-CA" w:eastAsia="fr-FR"/>
        </w:rPr>
        <w:t xml:space="preserve">fraction de </w:t>
      </w:r>
      <w:r w:rsidR="007124DB" w:rsidRPr="007124DB">
        <w:rPr>
          <w:lang w:val="fr-CA" w:eastAsia="fr-FR"/>
        </w:rPr>
        <w:t>co-produits (</w:t>
      </w:r>
      <w:r w:rsidR="005C7773">
        <w:rPr>
          <w:lang w:val="fr-CA" w:eastAsia="fr-FR"/>
        </w:rPr>
        <w:fldChar w:fldCharType="begin"/>
      </w:r>
      <w:r w:rsidR="005C7773">
        <w:rPr>
          <w:lang w:val="fr-CA" w:eastAsia="fr-FR"/>
        </w:rPr>
        <w:instrText xml:space="preserve"> NOTEREF _Ref68366723 \h </w:instrText>
      </w:r>
      <w:r w:rsidR="005C7773">
        <w:rPr>
          <w:lang w:val="fr-CA" w:eastAsia="fr-FR"/>
        </w:rPr>
      </w:r>
      <w:r w:rsidR="005C7773">
        <w:rPr>
          <w:lang w:val="fr-CA" w:eastAsia="fr-FR"/>
        </w:rPr>
        <w:fldChar w:fldCharType="separate"/>
      </w:r>
      <w:r w:rsidR="0007597F">
        <w:rPr>
          <w:lang w:val="fr-CA" w:eastAsia="fr-FR"/>
        </w:rPr>
        <w:t>3</w:t>
      </w:r>
      <w:r w:rsidR="005C7773">
        <w:rPr>
          <w:lang w:val="fr-CA" w:eastAsia="fr-FR"/>
        </w:rPr>
        <w:fldChar w:fldCharType="end"/>
      </w:r>
      <w:r w:rsidR="005C7773">
        <w:rPr>
          <w:lang w:val="fr-CA" w:eastAsia="fr-FR"/>
        </w:rPr>
        <w:t>)</w:t>
      </w:r>
      <w:r w:rsidR="007124DB" w:rsidRPr="007124DB">
        <w:rPr>
          <w:lang w:val="fr-CA" w:eastAsia="fr-FR"/>
        </w:rPr>
        <w:t xml:space="preserve"> issus de la découpe du porc sous la forme de graisse et de saindoux scindés en produits crus ou fondus soient 1</w:t>
      </w:r>
      <w:r w:rsidR="00BB6C45">
        <w:rPr>
          <w:lang w:val="fr-CA" w:eastAsia="fr-FR"/>
        </w:rPr>
        <w:t>26</w:t>
      </w:r>
      <w:r w:rsidR="007124DB" w:rsidRPr="007124DB">
        <w:rPr>
          <w:lang w:val="fr-CA" w:eastAsia="fr-FR"/>
        </w:rPr>
        <w:t xml:space="preserve"> </w:t>
      </w:r>
      <w:r w:rsidR="00957F11">
        <w:rPr>
          <w:lang w:val="fr-CA" w:eastAsia="fr-FR"/>
        </w:rPr>
        <w:t>kt</w:t>
      </w:r>
      <w:r w:rsidR="007124DB" w:rsidRPr="007124DB">
        <w:rPr>
          <w:lang w:val="fr-CA" w:eastAsia="fr-FR"/>
        </w:rPr>
        <w:t>. La fraction des graisses se répartit en lard, graisses de porc non fondues (</w:t>
      </w:r>
      <w:r w:rsidR="002876E4">
        <w:rPr>
          <w:lang w:val="fr-CA" w:eastAsia="fr-FR"/>
        </w:rPr>
        <w:t>7</w:t>
      </w:r>
      <w:r w:rsidR="00F70A35">
        <w:rPr>
          <w:lang w:val="fr-CA" w:eastAsia="fr-FR"/>
        </w:rPr>
        <w:t>1</w:t>
      </w:r>
      <w:r w:rsidR="008C77AF">
        <w:rPr>
          <w:lang w:val="fr-CA" w:eastAsia="fr-FR"/>
        </w:rPr>
        <w:t> </w:t>
      </w:r>
      <w:r w:rsidR="008C77AF" w:rsidRPr="007124DB">
        <w:rPr>
          <w:lang w:val="fr-CA" w:eastAsia="fr-FR"/>
        </w:rPr>
        <w:t>%</w:t>
      </w:r>
      <w:r w:rsidR="008C77AF">
        <w:rPr>
          <w:lang w:val="fr-CA" w:eastAsia="fr-FR"/>
        </w:rPr>
        <w:t>)</w:t>
      </w:r>
      <w:r w:rsidR="007124DB" w:rsidRPr="007124DB">
        <w:rPr>
          <w:lang w:val="fr-CA" w:eastAsia="fr-FR"/>
        </w:rPr>
        <w:t xml:space="preserve"> et en saindoux et autres graisses fondues (</w:t>
      </w:r>
      <w:r w:rsidR="00F70A35">
        <w:rPr>
          <w:lang w:val="fr-CA" w:eastAsia="fr-FR"/>
        </w:rPr>
        <w:t>29</w:t>
      </w:r>
      <w:r w:rsidR="008C77AF">
        <w:rPr>
          <w:lang w:val="fr-CA" w:eastAsia="fr-FR"/>
        </w:rPr>
        <w:t> </w:t>
      </w:r>
      <w:r w:rsidR="007124DB" w:rsidRPr="007124DB">
        <w:rPr>
          <w:lang w:val="fr-CA" w:eastAsia="fr-FR"/>
        </w:rPr>
        <w:t>%).</w:t>
      </w:r>
      <w:r w:rsidR="004A34FE">
        <w:rPr>
          <w:lang w:val="fr-CA" w:eastAsia="fr-FR"/>
        </w:rPr>
        <w:t xml:space="preserve"> </w:t>
      </w:r>
      <w:r w:rsidR="007124DB" w:rsidRPr="007124DB">
        <w:rPr>
          <w:lang w:val="fr-CA" w:eastAsia="fr-FR"/>
        </w:rPr>
        <w:t xml:space="preserve">Cette segmentation dans la présentation des graisses entre crus et fondus préfigure à la destination des produits et feront l’objet d’un point détaillé en partie 2 </w:t>
      </w:r>
      <w:r w:rsidR="00E35999">
        <w:rPr>
          <w:lang w:val="fr-CA" w:eastAsia="fr-FR"/>
        </w:rPr>
        <w:t xml:space="preserve">du </w:t>
      </w:r>
      <w:r w:rsidR="007124DB" w:rsidRPr="007124DB">
        <w:rPr>
          <w:lang w:val="fr-CA" w:eastAsia="fr-FR"/>
        </w:rPr>
        <w:t xml:space="preserve">rapport (paragraphe </w:t>
      </w:r>
      <w:r w:rsidR="003B3F78">
        <w:rPr>
          <w:lang w:val="fr-CA" w:eastAsia="fr-FR"/>
        </w:rPr>
        <w:t>1.1.</w:t>
      </w:r>
      <w:r w:rsidR="007124DB" w:rsidRPr="007124DB">
        <w:rPr>
          <w:lang w:val="fr-CA" w:eastAsia="fr-FR"/>
        </w:rPr>
        <w:t>).</w:t>
      </w:r>
      <w:r w:rsidR="004A34FE">
        <w:rPr>
          <w:lang w:val="fr-CA" w:eastAsia="fr-FR"/>
        </w:rPr>
        <w:t xml:space="preserve"> </w:t>
      </w:r>
      <w:r w:rsidR="003E01CD">
        <w:rPr>
          <w:lang w:val="fr-CA" w:eastAsia="fr-FR"/>
        </w:rPr>
        <w:t>Toutes catégories,</w:t>
      </w:r>
      <w:r w:rsidR="00FD0A67">
        <w:rPr>
          <w:lang w:val="fr-CA" w:eastAsia="fr-FR"/>
        </w:rPr>
        <w:t xml:space="preserve"> 5</w:t>
      </w:r>
      <w:r w:rsidR="003E01CD">
        <w:rPr>
          <w:lang w:val="fr-CA" w:eastAsia="fr-FR"/>
        </w:rPr>
        <w:t>0</w:t>
      </w:r>
      <w:r w:rsidR="00E27690">
        <w:rPr>
          <w:lang w:val="fr-CA" w:eastAsia="fr-FR"/>
        </w:rPr>
        <w:t> </w:t>
      </w:r>
      <w:r w:rsidR="00FD0A67">
        <w:rPr>
          <w:lang w:val="fr-CA" w:eastAsia="fr-FR"/>
        </w:rPr>
        <w:t xml:space="preserve">% des graisses </w:t>
      </w:r>
      <w:r w:rsidR="003E01CD">
        <w:rPr>
          <w:lang w:val="fr-CA" w:eastAsia="fr-FR"/>
        </w:rPr>
        <w:t xml:space="preserve">sont exportées </w:t>
      </w:r>
      <w:r w:rsidR="00FD0A67">
        <w:rPr>
          <w:lang w:val="fr-CA" w:eastAsia="fr-FR"/>
        </w:rPr>
        <w:t xml:space="preserve">notamment </w:t>
      </w:r>
      <w:r w:rsidR="003E01CD">
        <w:rPr>
          <w:lang w:val="fr-CA" w:eastAsia="fr-FR"/>
        </w:rPr>
        <w:t>à destination de l’</w:t>
      </w:r>
      <w:r w:rsidR="00FD0A67">
        <w:rPr>
          <w:lang w:val="fr-CA" w:eastAsia="fr-FR"/>
        </w:rPr>
        <w:t>Asie.</w:t>
      </w:r>
    </w:p>
    <w:tbl>
      <w:tblPr>
        <w:tblW w:w="9070" w:type="dxa"/>
        <w:tblCellMar>
          <w:left w:w="70" w:type="dxa"/>
          <w:right w:w="70" w:type="dxa"/>
        </w:tblCellMar>
        <w:tblLook w:val="04A0" w:firstRow="1" w:lastRow="0" w:firstColumn="1" w:lastColumn="0" w:noHBand="0" w:noVBand="1"/>
      </w:tblPr>
      <w:tblGrid>
        <w:gridCol w:w="1696"/>
        <w:gridCol w:w="993"/>
        <w:gridCol w:w="5386"/>
        <w:gridCol w:w="995"/>
      </w:tblGrid>
      <w:tr w:rsidR="007124DB" w:rsidRPr="007124DB" w14:paraId="409FC873" w14:textId="77777777" w:rsidTr="007322D9">
        <w:trPr>
          <w:trHeight w:val="345"/>
        </w:trPr>
        <w:tc>
          <w:tcPr>
            <w:tcW w:w="169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CB23631" w14:textId="77777777" w:rsidR="007124DB" w:rsidRPr="007124DB" w:rsidRDefault="007124DB" w:rsidP="00C5220E">
            <w:pPr>
              <w:keepNext/>
              <w:spacing w:after="0" w:line="240" w:lineRule="auto"/>
              <w:jc w:val="left"/>
              <w:rPr>
                <w:rFonts w:eastAsia="Times New Roman" w:cs="Arial"/>
                <w:b/>
                <w:bCs/>
                <w:color w:val="000000"/>
                <w:sz w:val="20"/>
                <w:szCs w:val="20"/>
                <w:lang w:eastAsia="fr-FR"/>
              </w:rPr>
            </w:pPr>
            <w:r w:rsidRPr="007124DB">
              <w:rPr>
                <w:rFonts w:eastAsia="Times New Roman" w:cs="Arial"/>
                <w:b/>
                <w:bCs/>
                <w:color w:val="000000"/>
                <w:sz w:val="20"/>
                <w:szCs w:val="20"/>
                <w:lang w:eastAsia="fr-FR"/>
              </w:rPr>
              <w:lastRenderedPageBreak/>
              <w:t xml:space="preserve">Code Prodcom </w:t>
            </w:r>
          </w:p>
        </w:tc>
        <w:tc>
          <w:tcPr>
            <w:tcW w:w="993" w:type="dxa"/>
            <w:tcBorders>
              <w:top w:val="single" w:sz="4" w:space="0" w:color="auto"/>
              <w:left w:val="nil"/>
              <w:bottom w:val="single" w:sz="4" w:space="0" w:color="auto"/>
              <w:right w:val="single" w:sz="4" w:space="0" w:color="auto"/>
            </w:tcBorders>
            <w:shd w:val="clear" w:color="D9D9D9" w:fill="D9D9D9"/>
            <w:noWrap/>
            <w:vAlign w:val="center"/>
            <w:hideMark/>
          </w:tcPr>
          <w:p w14:paraId="0BD5EEF7" w14:textId="77777777" w:rsidR="007124DB" w:rsidRPr="007124DB" w:rsidRDefault="007124DB" w:rsidP="00C5220E">
            <w:pPr>
              <w:keepNext/>
              <w:spacing w:after="0" w:line="240" w:lineRule="auto"/>
              <w:jc w:val="left"/>
              <w:rPr>
                <w:rFonts w:eastAsia="Times New Roman" w:cs="Arial"/>
                <w:b/>
                <w:bCs/>
                <w:color w:val="000000"/>
                <w:sz w:val="20"/>
                <w:szCs w:val="20"/>
                <w:lang w:eastAsia="fr-FR"/>
              </w:rPr>
            </w:pPr>
            <w:r w:rsidRPr="007124DB">
              <w:rPr>
                <w:rFonts w:eastAsia="Times New Roman" w:cs="Arial"/>
                <w:b/>
                <w:bCs/>
                <w:color w:val="000000"/>
                <w:sz w:val="20"/>
                <w:szCs w:val="20"/>
                <w:lang w:eastAsia="fr-FR"/>
              </w:rPr>
              <w:t>NC</w:t>
            </w:r>
          </w:p>
        </w:tc>
        <w:tc>
          <w:tcPr>
            <w:tcW w:w="5386" w:type="dxa"/>
            <w:tcBorders>
              <w:top w:val="single" w:sz="4" w:space="0" w:color="auto"/>
              <w:left w:val="nil"/>
              <w:bottom w:val="single" w:sz="4" w:space="0" w:color="auto"/>
              <w:right w:val="single" w:sz="4" w:space="0" w:color="auto"/>
            </w:tcBorders>
            <w:shd w:val="clear" w:color="D9D9D9" w:fill="D9D9D9"/>
            <w:noWrap/>
            <w:vAlign w:val="center"/>
            <w:hideMark/>
          </w:tcPr>
          <w:p w14:paraId="293D2245" w14:textId="0E72FC04" w:rsidR="007124DB" w:rsidRPr="007124DB" w:rsidRDefault="007124DB" w:rsidP="00C5220E">
            <w:pPr>
              <w:keepNext/>
              <w:spacing w:after="0" w:line="240" w:lineRule="auto"/>
              <w:jc w:val="left"/>
              <w:rPr>
                <w:rFonts w:eastAsia="Times New Roman" w:cs="Arial"/>
                <w:b/>
                <w:bCs/>
                <w:color w:val="000000"/>
                <w:sz w:val="20"/>
                <w:szCs w:val="20"/>
                <w:lang w:eastAsia="fr-FR"/>
              </w:rPr>
            </w:pPr>
            <w:r w:rsidRPr="007124DB">
              <w:rPr>
                <w:rFonts w:eastAsia="Times New Roman" w:cs="Arial"/>
                <w:b/>
                <w:bCs/>
                <w:color w:val="000000"/>
                <w:sz w:val="20"/>
                <w:szCs w:val="20"/>
                <w:lang w:eastAsia="fr-FR"/>
              </w:rPr>
              <w:t>Total graisses</w:t>
            </w:r>
            <w:r w:rsidR="0037405E">
              <w:rPr>
                <w:rFonts w:eastAsia="Times New Roman" w:cs="Arial"/>
                <w:b/>
                <w:bCs/>
                <w:color w:val="000000"/>
                <w:sz w:val="20"/>
                <w:szCs w:val="20"/>
                <w:lang w:eastAsia="fr-FR"/>
              </w:rPr>
              <w:t xml:space="preserve"> en</w:t>
            </w:r>
            <w:r>
              <w:rPr>
                <w:rFonts w:eastAsia="Times New Roman" w:cs="Arial"/>
                <w:b/>
                <w:bCs/>
                <w:color w:val="000000"/>
                <w:sz w:val="20"/>
                <w:szCs w:val="20"/>
                <w:lang w:eastAsia="fr-FR"/>
              </w:rPr>
              <w:t xml:space="preserve"> </w:t>
            </w:r>
            <w:r w:rsidR="00957F11">
              <w:rPr>
                <w:rFonts w:eastAsia="Times New Roman" w:cs="Arial"/>
                <w:b/>
                <w:bCs/>
                <w:color w:val="000000"/>
                <w:sz w:val="20"/>
                <w:szCs w:val="20"/>
                <w:lang w:eastAsia="fr-FR"/>
              </w:rPr>
              <w:t>kt</w:t>
            </w:r>
          </w:p>
        </w:tc>
        <w:tc>
          <w:tcPr>
            <w:tcW w:w="995" w:type="dxa"/>
            <w:tcBorders>
              <w:top w:val="single" w:sz="4" w:space="0" w:color="auto"/>
              <w:left w:val="nil"/>
              <w:bottom w:val="single" w:sz="4" w:space="0" w:color="auto"/>
              <w:right w:val="single" w:sz="4" w:space="0" w:color="auto"/>
            </w:tcBorders>
            <w:shd w:val="clear" w:color="D9D9D9" w:fill="D9D9D9"/>
            <w:noWrap/>
            <w:vAlign w:val="center"/>
            <w:hideMark/>
          </w:tcPr>
          <w:p w14:paraId="29586ECF" w14:textId="06DF5C8A" w:rsidR="007124DB" w:rsidRPr="007124DB" w:rsidRDefault="007124DB" w:rsidP="00C5220E">
            <w:pPr>
              <w:keepNext/>
              <w:spacing w:after="0" w:line="240" w:lineRule="auto"/>
              <w:jc w:val="right"/>
              <w:rPr>
                <w:rFonts w:eastAsia="Times New Roman" w:cs="Arial"/>
                <w:b/>
                <w:bCs/>
                <w:color w:val="000000"/>
                <w:sz w:val="20"/>
                <w:szCs w:val="20"/>
                <w:lang w:eastAsia="fr-FR"/>
              </w:rPr>
            </w:pPr>
            <w:r w:rsidRPr="007124DB">
              <w:rPr>
                <w:rFonts w:eastAsia="Times New Roman" w:cs="Arial"/>
                <w:b/>
                <w:bCs/>
                <w:color w:val="000000"/>
                <w:sz w:val="20"/>
                <w:szCs w:val="20"/>
                <w:lang w:eastAsia="fr-FR"/>
              </w:rPr>
              <w:t>1</w:t>
            </w:r>
            <w:r w:rsidR="007322D9">
              <w:rPr>
                <w:rFonts w:eastAsia="Times New Roman" w:cs="Arial"/>
                <w:b/>
                <w:bCs/>
                <w:color w:val="000000"/>
                <w:sz w:val="20"/>
                <w:szCs w:val="20"/>
                <w:lang w:eastAsia="fr-FR"/>
              </w:rPr>
              <w:t>26</w:t>
            </w:r>
          </w:p>
        </w:tc>
      </w:tr>
      <w:tr w:rsidR="007124DB" w:rsidRPr="007124DB" w14:paraId="65779EFA" w14:textId="77777777" w:rsidTr="00852CA8">
        <w:trPr>
          <w:trHeight w:val="319"/>
        </w:trPr>
        <w:tc>
          <w:tcPr>
            <w:tcW w:w="1696" w:type="dxa"/>
            <w:tcBorders>
              <w:top w:val="nil"/>
              <w:left w:val="single" w:sz="4" w:space="0" w:color="auto"/>
              <w:bottom w:val="single" w:sz="4" w:space="0" w:color="auto"/>
              <w:right w:val="single" w:sz="4" w:space="0" w:color="auto"/>
            </w:tcBorders>
            <w:shd w:val="clear" w:color="auto" w:fill="auto"/>
            <w:vAlign w:val="center"/>
            <w:hideMark/>
          </w:tcPr>
          <w:p w14:paraId="4CD9C808" w14:textId="77777777" w:rsidR="007124DB" w:rsidRPr="007124DB" w:rsidRDefault="007124DB" w:rsidP="00C5220E">
            <w:pPr>
              <w:keepNext/>
              <w:spacing w:after="0" w:line="240" w:lineRule="auto"/>
              <w:jc w:val="left"/>
              <w:rPr>
                <w:rFonts w:eastAsia="Times New Roman" w:cs="Arial"/>
                <w:sz w:val="20"/>
                <w:szCs w:val="20"/>
                <w:lang w:eastAsia="fr-FR"/>
              </w:rPr>
            </w:pPr>
            <w:r w:rsidRPr="007124DB">
              <w:rPr>
                <w:rFonts w:eastAsia="Times New Roman" w:cs="Arial"/>
                <w:sz w:val="20"/>
                <w:szCs w:val="20"/>
                <w:lang w:eastAsia="fr-FR"/>
              </w:rPr>
              <w:t>p.10.11.50.40</w:t>
            </w:r>
          </w:p>
        </w:tc>
        <w:tc>
          <w:tcPr>
            <w:tcW w:w="993" w:type="dxa"/>
            <w:tcBorders>
              <w:top w:val="nil"/>
              <w:left w:val="nil"/>
              <w:bottom w:val="single" w:sz="4" w:space="0" w:color="auto"/>
              <w:right w:val="single" w:sz="4" w:space="0" w:color="auto"/>
            </w:tcBorders>
            <w:shd w:val="clear" w:color="auto" w:fill="auto"/>
            <w:vAlign w:val="center"/>
            <w:hideMark/>
          </w:tcPr>
          <w:p w14:paraId="59DBB618" w14:textId="77777777" w:rsidR="007124DB" w:rsidRPr="007124DB" w:rsidRDefault="007124DB" w:rsidP="00C5220E">
            <w:pPr>
              <w:keepNext/>
              <w:spacing w:after="0" w:line="240" w:lineRule="auto"/>
              <w:jc w:val="center"/>
              <w:rPr>
                <w:rFonts w:eastAsia="Times New Roman" w:cs="Arial"/>
                <w:sz w:val="20"/>
                <w:szCs w:val="20"/>
                <w:lang w:eastAsia="fr-FR"/>
              </w:rPr>
            </w:pPr>
            <w:r w:rsidRPr="007124DB">
              <w:rPr>
                <w:rFonts w:eastAsia="Times New Roman" w:cs="Arial"/>
                <w:sz w:val="20"/>
                <w:szCs w:val="20"/>
                <w:lang w:eastAsia="fr-FR"/>
              </w:rPr>
              <w:t>0209.10</w:t>
            </w:r>
          </w:p>
        </w:tc>
        <w:tc>
          <w:tcPr>
            <w:tcW w:w="5386" w:type="dxa"/>
            <w:tcBorders>
              <w:top w:val="nil"/>
              <w:left w:val="nil"/>
              <w:bottom w:val="single" w:sz="4" w:space="0" w:color="auto"/>
              <w:right w:val="single" w:sz="4" w:space="0" w:color="auto"/>
            </w:tcBorders>
            <w:shd w:val="clear" w:color="auto" w:fill="auto"/>
            <w:vAlign w:val="center"/>
            <w:hideMark/>
          </w:tcPr>
          <w:p w14:paraId="5CE592BB" w14:textId="77777777" w:rsidR="007124DB" w:rsidRPr="007124DB" w:rsidRDefault="007124DB" w:rsidP="00C5220E">
            <w:pPr>
              <w:keepNext/>
              <w:spacing w:after="0" w:line="240" w:lineRule="auto"/>
              <w:jc w:val="left"/>
              <w:rPr>
                <w:rFonts w:eastAsia="Times New Roman" w:cs="Arial"/>
                <w:color w:val="000000"/>
                <w:sz w:val="20"/>
                <w:szCs w:val="20"/>
                <w:lang w:eastAsia="fr-FR"/>
              </w:rPr>
            </w:pPr>
            <w:r w:rsidRPr="007124DB">
              <w:rPr>
                <w:rFonts w:eastAsia="Times New Roman" w:cs="Arial"/>
                <w:color w:val="000000"/>
                <w:sz w:val="20"/>
                <w:szCs w:val="20"/>
                <w:lang w:eastAsia="fr-FR"/>
              </w:rPr>
              <w:t>Lard, graisses de porc non fondues, frais, réfrigérés, congelés, salés</w:t>
            </w:r>
          </w:p>
        </w:tc>
        <w:tc>
          <w:tcPr>
            <w:tcW w:w="995" w:type="dxa"/>
            <w:tcBorders>
              <w:top w:val="nil"/>
              <w:left w:val="nil"/>
              <w:bottom w:val="single" w:sz="4" w:space="0" w:color="auto"/>
              <w:right w:val="single" w:sz="4" w:space="0" w:color="auto"/>
            </w:tcBorders>
            <w:shd w:val="clear" w:color="auto" w:fill="auto"/>
            <w:noWrap/>
            <w:vAlign w:val="center"/>
            <w:hideMark/>
          </w:tcPr>
          <w:p w14:paraId="6E3AEBDE" w14:textId="77777777" w:rsidR="007124DB" w:rsidRPr="007124DB" w:rsidRDefault="007124DB" w:rsidP="00C5220E">
            <w:pPr>
              <w:keepNext/>
              <w:spacing w:after="0" w:line="240" w:lineRule="auto"/>
              <w:jc w:val="right"/>
              <w:rPr>
                <w:rFonts w:eastAsia="Times New Roman" w:cs="Arial"/>
                <w:color w:val="000000"/>
                <w:sz w:val="20"/>
                <w:szCs w:val="20"/>
                <w:lang w:eastAsia="fr-FR"/>
              </w:rPr>
            </w:pPr>
            <w:r w:rsidRPr="007124DB">
              <w:rPr>
                <w:rFonts w:eastAsia="Times New Roman" w:cs="Arial"/>
                <w:color w:val="000000"/>
                <w:sz w:val="20"/>
                <w:szCs w:val="20"/>
                <w:lang w:eastAsia="fr-FR"/>
              </w:rPr>
              <w:t>89</w:t>
            </w:r>
          </w:p>
        </w:tc>
      </w:tr>
      <w:tr w:rsidR="007124DB" w:rsidRPr="007124DB" w14:paraId="0CE96FA6" w14:textId="77777777" w:rsidTr="007322D9">
        <w:trPr>
          <w:trHeight w:val="372"/>
        </w:trPr>
        <w:tc>
          <w:tcPr>
            <w:tcW w:w="1696" w:type="dxa"/>
            <w:tcBorders>
              <w:top w:val="nil"/>
              <w:left w:val="single" w:sz="4" w:space="0" w:color="auto"/>
              <w:bottom w:val="single" w:sz="4" w:space="0" w:color="auto"/>
              <w:right w:val="single" w:sz="4" w:space="0" w:color="auto"/>
            </w:tcBorders>
            <w:shd w:val="clear" w:color="D9D9D9" w:fill="D9D9D9"/>
            <w:noWrap/>
            <w:vAlign w:val="center"/>
            <w:hideMark/>
          </w:tcPr>
          <w:p w14:paraId="391ADC6D" w14:textId="77777777" w:rsidR="007124DB" w:rsidRPr="007124DB" w:rsidRDefault="007124DB" w:rsidP="00C5220E">
            <w:pPr>
              <w:keepNext/>
              <w:spacing w:after="0" w:line="240" w:lineRule="auto"/>
              <w:jc w:val="left"/>
              <w:rPr>
                <w:rFonts w:eastAsia="Times New Roman" w:cs="Arial"/>
                <w:color w:val="000000"/>
                <w:sz w:val="20"/>
                <w:szCs w:val="20"/>
                <w:lang w:eastAsia="fr-FR"/>
              </w:rPr>
            </w:pPr>
            <w:r w:rsidRPr="007124DB">
              <w:rPr>
                <w:rFonts w:eastAsia="Times New Roman" w:cs="Arial"/>
                <w:color w:val="000000"/>
                <w:sz w:val="20"/>
                <w:szCs w:val="20"/>
                <w:lang w:eastAsia="fr-FR"/>
              </w:rPr>
              <w:t xml:space="preserve">p.10.11.50.60 </w:t>
            </w:r>
          </w:p>
        </w:tc>
        <w:tc>
          <w:tcPr>
            <w:tcW w:w="993" w:type="dxa"/>
            <w:tcBorders>
              <w:top w:val="nil"/>
              <w:left w:val="nil"/>
              <w:bottom w:val="single" w:sz="4" w:space="0" w:color="auto"/>
              <w:right w:val="single" w:sz="4" w:space="0" w:color="auto"/>
            </w:tcBorders>
            <w:shd w:val="clear" w:color="D9D9D9" w:fill="D9D9D9"/>
            <w:noWrap/>
            <w:vAlign w:val="center"/>
            <w:hideMark/>
          </w:tcPr>
          <w:p w14:paraId="568701E3" w14:textId="77777777" w:rsidR="007124DB" w:rsidRPr="007124DB" w:rsidRDefault="007124DB" w:rsidP="00C5220E">
            <w:pPr>
              <w:keepNext/>
              <w:spacing w:after="0" w:line="240" w:lineRule="auto"/>
              <w:jc w:val="center"/>
              <w:rPr>
                <w:rFonts w:eastAsia="Times New Roman" w:cs="Arial"/>
                <w:color w:val="000000"/>
                <w:sz w:val="20"/>
                <w:szCs w:val="20"/>
                <w:lang w:eastAsia="fr-FR"/>
              </w:rPr>
            </w:pPr>
            <w:r w:rsidRPr="007124DB">
              <w:rPr>
                <w:rFonts w:eastAsia="Times New Roman" w:cs="Arial"/>
                <w:color w:val="000000"/>
                <w:sz w:val="20"/>
                <w:szCs w:val="20"/>
                <w:lang w:eastAsia="fr-FR"/>
              </w:rPr>
              <w:t>1501</w:t>
            </w:r>
          </w:p>
        </w:tc>
        <w:tc>
          <w:tcPr>
            <w:tcW w:w="5386" w:type="dxa"/>
            <w:tcBorders>
              <w:top w:val="nil"/>
              <w:left w:val="nil"/>
              <w:bottom w:val="single" w:sz="4" w:space="0" w:color="auto"/>
              <w:right w:val="single" w:sz="4" w:space="0" w:color="auto"/>
            </w:tcBorders>
            <w:shd w:val="clear" w:color="D9D9D9" w:fill="D9D9D9"/>
            <w:noWrap/>
            <w:vAlign w:val="center"/>
            <w:hideMark/>
          </w:tcPr>
          <w:p w14:paraId="14603576" w14:textId="77777777" w:rsidR="007124DB" w:rsidRPr="007124DB" w:rsidRDefault="007124DB" w:rsidP="00C5220E">
            <w:pPr>
              <w:keepNext/>
              <w:spacing w:after="0" w:line="240" w:lineRule="auto"/>
              <w:jc w:val="left"/>
              <w:rPr>
                <w:rFonts w:eastAsia="Times New Roman" w:cs="Arial"/>
                <w:color w:val="000000"/>
                <w:sz w:val="20"/>
                <w:szCs w:val="20"/>
                <w:lang w:eastAsia="fr-FR"/>
              </w:rPr>
            </w:pPr>
            <w:r w:rsidRPr="007124DB">
              <w:rPr>
                <w:rFonts w:eastAsia="Times New Roman" w:cs="Arial"/>
                <w:color w:val="000000"/>
                <w:sz w:val="20"/>
                <w:szCs w:val="20"/>
                <w:lang w:eastAsia="fr-FR"/>
              </w:rPr>
              <w:t>Saindoux, autres graisses de porc, fondues</w:t>
            </w:r>
          </w:p>
        </w:tc>
        <w:tc>
          <w:tcPr>
            <w:tcW w:w="995" w:type="dxa"/>
            <w:tcBorders>
              <w:top w:val="nil"/>
              <w:left w:val="nil"/>
              <w:bottom w:val="single" w:sz="4" w:space="0" w:color="auto"/>
              <w:right w:val="single" w:sz="4" w:space="0" w:color="auto"/>
            </w:tcBorders>
            <w:shd w:val="clear" w:color="D9D9D9" w:fill="D9D9D9"/>
            <w:noWrap/>
            <w:vAlign w:val="center"/>
            <w:hideMark/>
          </w:tcPr>
          <w:p w14:paraId="49EFBB18" w14:textId="51CEB23F" w:rsidR="007124DB" w:rsidRPr="007124DB" w:rsidRDefault="007322D9" w:rsidP="00C5220E">
            <w:pPr>
              <w:keepNext/>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37</w:t>
            </w:r>
          </w:p>
        </w:tc>
      </w:tr>
    </w:tbl>
    <w:p w14:paraId="1AC3E3A5" w14:textId="4AA2BAF5" w:rsidR="00A5574A" w:rsidRDefault="00A46579" w:rsidP="00C5220E">
      <w:pPr>
        <w:pStyle w:val="figure"/>
        <w:rPr>
          <w:rStyle w:val="figureCar"/>
          <w:b/>
        </w:rPr>
      </w:pPr>
      <w:bookmarkStart w:id="72" w:name="_Toc72143357"/>
      <w:r w:rsidRPr="00A46579">
        <w:rPr>
          <w:rStyle w:val="figureCar"/>
          <w:b/>
        </w:rPr>
        <w:t xml:space="preserve">Tableau </w:t>
      </w:r>
      <w:r w:rsidRPr="00A46579">
        <w:rPr>
          <w:rStyle w:val="figureCar"/>
          <w:b/>
        </w:rPr>
        <w:fldChar w:fldCharType="begin"/>
      </w:r>
      <w:r w:rsidRPr="00A46579">
        <w:rPr>
          <w:rStyle w:val="figureCar"/>
          <w:b/>
        </w:rPr>
        <w:instrText xml:space="preserve"> SEQ Tableau \* ARABIC </w:instrText>
      </w:r>
      <w:r w:rsidRPr="00A46579">
        <w:rPr>
          <w:rStyle w:val="figureCar"/>
          <w:b/>
        </w:rPr>
        <w:fldChar w:fldCharType="separate"/>
      </w:r>
      <w:r w:rsidR="0007597F">
        <w:rPr>
          <w:rStyle w:val="figureCar"/>
          <w:b/>
          <w:noProof/>
        </w:rPr>
        <w:t>9</w:t>
      </w:r>
      <w:r w:rsidRPr="00A46579">
        <w:rPr>
          <w:rStyle w:val="figureCar"/>
          <w:b/>
        </w:rPr>
        <w:fldChar w:fldCharType="end"/>
      </w:r>
      <w:r w:rsidR="00A5574A">
        <w:rPr>
          <w:rStyle w:val="figureCar"/>
          <w:b/>
        </w:rPr>
        <w:t xml:space="preserve"> : </w:t>
      </w:r>
      <w:r w:rsidR="00C334F6" w:rsidRPr="00A46579">
        <w:rPr>
          <w:rStyle w:val="figureCar"/>
          <w:b/>
        </w:rPr>
        <w:t xml:space="preserve">Disponible en graisses et saindoux de porc en sortie d’activité 10.11.Z </w:t>
      </w:r>
      <w:r w:rsidR="00444740">
        <w:rPr>
          <w:rStyle w:val="figureCar"/>
          <w:b/>
        </w:rPr>
        <w:t xml:space="preserve">en </w:t>
      </w:r>
      <w:r w:rsidR="00957F11">
        <w:rPr>
          <w:rStyle w:val="figureCar"/>
          <w:b/>
        </w:rPr>
        <w:t>kt</w:t>
      </w:r>
      <w:bookmarkEnd w:id="72"/>
      <w:r w:rsidR="00C334F6" w:rsidRPr="00A46579">
        <w:rPr>
          <w:rStyle w:val="figureCar"/>
          <w:b/>
        </w:rPr>
        <w:t xml:space="preserve"> </w:t>
      </w:r>
    </w:p>
    <w:p w14:paraId="37DA1356" w14:textId="31440D6D" w:rsidR="00C334F6" w:rsidRPr="00A5574A" w:rsidRDefault="00C334F6" w:rsidP="00C5220E">
      <w:pPr>
        <w:pStyle w:val="Lgende"/>
        <w:rPr>
          <w:rStyle w:val="figureCar"/>
          <w:b w:val="0"/>
          <w:bCs/>
          <w:iCs/>
        </w:rPr>
      </w:pPr>
      <w:r w:rsidRPr="00A5574A">
        <w:rPr>
          <w:rStyle w:val="figureCar"/>
          <w:b w:val="0"/>
          <w:bCs/>
          <w:iCs/>
        </w:rPr>
        <w:t>(Ifip d’après Enquêtes PRODCOM, Eurostat)</w:t>
      </w:r>
    </w:p>
    <w:p w14:paraId="0C3C52D1" w14:textId="621CEAF7" w:rsidR="00A46579" w:rsidRDefault="00020BE1" w:rsidP="00A46579">
      <w:pPr>
        <w:rPr>
          <w:lang w:val="fr-CA" w:eastAsia="fr-FR"/>
        </w:rPr>
      </w:pPr>
      <w:r w:rsidRPr="007124DB">
        <w:rPr>
          <w:lang w:val="fr-CA" w:eastAsia="fr-FR"/>
        </w:rPr>
        <w:t xml:space="preserve">Les structures d’abattage </w:t>
      </w:r>
      <w:r>
        <w:rPr>
          <w:lang w:val="fr-CA" w:eastAsia="fr-FR"/>
        </w:rPr>
        <w:t xml:space="preserve">et </w:t>
      </w:r>
      <w:r w:rsidRPr="007124DB">
        <w:rPr>
          <w:lang w:val="fr-CA" w:eastAsia="fr-FR"/>
        </w:rPr>
        <w:t>découpe de taille importante sont dotées d’ateliers de fonderie. Pour les autres, le marché de la valorisation des coproduits</w:t>
      </w:r>
      <w:bookmarkStart w:id="73" w:name="_Ref68366723"/>
      <w:r>
        <w:rPr>
          <w:rStyle w:val="Appelnotedebasdep"/>
          <w:lang w:val="fr-CA" w:eastAsia="fr-FR"/>
        </w:rPr>
        <w:footnoteReference w:id="4"/>
      </w:r>
      <w:bookmarkEnd w:id="73"/>
      <w:r w:rsidRPr="007124DB">
        <w:rPr>
          <w:lang w:val="fr-CA" w:eastAsia="fr-FR"/>
        </w:rPr>
        <w:t xml:space="preserve"> </w:t>
      </w:r>
      <w:r w:rsidR="00720864">
        <w:rPr>
          <w:lang w:val="fr-CA" w:eastAsia="fr-FR"/>
        </w:rPr>
        <w:t>(dont</w:t>
      </w:r>
      <w:r w:rsidR="00720864" w:rsidRPr="007124DB">
        <w:rPr>
          <w:lang w:val="fr-CA" w:eastAsia="fr-FR"/>
        </w:rPr>
        <w:t xml:space="preserve"> la fonte des graisses</w:t>
      </w:r>
      <w:r w:rsidR="00720864">
        <w:rPr>
          <w:lang w:val="fr-CA" w:eastAsia="fr-FR"/>
        </w:rPr>
        <w:t>)</w:t>
      </w:r>
      <w:r w:rsidR="00720864" w:rsidRPr="007124DB">
        <w:rPr>
          <w:lang w:val="fr-CA" w:eastAsia="fr-FR"/>
        </w:rPr>
        <w:t xml:space="preserve"> </w:t>
      </w:r>
      <w:r w:rsidRPr="007124DB">
        <w:rPr>
          <w:lang w:val="fr-CA" w:eastAsia="fr-FR"/>
        </w:rPr>
        <w:t xml:space="preserve">compte moins d’une dizaine d’entreprises spécialisées </w:t>
      </w:r>
      <w:r w:rsidR="00720864">
        <w:rPr>
          <w:lang w:val="fr-CA" w:eastAsia="fr-FR"/>
        </w:rPr>
        <w:t>en France</w:t>
      </w:r>
      <w:r w:rsidRPr="007124DB">
        <w:rPr>
          <w:lang w:val="fr-CA" w:eastAsia="fr-FR"/>
        </w:rPr>
        <w:t xml:space="preserve"> qui massifient leur approche au travers d’une démarche multi</w:t>
      </w:r>
      <w:r w:rsidR="00F73C61">
        <w:rPr>
          <w:lang w:val="fr-CA" w:eastAsia="fr-FR"/>
        </w:rPr>
        <w:t>-</w:t>
      </w:r>
      <w:r w:rsidRPr="007124DB">
        <w:rPr>
          <w:lang w:val="fr-CA" w:eastAsia="fr-FR"/>
        </w:rPr>
        <w:t>espèces</w:t>
      </w:r>
      <w:r w:rsidR="00720864">
        <w:rPr>
          <w:lang w:val="fr-CA" w:eastAsia="fr-FR"/>
        </w:rPr>
        <w:t xml:space="preserve"> animales</w:t>
      </w:r>
      <w:r w:rsidRPr="007124DB">
        <w:rPr>
          <w:lang w:val="fr-CA" w:eastAsia="fr-FR"/>
        </w:rPr>
        <w:t>, pisciculture inclue.</w:t>
      </w:r>
    </w:p>
    <w:p w14:paraId="73A6A725" w14:textId="472CC537" w:rsidR="000B1DC3" w:rsidRPr="00E85C02" w:rsidRDefault="000B1DC3" w:rsidP="00A305CD">
      <w:pPr>
        <w:pStyle w:val="Puce1"/>
        <w:numPr>
          <w:ilvl w:val="0"/>
          <w:numId w:val="13"/>
        </w:numPr>
        <w:ind w:left="714" w:hanging="357"/>
      </w:pPr>
      <w:r>
        <w:rPr>
          <w:lang w:val="fr-CA"/>
        </w:rPr>
        <w:t>Fraction d’abats comestibles</w:t>
      </w:r>
      <w:r>
        <w:t xml:space="preserve"> </w:t>
      </w:r>
      <w:r w:rsidR="001354A9">
        <w:t>non identifiable</w:t>
      </w:r>
    </w:p>
    <w:p w14:paraId="125C6322" w14:textId="4E4D2F0E" w:rsidR="00F73C61" w:rsidRDefault="007124DB" w:rsidP="00A46579">
      <w:pPr>
        <w:spacing w:after="0"/>
        <w:rPr>
          <w:lang w:val="fr-CA" w:eastAsia="fr-FR"/>
        </w:rPr>
      </w:pPr>
      <w:r>
        <w:rPr>
          <w:lang w:val="fr-CA" w:eastAsia="fr-FR"/>
        </w:rPr>
        <w:t xml:space="preserve">Une fraction </w:t>
      </w:r>
      <w:r w:rsidR="00F62971" w:rsidRPr="00184B55">
        <w:rPr>
          <w:lang w:val="fr-CA" w:eastAsia="fr-FR"/>
        </w:rPr>
        <w:t>d’abats</w:t>
      </w:r>
      <w:r w:rsidR="00B9667A">
        <w:rPr>
          <w:lang w:val="fr-CA" w:eastAsia="fr-FR"/>
        </w:rPr>
        <w:t xml:space="preserve"> comestibles</w:t>
      </w:r>
      <w:r w:rsidR="00F62971" w:rsidRPr="00184B55">
        <w:rPr>
          <w:lang w:val="fr-CA" w:eastAsia="fr-FR"/>
        </w:rPr>
        <w:t xml:space="preserve"> issus de </w:t>
      </w:r>
      <w:r>
        <w:rPr>
          <w:lang w:val="fr-CA" w:eastAsia="fr-FR"/>
        </w:rPr>
        <w:t xml:space="preserve">multiples espèces </w:t>
      </w:r>
      <w:r w:rsidR="009A664E">
        <w:rPr>
          <w:lang w:val="fr-CA" w:eastAsia="fr-FR"/>
        </w:rPr>
        <w:t>(bovins, ovins, porcins…) dont les donnée</w:t>
      </w:r>
      <w:r w:rsidR="00E56C05">
        <w:rPr>
          <w:lang w:val="fr-CA" w:eastAsia="fr-FR"/>
        </w:rPr>
        <w:t>s</w:t>
      </w:r>
      <w:r w:rsidR="009A664E">
        <w:rPr>
          <w:lang w:val="fr-CA" w:eastAsia="fr-FR"/>
        </w:rPr>
        <w:t xml:space="preserve"> </w:t>
      </w:r>
      <w:r w:rsidR="00BC78D8">
        <w:rPr>
          <w:lang w:val="fr-CA" w:eastAsia="fr-FR"/>
        </w:rPr>
        <w:t xml:space="preserve">PRODCOM </w:t>
      </w:r>
      <w:r w:rsidR="009A664E">
        <w:rPr>
          <w:lang w:val="fr-CA" w:eastAsia="fr-FR"/>
        </w:rPr>
        <w:t>ne</w:t>
      </w:r>
      <w:r w:rsidR="004C3A52">
        <w:rPr>
          <w:lang w:val="fr-CA" w:eastAsia="fr-FR"/>
        </w:rPr>
        <w:t xml:space="preserve"> permettent pas d</w:t>
      </w:r>
      <w:r w:rsidR="00EE2A91">
        <w:rPr>
          <w:lang w:val="fr-CA" w:eastAsia="fr-FR"/>
        </w:rPr>
        <w:t>’approche</w:t>
      </w:r>
      <w:r w:rsidR="004C3A52">
        <w:rPr>
          <w:lang w:val="fr-CA" w:eastAsia="fr-FR"/>
        </w:rPr>
        <w:t xml:space="preserve"> la </w:t>
      </w:r>
      <w:r w:rsidR="000F0D85">
        <w:rPr>
          <w:lang w:val="fr-CA" w:eastAsia="fr-FR"/>
        </w:rPr>
        <w:t xml:space="preserve">part dédiée au porc </w:t>
      </w:r>
      <w:r w:rsidR="00BC78D8">
        <w:rPr>
          <w:lang w:val="fr-CA" w:eastAsia="fr-FR"/>
        </w:rPr>
        <w:t xml:space="preserve">: </w:t>
      </w:r>
    </w:p>
    <w:p w14:paraId="7D250D93" w14:textId="403FDEDE" w:rsidR="00BC78D8" w:rsidRPr="0017563D" w:rsidRDefault="00BC78D8" w:rsidP="00AA28BC">
      <w:pPr>
        <w:pStyle w:val="Paragraphedeliste"/>
        <w:numPr>
          <w:ilvl w:val="0"/>
          <w:numId w:val="7"/>
        </w:numPr>
        <w:spacing w:before="0"/>
        <w:ind w:left="357" w:hanging="357"/>
        <w:rPr>
          <w:lang w:val="fr-CA" w:eastAsia="fr-FR"/>
        </w:rPr>
      </w:pPr>
      <w:r w:rsidRPr="00BC78D8">
        <w:rPr>
          <w:lang w:val="fr-CA" w:eastAsia="fr-FR"/>
        </w:rPr>
        <w:t>p.10.11.20.00</w:t>
      </w:r>
      <w:r w:rsidR="0017563D">
        <w:rPr>
          <w:lang w:val="fr-CA" w:eastAsia="fr-FR"/>
        </w:rPr>
        <w:t xml:space="preserve"> : </w:t>
      </w:r>
      <w:r w:rsidRPr="00BC78D8">
        <w:rPr>
          <w:lang w:val="fr-CA" w:eastAsia="fr-FR"/>
        </w:rPr>
        <w:t xml:space="preserve">Abats comestibles </w:t>
      </w:r>
      <w:r w:rsidRPr="0017563D">
        <w:rPr>
          <w:lang w:val="fr-CA" w:eastAsia="fr-FR"/>
        </w:rPr>
        <w:t>d’animaux de boucherie, frais, réfrigérés</w:t>
      </w:r>
      <w:r w:rsidR="0017563D" w:rsidRPr="0017563D">
        <w:rPr>
          <w:lang w:val="fr-CA" w:eastAsia="fr-FR"/>
        </w:rPr>
        <w:t xml:space="preserve">, </w:t>
      </w:r>
      <w:r w:rsidR="00171D0F" w:rsidRPr="0017563D">
        <w:rPr>
          <w:lang w:val="fr-CA" w:eastAsia="fr-FR"/>
        </w:rPr>
        <w:t xml:space="preserve">153 </w:t>
      </w:r>
      <w:r w:rsidR="00957F11">
        <w:rPr>
          <w:lang w:val="fr-CA" w:eastAsia="fr-FR"/>
        </w:rPr>
        <w:t>kt</w:t>
      </w:r>
    </w:p>
    <w:p w14:paraId="26D826EF" w14:textId="0F6B150F" w:rsidR="009A664E" w:rsidRDefault="00BC78D8" w:rsidP="00AA28BC">
      <w:pPr>
        <w:pStyle w:val="Paragraphedeliste"/>
        <w:numPr>
          <w:ilvl w:val="0"/>
          <w:numId w:val="7"/>
        </w:numPr>
        <w:rPr>
          <w:lang w:val="fr-CA" w:eastAsia="fr-FR"/>
        </w:rPr>
      </w:pPr>
      <w:r w:rsidRPr="0017563D">
        <w:rPr>
          <w:lang w:val="fr-CA" w:eastAsia="fr-FR"/>
        </w:rPr>
        <w:t>p.10.11.39.10</w:t>
      </w:r>
      <w:r w:rsidR="0017563D" w:rsidRPr="0017563D">
        <w:rPr>
          <w:lang w:val="fr-CA" w:eastAsia="fr-FR"/>
        </w:rPr>
        <w:t xml:space="preserve"> : </w:t>
      </w:r>
      <w:r w:rsidRPr="0017563D">
        <w:rPr>
          <w:lang w:val="fr-CA" w:eastAsia="fr-FR"/>
        </w:rPr>
        <w:t>Abats comestibles d’animaux de boucherie, congelés</w:t>
      </w:r>
      <w:r w:rsidR="0017563D" w:rsidRPr="0017563D">
        <w:rPr>
          <w:lang w:val="fr-CA" w:eastAsia="fr-FR"/>
        </w:rPr>
        <w:t xml:space="preserve">, 59 </w:t>
      </w:r>
      <w:r w:rsidR="00957F11">
        <w:rPr>
          <w:lang w:val="fr-CA" w:eastAsia="fr-FR"/>
        </w:rPr>
        <w:t>kt</w:t>
      </w:r>
      <w:r w:rsidR="00425140" w:rsidRPr="0017563D">
        <w:rPr>
          <w:lang w:val="fr-CA" w:eastAsia="fr-FR"/>
        </w:rPr>
        <w:t>.</w:t>
      </w:r>
    </w:p>
    <w:p w14:paraId="67752D75" w14:textId="18C5A9B2" w:rsidR="00912BFF" w:rsidRDefault="00E946EE" w:rsidP="00CC4ED3">
      <w:pPr>
        <w:rPr>
          <w:lang w:val="fr-CA" w:eastAsia="fr-FR"/>
        </w:rPr>
      </w:pPr>
      <w:r>
        <w:rPr>
          <w:lang w:val="fr-CA" w:eastAsia="fr-FR"/>
        </w:rPr>
        <w:t>En revanche, les</w:t>
      </w:r>
      <w:r w:rsidR="00C30680">
        <w:rPr>
          <w:lang w:val="fr-CA" w:eastAsia="fr-FR"/>
        </w:rPr>
        <w:t xml:space="preserve"> données douanières</w:t>
      </w:r>
      <w:r w:rsidR="00EE2A91">
        <w:rPr>
          <w:lang w:val="fr-CA" w:eastAsia="fr-FR"/>
        </w:rPr>
        <w:t xml:space="preserve"> </w:t>
      </w:r>
      <w:r w:rsidR="00C30680">
        <w:rPr>
          <w:lang w:val="fr-CA" w:eastAsia="fr-FR"/>
        </w:rPr>
        <w:t>permettent</w:t>
      </w:r>
      <w:r w:rsidR="005A60F2">
        <w:rPr>
          <w:lang w:val="fr-CA" w:eastAsia="fr-FR"/>
        </w:rPr>
        <w:t>,</w:t>
      </w:r>
      <w:r w:rsidR="00C30680">
        <w:rPr>
          <w:lang w:val="fr-CA" w:eastAsia="fr-FR"/>
        </w:rPr>
        <w:t xml:space="preserve"> </w:t>
      </w:r>
      <w:r w:rsidR="00DA634C">
        <w:rPr>
          <w:lang w:val="fr-CA" w:eastAsia="fr-FR"/>
        </w:rPr>
        <w:t>concernant les abats</w:t>
      </w:r>
      <w:r w:rsidR="005A60F2">
        <w:rPr>
          <w:lang w:val="fr-CA" w:eastAsia="fr-FR"/>
        </w:rPr>
        <w:t>,</w:t>
      </w:r>
      <w:r w:rsidR="00DA634C">
        <w:rPr>
          <w:lang w:val="fr-CA" w:eastAsia="fr-FR"/>
        </w:rPr>
        <w:t xml:space="preserve"> </w:t>
      </w:r>
      <w:r w:rsidR="00C30680">
        <w:rPr>
          <w:lang w:val="fr-CA" w:eastAsia="fr-FR"/>
        </w:rPr>
        <w:t xml:space="preserve">de suivre les flux </w:t>
      </w:r>
      <w:r w:rsidR="008B02AC">
        <w:rPr>
          <w:lang w:val="fr-CA" w:eastAsia="fr-FR"/>
        </w:rPr>
        <w:t xml:space="preserve">spécifiques </w:t>
      </w:r>
      <w:r w:rsidR="00DA634C">
        <w:rPr>
          <w:lang w:val="fr-CA" w:eastAsia="fr-FR"/>
        </w:rPr>
        <w:t xml:space="preserve">à l’espèce </w:t>
      </w:r>
      <w:r>
        <w:rPr>
          <w:lang w:val="fr-CA" w:eastAsia="fr-FR"/>
        </w:rPr>
        <w:t>porc.</w:t>
      </w:r>
      <w:r w:rsidR="00626D1E">
        <w:rPr>
          <w:lang w:val="fr-CA" w:eastAsia="fr-FR"/>
        </w:rPr>
        <w:t xml:space="preserve"> </w:t>
      </w:r>
      <w:r>
        <w:rPr>
          <w:lang w:val="fr-CA" w:eastAsia="fr-FR"/>
        </w:rPr>
        <w:t xml:space="preserve">Une part </w:t>
      </w:r>
      <w:r w:rsidR="008C2CF1">
        <w:rPr>
          <w:lang w:val="fr-CA" w:eastAsia="fr-FR"/>
        </w:rPr>
        <w:t xml:space="preserve">importante </w:t>
      </w:r>
      <w:r>
        <w:rPr>
          <w:lang w:val="fr-CA" w:eastAsia="fr-FR"/>
        </w:rPr>
        <w:t>d</w:t>
      </w:r>
      <w:r w:rsidR="008C2CF1">
        <w:rPr>
          <w:lang w:val="fr-CA" w:eastAsia="fr-FR"/>
        </w:rPr>
        <w:t>’</w:t>
      </w:r>
      <w:r>
        <w:rPr>
          <w:lang w:val="fr-CA" w:eastAsia="fr-FR"/>
        </w:rPr>
        <w:t>abats est exportée</w:t>
      </w:r>
      <w:r w:rsidR="008C2CF1">
        <w:rPr>
          <w:lang w:val="fr-CA" w:eastAsia="fr-FR"/>
        </w:rPr>
        <w:t xml:space="preserve"> </w:t>
      </w:r>
      <w:r w:rsidR="00BA5841">
        <w:rPr>
          <w:lang w:val="fr-CA" w:eastAsia="fr-FR"/>
        </w:rPr>
        <w:t>sous forme</w:t>
      </w:r>
      <w:r w:rsidR="00B6042B">
        <w:rPr>
          <w:lang w:val="fr-CA" w:eastAsia="fr-FR"/>
        </w:rPr>
        <w:t xml:space="preserve"> congelé</w:t>
      </w:r>
      <w:r w:rsidR="00BA5841">
        <w:rPr>
          <w:lang w:val="fr-CA" w:eastAsia="fr-FR"/>
        </w:rPr>
        <w:t>e</w:t>
      </w:r>
      <w:r w:rsidR="00B6042B">
        <w:rPr>
          <w:lang w:val="fr-CA" w:eastAsia="fr-FR"/>
        </w:rPr>
        <w:t xml:space="preserve"> </w:t>
      </w:r>
      <w:r w:rsidR="008C2CF1">
        <w:rPr>
          <w:lang w:val="fr-CA" w:eastAsia="fr-FR"/>
        </w:rPr>
        <w:t>à destination de l’Asie</w:t>
      </w:r>
      <w:r w:rsidR="00B6042B">
        <w:rPr>
          <w:lang w:val="fr-CA" w:eastAsia="fr-FR"/>
        </w:rPr>
        <w:t xml:space="preserve"> soient en particulier oreilles et pieds, ½ têtes pour 132</w:t>
      </w:r>
      <w:r w:rsidR="00444740">
        <w:rPr>
          <w:lang w:val="fr-CA" w:eastAsia="fr-FR"/>
        </w:rPr>
        <w:t xml:space="preserve"> </w:t>
      </w:r>
      <w:r w:rsidR="006554CE">
        <w:rPr>
          <w:lang w:val="fr-CA" w:eastAsia="fr-FR"/>
        </w:rPr>
        <w:t>kt</w:t>
      </w:r>
      <w:r w:rsidR="00DA634C">
        <w:rPr>
          <w:lang w:val="fr-CA" w:eastAsia="fr-FR"/>
        </w:rPr>
        <w:t>.</w:t>
      </w:r>
      <w:r w:rsidR="00B6042B">
        <w:rPr>
          <w:lang w:val="fr-CA" w:eastAsia="fr-FR"/>
        </w:rPr>
        <w:t xml:space="preserve"> Dans le même temps, la France importe en </w:t>
      </w:r>
      <w:r w:rsidR="002046C8">
        <w:rPr>
          <w:lang w:val="fr-CA" w:eastAsia="fr-FR"/>
        </w:rPr>
        <w:t>f</w:t>
      </w:r>
      <w:r w:rsidR="00B6042B">
        <w:rPr>
          <w:lang w:val="fr-CA" w:eastAsia="fr-FR"/>
        </w:rPr>
        <w:t>rais notamment des joues à destination de la restauration hors domicile</w:t>
      </w:r>
      <w:r w:rsidR="00480FF2" w:rsidRPr="00480FF2">
        <w:rPr>
          <w:lang w:val="fr-CA" w:eastAsia="fr-FR"/>
        </w:rPr>
        <w:t xml:space="preserve"> </w:t>
      </w:r>
      <w:r w:rsidR="00480FF2">
        <w:rPr>
          <w:lang w:val="fr-CA" w:eastAsia="fr-FR"/>
        </w:rPr>
        <w:t>(</w:t>
      </w:r>
      <w:r w:rsidR="00444740">
        <w:rPr>
          <w:lang w:val="fr-CA" w:eastAsia="fr-FR"/>
        </w:rPr>
        <w:fldChar w:fldCharType="begin"/>
      </w:r>
      <w:r w:rsidR="00444740">
        <w:rPr>
          <w:lang w:val="fr-CA" w:eastAsia="fr-FR"/>
        </w:rPr>
        <w:instrText xml:space="preserve"> REF _Ref77692538 \h </w:instrText>
      </w:r>
      <w:r w:rsidR="00444740">
        <w:rPr>
          <w:lang w:val="fr-CA" w:eastAsia="fr-FR"/>
        </w:rPr>
      </w:r>
      <w:r w:rsidR="00444740">
        <w:rPr>
          <w:lang w:val="fr-CA" w:eastAsia="fr-FR"/>
        </w:rPr>
        <w:fldChar w:fldCharType="separate"/>
      </w:r>
      <w:r w:rsidR="00444740">
        <w:t xml:space="preserve">Tableau </w:t>
      </w:r>
      <w:r w:rsidR="00444740">
        <w:rPr>
          <w:noProof/>
        </w:rPr>
        <w:t>10</w:t>
      </w:r>
      <w:r w:rsidR="00444740">
        <w:rPr>
          <w:lang w:val="fr-CA" w:eastAsia="fr-FR"/>
        </w:rPr>
        <w:fldChar w:fldCharType="end"/>
      </w:r>
      <w:r w:rsidR="00480FF2">
        <w:rPr>
          <w:lang w:val="fr-CA" w:eastAsia="fr-FR"/>
        </w:rPr>
        <w:t>).</w:t>
      </w:r>
    </w:p>
    <w:tbl>
      <w:tblPr>
        <w:tblW w:w="8789" w:type="dxa"/>
        <w:jc w:val="center"/>
        <w:tblCellMar>
          <w:left w:w="70" w:type="dxa"/>
          <w:right w:w="70" w:type="dxa"/>
        </w:tblCellMar>
        <w:tblLook w:val="04A0" w:firstRow="1" w:lastRow="0" w:firstColumn="1" w:lastColumn="0" w:noHBand="0" w:noVBand="1"/>
      </w:tblPr>
      <w:tblGrid>
        <w:gridCol w:w="2660"/>
        <w:gridCol w:w="2709"/>
        <w:gridCol w:w="1252"/>
        <w:gridCol w:w="2168"/>
      </w:tblGrid>
      <w:tr w:rsidR="00274B5E" w:rsidRPr="00852CA8" w14:paraId="1ABBC80A" w14:textId="77777777" w:rsidTr="00274B5E">
        <w:trPr>
          <w:trHeight w:val="237"/>
          <w:jc w:val="center"/>
        </w:trPr>
        <w:tc>
          <w:tcPr>
            <w:tcW w:w="2689"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049FC5D" w14:textId="77777777" w:rsidR="00FF1488" w:rsidRPr="00FF1488" w:rsidRDefault="00FF1488" w:rsidP="00FF1488">
            <w:pPr>
              <w:spacing w:after="0" w:line="240" w:lineRule="auto"/>
              <w:jc w:val="center"/>
              <w:rPr>
                <w:rFonts w:eastAsia="Times New Roman" w:cs="Arial"/>
                <w:b/>
                <w:color w:val="000000"/>
                <w:sz w:val="20"/>
                <w:szCs w:val="20"/>
                <w:lang w:eastAsia="fr-FR"/>
              </w:rPr>
            </w:pPr>
            <w:r w:rsidRPr="00FF1488">
              <w:rPr>
                <w:rFonts w:eastAsia="Times New Roman" w:cs="Arial"/>
                <w:b/>
                <w:color w:val="000000"/>
                <w:sz w:val="20"/>
                <w:szCs w:val="20"/>
                <w:lang w:eastAsia="fr-FR"/>
              </w:rPr>
              <w:t>Nomenclature comb (NC)</w:t>
            </w:r>
          </w:p>
        </w:tc>
        <w:tc>
          <w:tcPr>
            <w:tcW w:w="2757" w:type="dxa"/>
            <w:tcBorders>
              <w:top w:val="single" w:sz="4" w:space="0" w:color="auto"/>
              <w:left w:val="nil"/>
              <w:bottom w:val="single" w:sz="4" w:space="0" w:color="auto"/>
              <w:right w:val="single" w:sz="4" w:space="0" w:color="auto"/>
            </w:tcBorders>
            <w:shd w:val="clear" w:color="000000" w:fill="A6A6A6"/>
            <w:vAlign w:val="center"/>
            <w:hideMark/>
          </w:tcPr>
          <w:p w14:paraId="2163382E" w14:textId="065DEF93" w:rsidR="00FF1488" w:rsidRPr="00FF1488" w:rsidRDefault="00FF1488" w:rsidP="00FF1488">
            <w:pPr>
              <w:spacing w:after="0" w:line="240" w:lineRule="auto"/>
              <w:jc w:val="center"/>
              <w:rPr>
                <w:rFonts w:eastAsia="Times New Roman" w:cs="Arial"/>
                <w:b/>
                <w:sz w:val="20"/>
                <w:szCs w:val="20"/>
                <w:lang w:eastAsia="fr-FR"/>
              </w:rPr>
            </w:pPr>
            <w:r w:rsidRPr="00FF1488">
              <w:rPr>
                <w:rFonts w:eastAsia="Times New Roman" w:cs="Arial"/>
                <w:b/>
                <w:sz w:val="20"/>
                <w:szCs w:val="20"/>
                <w:lang w:eastAsia="fr-FR"/>
              </w:rPr>
              <w:t>Libellé</w:t>
            </w:r>
          </w:p>
        </w:tc>
        <w:tc>
          <w:tcPr>
            <w:tcW w:w="1152" w:type="dxa"/>
            <w:tcBorders>
              <w:top w:val="single" w:sz="4" w:space="0" w:color="auto"/>
              <w:left w:val="nil"/>
              <w:bottom w:val="single" w:sz="4" w:space="0" w:color="auto"/>
              <w:right w:val="single" w:sz="4" w:space="0" w:color="auto"/>
            </w:tcBorders>
            <w:shd w:val="clear" w:color="000000" w:fill="A6A6A6"/>
            <w:vAlign w:val="center"/>
            <w:hideMark/>
          </w:tcPr>
          <w:p w14:paraId="766EFF9E" w14:textId="445184BC" w:rsidR="00FF1488" w:rsidRPr="00FF1488" w:rsidRDefault="00FF1488" w:rsidP="00FF1488">
            <w:pPr>
              <w:spacing w:after="0" w:line="240" w:lineRule="auto"/>
              <w:jc w:val="center"/>
              <w:rPr>
                <w:rFonts w:eastAsia="Times New Roman" w:cs="Arial"/>
                <w:b/>
                <w:sz w:val="20"/>
                <w:szCs w:val="20"/>
                <w:lang w:eastAsia="fr-FR"/>
              </w:rPr>
            </w:pPr>
            <w:r w:rsidRPr="00FF1488">
              <w:rPr>
                <w:rFonts w:eastAsia="Times New Roman" w:cs="Arial"/>
                <w:b/>
                <w:sz w:val="20"/>
                <w:szCs w:val="20"/>
                <w:lang w:eastAsia="fr-FR"/>
              </w:rPr>
              <w:t>Exportation</w:t>
            </w:r>
          </w:p>
        </w:tc>
        <w:tc>
          <w:tcPr>
            <w:tcW w:w="2191" w:type="dxa"/>
            <w:tcBorders>
              <w:top w:val="single" w:sz="4" w:space="0" w:color="auto"/>
              <w:left w:val="nil"/>
              <w:bottom w:val="single" w:sz="4" w:space="0" w:color="auto"/>
              <w:right w:val="single" w:sz="4" w:space="0" w:color="auto"/>
            </w:tcBorders>
            <w:shd w:val="clear" w:color="000000" w:fill="A6A6A6"/>
            <w:vAlign w:val="center"/>
            <w:hideMark/>
          </w:tcPr>
          <w:p w14:paraId="1B515879" w14:textId="70BB0F48" w:rsidR="00FF1488" w:rsidRPr="00FF1488" w:rsidRDefault="00FF1488" w:rsidP="00FF1488">
            <w:pPr>
              <w:spacing w:after="0" w:line="240" w:lineRule="auto"/>
              <w:jc w:val="center"/>
              <w:rPr>
                <w:rFonts w:eastAsia="Times New Roman" w:cs="Arial"/>
                <w:b/>
                <w:sz w:val="20"/>
                <w:szCs w:val="20"/>
                <w:lang w:eastAsia="fr-FR"/>
              </w:rPr>
            </w:pPr>
            <w:r w:rsidRPr="00FF1488">
              <w:rPr>
                <w:rFonts w:eastAsia="Times New Roman" w:cs="Arial"/>
                <w:b/>
                <w:sz w:val="20"/>
                <w:szCs w:val="20"/>
                <w:lang w:eastAsia="fr-FR"/>
              </w:rPr>
              <w:t>Importation</w:t>
            </w:r>
          </w:p>
        </w:tc>
      </w:tr>
      <w:tr w:rsidR="00274B5E" w:rsidRPr="00FF1488" w14:paraId="7BC5D780" w14:textId="77777777" w:rsidTr="00274B5E">
        <w:trPr>
          <w:trHeight w:val="129"/>
          <w:jc w:val="center"/>
        </w:trPr>
        <w:tc>
          <w:tcPr>
            <w:tcW w:w="2689" w:type="dxa"/>
            <w:tcBorders>
              <w:top w:val="nil"/>
              <w:left w:val="single" w:sz="4" w:space="0" w:color="000000"/>
              <w:bottom w:val="single" w:sz="4" w:space="0" w:color="000000"/>
              <w:right w:val="single" w:sz="4" w:space="0" w:color="000000"/>
            </w:tcBorders>
            <w:shd w:val="clear" w:color="000000" w:fill="A6A6A6"/>
            <w:vAlign w:val="center"/>
            <w:hideMark/>
          </w:tcPr>
          <w:p w14:paraId="30F5F64F" w14:textId="56407AAE" w:rsidR="00FF1488" w:rsidRPr="00FF1488" w:rsidRDefault="00FF1488" w:rsidP="00FF1488">
            <w:pPr>
              <w:spacing w:after="0" w:line="240" w:lineRule="auto"/>
              <w:jc w:val="left"/>
              <w:rPr>
                <w:rFonts w:eastAsia="Times New Roman" w:cs="Arial"/>
                <w:b/>
                <w:bCs/>
                <w:color w:val="000000"/>
                <w:sz w:val="20"/>
                <w:szCs w:val="20"/>
                <w:lang w:eastAsia="fr-FR"/>
              </w:rPr>
            </w:pPr>
          </w:p>
        </w:tc>
        <w:tc>
          <w:tcPr>
            <w:tcW w:w="2757" w:type="dxa"/>
            <w:tcBorders>
              <w:top w:val="nil"/>
              <w:left w:val="nil"/>
              <w:bottom w:val="single" w:sz="4" w:space="0" w:color="000000"/>
              <w:right w:val="single" w:sz="4" w:space="0" w:color="000000"/>
            </w:tcBorders>
            <w:shd w:val="clear" w:color="000000" w:fill="A6A6A6"/>
            <w:vAlign w:val="center"/>
            <w:hideMark/>
          </w:tcPr>
          <w:p w14:paraId="66F703E5" w14:textId="51E142E2" w:rsidR="00FF1488" w:rsidRPr="00FF1488" w:rsidRDefault="00274B5E" w:rsidP="00FF1488">
            <w:pPr>
              <w:spacing w:after="0" w:line="240" w:lineRule="auto"/>
              <w:jc w:val="left"/>
              <w:rPr>
                <w:rFonts w:eastAsia="Times New Roman" w:cs="Arial"/>
                <w:b/>
                <w:bCs/>
                <w:color w:val="000000"/>
                <w:sz w:val="20"/>
                <w:szCs w:val="20"/>
                <w:lang w:eastAsia="fr-FR"/>
              </w:rPr>
            </w:pPr>
            <w:r>
              <w:rPr>
                <w:rFonts w:eastAsia="Times New Roman" w:cs="Arial"/>
                <w:b/>
                <w:bCs/>
                <w:color w:val="000000"/>
                <w:sz w:val="20"/>
                <w:szCs w:val="20"/>
                <w:lang w:eastAsia="fr-FR"/>
              </w:rPr>
              <w:t>Total Abats</w:t>
            </w:r>
          </w:p>
        </w:tc>
        <w:tc>
          <w:tcPr>
            <w:tcW w:w="1152" w:type="dxa"/>
            <w:tcBorders>
              <w:top w:val="nil"/>
              <w:left w:val="nil"/>
              <w:bottom w:val="single" w:sz="4" w:space="0" w:color="000000"/>
              <w:right w:val="single" w:sz="4" w:space="0" w:color="auto"/>
            </w:tcBorders>
            <w:shd w:val="clear" w:color="000000" w:fill="A6A6A6"/>
            <w:vAlign w:val="center"/>
            <w:hideMark/>
          </w:tcPr>
          <w:p w14:paraId="2D5D682C" w14:textId="201E1655" w:rsidR="00FF1488" w:rsidRPr="00FF1488" w:rsidRDefault="00FF1488" w:rsidP="00FF1488">
            <w:pPr>
              <w:spacing w:after="0" w:line="240" w:lineRule="auto"/>
              <w:jc w:val="center"/>
              <w:rPr>
                <w:rFonts w:eastAsia="Times New Roman" w:cs="Arial"/>
                <w:b/>
                <w:bCs/>
                <w:color w:val="000000"/>
                <w:sz w:val="20"/>
                <w:szCs w:val="20"/>
                <w:lang w:eastAsia="fr-FR"/>
              </w:rPr>
            </w:pPr>
            <w:r w:rsidRPr="00FF1488">
              <w:rPr>
                <w:rFonts w:eastAsia="Times New Roman" w:cs="Arial"/>
                <w:b/>
                <w:bCs/>
                <w:color w:val="000000"/>
                <w:sz w:val="20"/>
                <w:szCs w:val="20"/>
                <w:lang w:eastAsia="fr-FR"/>
              </w:rPr>
              <w:t>132</w:t>
            </w:r>
          </w:p>
        </w:tc>
        <w:tc>
          <w:tcPr>
            <w:tcW w:w="2191"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3721CC0" w14:textId="4E7BE7B6" w:rsidR="00FF1488" w:rsidRPr="00FF1488" w:rsidRDefault="00FF1488" w:rsidP="00FF1488">
            <w:pPr>
              <w:spacing w:after="0" w:line="240" w:lineRule="auto"/>
              <w:jc w:val="center"/>
              <w:rPr>
                <w:rFonts w:eastAsia="Times New Roman" w:cs="Arial"/>
                <w:b/>
                <w:bCs/>
                <w:color w:val="000000"/>
                <w:sz w:val="20"/>
                <w:szCs w:val="20"/>
                <w:lang w:eastAsia="fr-FR"/>
              </w:rPr>
            </w:pPr>
            <w:r w:rsidRPr="00FF1488">
              <w:rPr>
                <w:rFonts w:eastAsia="Times New Roman" w:cs="Arial"/>
                <w:b/>
                <w:bCs/>
                <w:color w:val="000000"/>
                <w:sz w:val="20"/>
                <w:szCs w:val="20"/>
                <w:lang w:eastAsia="fr-FR"/>
              </w:rPr>
              <w:t xml:space="preserve">            65</w:t>
            </w:r>
          </w:p>
        </w:tc>
      </w:tr>
      <w:tr w:rsidR="00274B5E" w:rsidRPr="00FF1488" w14:paraId="62F64AC0" w14:textId="77777777" w:rsidTr="00274B5E">
        <w:trPr>
          <w:trHeight w:val="233"/>
          <w:jc w:val="center"/>
        </w:trPr>
        <w:tc>
          <w:tcPr>
            <w:tcW w:w="2689" w:type="dxa"/>
            <w:tcBorders>
              <w:top w:val="nil"/>
              <w:left w:val="single" w:sz="4" w:space="0" w:color="000000"/>
              <w:bottom w:val="single" w:sz="4" w:space="0" w:color="000000"/>
              <w:right w:val="single" w:sz="4" w:space="0" w:color="000000"/>
            </w:tcBorders>
            <w:shd w:val="clear" w:color="auto" w:fill="auto"/>
            <w:vAlign w:val="center"/>
            <w:hideMark/>
          </w:tcPr>
          <w:p w14:paraId="6FE93D1D"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02064100</w:t>
            </w:r>
          </w:p>
        </w:tc>
        <w:tc>
          <w:tcPr>
            <w:tcW w:w="2757" w:type="dxa"/>
            <w:tcBorders>
              <w:top w:val="nil"/>
              <w:left w:val="nil"/>
              <w:bottom w:val="single" w:sz="4" w:space="0" w:color="000000"/>
              <w:right w:val="single" w:sz="4" w:space="0" w:color="000000"/>
            </w:tcBorders>
            <w:shd w:val="clear" w:color="auto" w:fill="auto"/>
            <w:vAlign w:val="center"/>
            <w:hideMark/>
          </w:tcPr>
          <w:p w14:paraId="61DA65DD"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Foies C</w:t>
            </w:r>
          </w:p>
        </w:tc>
        <w:tc>
          <w:tcPr>
            <w:tcW w:w="1152" w:type="dxa"/>
            <w:tcBorders>
              <w:top w:val="nil"/>
              <w:left w:val="nil"/>
              <w:bottom w:val="single" w:sz="4" w:space="0" w:color="000000"/>
              <w:right w:val="single" w:sz="4" w:space="0" w:color="auto"/>
            </w:tcBorders>
            <w:shd w:val="clear" w:color="auto" w:fill="auto"/>
            <w:vAlign w:val="center"/>
            <w:hideMark/>
          </w:tcPr>
          <w:p w14:paraId="1282B185" w14:textId="2F3AE5C3"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2</w:t>
            </w:r>
          </w:p>
        </w:tc>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E0F3D0" w14:textId="363C826A"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 xml:space="preserve">              5</w:t>
            </w:r>
          </w:p>
        </w:tc>
      </w:tr>
      <w:tr w:rsidR="00274B5E" w:rsidRPr="00FF1488" w14:paraId="5DECBFF2" w14:textId="77777777" w:rsidTr="00852CA8">
        <w:trPr>
          <w:trHeight w:val="300"/>
          <w:jc w:val="center"/>
        </w:trPr>
        <w:tc>
          <w:tcPr>
            <w:tcW w:w="2689" w:type="dxa"/>
            <w:tcBorders>
              <w:top w:val="nil"/>
              <w:left w:val="single" w:sz="4" w:space="0" w:color="000000"/>
              <w:bottom w:val="single" w:sz="4" w:space="0" w:color="000000"/>
              <w:right w:val="single" w:sz="4" w:space="0" w:color="000000"/>
            </w:tcBorders>
            <w:shd w:val="clear" w:color="auto" w:fill="A6A6A6" w:themeFill="background1" w:themeFillShade="A6"/>
            <w:vAlign w:val="center"/>
            <w:hideMark/>
          </w:tcPr>
          <w:p w14:paraId="25AEAAE8"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02063000</w:t>
            </w:r>
          </w:p>
        </w:tc>
        <w:tc>
          <w:tcPr>
            <w:tcW w:w="2757" w:type="dxa"/>
            <w:tcBorders>
              <w:top w:val="nil"/>
              <w:left w:val="nil"/>
              <w:bottom w:val="single" w:sz="4" w:space="0" w:color="000000"/>
              <w:right w:val="single" w:sz="4" w:space="0" w:color="000000"/>
            </w:tcBorders>
            <w:shd w:val="clear" w:color="auto" w:fill="A6A6A6" w:themeFill="background1" w:themeFillShade="A6"/>
            <w:vAlign w:val="center"/>
            <w:hideMark/>
          </w:tcPr>
          <w:p w14:paraId="38DF5E8C"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Abats FR</w:t>
            </w:r>
          </w:p>
        </w:tc>
        <w:tc>
          <w:tcPr>
            <w:tcW w:w="1152" w:type="dxa"/>
            <w:tcBorders>
              <w:top w:val="nil"/>
              <w:left w:val="nil"/>
              <w:bottom w:val="single" w:sz="4" w:space="0" w:color="000000"/>
              <w:right w:val="single" w:sz="4" w:space="0" w:color="auto"/>
            </w:tcBorders>
            <w:shd w:val="clear" w:color="auto" w:fill="A6A6A6" w:themeFill="background1" w:themeFillShade="A6"/>
            <w:vAlign w:val="center"/>
            <w:hideMark/>
          </w:tcPr>
          <w:p w14:paraId="6C3AF9A6" w14:textId="168BC860"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26</w:t>
            </w:r>
          </w:p>
        </w:tc>
        <w:tc>
          <w:tcPr>
            <w:tcW w:w="2191"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2D883883" w14:textId="63B527FA"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 xml:space="preserve">            37</w:t>
            </w:r>
          </w:p>
        </w:tc>
      </w:tr>
      <w:tr w:rsidR="00274B5E" w:rsidRPr="00FF1488" w14:paraId="57C8862A" w14:textId="77777777" w:rsidTr="00274B5E">
        <w:trPr>
          <w:trHeight w:val="199"/>
          <w:jc w:val="center"/>
        </w:trPr>
        <w:tc>
          <w:tcPr>
            <w:tcW w:w="2689" w:type="dxa"/>
            <w:tcBorders>
              <w:top w:val="nil"/>
              <w:left w:val="single" w:sz="4" w:space="0" w:color="000000"/>
              <w:bottom w:val="single" w:sz="4" w:space="0" w:color="000000"/>
              <w:right w:val="single" w:sz="4" w:space="0" w:color="000000"/>
            </w:tcBorders>
            <w:shd w:val="clear" w:color="auto" w:fill="auto"/>
            <w:vAlign w:val="center"/>
            <w:hideMark/>
          </w:tcPr>
          <w:p w14:paraId="5E8C9642"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02064900</w:t>
            </w:r>
          </w:p>
        </w:tc>
        <w:tc>
          <w:tcPr>
            <w:tcW w:w="2757" w:type="dxa"/>
            <w:tcBorders>
              <w:top w:val="nil"/>
              <w:left w:val="nil"/>
              <w:bottom w:val="single" w:sz="4" w:space="0" w:color="000000"/>
              <w:right w:val="single" w:sz="4" w:space="0" w:color="000000"/>
            </w:tcBorders>
            <w:shd w:val="clear" w:color="auto" w:fill="auto"/>
            <w:vAlign w:val="center"/>
            <w:hideMark/>
          </w:tcPr>
          <w:p w14:paraId="526D38AB" w14:textId="77777777" w:rsidR="00FF1488" w:rsidRPr="00FF1488" w:rsidRDefault="00FF1488" w:rsidP="00FF1488">
            <w:pPr>
              <w:spacing w:after="0" w:line="240" w:lineRule="auto"/>
              <w:jc w:val="left"/>
              <w:rPr>
                <w:rFonts w:eastAsia="Times New Roman" w:cs="Arial"/>
                <w:color w:val="000000"/>
                <w:sz w:val="20"/>
                <w:szCs w:val="20"/>
                <w:lang w:eastAsia="fr-FR"/>
              </w:rPr>
            </w:pPr>
            <w:r w:rsidRPr="00FF1488">
              <w:rPr>
                <w:rFonts w:eastAsia="Times New Roman" w:cs="Arial"/>
                <w:color w:val="000000"/>
                <w:sz w:val="20"/>
                <w:szCs w:val="20"/>
                <w:lang w:eastAsia="fr-FR"/>
              </w:rPr>
              <w:t>Abats C autres que foies</w:t>
            </w:r>
          </w:p>
        </w:tc>
        <w:tc>
          <w:tcPr>
            <w:tcW w:w="1152" w:type="dxa"/>
            <w:tcBorders>
              <w:top w:val="nil"/>
              <w:left w:val="nil"/>
              <w:bottom w:val="single" w:sz="4" w:space="0" w:color="000000"/>
              <w:right w:val="single" w:sz="4" w:space="0" w:color="auto"/>
            </w:tcBorders>
            <w:shd w:val="clear" w:color="auto" w:fill="auto"/>
            <w:vAlign w:val="center"/>
            <w:hideMark/>
          </w:tcPr>
          <w:p w14:paraId="4323D808" w14:textId="06F7F6C7"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104</w:t>
            </w:r>
          </w:p>
        </w:tc>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237190" w14:textId="5C6807B5" w:rsidR="00FF1488" w:rsidRPr="00FF1488" w:rsidRDefault="00FF1488" w:rsidP="00FF1488">
            <w:pPr>
              <w:spacing w:after="0" w:line="240" w:lineRule="auto"/>
              <w:jc w:val="center"/>
              <w:rPr>
                <w:rFonts w:eastAsia="Times New Roman" w:cs="Arial"/>
                <w:color w:val="000000"/>
                <w:sz w:val="20"/>
                <w:szCs w:val="20"/>
                <w:lang w:eastAsia="fr-FR"/>
              </w:rPr>
            </w:pPr>
            <w:r w:rsidRPr="00FF1488">
              <w:rPr>
                <w:rFonts w:eastAsia="Times New Roman" w:cs="Arial"/>
                <w:color w:val="000000"/>
                <w:sz w:val="20"/>
                <w:szCs w:val="20"/>
                <w:lang w:eastAsia="fr-FR"/>
              </w:rPr>
              <w:t xml:space="preserve">            23</w:t>
            </w:r>
          </w:p>
        </w:tc>
      </w:tr>
    </w:tbl>
    <w:p w14:paraId="6C3CFC64" w14:textId="55384B51" w:rsidR="00C5220E" w:rsidRDefault="00274B5E" w:rsidP="00274B5E">
      <w:pPr>
        <w:pStyle w:val="figure"/>
        <w:rPr>
          <w:rStyle w:val="figureCar"/>
          <w:b/>
        </w:rPr>
      </w:pPr>
      <w:bookmarkStart w:id="74" w:name="_Ref77692538"/>
      <w:bookmarkStart w:id="75" w:name="_Toc72143358"/>
      <w:r>
        <w:t xml:space="preserve">Tableau </w:t>
      </w:r>
      <w:r w:rsidR="00E27D6E">
        <w:fldChar w:fldCharType="begin"/>
      </w:r>
      <w:r w:rsidR="00E27D6E">
        <w:instrText xml:space="preserve"> SEQ Tableau \* ARABIC </w:instrText>
      </w:r>
      <w:r w:rsidR="00E27D6E">
        <w:fldChar w:fldCharType="separate"/>
      </w:r>
      <w:r w:rsidR="0007597F">
        <w:rPr>
          <w:noProof/>
        </w:rPr>
        <w:t>10</w:t>
      </w:r>
      <w:r w:rsidR="00E27D6E">
        <w:rPr>
          <w:noProof/>
        </w:rPr>
        <w:fldChar w:fldCharType="end"/>
      </w:r>
      <w:bookmarkEnd w:id="74"/>
      <w:r w:rsidR="00C5220E">
        <w:rPr>
          <w:rStyle w:val="figureCar"/>
          <w:b/>
        </w:rPr>
        <w:t xml:space="preserve"> : </w:t>
      </w:r>
      <w:r w:rsidR="003D7041">
        <w:rPr>
          <w:rStyle w:val="figureCar"/>
          <w:b/>
        </w:rPr>
        <w:t>Données</w:t>
      </w:r>
      <w:r>
        <w:rPr>
          <w:rStyle w:val="figureCar"/>
          <w:b/>
        </w:rPr>
        <w:t xml:space="preserve"> import</w:t>
      </w:r>
      <w:r w:rsidR="00852CA8">
        <w:rPr>
          <w:rStyle w:val="figureCar"/>
          <w:b/>
        </w:rPr>
        <w:t>-</w:t>
      </w:r>
      <w:r>
        <w:rPr>
          <w:rStyle w:val="figureCar"/>
          <w:b/>
        </w:rPr>
        <w:t xml:space="preserve">export </w:t>
      </w:r>
      <w:r w:rsidR="003D7041">
        <w:rPr>
          <w:rStyle w:val="figureCar"/>
          <w:b/>
        </w:rPr>
        <w:t xml:space="preserve">France </w:t>
      </w:r>
      <w:r>
        <w:rPr>
          <w:rStyle w:val="figureCar"/>
          <w:b/>
        </w:rPr>
        <w:t>en abats de porc 2018</w:t>
      </w:r>
      <w:r w:rsidRPr="00A46579">
        <w:rPr>
          <w:rStyle w:val="figureCar"/>
          <w:b/>
        </w:rPr>
        <w:t xml:space="preserve"> </w:t>
      </w:r>
      <w:r w:rsidR="00444740">
        <w:rPr>
          <w:rStyle w:val="figureCar"/>
          <w:b/>
        </w:rPr>
        <w:t xml:space="preserve">en </w:t>
      </w:r>
      <w:r w:rsidR="00957F11">
        <w:rPr>
          <w:rStyle w:val="figureCar"/>
          <w:b/>
        </w:rPr>
        <w:t>kt</w:t>
      </w:r>
      <w:bookmarkEnd w:id="75"/>
    </w:p>
    <w:p w14:paraId="02B8254C" w14:textId="7AAB78F1" w:rsidR="00274B5E" w:rsidRPr="00C5220E" w:rsidRDefault="00274B5E" w:rsidP="00C5220E">
      <w:pPr>
        <w:pStyle w:val="Lgende"/>
        <w:rPr>
          <w:rStyle w:val="figureCar"/>
          <w:b w:val="0"/>
          <w:bCs/>
          <w:iCs/>
        </w:rPr>
      </w:pPr>
      <w:r w:rsidRPr="00C5220E">
        <w:rPr>
          <w:rStyle w:val="figureCar"/>
          <w:b w:val="0"/>
          <w:bCs/>
          <w:iCs/>
        </w:rPr>
        <w:t>(Eurostat)</w:t>
      </w:r>
    </w:p>
    <w:p w14:paraId="2E6D202D" w14:textId="77777777" w:rsidR="00DA634C" w:rsidRDefault="00DA634C" w:rsidP="00DA634C">
      <w:pPr>
        <w:spacing w:after="0"/>
      </w:pPr>
      <w:r w:rsidRPr="00A46579">
        <w:rPr>
          <w:lang w:eastAsia="fr-FR"/>
        </w:rPr>
        <w:t>L’attention se porte également sur les résidus non comestibles afin d’approcher par</w:t>
      </w:r>
      <w:r w:rsidRPr="00A46579">
        <w:rPr>
          <w:lang w:eastAsia="ar-SA"/>
        </w:rPr>
        <w:t xml:space="preserve"> différence la fraction comestible.</w:t>
      </w:r>
      <w:r w:rsidRPr="00B9667A">
        <w:t xml:space="preserve"> </w:t>
      </w:r>
    </w:p>
    <w:p w14:paraId="2B7827B4" w14:textId="77777777" w:rsidR="00DA634C" w:rsidRPr="003D7041" w:rsidRDefault="00DA634C" w:rsidP="00AA28BC">
      <w:pPr>
        <w:pStyle w:val="Paragraphedeliste"/>
        <w:numPr>
          <w:ilvl w:val="0"/>
          <w:numId w:val="7"/>
        </w:numPr>
        <w:spacing w:before="0"/>
        <w:ind w:left="357" w:hanging="357"/>
        <w:rPr>
          <w:lang w:val="fr-CA" w:eastAsia="fr-FR"/>
        </w:rPr>
      </w:pPr>
      <w:r w:rsidRPr="003D7041">
        <w:rPr>
          <w:lang w:val="fr-CA" w:eastAsia="fr-FR"/>
        </w:rPr>
        <w:t>p.10.11.60.30</w:t>
      </w:r>
      <w:r w:rsidRPr="003D7041">
        <w:rPr>
          <w:lang w:val="fr-CA" w:eastAsia="fr-FR"/>
        </w:rPr>
        <w:tab/>
      </w:r>
      <w:r w:rsidRPr="003D7041">
        <w:rPr>
          <w:lang w:val="fr-CA" w:eastAsia="fr-FR"/>
        </w:rPr>
        <w:tab/>
        <w:t>Boyaux, vessies et estomacs d’animaux entiers ou en morceaux</w:t>
      </w:r>
    </w:p>
    <w:p w14:paraId="62A29317" w14:textId="1B96A5FA" w:rsidR="00A7045B" w:rsidRDefault="00DA634C" w:rsidP="00064B57">
      <w:pPr>
        <w:pStyle w:val="Paragraphedeliste"/>
        <w:numPr>
          <w:ilvl w:val="0"/>
          <w:numId w:val="0"/>
        </w:numPr>
        <w:ind w:left="361"/>
      </w:pPr>
      <w:r>
        <w:t xml:space="preserve">p.10.11.60.90 </w:t>
      </w:r>
      <w:r>
        <w:tab/>
      </w:r>
      <w:r>
        <w:tab/>
        <w:t>Autres déchets ne convenant pas à la consommation humaine.</w:t>
      </w:r>
    </w:p>
    <w:p w14:paraId="7D6A16DF" w14:textId="77777777" w:rsidR="001354A9" w:rsidRDefault="001354A9" w:rsidP="00064B57">
      <w:pPr>
        <w:pStyle w:val="Paragraphedeliste"/>
        <w:numPr>
          <w:ilvl w:val="0"/>
          <w:numId w:val="0"/>
        </w:numPr>
        <w:ind w:left="361"/>
      </w:pPr>
    </w:p>
    <w:p w14:paraId="565D1551" w14:textId="68C9570B" w:rsidR="00A7045B" w:rsidRPr="00057B62" w:rsidRDefault="00057B62" w:rsidP="00A305CD">
      <w:pPr>
        <w:pStyle w:val="Puce1"/>
        <w:numPr>
          <w:ilvl w:val="0"/>
          <w:numId w:val="13"/>
        </w:numPr>
        <w:ind w:left="714" w:hanging="357"/>
      </w:pPr>
      <w:r>
        <w:t>Total</w:t>
      </w:r>
      <w:r w:rsidR="00A7045B" w:rsidRPr="00057B62">
        <w:rPr>
          <w:rFonts w:eastAsiaTheme="minorHAnsi" w:cstheme="minorBidi"/>
          <w:szCs w:val="22"/>
          <w:lang w:val="fr-CA"/>
        </w:rPr>
        <w:t xml:space="preserve"> disponible </w:t>
      </w:r>
      <w:r w:rsidR="000B1DC3">
        <w:rPr>
          <w:rFonts w:eastAsiaTheme="minorHAnsi" w:cstheme="minorBidi"/>
          <w:szCs w:val="22"/>
          <w:lang w:val="fr-CA"/>
        </w:rPr>
        <w:t>de l’</w:t>
      </w:r>
      <w:r w:rsidR="00A7045B" w:rsidRPr="00057B62">
        <w:rPr>
          <w:rFonts w:eastAsiaTheme="minorHAnsi" w:cstheme="minorBidi"/>
          <w:szCs w:val="22"/>
          <w:lang w:val="fr-CA"/>
        </w:rPr>
        <w:t>activité 10.11.Z</w:t>
      </w:r>
      <w:r w:rsidR="000B1DC3">
        <w:rPr>
          <w:rFonts w:eastAsiaTheme="minorHAnsi" w:cstheme="minorBidi"/>
          <w:szCs w:val="22"/>
          <w:lang w:val="fr-CA"/>
        </w:rPr>
        <w:t xml:space="preserve">, </w:t>
      </w:r>
      <w:r w:rsidR="00E576A1">
        <w:rPr>
          <w:rFonts w:eastAsiaTheme="minorHAnsi" w:cstheme="minorBidi"/>
          <w:szCs w:val="22"/>
          <w:lang w:val="fr-CA"/>
        </w:rPr>
        <w:t xml:space="preserve">environ </w:t>
      </w:r>
      <w:r w:rsidR="005426ED" w:rsidRPr="00057B62">
        <w:rPr>
          <w:rFonts w:eastAsiaTheme="minorHAnsi" w:cstheme="minorBidi"/>
          <w:szCs w:val="22"/>
          <w:lang w:val="fr-CA"/>
        </w:rPr>
        <w:t>1</w:t>
      </w:r>
      <w:r w:rsidR="000A2307" w:rsidRPr="00057B62">
        <w:rPr>
          <w:rFonts w:eastAsiaTheme="minorHAnsi" w:cstheme="minorBidi"/>
          <w:szCs w:val="22"/>
          <w:lang w:val="fr-CA"/>
        </w:rPr>
        <w:t xml:space="preserve"> </w:t>
      </w:r>
      <w:r w:rsidR="002244CB">
        <w:rPr>
          <w:rFonts w:eastAsiaTheme="minorHAnsi" w:cstheme="minorBidi"/>
          <w:szCs w:val="22"/>
          <w:lang w:val="fr-CA"/>
        </w:rPr>
        <w:t>820</w:t>
      </w:r>
      <w:r w:rsidR="00A7045B" w:rsidRPr="00057B62">
        <w:rPr>
          <w:rFonts w:eastAsiaTheme="minorHAnsi" w:cstheme="minorBidi"/>
          <w:szCs w:val="22"/>
          <w:lang w:val="fr-CA"/>
        </w:rPr>
        <w:t xml:space="preserve"> </w:t>
      </w:r>
      <w:r w:rsidR="00957F11">
        <w:rPr>
          <w:rFonts w:eastAsiaTheme="minorHAnsi" w:cstheme="minorBidi"/>
          <w:szCs w:val="22"/>
          <w:lang w:val="fr-CA"/>
        </w:rPr>
        <w:t>kt</w:t>
      </w:r>
      <w:r w:rsidR="00A7045B" w:rsidRPr="00057B62">
        <w:rPr>
          <w:rFonts w:eastAsiaTheme="minorHAnsi" w:cstheme="minorBidi"/>
          <w:szCs w:val="22"/>
          <w:lang w:val="fr-CA"/>
        </w:rPr>
        <w:t xml:space="preserve"> </w:t>
      </w:r>
      <w:r w:rsidR="009F1D53">
        <w:rPr>
          <w:rFonts w:eastAsiaTheme="minorHAnsi" w:cstheme="minorBidi"/>
          <w:szCs w:val="22"/>
          <w:lang w:val="fr-CA"/>
        </w:rPr>
        <w:t>(</w:t>
      </w:r>
      <w:bookmarkStart w:id="76" w:name="_Ref77702772"/>
      <w:r w:rsidR="00A7045B" w:rsidRPr="00C31840">
        <w:rPr>
          <w:rFonts w:eastAsiaTheme="minorHAnsi" w:cstheme="minorBidi"/>
          <w:szCs w:val="22"/>
          <w:lang w:val="fr-CA"/>
        </w:rPr>
        <w:footnoteReference w:id="5"/>
      </w:r>
      <w:bookmarkEnd w:id="76"/>
      <w:r w:rsidR="009F1D53">
        <w:rPr>
          <w:rFonts w:eastAsiaTheme="minorHAnsi" w:cstheme="minorBidi"/>
          <w:szCs w:val="22"/>
          <w:lang w:val="fr-CA"/>
        </w:rPr>
        <w:t>)</w:t>
      </w:r>
    </w:p>
    <w:p w14:paraId="422AFAF4" w14:textId="57A1D3A0" w:rsidR="006D616D" w:rsidRDefault="001B0BC7" w:rsidP="007021A4">
      <w:pPr>
        <w:pStyle w:val="Puce1"/>
        <w:tabs>
          <w:tab w:val="clear" w:pos="720"/>
        </w:tabs>
        <w:spacing w:after="120"/>
        <w:ind w:left="0" w:firstLine="0"/>
      </w:pPr>
      <w:r>
        <w:t xml:space="preserve">Le volume </w:t>
      </w:r>
      <w:r w:rsidR="00664410">
        <w:t xml:space="preserve">disponible </w:t>
      </w:r>
      <w:r>
        <w:t xml:space="preserve">est de 1 945 </w:t>
      </w:r>
      <w:r w:rsidR="00957F11">
        <w:t>kt</w:t>
      </w:r>
      <w:r>
        <w:t xml:space="preserve">. </w:t>
      </w:r>
      <w:r w:rsidR="00CC0DB2">
        <w:t xml:space="preserve">Cette fraction se décompose en </w:t>
      </w:r>
      <w:r w:rsidR="008370C1">
        <w:t>93</w:t>
      </w:r>
      <w:r w:rsidR="00F9272A">
        <w:t> </w:t>
      </w:r>
      <w:r w:rsidR="008370C1">
        <w:t>% de viande brute fraîche ou congelée et en 7</w:t>
      </w:r>
      <w:r w:rsidR="00F9272A">
        <w:t> </w:t>
      </w:r>
      <w:r w:rsidR="00E03CB5">
        <w:t>% de graisses.</w:t>
      </w:r>
    </w:p>
    <w:tbl>
      <w:tblPr>
        <w:tblW w:w="8560" w:type="dxa"/>
        <w:jc w:val="center"/>
        <w:tblCellMar>
          <w:left w:w="70" w:type="dxa"/>
          <w:right w:w="70" w:type="dxa"/>
        </w:tblCellMar>
        <w:tblLook w:val="04A0" w:firstRow="1" w:lastRow="0" w:firstColumn="1" w:lastColumn="0" w:noHBand="0" w:noVBand="1"/>
      </w:tblPr>
      <w:tblGrid>
        <w:gridCol w:w="2980"/>
        <w:gridCol w:w="1640"/>
        <w:gridCol w:w="160"/>
        <w:gridCol w:w="1320"/>
        <w:gridCol w:w="1240"/>
        <w:gridCol w:w="1220"/>
      </w:tblGrid>
      <w:tr w:rsidR="006E6095" w:rsidRPr="005426ED" w14:paraId="49EA74D1" w14:textId="77777777" w:rsidTr="00901952">
        <w:trPr>
          <w:trHeight w:val="300"/>
          <w:jc w:val="center"/>
        </w:trPr>
        <w:tc>
          <w:tcPr>
            <w:tcW w:w="2980" w:type="dxa"/>
            <w:tcBorders>
              <w:top w:val="single" w:sz="4" w:space="0" w:color="auto"/>
              <w:left w:val="single" w:sz="4" w:space="0" w:color="auto"/>
              <w:bottom w:val="single" w:sz="4" w:space="0" w:color="auto"/>
              <w:right w:val="single" w:sz="4" w:space="0" w:color="auto"/>
            </w:tcBorders>
            <w:shd w:val="clear" w:color="000000" w:fill="A6A6A6"/>
            <w:vAlign w:val="center"/>
          </w:tcPr>
          <w:p w14:paraId="76B899AE" w14:textId="77777777" w:rsidR="006E6095" w:rsidRPr="005426ED" w:rsidRDefault="006E6095" w:rsidP="005426ED">
            <w:pPr>
              <w:spacing w:after="0" w:line="240" w:lineRule="auto"/>
              <w:jc w:val="left"/>
              <w:rPr>
                <w:rFonts w:eastAsia="Times New Roman" w:cs="Arial"/>
                <w:b/>
                <w:bCs/>
                <w:sz w:val="20"/>
                <w:szCs w:val="20"/>
                <w:lang w:eastAsia="fr-FR"/>
              </w:rPr>
            </w:pPr>
          </w:p>
        </w:tc>
        <w:tc>
          <w:tcPr>
            <w:tcW w:w="1640" w:type="dxa"/>
            <w:tcBorders>
              <w:top w:val="single" w:sz="4" w:space="0" w:color="auto"/>
              <w:left w:val="nil"/>
              <w:bottom w:val="single" w:sz="4" w:space="0" w:color="auto"/>
              <w:right w:val="single" w:sz="4" w:space="0" w:color="auto"/>
            </w:tcBorders>
            <w:shd w:val="clear" w:color="000000" w:fill="A6A6A6"/>
            <w:vAlign w:val="center"/>
          </w:tcPr>
          <w:p w14:paraId="22EC9D40" w14:textId="1C1281F3" w:rsidR="006E6095" w:rsidRPr="005426ED" w:rsidRDefault="006E6095" w:rsidP="005426E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P</w:t>
            </w:r>
            <w:r w:rsidR="00E57675">
              <w:rPr>
                <w:rFonts w:eastAsia="Times New Roman" w:cs="Arial"/>
                <w:b/>
                <w:bCs/>
                <w:sz w:val="20"/>
                <w:szCs w:val="20"/>
                <w:lang w:eastAsia="fr-FR"/>
              </w:rPr>
              <w:t>roduction</w:t>
            </w:r>
          </w:p>
        </w:tc>
        <w:tc>
          <w:tcPr>
            <w:tcW w:w="160" w:type="dxa"/>
            <w:tcBorders>
              <w:top w:val="nil"/>
              <w:left w:val="nil"/>
              <w:bottom w:val="nil"/>
              <w:right w:val="nil"/>
            </w:tcBorders>
            <w:shd w:val="clear" w:color="auto" w:fill="auto"/>
            <w:vAlign w:val="center"/>
          </w:tcPr>
          <w:p w14:paraId="6A596F99" w14:textId="77777777" w:rsidR="006E6095" w:rsidRPr="005426ED" w:rsidRDefault="006E6095" w:rsidP="005426ED">
            <w:pPr>
              <w:spacing w:after="0" w:line="240" w:lineRule="auto"/>
              <w:jc w:val="center"/>
              <w:rPr>
                <w:rFonts w:eastAsia="Times New Roman" w:cs="Arial"/>
                <w:b/>
                <w:bCs/>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000000" w:fill="A6A6A6"/>
            <w:vAlign w:val="center"/>
          </w:tcPr>
          <w:p w14:paraId="041B2823" w14:textId="302C9A9F" w:rsidR="006E6095" w:rsidRPr="005426ED" w:rsidRDefault="00E57675" w:rsidP="005426E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Exportation</w:t>
            </w:r>
          </w:p>
        </w:tc>
        <w:tc>
          <w:tcPr>
            <w:tcW w:w="1240" w:type="dxa"/>
            <w:tcBorders>
              <w:top w:val="single" w:sz="4" w:space="0" w:color="auto"/>
              <w:left w:val="nil"/>
              <w:bottom w:val="single" w:sz="4" w:space="0" w:color="auto"/>
              <w:right w:val="single" w:sz="4" w:space="0" w:color="auto"/>
            </w:tcBorders>
            <w:shd w:val="clear" w:color="000000" w:fill="A6A6A6"/>
            <w:vAlign w:val="center"/>
          </w:tcPr>
          <w:p w14:paraId="20DF7B3E" w14:textId="06BE8342" w:rsidR="006E6095" w:rsidRPr="005426ED" w:rsidRDefault="00E57675" w:rsidP="005426E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Importation</w:t>
            </w:r>
          </w:p>
        </w:tc>
        <w:tc>
          <w:tcPr>
            <w:tcW w:w="1220" w:type="dxa"/>
            <w:tcBorders>
              <w:top w:val="single" w:sz="4" w:space="0" w:color="auto"/>
              <w:left w:val="nil"/>
              <w:bottom w:val="single" w:sz="4" w:space="0" w:color="auto"/>
              <w:right w:val="single" w:sz="4" w:space="0" w:color="auto"/>
            </w:tcBorders>
            <w:shd w:val="clear" w:color="000000" w:fill="A6A6A6"/>
            <w:vAlign w:val="center"/>
          </w:tcPr>
          <w:p w14:paraId="3887B9AA" w14:textId="301A71CA" w:rsidR="006E6095" w:rsidRPr="005426ED" w:rsidRDefault="00E57675" w:rsidP="005426E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Solde Net</w:t>
            </w:r>
          </w:p>
        </w:tc>
      </w:tr>
      <w:tr w:rsidR="005426ED" w:rsidRPr="005426ED" w14:paraId="6BC1EB23" w14:textId="77777777" w:rsidTr="00901952">
        <w:trPr>
          <w:trHeight w:val="300"/>
          <w:jc w:val="center"/>
        </w:trPr>
        <w:tc>
          <w:tcPr>
            <w:tcW w:w="298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108B6CAF" w14:textId="77777777" w:rsidR="005426ED" w:rsidRPr="005426ED" w:rsidRDefault="005426ED" w:rsidP="005426ED">
            <w:pPr>
              <w:spacing w:after="0" w:line="240" w:lineRule="auto"/>
              <w:jc w:val="left"/>
              <w:rPr>
                <w:rFonts w:eastAsia="Times New Roman" w:cs="Arial"/>
                <w:b/>
                <w:bCs/>
                <w:sz w:val="20"/>
                <w:szCs w:val="20"/>
                <w:lang w:eastAsia="fr-FR"/>
              </w:rPr>
            </w:pPr>
            <w:r w:rsidRPr="005426ED">
              <w:rPr>
                <w:rFonts w:eastAsia="Times New Roman" w:cs="Arial"/>
                <w:b/>
                <w:bCs/>
                <w:sz w:val="20"/>
                <w:szCs w:val="20"/>
                <w:lang w:eastAsia="fr-FR"/>
              </w:rPr>
              <w:t>Total Porc Frais brut</w:t>
            </w:r>
          </w:p>
        </w:tc>
        <w:tc>
          <w:tcPr>
            <w:tcW w:w="1640" w:type="dxa"/>
            <w:tcBorders>
              <w:top w:val="single" w:sz="4" w:space="0" w:color="auto"/>
              <w:left w:val="nil"/>
              <w:bottom w:val="single" w:sz="4" w:space="0" w:color="auto"/>
              <w:right w:val="single" w:sz="4" w:space="0" w:color="auto"/>
            </w:tcBorders>
            <w:shd w:val="clear" w:color="000000" w:fill="A6A6A6"/>
            <w:vAlign w:val="center"/>
            <w:hideMark/>
          </w:tcPr>
          <w:p w14:paraId="4FD51E8F" w14:textId="21F7CAAC"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1 932</w:t>
            </w:r>
          </w:p>
        </w:tc>
        <w:tc>
          <w:tcPr>
            <w:tcW w:w="160" w:type="dxa"/>
            <w:tcBorders>
              <w:top w:val="nil"/>
              <w:left w:val="nil"/>
              <w:bottom w:val="nil"/>
              <w:right w:val="nil"/>
            </w:tcBorders>
            <w:shd w:val="clear" w:color="auto" w:fill="auto"/>
            <w:vAlign w:val="center"/>
            <w:hideMark/>
          </w:tcPr>
          <w:p w14:paraId="3E023B80" w14:textId="77777777" w:rsidR="005426ED" w:rsidRPr="005426ED" w:rsidRDefault="005426ED" w:rsidP="005426ED">
            <w:pPr>
              <w:spacing w:after="0" w:line="240" w:lineRule="auto"/>
              <w:jc w:val="center"/>
              <w:rPr>
                <w:rFonts w:eastAsia="Times New Roman" w:cs="Arial"/>
                <w:b/>
                <w:bCs/>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6B17863" w14:textId="0238625E"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416</w:t>
            </w:r>
          </w:p>
        </w:tc>
        <w:tc>
          <w:tcPr>
            <w:tcW w:w="1240" w:type="dxa"/>
            <w:tcBorders>
              <w:top w:val="single" w:sz="4" w:space="0" w:color="auto"/>
              <w:left w:val="nil"/>
              <w:bottom w:val="single" w:sz="4" w:space="0" w:color="auto"/>
              <w:right w:val="single" w:sz="4" w:space="0" w:color="auto"/>
            </w:tcBorders>
            <w:shd w:val="clear" w:color="000000" w:fill="A6A6A6"/>
            <w:vAlign w:val="center"/>
            <w:hideMark/>
          </w:tcPr>
          <w:p w14:paraId="11645478" w14:textId="6A54C2CC"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303</w:t>
            </w:r>
          </w:p>
        </w:tc>
        <w:tc>
          <w:tcPr>
            <w:tcW w:w="1220" w:type="dxa"/>
            <w:tcBorders>
              <w:top w:val="single" w:sz="4" w:space="0" w:color="auto"/>
              <w:left w:val="nil"/>
              <w:bottom w:val="single" w:sz="4" w:space="0" w:color="auto"/>
              <w:right w:val="single" w:sz="4" w:space="0" w:color="auto"/>
            </w:tcBorders>
            <w:shd w:val="clear" w:color="000000" w:fill="A6A6A6"/>
            <w:vAlign w:val="center"/>
            <w:hideMark/>
          </w:tcPr>
          <w:p w14:paraId="510945A7" w14:textId="3D00A606"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1 819</w:t>
            </w:r>
          </w:p>
        </w:tc>
      </w:tr>
      <w:tr w:rsidR="005426ED" w:rsidRPr="005426ED" w14:paraId="7997B340" w14:textId="77777777" w:rsidTr="00901952">
        <w:trPr>
          <w:trHeight w:val="300"/>
          <w:jc w:val="center"/>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096684E5" w14:textId="77777777" w:rsidR="005426ED" w:rsidRPr="005426ED" w:rsidRDefault="005426ED" w:rsidP="005426ED">
            <w:pPr>
              <w:spacing w:after="0" w:line="240" w:lineRule="auto"/>
              <w:jc w:val="left"/>
              <w:rPr>
                <w:rFonts w:eastAsia="Times New Roman" w:cs="Arial"/>
                <w:color w:val="000000"/>
                <w:sz w:val="20"/>
                <w:szCs w:val="20"/>
                <w:lang w:eastAsia="fr-FR"/>
              </w:rPr>
            </w:pPr>
            <w:r w:rsidRPr="005426ED">
              <w:rPr>
                <w:rFonts w:eastAsia="Times New Roman" w:cs="Arial"/>
                <w:color w:val="000000"/>
                <w:sz w:val="20"/>
                <w:szCs w:val="20"/>
                <w:lang w:eastAsia="fr-FR"/>
              </w:rPr>
              <w:t>Viandes Fraîches ou réfrigérées</w:t>
            </w:r>
          </w:p>
        </w:tc>
        <w:tc>
          <w:tcPr>
            <w:tcW w:w="1640" w:type="dxa"/>
            <w:tcBorders>
              <w:top w:val="single" w:sz="4" w:space="0" w:color="auto"/>
              <w:left w:val="nil"/>
              <w:bottom w:val="single" w:sz="4" w:space="0" w:color="auto"/>
              <w:right w:val="single" w:sz="4" w:space="0" w:color="auto"/>
            </w:tcBorders>
            <w:shd w:val="clear" w:color="auto" w:fill="auto"/>
            <w:noWrap/>
            <w:vAlign w:val="center"/>
            <w:hideMark/>
          </w:tcPr>
          <w:p w14:paraId="3D04FD50" w14:textId="319FDE61"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1 664</w:t>
            </w:r>
          </w:p>
        </w:tc>
        <w:tc>
          <w:tcPr>
            <w:tcW w:w="160" w:type="dxa"/>
            <w:tcBorders>
              <w:top w:val="nil"/>
              <w:left w:val="nil"/>
              <w:bottom w:val="nil"/>
              <w:right w:val="nil"/>
            </w:tcBorders>
            <w:shd w:val="clear" w:color="auto" w:fill="auto"/>
            <w:vAlign w:val="center"/>
            <w:hideMark/>
          </w:tcPr>
          <w:p w14:paraId="0376C1C7" w14:textId="77777777" w:rsidR="005426ED" w:rsidRPr="005426ED" w:rsidRDefault="005426ED" w:rsidP="005426ED">
            <w:pPr>
              <w:spacing w:after="0" w:line="240" w:lineRule="auto"/>
              <w:jc w:val="center"/>
              <w:rPr>
                <w:rFonts w:eastAsia="Times New Roman" w:cs="Arial"/>
                <w:color w:val="000000"/>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F4AF5A" w14:textId="2422F5CF"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277</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2EF81B83" w14:textId="75BC5931"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240</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14:paraId="7F444854" w14:textId="59772F5F"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1 627</w:t>
            </w:r>
          </w:p>
        </w:tc>
      </w:tr>
      <w:tr w:rsidR="005426ED" w:rsidRPr="005426ED" w14:paraId="4BB56E5F" w14:textId="77777777" w:rsidTr="00901952">
        <w:trPr>
          <w:trHeight w:val="300"/>
          <w:jc w:val="center"/>
        </w:trPr>
        <w:tc>
          <w:tcPr>
            <w:tcW w:w="2980" w:type="dxa"/>
            <w:tcBorders>
              <w:top w:val="nil"/>
              <w:left w:val="single" w:sz="4" w:space="0" w:color="auto"/>
              <w:bottom w:val="single" w:sz="4" w:space="0" w:color="auto"/>
              <w:right w:val="single" w:sz="4" w:space="0" w:color="auto"/>
            </w:tcBorders>
            <w:shd w:val="clear" w:color="auto" w:fill="auto"/>
            <w:vAlign w:val="center"/>
            <w:hideMark/>
          </w:tcPr>
          <w:p w14:paraId="4BC49E74" w14:textId="77777777" w:rsidR="005426ED" w:rsidRPr="005426ED" w:rsidRDefault="005426ED" w:rsidP="005426ED">
            <w:pPr>
              <w:spacing w:after="0" w:line="240" w:lineRule="auto"/>
              <w:jc w:val="left"/>
              <w:rPr>
                <w:rFonts w:eastAsia="Times New Roman" w:cs="Arial"/>
                <w:color w:val="000000"/>
                <w:sz w:val="20"/>
                <w:szCs w:val="20"/>
                <w:lang w:eastAsia="fr-FR"/>
              </w:rPr>
            </w:pPr>
            <w:r w:rsidRPr="005426ED">
              <w:rPr>
                <w:rFonts w:eastAsia="Times New Roman" w:cs="Arial"/>
                <w:color w:val="000000"/>
                <w:sz w:val="20"/>
                <w:szCs w:val="20"/>
                <w:lang w:eastAsia="fr-FR"/>
              </w:rPr>
              <w:t>Viandes Congelées</w:t>
            </w:r>
          </w:p>
        </w:tc>
        <w:tc>
          <w:tcPr>
            <w:tcW w:w="1640" w:type="dxa"/>
            <w:tcBorders>
              <w:top w:val="single" w:sz="4" w:space="0" w:color="auto"/>
              <w:left w:val="nil"/>
              <w:bottom w:val="single" w:sz="4" w:space="0" w:color="auto"/>
              <w:right w:val="single" w:sz="4" w:space="0" w:color="auto"/>
            </w:tcBorders>
            <w:shd w:val="clear" w:color="auto" w:fill="auto"/>
            <w:noWrap/>
            <w:vAlign w:val="center"/>
            <w:hideMark/>
          </w:tcPr>
          <w:p w14:paraId="50FF99E3" w14:textId="483F7F10"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268</w:t>
            </w:r>
          </w:p>
        </w:tc>
        <w:tc>
          <w:tcPr>
            <w:tcW w:w="160" w:type="dxa"/>
            <w:tcBorders>
              <w:top w:val="nil"/>
              <w:left w:val="nil"/>
              <w:bottom w:val="nil"/>
              <w:right w:val="nil"/>
            </w:tcBorders>
            <w:shd w:val="clear" w:color="auto" w:fill="auto"/>
            <w:vAlign w:val="center"/>
            <w:hideMark/>
          </w:tcPr>
          <w:p w14:paraId="78BF79D2" w14:textId="77777777" w:rsidR="005426ED" w:rsidRPr="005426ED" w:rsidRDefault="005426ED" w:rsidP="005426ED">
            <w:pPr>
              <w:spacing w:after="0" w:line="240" w:lineRule="auto"/>
              <w:jc w:val="center"/>
              <w:rPr>
                <w:rFonts w:eastAsia="Times New Roman" w:cs="Arial"/>
                <w:color w:val="000000"/>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B15DC1" w14:textId="0F5C8A32"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139</w:t>
            </w:r>
          </w:p>
        </w:tc>
        <w:tc>
          <w:tcPr>
            <w:tcW w:w="1240" w:type="dxa"/>
            <w:tcBorders>
              <w:top w:val="single" w:sz="4" w:space="0" w:color="auto"/>
              <w:left w:val="nil"/>
              <w:bottom w:val="single" w:sz="4" w:space="0" w:color="auto"/>
              <w:right w:val="single" w:sz="4" w:space="0" w:color="auto"/>
            </w:tcBorders>
            <w:shd w:val="clear" w:color="auto" w:fill="auto"/>
            <w:noWrap/>
            <w:vAlign w:val="center"/>
            <w:hideMark/>
          </w:tcPr>
          <w:p w14:paraId="0366A7AF" w14:textId="49905DA3"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63</w:t>
            </w:r>
          </w:p>
        </w:tc>
        <w:tc>
          <w:tcPr>
            <w:tcW w:w="1220" w:type="dxa"/>
            <w:tcBorders>
              <w:top w:val="single" w:sz="4" w:space="0" w:color="auto"/>
              <w:left w:val="nil"/>
              <w:bottom w:val="single" w:sz="4" w:space="0" w:color="auto"/>
              <w:right w:val="single" w:sz="4" w:space="0" w:color="auto"/>
            </w:tcBorders>
            <w:shd w:val="clear" w:color="auto" w:fill="auto"/>
            <w:noWrap/>
            <w:vAlign w:val="center"/>
            <w:hideMark/>
          </w:tcPr>
          <w:p w14:paraId="143B8DA3" w14:textId="394B4496" w:rsidR="005426ED" w:rsidRPr="005426ED" w:rsidRDefault="005426ED" w:rsidP="005426ED">
            <w:pPr>
              <w:spacing w:after="0" w:line="240" w:lineRule="auto"/>
              <w:jc w:val="center"/>
              <w:rPr>
                <w:rFonts w:eastAsia="Times New Roman" w:cs="Arial"/>
                <w:color w:val="000000"/>
                <w:sz w:val="20"/>
                <w:szCs w:val="20"/>
                <w:lang w:eastAsia="fr-FR"/>
              </w:rPr>
            </w:pPr>
            <w:r w:rsidRPr="005426ED">
              <w:rPr>
                <w:rFonts w:eastAsia="Times New Roman" w:cs="Arial"/>
                <w:color w:val="000000"/>
                <w:sz w:val="20"/>
                <w:szCs w:val="20"/>
                <w:lang w:eastAsia="fr-FR"/>
              </w:rPr>
              <w:t>192</w:t>
            </w:r>
          </w:p>
        </w:tc>
      </w:tr>
      <w:tr w:rsidR="005426ED" w:rsidRPr="005426ED" w14:paraId="24E496B4" w14:textId="77777777" w:rsidTr="00901952">
        <w:trPr>
          <w:trHeight w:val="285"/>
          <w:jc w:val="center"/>
        </w:trPr>
        <w:tc>
          <w:tcPr>
            <w:tcW w:w="2980" w:type="dxa"/>
            <w:tcBorders>
              <w:top w:val="nil"/>
              <w:left w:val="single" w:sz="4" w:space="0" w:color="auto"/>
              <w:bottom w:val="single" w:sz="4" w:space="0" w:color="auto"/>
              <w:right w:val="single" w:sz="4" w:space="0" w:color="auto"/>
            </w:tcBorders>
            <w:shd w:val="clear" w:color="000000" w:fill="A6A6A6"/>
            <w:vAlign w:val="center"/>
            <w:hideMark/>
          </w:tcPr>
          <w:p w14:paraId="0A580948" w14:textId="77777777" w:rsidR="005426ED" w:rsidRPr="005426ED" w:rsidRDefault="005426ED" w:rsidP="005426ED">
            <w:pPr>
              <w:spacing w:after="0" w:line="240" w:lineRule="auto"/>
              <w:jc w:val="left"/>
              <w:rPr>
                <w:rFonts w:eastAsia="Times New Roman" w:cs="Arial"/>
                <w:b/>
                <w:bCs/>
                <w:sz w:val="20"/>
                <w:szCs w:val="20"/>
                <w:lang w:eastAsia="fr-FR"/>
              </w:rPr>
            </w:pPr>
            <w:r w:rsidRPr="005426ED">
              <w:rPr>
                <w:rFonts w:eastAsia="Times New Roman" w:cs="Arial"/>
                <w:b/>
                <w:bCs/>
                <w:sz w:val="20"/>
                <w:szCs w:val="20"/>
                <w:lang w:eastAsia="fr-FR"/>
              </w:rPr>
              <w:t>Graisses</w:t>
            </w:r>
          </w:p>
        </w:tc>
        <w:tc>
          <w:tcPr>
            <w:tcW w:w="1640" w:type="dxa"/>
            <w:tcBorders>
              <w:top w:val="single" w:sz="4" w:space="0" w:color="auto"/>
              <w:left w:val="nil"/>
              <w:bottom w:val="single" w:sz="4" w:space="0" w:color="auto"/>
              <w:right w:val="single" w:sz="4" w:space="0" w:color="auto"/>
            </w:tcBorders>
            <w:shd w:val="clear" w:color="000000" w:fill="A6A6A6"/>
            <w:vAlign w:val="center"/>
            <w:hideMark/>
          </w:tcPr>
          <w:p w14:paraId="6E68CFAB" w14:textId="7F93AC76"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177</w:t>
            </w:r>
          </w:p>
        </w:tc>
        <w:tc>
          <w:tcPr>
            <w:tcW w:w="160" w:type="dxa"/>
            <w:tcBorders>
              <w:top w:val="nil"/>
              <w:left w:val="nil"/>
              <w:bottom w:val="nil"/>
              <w:right w:val="nil"/>
            </w:tcBorders>
            <w:shd w:val="clear" w:color="auto" w:fill="auto"/>
            <w:vAlign w:val="center"/>
            <w:hideMark/>
          </w:tcPr>
          <w:p w14:paraId="45F3BC05" w14:textId="77777777" w:rsidR="005426ED" w:rsidRPr="005426ED" w:rsidRDefault="005426ED" w:rsidP="005426ED">
            <w:pPr>
              <w:spacing w:after="0" w:line="240" w:lineRule="auto"/>
              <w:jc w:val="center"/>
              <w:rPr>
                <w:rFonts w:eastAsia="Times New Roman" w:cs="Arial"/>
                <w:b/>
                <w:bCs/>
                <w:sz w:val="20"/>
                <w:szCs w:val="20"/>
                <w:lang w:eastAsia="fr-FR"/>
              </w:rPr>
            </w:pPr>
          </w:p>
        </w:tc>
        <w:tc>
          <w:tcPr>
            <w:tcW w:w="132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280F10C" w14:textId="05DE3D28"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89</w:t>
            </w:r>
          </w:p>
        </w:tc>
        <w:tc>
          <w:tcPr>
            <w:tcW w:w="1240" w:type="dxa"/>
            <w:tcBorders>
              <w:top w:val="single" w:sz="4" w:space="0" w:color="auto"/>
              <w:left w:val="nil"/>
              <w:bottom w:val="single" w:sz="4" w:space="0" w:color="auto"/>
              <w:right w:val="single" w:sz="4" w:space="0" w:color="auto"/>
            </w:tcBorders>
            <w:shd w:val="clear" w:color="000000" w:fill="A6A6A6"/>
            <w:vAlign w:val="center"/>
            <w:hideMark/>
          </w:tcPr>
          <w:p w14:paraId="17AC1C0C" w14:textId="66CDE449"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38</w:t>
            </w:r>
          </w:p>
        </w:tc>
        <w:tc>
          <w:tcPr>
            <w:tcW w:w="1220" w:type="dxa"/>
            <w:tcBorders>
              <w:top w:val="single" w:sz="4" w:space="0" w:color="auto"/>
              <w:left w:val="nil"/>
              <w:bottom w:val="single" w:sz="4" w:space="0" w:color="auto"/>
              <w:right w:val="single" w:sz="4" w:space="0" w:color="auto"/>
            </w:tcBorders>
            <w:shd w:val="clear" w:color="000000" w:fill="A6A6A6"/>
            <w:vAlign w:val="center"/>
            <w:hideMark/>
          </w:tcPr>
          <w:p w14:paraId="40BCC529" w14:textId="55799EC0" w:rsidR="005426ED" w:rsidRPr="005426ED" w:rsidRDefault="005426ED" w:rsidP="005426ED">
            <w:pPr>
              <w:spacing w:after="0" w:line="240" w:lineRule="auto"/>
              <w:jc w:val="center"/>
              <w:rPr>
                <w:rFonts w:eastAsia="Times New Roman" w:cs="Arial"/>
                <w:b/>
                <w:bCs/>
                <w:sz w:val="20"/>
                <w:szCs w:val="20"/>
                <w:lang w:eastAsia="fr-FR"/>
              </w:rPr>
            </w:pPr>
            <w:r w:rsidRPr="005426ED">
              <w:rPr>
                <w:rFonts w:eastAsia="Times New Roman" w:cs="Arial"/>
                <w:b/>
                <w:bCs/>
                <w:sz w:val="20"/>
                <w:szCs w:val="20"/>
                <w:lang w:eastAsia="fr-FR"/>
              </w:rPr>
              <w:t>126</w:t>
            </w:r>
          </w:p>
        </w:tc>
      </w:tr>
    </w:tbl>
    <w:p w14:paraId="5FD43740" w14:textId="67A9542C" w:rsidR="00A83CF3" w:rsidRDefault="006B170B" w:rsidP="003F1C8E">
      <w:pPr>
        <w:pStyle w:val="figure"/>
        <w:rPr>
          <w:rStyle w:val="figureCar"/>
          <w:b/>
        </w:rPr>
      </w:pPr>
      <w:bookmarkStart w:id="77" w:name="_Toc72143359"/>
      <w:r>
        <w:t xml:space="preserve">Tableau </w:t>
      </w:r>
      <w:r w:rsidR="00E27D6E">
        <w:fldChar w:fldCharType="begin"/>
      </w:r>
      <w:r w:rsidR="00E27D6E">
        <w:instrText xml:space="preserve"> SEQ Tableau \* ARABIC </w:instrText>
      </w:r>
      <w:r w:rsidR="00E27D6E">
        <w:fldChar w:fldCharType="separate"/>
      </w:r>
      <w:r w:rsidR="0007597F">
        <w:rPr>
          <w:noProof/>
        </w:rPr>
        <w:t>11</w:t>
      </w:r>
      <w:r w:rsidR="00E27D6E">
        <w:rPr>
          <w:noProof/>
        </w:rPr>
        <w:fldChar w:fldCharType="end"/>
      </w:r>
      <w:r w:rsidR="002E750F">
        <w:rPr>
          <w:noProof/>
        </w:rPr>
        <w:t> :</w:t>
      </w:r>
      <w:r>
        <w:t xml:space="preserve"> </w:t>
      </w:r>
      <w:r>
        <w:rPr>
          <w:rStyle w:val="figureCar"/>
          <w:b/>
        </w:rPr>
        <w:t>Synthèse du volume d</w:t>
      </w:r>
      <w:r w:rsidRPr="00A46579">
        <w:rPr>
          <w:rStyle w:val="figureCar"/>
          <w:b/>
        </w:rPr>
        <w:t xml:space="preserve">isponible </w:t>
      </w:r>
      <w:r w:rsidR="003F1C8E">
        <w:rPr>
          <w:rStyle w:val="figureCar"/>
          <w:b/>
        </w:rPr>
        <w:t xml:space="preserve">connu </w:t>
      </w:r>
      <w:r w:rsidRPr="00A46579">
        <w:rPr>
          <w:rStyle w:val="figureCar"/>
          <w:b/>
        </w:rPr>
        <w:t xml:space="preserve">en sortie d’activité 10.11.Z </w:t>
      </w:r>
      <w:r w:rsidR="00E02439">
        <w:rPr>
          <w:rStyle w:val="figureCar"/>
          <w:b/>
        </w:rPr>
        <w:t xml:space="preserve">en </w:t>
      </w:r>
      <w:r w:rsidR="00957F11">
        <w:rPr>
          <w:rStyle w:val="figureCar"/>
          <w:b/>
        </w:rPr>
        <w:t>kt</w:t>
      </w:r>
      <w:bookmarkEnd w:id="77"/>
    </w:p>
    <w:p w14:paraId="015C01CB" w14:textId="4A9561C2" w:rsidR="00C22D52" w:rsidRPr="002E750F" w:rsidRDefault="006B170B" w:rsidP="002E750F">
      <w:pPr>
        <w:pStyle w:val="Lgende"/>
      </w:pPr>
      <w:r w:rsidRPr="002E750F">
        <w:rPr>
          <w:rStyle w:val="figureCar"/>
          <w:b w:val="0"/>
          <w:bCs/>
          <w:iCs/>
        </w:rPr>
        <w:t xml:space="preserve"> (Ifip d’après Enquêtes PRODCOM, Eurostat)</w:t>
      </w:r>
    </w:p>
    <w:p w14:paraId="5C878744" w14:textId="19E2A4FE" w:rsidR="00A7045B" w:rsidRDefault="00CC0DB2" w:rsidP="00064B57">
      <w:pPr>
        <w:pStyle w:val="Puce1"/>
        <w:tabs>
          <w:tab w:val="clear" w:pos="720"/>
        </w:tabs>
        <w:ind w:left="0" w:firstLine="0"/>
      </w:pPr>
      <w:r>
        <w:t xml:space="preserve">Cependant </w:t>
      </w:r>
      <w:r w:rsidR="00E31E95">
        <w:t>ce volume</w:t>
      </w:r>
      <w:r>
        <w:t xml:space="preserve"> ne correspond pas à l’entièreté de la fraction comestible puisque l</w:t>
      </w:r>
      <w:r w:rsidR="006C3378">
        <w:t xml:space="preserve">es </w:t>
      </w:r>
      <w:r>
        <w:t xml:space="preserve">abats </w:t>
      </w:r>
      <w:r w:rsidR="00E249CB">
        <w:t xml:space="preserve">à ce stade </w:t>
      </w:r>
      <w:r w:rsidR="00404E42">
        <w:t>n</w:t>
      </w:r>
      <w:r w:rsidR="00E249CB">
        <w:t xml:space="preserve">e sont pas pris en compte </w:t>
      </w:r>
      <w:r>
        <w:t xml:space="preserve">et </w:t>
      </w:r>
      <w:r w:rsidR="00404E42">
        <w:t>qu’une partie des graisses intégrée</w:t>
      </w:r>
      <w:r w:rsidR="00444740">
        <w:t>,</w:t>
      </w:r>
      <w:r>
        <w:t xml:space="preserve"> n’est pas comestible</w:t>
      </w:r>
      <w:r w:rsidR="00E03CB5">
        <w:t xml:space="preserve">. </w:t>
      </w:r>
      <w:r w:rsidR="00BA3371">
        <w:t>A noter</w:t>
      </w:r>
      <w:r w:rsidR="00E31E95">
        <w:t xml:space="preserve">, </w:t>
      </w:r>
      <w:r w:rsidR="00B24CB2">
        <w:t>l</w:t>
      </w:r>
      <w:r w:rsidR="00E31E95">
        <w:t xml:space="preserve">es éléments </w:t>
      </w:r>
      <w:r w:rsidR="00B24CB2">
        <w:t xml:space="preserve">de production </w:t>
      </w:r>
      <w:r w:rsidR="00E31E95">
        <w:t xml:space="preserve">donnent des </w:t>
      </w:r>
      <w:r w:rsidR="00520B26">
        <w:t>ordres de grandeur</w:t>
      </w:r>
      <w:r w:rsidR="00E31E95">
        <w:t xml:space="preserve"> concernant </w:t>
      </w:r>
      <w:r w:rsidR="00B24CB2" w:rsidRPr="00133395">
        <w:rPr>
          <w:u w:val="single"/>
        </w:rPr>
        <w:t xml:space="preserve">le </w:t>
      </w:r>
      <w:r w:rsidR="00B24CB2" w:rsidRPr="00133395">
        <w:rPr>
          <w:u w:val="single"/>
        </w:rPr>
        <w:lastRenderedPageBreak/>
        <w:t xml:space="preserve">rendement en viande nette </w:t>
      </w:r>
      <w:r w:rsidR="00064B57" w:rsidRPr="00133395">
        <w:rPr>
          <w:u w:val="single"/>
        </w:rPr>
        <w:t>(91</w:t>
      </w:r>
      <w:r w:rsidR="00F9272A" w:rsidRPr="00133395">
        <w:rPr>
          <w:u w:val="single"/>
        </w:rPr>
        <w:t> </w:t>
      </w:r>
      <w:r w:rsidR="00064B57" w:rsidRPr="00133395">
        <w:rPr>
          <w:u w:val="single"/>
        </w:rPr>
        <w:t>%)</w:t>
      </w:r>
      <w:r w:rsidR="00064B57">
        <w:t xml:space="preserve"> </w:t>
      </w:r>
      <w:r w:rsidR="00C90665">
        <w:t xml:space="preserve">en sortie d’abattage découpe </w:t>
      </w:r>
      <w:r w:rsidR="00064B57">
        <w:t>puisque la fraction de graisses extraite est quantifiée (9</w:t>
      </w:r>
      <w:r w:rsidR="00F9272A">
        <w:t> </w:t>
      </w:r>
      <w:r w:rsidR="00064B57">
        <w:t>%)</w:t>
      </w:r>
      <w:r w:rsidR="00C90665">
        <w:t xml:space="preserve">. Une pondération est à apporter au </w:t>
      </w:r>
      <w:r w:rsidR="00520B26">
        <w:t>regard du poids relatif entre carcasses et pièces.</w:t>
      </w:r>
    </w:p>
    <w:p w14:paraId="0FD85CC3" w14:textId="7FCCED76" w:rsidR="00C22D52" w:rsidRDefault="001354A9" w:rsidP="001354A9">
      <w:pPr>
        <w:pStyle w:val="Titre4"/>
        <w:rPr>
          <w:szCs w:val="20"/>
        </w:rPr>
      </w:pPr>
      <w:bookmarkStart w:id="78" w:name="_Toc78131563"/>
      <w:r>
        <w:t>2.2.5.</w:t>
      </w:r>
      <w:r w:rsidR="006A7752">
        <w:t>5.</w:t>
      </w:r>
      <w:r>
        <w:t xml:space="preserve"> Résultats d’appariement de l’a</w:t>
      </w:r>
      <w:r w:rsidRPr="002A14D9">
        <w:t xml:space="preserve">ctivité </w:t>
      </w:r>
      <w:r w:rsidR="00C22D52">
        <w:rPr>
          <w:szCs w:val="20"/>
        </w:rPr>
        <w:t xml:space="preserve">de charcuterie et salaison </w:t>
      </w:r>
      <w:r w:rsidR="00C22D52" w:rsidRPr="00BC0882">
        <w:rPr>
          <w:szCs w:val="20"/>
        </w:rPr>
        <w:t>(10.1</w:t>
      </w:r>
      <w:r w:rsidR="00C22D52">
        <w:rPr>
          <w:szCs w:val="20"/>
        </w:rPr>
        <w:t>3</w:t>
      </w:r>
      <w:r w:rsidR="00C22D52" w:rsidRPr="00BC0882">
        <w:rPr>
          <w:szCs w:val="20"/>
        </w:rPr>
        <w:t>.</w:t>
      </w:r>
      <w:r w:rsidR="00C22D52">
        <w:rPr>
          <w:szCs w:val="20"/>
        </w:rPr>
        <w:t>A</w:t>
      </w:r>
      <w:r w:rsidR="00C22D52" w:rsidRPr="00BC0882">
        <w:rPr>
          <w:szCs w:val="20"/>
        </w:rPr>
        <w:t>)</w:t>
      </w:r>
      <w:r w:rsidR="00C22D52">
        <w:rPr>
          <w:szCs w:val="20"/>
        </w:rPr>
        <w:t> :</w:t>
      </w:r>
      <w:bookmarkEnd w:id="78"/>
      <w:r w:rsidR="00C22D52">
        <w:rPr>
          <w:szCs w:val="20"/>
        </w:rPr>
        <w:t xml:space="preserve"> </w:t>
      </w:r>
    </w:p>
    <w:p w14:paraId="05AB77D1" w14:textId="297E066B" w:rsidR="00C622D1" w:rsidRDefault="00825FDE" w:rsidP="00825FDE">
      <w:pPr>
        <w:spacing w:after="0"/>
        <w:rPr>
          <w:lang w:val="fr-CA" w:eastAsia="fr-FR"/>
        </w:rPr>
      </w:pPr>
      <w:r>
        <w:rPr>
          <w:lang w:eastAsia="fr-FR"/>
        </w:rPr>
        <w:t xml:space="preserve">En tenant compte des limites de segmentation liée </w:t>
      </w:r>
      <w:r w:rsidR="00650918">
        <w:rPr>
          <w:lang w:eastAsia="fr-FR"/>
        </w:rPr>
        <w:t>aux</w:t>
      </w:r>
      <w:r>
        <w:rPr>
          <w:lang w:eastAsia="fr-FR"/>
        </w:rPr>
        <w:t xml:space="preserve"> codification</w:t>
      </w:r>
      <w:r w:rsidR="00650918">
        <w:rPr>
          <w:lang w:eastAsia="fr-FR"/>
        </w:rPr>
        <w:t>s</w:t>
      </w:r>
      <w:r>
        <w:rPr>
          <w:lang w:eastAsia="fr-FR"/>
        </w:rPr>
        <w:t>, l</w:t>
      </w:r>
      <w:r w:rsidR="00650918">
        <w:rPr>
          <w:lang w:eastAsia="fr-FR"/>
        </w:rPr>
        <w:t xml:space="preserve">es </w:t>
      </w:r>
      <w:r w:rsidR="009214C9">
        <w:rPr>
          <w:lang w:val="fr-CA" w:eastAsia="fr-FR"/>
        </w:rPr>
        <w:t>familles</w:t>
      </w:r>
      <w:r w:rsidR="00232E0E">
        <w:rPr>
          <w:lang w:val="fr-CA" w:eastAsia="fr-FR"/>
        </w:rPr>
        <w:t xml:space="preserve"> de produits </w:t>
      </w:r>
      <w:r w:rsidR="00557832">
        <w:rPr>
          <w:lang w:val="fr-CA" w:eastAsia="fr-FR"/>
        </w:rPr>
        <w:t xml:space="preserve">sont </w:t>
      </w:r>
      <w:r w:rsidR="00942A2F">
        <w:rPr>
          <w:lang w:val="fr-CA" w:eastAsia="fr-FR"/>
        </w:rPr>
        <w:t xml:space="preserve">segmentées comme suit </w:t>
      </w:r>
      <w:r w:rsidR="00232E0E">
        <w:rPr>
          <w:lang w:val="fr-CA" w:eastAsia="fr-FR"/>
        </w:rPr>
        <w:t xml:space="preserve">: la viande </w:t>
      </w:r>
      <w:r w:rsidR="00522DBA">
        <w:rPr>
          <w:lang w:val="fr-CA" w:eastAsia="fr-FR"/>
        </w:rPr>
        <w:t xml:space="preserve">fraîche SSF, </w:t>
      </w:r>
      <w:r w:rsidR="002060FF">
        <w:rPr>
          <w:lang w:val="fr-CA" w:eastAsia="fr-FR"/>
        </w:rPr>
        <w:t xml:space="preserve">les saucisses et saucissons dont la saucisserie, </w:t>
      </w:r>
      <w:r w:rsidR="00522DBA">
        <w:rPr>
          <w:lang w:val="fr-CA" w:eastAsia="fr-FR"/>
        </w:rPr>
        <w:t>les produits de salaison</w:t>
      </w:r>
      <w:r w:rsidR="00557832">
        <w:rPr>
          <w:lang w:val="fr-CA" w:eastAsia="fr-FR"/>
        </w:rPr>
        <w:t xml:space="preserve"> (jambons et épaules cuites</w:t>
      </w:r>
      <w:r w:rsidR="00B06C10">
        <w:rPr>
          <w:lang w:val="fr-CA" w:eastAsia="fr-FR"/>
        </w:rPr>
        <w:t>)</w:t>
      </w:r>
      <w:r w:rsidR="00522DBA">
        <w:rPr>
          <w:lang w:val="fr-CA" w:eastAsia="fr-FR"/>
        </w:rPr>
        <w:t>,</w:t>
      </w:r>
      <w:r w:rsidR="0081537B">
        <w:rPr>
          <w:lang w:val="fr-CA" w:eastAsia="fr-FR"/>
        </w:rPr>
        <w:t xml:space="preserve"> l</w:t>
      </w:r>
      <w:r w:rsidR="00557832">
        <w:rPr>
          <w:lang w:val="fr-CA" w:eastAsia="fr-FR"/>
        </w:rPr>
        <w:t>a</w:t>
      </w:r>
      <w:r w:rsidR="0081537B">
        <w:rPr>
          <w:lang w:val="fr-CA" w:eastAsia="fr-FR"/>
        </w:rPr>
        <w:t xml:space="preserve"> charcuterie</w:t>
      </w:r>
      <w:r w:rsidR="00557832">
        <w:rPr>
          <w:lang w:val="fr-CA" w:eastAsia="fr-FR"/>
        </w:rPr>
        <w:t xml:space="preserve"> cuite</w:t>
      </w:r>
      <w:r w:rsidR="00E65297">
        <w:rPr>
          <w:lang w:val="fr-CA" w:eastAsia="fr-FR"/>
        </w:rPr>
        <w:t xml:space="preserve"> (autres pièces</w:t>
      </w:r>
      <w:r w:rsidR="004F35C5">
        <w:rPr>
          <w:lang w:val="fr-CA" w:eastAsia="fr-FR"/>
        </w:rPr>
        <w:t>, pâtés autres que de foie</w:t>
      </w:r>
      <w:r w:rsidR="00E65297">
        <w:rPr>
          <w:lang w:val="fr-CA" w:eastAsia="fr-FR"/>
        </w:rPr>
        <w:t>)</w:t>
      </w:r>
      <w:r w:rsidR="00B06C10">
        <w:rPr>
          <w:lang w:val="fr-CA" w:eastAsia="fr-FR"/>
        </w:rPr>
        <w:t>,</w:t>
      </w:r>
      <w:r w:rsidR="0081537B">
        <w:rPr>
          <w:lang w:val="fr-CA" w:eastAsia="fr-FR"/>
        </w:rPr>
        <w:t xml:space="preserve"> </w:t>
      </w:r>
      <w:r w:rsidR="009242DA">
        <w:rPr>
          <w:lang w:val="fr-CA" w:eastAsia="fr-FR"/>
        </w:rPr>
        <w:t>et les pâtés et préparations diverses</w:t>
      </w:r>
      <w:r w:rsidR="002E6259">
        <w:rPr>
          <w:lang w:val="fr-CA" w:eastAsia="fr-FR"/>
        </w:rPr>
        <w:t xml:space="preserve"> </w:t>
      </w:r>
      <w:r w:rsidR="006257BA">
        <w:rPr>
          <w:lang w:val="fr-CA" w:eastAsia="fr-FR"/>
        </w:rPr>
        <w:t>de foie</w:t>
      </w:r>
      <w:r w:rsidR="002E6259">
        <w:rPr>
          <w:lang w:val="fr-CA" w:eastAsia="fr-FR"/>
        </w:rPr>
        <w:t>.</w:t>
      </w:r>
    </w:p>
    <w:p w14:paraId="2C8C9DAA" w14:textId="034F24BD" w:rsidR="00CA1046" w:rsidRPr="00027CEB" w:rsidRDefault="00D20CA2" w:rsidP="00A305CD">
      <w:pPr>
        <w:pStyle w:val="Puce1"/>
        <w:numPr>
          <w:ilvl w:val="0"/>
          <w:numId w:val="13"/>
        </w:numPr>
        <w:ind w:left="714" w:hanging="357"/>
      </w:pPr>
      <w:r w:rsidRPr="00520B26">
        <w:t xml:space="preserve">La </w:t>
      </w:r>
      <w:r w:rsidR="006E34F2">
        <w:t>« </w:t>
      </w:r>
      <w:r w:rsidR="00CA1046" w:rsidRPr="00520B26">
        <w:t xml:space="preserve">viande </w:t>
      </w:r>
      <w:r w:rsidR="006E34F2">
        <w:t>Fraîches</w:t>
      </w:r>
      <w:r w:rsidR="004B5C5B">
        <w:tab/>
      </w:r>
      <w:r w:rsidR="006E34F2">
        <w:t xml:space="preserve"> </w:t>
      </w:r>
      <w:r w:rsidR="00543B82" w:rsidRPr="00520B26">
        <w:t xml:space="preserve">SSF </w:t>
      </w:r>
      <w:r w:rsidR="00547CF7" w:rsidRPr="00520B26">
        <w:t>comptabilise e</w:t>
      </w:r>
      <w:r w:rsidR="00B663D7" w:rsidRPr="00520B26">
        <w:t>nviron</w:t>
      </w:r>
      <w:r w:rsidR="00547CF7" w:rsidRPr="00520B26">
        <w:t xml:space="preserve"> 2</w:t>
      </w:r>
      <w:r w:rsidR="00B663D7" w:rsidRPr="00520B26">
        <w:t>1</w:t>
      </w:r>
      <w:r w:rsidR="008B1590" w:rsidRPr="00520B26">
        <w:t>5</w:t>
      </w:r>
      <w:r w:rsidR="00547CF7" w:rsidRPr="00520B26">
        <w:t xml:space="preserve"> </w:t>
      </w:r>
      <w:r w:rsidR="00957F11">
        <w:t>kt</w:t>
      </w:r>
      <w:r w:rsidR="00E27690">
        <w:t xml:space="preserve"> (</w:t>
      </w:r>
      <w:r w:rsidR="00E27690">
        <w:fldChar w:fldCharType="begin"/>
      </w:r>
      <w:r w:rsidR="00E27690">
        <w:instrText xml:space="preserve"> NOTEREF _Ref77702772 \h </w:instrText>
      </w:r>
      <w:r w:rsidR="00E27690">
        <w:fldChar w:fldCharType="separate"/>
      </w:r>
      <w:r w:rsidR="00E27690">
        <w:t>4</w:t>
      </w:r>
      <w:r w:rsidR="00E27690">
        <w:fldChar w:fldCharType="end"/>
      </w:r>
      <w:r w:rsidR="00DF0CEA">
        <w:t>)</w:t>
      </w:r>
      <w:r w:rsidR="0055274A">
        <w:t>,</w:t>
      </w:r>
    </w:p>
    <w:p w14:paraId="7B0A0CF3" w14:textId="04627C14" w:rsidR="004F23FA" w:rsidRDefault="00547CF7" w:rsidP="005D5F52">
      <w:pPr>
        <w:pStyle w:val="Puce1"/>
        <w:tabs>
          <w:tab w:val="clear" w:pos="720"/>
        </w:tabs>
        <w:spacing w:after="120"/>
        <w:ind w:left="0" w:firstLine="0"/>
      </w:pPr>
      <w:r>
        <w:t xml:space="preserve">Le </w:t>
      </w:r>
      <w:r w:rsidR="006F4665">
        <w:t xml:space="preserve">total </w:t>
      </w:r>
      <w:r>
        <w:t xml:space="preserve">disponible </w:t>
      </w:r>
      <w:r w:rsidR="006F4665">
        <w:t xml:space="preserve">s’équilibre entre </w:t>
      </w:r>
      <w:r w:rsidR="00072784">
        <w:t>des poitrines fraîches SSF (</w:t>
      </w:r>
      <w:r w:rsidR="00AC0870">
        <w:t xml:space="preserve">env. </w:t>
      </w:r>
      <w:r w:rsidR="00072784">
        <w:t>50 %)</w:t>
      </w:r>
      <w:r w:rsidR="003822D8">
        <w:t xml:space="preserve"> </w:t>
      </w:r>
      <w:r w:rsidR="00072784">
        <w:t xml:space="preserve">et </w:t>
      </w:r>
      <w:r w:rsidR="00720864">
        <w:t xml:space="preserve">une catégorie regroupant </w:t>
      </w:r>
      <w:r w:rsidR="006F4665">
        <w:t>jambons</w:t>
      </w:r>
      <w:r w:rsidR="00720864">
        <w:t xml:space="preserve">, </w:t>
      </w:r>
      <w:r w:rsidR="006F4665">
        <w:t>épaules</w:t>
      </w:r>
      <w:r w:rsidR="00720864">
        <w:t xml:space="preserve"> et autres viandes de porc</w:t>
      </w:r>
      <w:r w:rsidR="006F4665">
        <w:t xml:space="preserve"> </w:t>
      </w:r>
      <w:r w:rsidR="00543B82">
        <w:t xml:space="preserve">SSF </w:t>
      </w:r>
      <w:r w:rsidR="006F4665">
        <w:t>(</w:t>
      </w:r>
      <w:r w:rsidR="00AC0870">
        <w:t>&gt;</w:t>
      </w:r>
      <w:r w:rsidR="00197EF4">
        <w:t>50</w:t>
      </w:r>
      <w:r w:rsidR="00543B82">
        <w:t> </w:t>
      </w:r>
      <w:r w:rsidR="006F4665">
        <w:t xml:space="preserve">%) </w:t>
      </w:r>
      <w:r w:rsidR="00681460">
        <w:t>(</w:t>
      </w:r>
      <w:r w:rsidR="00681460">
        <w:fldChar w:fldCharType="begin"/>
      </w:r>
      <w:r w:rsidR="00681460">
        <w:instrText xml:space="preserve"> REF _Ref77692611 \h </w:instrText>
      </w:r>
      <w:r w:rsidR="00681460">
        <w:fldChar w:fldCharType="separate"/>
      </w:r>
      <w:r w:rsidR="00681460" w:rsidRPr="00A83CF3">
        <w:rPr>
          <w:rStyle w:val="figureCar"/>
          <w:b w:val="0"/>
          <w:bCs w:val="0"/>
          <w:iCs w:val="0"/>
        </w:rPr>
        <w:t xml:space="preserve">Tableau </w:t>
      </w:r>
      <w:r w:rsidR="00681460">
        <w:rPr>
          <w:rStyle w:val="figureCar"/>
          <w:b w:val="0"/>
          <w:bCs w:val="0"/>
          <w:iCs w:val="0"/>
          <w:noProof/>
        </w:rPr>
        <w:t>12</w:t>
      </w:r>
      <w:r w:rsidR="00681460">
        <w:fldChar w:fldCharType="end"/>
      </w:r>
      <w:r w:rsidR="00B663D7">
        <w:t>).</w:t>
      </w:r>
    </w:p>
    <w:tbl>
      <w:tblPr>
        <w:tblW w:w="9209" w:type="dxa"/>
        <w:tblCellMar>
          <w:left w:w="70" w:type="dxa"/>
          <w:right w:w="70" w:type="dxa"/>
        </w:tblCellMar>
        <w:tblLook w:val="04A0" w:firstRow="1" w:lastRow="0" w:firstColumn="1" w:lastColumn="0" w:noHBand="0" w:noVBand="1"/>
      </w:tblPr>
      <w:tblGrid>
        <w:gridCol w:w="1838"/>
        <w:gridCol w:w="1134"/>
        <w:gridCol w:w="5103"/>
        <w:gridCol w:w="1134"/>
      </w:tblGrid>
      <w:tr w:rsidR="00720864" w:rsidRPr="00E8662A" w14:paraId="21ADF988" w14:textId="77777777" w:rsidTr="00720864">
        <w:trPr>
          <w:trHeight w:val="287"/>
        </w:trPr>
        <w:tc>
          <w:tcPr>
            <w:tcW w:w="1838" w:type="dxa"/>
            <w:tcBorders>
              <w:top w:val="single" w:sz="4" w:space="0" w:color="auto"/>
              <w:left w:val="single" w:sz="4" w:space="0" w:color="auto"/>
              <w:bottom w:val="single" w:sz="4" w:space="0" w:color="auto"/>
              <w:right w:val="single" w:sz="4" w:space="0" w:color="auto"/>
            </w:tcBorders>
            <w:shd w:val="clear" w:color="000000" w:fill="A6A6A6"/>
            <w:vAlign w:val="center"/>
          </w:tcPr>
          <w:p w14:paraId="06F9D267" w14:textId="61AF4DA9" w:rsidR="00720864" w:rsidRPr="00E8662A" w:rsidRDefault="00720864" w:rsidP="00E8662A">
            <w:pPr>
              <w:spacing w:after="0" w:line="240" w:lineRule="auto"/>
              <w:jc w:val="center"/>
              <w:rPr>
                <w:rFonts w:eastAsia="Times New Roman" w:cs="Arial"/>
                <w:sz w:val="20"/>
                <w:szCs w:val="20"/>
                <w:lang w:eastAsia="fr-FR"/>
              </w:rPr>
            </w:pPr>
            <w:r>
              <w:rPr>
                <w:rFonts w:eastAsia="Times New Roman" w:cs="Arial"/>
                <w:sz w:val="20"/>
                <w:szCs w:val="20"/>
                <w:lang w:eastAsia="fr-FR"/>
              </w:rPr>
              <w:t>Code PRODCOM</w:t>
            </w:r>
          </w:p>
        </w:tc>
        <w:tc>
          <w:tcPr>
            <w:tcW w:w="1134" w:type="dxa"/>
            <w:tcBorders>
              <w:top w:val="single" w:sz="4" w:space="0" w:color="auto"/>
              <w:left w:val="nil"/>
              <w:bottom w:val="single" w:sz="4" w:space="0" w:color="auto"/>
              <w:right w:val="single" w:sz="4" w:space="0" w:color="auto"/>
            </w:tcBorders>
            <w:shd w:val="clear" w:color="000000" w:fill="A6A6A6"/>
            <w:noWrap/>
            <w:vAlign w:val="center"/>
          </w:tcPr>
          <w:p w14:paraId="39096900" w14:textId="7256BAF3" w:rsidR="00720864" w:rsidRPr="00E8662A" w:rsidRDefault="00720864" w:rsidP="00E8662A">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NC</w:t>
            </w:r>
          </w:p>
        </w:tc>
        <w:tc>
          <w:tcPr>
            <w:tcW w:w="5103" w:type="dxa"/>
            <w:tcBorders>
              <w:top w:val="single" w:sz="4" w:space="0" w:color="auto"/>
              <w:left w:val="nil"/>
              <w:bottom w:val="single" w:sz="4" w:space="0" w:color="auto"/>
              <w:right w:val="nil"/>
            </w:tcBorders>
            <w:shd w:val="clear" w:color="000000" w:fill="A6A6A6"/>
            <w:vAlign w:val="center"/>
          </w:tcPr>
          <w:p w14:paraId="390DE597" w14:textId="16DE8E34" w:rsidR="00720864" w:rsidRDefault="00720864" w:rsidP="00E8662A">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Total Viandes Fraîches</w:t>
            </w:r>
            <w:r w:rsidR="008B6B60">
              <w:rPr>
                <w:rFonts w:eastAsia="Times New Roman" w:cs="Arial"/>
                <w:color w:val="000000"/>
                <w:sz w:val="20"/>
                <w:szCs w:val="20"/>
                <w:lang w:eastAsia="fr-FR"/>
              </w:rPr>
              <w:t xml:space="preserve"> SSF</w:t>
            </w:r>
            <w:r>
              <w:rPr>
                <w:rFonts w:eastAsia="Times New Roman" w:cs="Arial"/>
                <w:color w:val="000000"/>
                <w:sz w:val="20"/>
                <w:szCs w:val="20"/>
                <w:lang w:eastAsia="fr-FR"/>
              </w:rPr>
              <w:t xml:space="preserve"> </w:t>
            </w:r>
            <w:r w:rsidR="00957F11">
              <w:rPr>
                <w:rFonts w:eastAsia="Times New Roman" w:cs="Arial"/>
                <w:color w:val="000000"/>
                <w:sz w:val="20"/>
                <w:szCs w:val="20"/>
                <w:lang w:eastAsia="fr-FR"/>
              </w:rPr>
              <w:t>kt</w:t>
            </w:r>
          </w:p>
        </w:tc>
        <w:tc>
          <w:tcPr>
            <w:tcW w:w="1134" w:type="dxa"/>
            <w:tcBorders>
              <w:top w:val="single" w:sz="4" w:space="0" w:color="auto"/>
              <w:left w:val="single" w:sz="4" w:space="0" w:color="auto"/>
              <w:bottom w:val="single" w:sz="4" w:space="0" w:color="auto"/>
              <w:right w:val="single" w:sz="4" w:space="0" w:color="auto"/>
            </w:tcBorders>
            <w:shd w:val="clear" w:color="000000" w:fill="A6A6A6"/>
            <w:noWrap/>
            <w:vAlign w:val="center"/>
          </w:tcPr>
          <w:p w14:paraId="652D9B5C" w14:textId="4E0F8754" w:rsidR="00720864" w:rsidRPr="00AC0870" w:rsidRDefault="00720864" w:rsidP="00E8662A">
            <w:pPr>
              <w:spacing w:after="0" w:line="240" w:lineRule="auto"/>
              <w:jc w:val="center"/>
              <w:rPr>
                <w:rFonts w:eastAsia="Times New Roman" w:cs="Arial"/>
                <w:b/>
                <w:color w:val="000000"/>
                <w:sz w:val="20"/>
                <w:szCs w:val="20"/>
                <w:lang w:eastAsia="fr-FR"/>
              </w:rPr>
            </w:pPr>
            <w:r w:rsidRPr="00AC0870">
              <w:rPr>
                <w:rFonts w:eastAsia="Times New Roman" w:cs="Arial"/>
                <w:b/>
                <w:color w:val="000000"/>
                <w:sz w:val="20"/>
                <w:szCs w:val="20"/>
                <w:lang w:eastAsia="fr-FR"/>
              </w:rPr>
              <w:t>214</w:t>
            </w:r>
          </w:p>
        </w:tc>
      </w:tr>
      <w:tr w:rsidR="00720864" w:rsidRPr="00E8662A" w14:paraId="26836F93" w14:textId="77777777" w:rsidTr="00720864">
        <w:trPr>
          <w:trHeight w:val="287"/>
        </w:trPr>
        <w:tc>
          <w:tcPr>
            <w:tcW w:w="1838"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9DFBC8A" w14:textId="1F65280A" w:rsidR="00E8662A" w:rsidRPr="00E8662A" w:rsidRDefault="00E8662A" w:rsidP="00720864">
            <w:pPr>
              <w:spacing w:after="0" w:line="240" w:lineRule="auto"/>
              <w:rPr>
                <w:rFonts w:eastAsia="Times New Roman" w:cs="Arial"/>
                <w:sz w:val="20"/>
                <w:szCs w:val="20"/>
                <w:lang w:eastAsia="fr-FR"/>
              </w:rPr>
            </w:pPr>
          </w:p>
        </w:tc>
        <w:tc>
          <w:tcPr>
            <w:tcW w:w="1134" w:type="dxa"/>
            <w:tcBorders>
              <w:top w:val="single" w:sz="4" w:space="0" w:color="auto"/>
              <w:left w:val="nil"/>
              <w:bottom w:val="single" w:sz="4" w:space="0" w:color="auto"/>
              <w:right w:val="single" w:sz="4" w:space="0" w:color="auto"/>
            </w:tcBorders>
            <w:shd w:val="clear" w:color="000000" w:fill="A6A6A6"/>
            <w:noWrap/>
            <w:vAlign w:val="center"/>
            <w:hideMark/>
          </w:tcPr>
          <w:p w14:paraId="2750D6F9" w14:textId="3918E353" w:rsidR="00E8662A" w:rsidRPr="00E8662A" w:rsidRDefault="00E8662A" w:rsidP="00E8662A">
            <w:pPr>
              <w:spacing w:after="0" w:line="240" w:lineRule="auto"/>
              <w:jc w:val="center"/>
              <w:rPr>
                <w:rFonts w:eastAsia="Times New Roman" w:cs="Arial"/>
                <w:color w:val="000000"/>
                <w:sz w:val="20"/>
                <w:szCs w:val="20"/>
                <w:lang w:eastAsia="fr-FR"/>
              </w:rPr>
            </w:pPr>
          </w:p>
        </w:tc>
        <w:tc>
          <w:tcPr>
            <w:tcW w:w="5103" w:type="dxa"/>
            <w:tcBorders>
              <w:top w:val="single" w:sz="4" w:space="0" w:color="auto"/>
              <w:left w:val="nil"/>
              <w:bottom w:val="single" w:sz="4" w:space="0" w:color="auto"/>
              <w:right w:val="nil"/>
            </w:tcBorders>
            <w:shd w:val="clear" w:color="000000" w:fill="A6A6A6"/>
            <w:vAlign w:val="center"/>
            <w:hideMark/>
          </w:tcPr>
          <w:p w14:paraId="6353C3F4" w14:textId="7EEB443C" w:rsidR="00E8662A" w:rsidRPr="00E8662A" w:rsidRDefault="00E8662A" w:rsidP="00E8662A">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Jam</w:t>
            </w:r>
            <w:r w:rsidR="00B663D7">
              <w:rPr>
                <w:rFonts w:eastAsia="Times New Roman" w:cs="Arial"/>
                <w:color w:val="000000"/>
                <w:sz w:val="20"/>
                <w:szCs w:val="20"/>
                <w:lang w:eastAsia="fr-FR"/>
              </w:rPr>
              <w:t>b</w:t>
            </w:r>
            <w:r>
              <w:rPr>
                <w:rFonts w:eastAsia="Times New Roman" w:cs="Arial"/>
                <w:color w:val="000000"/>
                <w:sz w:val="20"/>
                <w:szCs w:val="20"/>
                <w:lang w:eastAsia="fr-FR"/>
              </w:rPr>
              <w:t xml:space="preserve">on, épaule </w:t>
            </w:r>
            <w:r w:rsidR="00AC0870">
              <w:rPr>
                <w:rFonts w:eastAsia="Times New Roman" w:cs="Arial"/>
                <w:color w:val="000000"/>
                <w:sz w:val="20"/>
                <w:szCs w:val="20"/>
                <w:lang w:eastAsia="fr-FR"/>
              </w:rPr>
              <w:t xml:space="preserve">et autres viandes </w:t>
            </w:r>
            <w:r>
              <w:rPr>
                <w:rFonts w:eastAsia="Times New Roman" w:cs="Arial"/>
                <w:color w:val="000000"/>
                <w:sz w:val="20"/>
                <w:szCs w:val="20"/>
                <w:lang w:eastAsia="fr-FR"/>
              </w:rPr>
              <w:t>SSF</w:t>
            </w:r>
            <w:r w:rsidRPr="00E8662A">
              <w:rPr>
                <w:rFonts w:eastAsia="Times New Roman" w:cs="Arial"/>
                <w:color w:val="000000"/>
                <w:sz w:val="20"/>
                <w:szCs w:val="20"/>
                <w:lang w:eastAsia="fr-FR"/>
              </w:rPr>
              <w:t xml:space="preserve"> </w:t>
            </w:r>
          </w:p>
        </w:tc>
        <w:tc>
          <w:tcPr>
            <w:tcW w:w="1134" w:type="dxa"/>
            <w:tcBorders>
              <w:top w:val="single" w:sz="4" w:space="0" w:color="auto"/>
              <w:left w:val="single" w:sz="4" w:space="0" w:color="auto"/>
              <w:bottom w:val="single" w:sz="4" w:space="0" w:color="auto"/>
              <w:right w:val="single" w:sz="4" w:space="0" w:color="auto"/>
            </w:tcBorders>
            <w:shd w:val="clear" w:color="000000" w:fill="A6A6A6"/>
            <w:noWrap/>
            <w:vAlign w:val="center"/>
            <w:hideMark/>
          </w:tcPr>
          <w:p w14:paraId="1F915C02" w14:textId="5D65A7D9"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109</w:t>
            </w:r>
          </w:p>
        </w:tc>
      </w:tr>
      <w:tr w:rsidR="00E8662A" w:rsidRPr="00E8662A" w14:paraId="01CF13F0" w14:textId="77777777" w:rsidTr="00720864">
        <w:trPr>
          <w:trHeight w:val="194"/>
        </w:trPr>
        <w:tc>
          <w:tcPr>
            <w:tcW w:w="1838" w:type="dxa"/>
            <w:tcBorders>
              <w:top w:val="nil"/>
              <w:left w:val="single" w:sz="4" w:space="0" w:color="auto"/>
              <w:bottom w:val="nil"/>
              <w:right w:val="single" w:sz="4" w:space="0" w:color="auto"/>
            </w:tcBorders>
            <w:shd w:val="clear" w:color="auto" w:fill="auto"/>
            <w:vAlign w:val="center"/>
            <w:hideMark/>
          </w:tcPr>
          <w:p w14:paraId="1B5C32BF"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xml:space="preserve">10.13.11.20 </w:t>
            </w:r>
          </w:p>
        </w:tc>
        <w:tc>
          <w:tcPr>
            <w:tcW w:w="1134" w:type="dxa"/>
            <w:tcBorders>
              <w:top w:val="nil"/>
              <w:left w:val="nil"/>
              <w:bottom w:val="single" w:sz="4" w:space="0" w:color="auto"/>
              <w:right w:val="single" w:sz="4" w:space="0" w:color="auto"/>
            </w:tcBorders>
            <w:shd w:val="clear" w:color="auto" w:fill="auto"/>
            <w:noWrap/>
            <w:vAlign w:val="center"/>
            <w:hideMark/>
          </w:tcPr>
          <w:p w14:paraId="3B1382C8"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0210.11</w:t>
            </w:r>
          </w:p>
        </w:tc>
        <w:tc>
          <w:tcPr>
            <w:tcW w:w="5103" w:type="dxa"/>
            <w:tcBorders>
              <w:top w:val="nil"/>
              <w:left w:val="nil"/>
              <w:bottom w:val="single" w:sz="4" w:space="0" w:color="auto"/>
              <w:right w:val="single" w:sz="4" w:space="0" w:color="auto"/>
            </w:tcBorders>
            <w:shd w:val="clear" w:color="auto" w:fill="auto"/>
            <w:vAlign w:val="center"/>
            <w:hideMark/>
          </w:tcPr>
          <w:p w14:paraId="768D11BD"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Jambons avec os</w:t>
            </w:r>
          </w:p>
        </w:tc>
        <w:tc>
          <w:tcPr>
            <w:tcW w:w="1134" w:type="dxa"/>
            <w:tcBorders>
              <w:top w:val="nil"/>
              <w:left w:val="nil"/>
              <w:bottom w:val="single" w:sz="4" w:space="0" w:color="000000"/>
              <w:right w:val="single" w:sz="4" w:space="0" w:color="000000"/>
            </w:tcBorders>
            <w:shd w:val="clear" w:color="auto" w:fill="auto"/>
            <w:noWrap/>
            <w:vAlign w:val="center"/>
            <w:hideMark/>
          </w:tcPr>
          <w:p w14:paraId="1CEE6CC2" w14:textId="33CA39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13</w:t>
            </w:r>
          </w:p>
        </w:tc>
      </w:tr>
      <w:tr w:rsidR="00E8662A" w:rsidRPr="00E8662A" w14:paraId="6D682827" w14:textId="77777777" w:rsidTr="00720864">
        <w:trPr>
          <w:trHeight w:val="270"/>
        </w:trPr>
        <w:tc>
          <w:tcPr>
            <w:tcW w:w="1838" w:type="dxa"/>
            <w:tcBorders>
              <w:top w:val="single" w:sz="4" w:space="0" w:color="auto"/>
              <w:left w:val="single" w:sz="4" w:space="0" w:color="auto"/>
              <w:bottom w:val="nil"/>
              <w:right w:val="single" w:sz="4" w:space="0" w:color="auto"/>
            </w:tcBorders>
            <w:shd w:val="clear" w:color="auto" w:fill="auto"/>
            <w:vAlign w:val="center"/>
            <w:hideMark/>
          </w:tcPr>
          <w:p w14:paraId="003CA047"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xml:space="preserve">10.13.11.20 </w:t>
            </w:r>
          </w:p>
        </w:tc>
        <w:tc>
          <w:tcPr>
            <w:tcW w:w="1134" w:type="dxa"/>
            <w:tcBorders>
              <w:top w:val="nil"/>
              <w:left w:val="nil"/>
              <w:bottom w:val="single" w:sz="4" w:space="0" w:color="auto"/>
              <w:right w:val="single" w:sz="4" w:space="0" w:color="auto"/>
            </w:tcBorders>
            <w:shd w:val="clear" w:color="auto" w:fill="auto"/>
            <w:noWrap/>
            <w:vAlign w:val="center"/>
            <w:hideMark/>
          </w:tcPr>
          <w:p w14:paraId="30DD7F37"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0210.11</w:t>
            </w:r>
          </w:p>
        </w:tc>
        <w:tc>
          <w:tcPr>
            <w:tcW w:w="5103" w:type="dxa"/>
            <w:tcBorders>
              <w:top w:val="nil"/>
              <w:left w:val="nil"/>
              <w:bottom w:val="single" w:sz="4" w:space="0" w:color="auto"/>
              <w:right w:val="single" w:sz="4" w:space="0" w:color="auto"/>
            </w:tcBorders>
            <w:shd w:val="clear" w:color="auto" w:fill="auto"/>
            <w:vAlign w:val="center"/>
            <w:hideMark/>
          </w:tcPr>
          <w:p w14:paraId="3C662D07"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Épaules, palettes avec os</w:t>
            </w:r>
          </w:p>
        </w:tc>
        <w:tc>
          <w:tcPr>
            <w:tcW w:w="1134" w:type="dxa"/>
            <w:tcBorders>
              <w:top w:val="nil"/>
              <w:left w:val="nil"/>
              <w:bottom w:val="single" w:sz="4" w:space="0" w:color="000000"/>
              <w:right w:val="single" w:sz="4" w:space="0" w:color="000000"/>
            </w:tcBorders>
            <w:shd w:val="clear" w:color="auto" w:fill="auto"/>
            <w:noWrap/>
            <w:vAlign w:val="center"/>
            <w:hideMark/>
          </w:tcPr>
          <w:p w14:paraId="36DA3D23" w14:textId="7C3F43EB"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4</w:t>
            </w:r>
          </w:p>
        </w:tc>
      </w:tr>
      <w:tr w:rsidR="00E8662A" w:rsidRPr="00E8662A" w14:paraId="776AA462" w14:textId="77777777" w:rsidTr="00720864">
        <w:trPr>
          <w:trHeight w:val="289"/>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D94219"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10.13.11.80</w:t>
            </w:r>
          </w:p>
        </w:tc>
        <w:tc>
          <w:tcPr>
            <w:tcW w:w="1134" w:type="dxa"/>
            <w:tcBorders>
              <w:top w:val="nil"/>
              <w:left w:val="nil"/>
              <w:bottom w:val="single" w:sz="4" w:space="0" w:color="auto"/>
              <w:right w:val="single" w:sz="4" w:space="0" w:color="auto"/>
            </w:tcBorders>
            <w:shd w:val="clear" w:color="auto" w:fill="auto"/>
            <w:noWrap/>
            <w:vAlign w:val="center"/>
            <w:hideMark/>
          </w:tcPr>
          <w:p w14:paraId="5CC9A281"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0210.19</w:t>
            </w:r>
          </w:p>
        </w:tc>
        <w:tc>
          <w:tcPr>
            <w:tcW w:w="5103" w:type="dxa"/>
            <w:tcBorders>
              <w:top w:val="nil"/>
              <w:left w:val="nil"/>
              <w:bottom w:val="single" w:sz="4" w:space="0" w:color="auto"/>
              <w:right w:val="single" w:sz="4" w:space="0" w:color="auto"/>
            </w:tcBorders>
            <w:shd w:val="clear" w:color="auto" w:fill="auto"/>
            <w:vAlign w:val="center"/>
            <w:hideMark/>
          </w:tcPr>
          <w:p w14:paraId="3E6C1E82"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Jambons désossés</w:t>
            </w:r>
          </w:p>
        </w:tc>
        <w:tc>
          <w:tcPr>
            <w:tcW w:w="1134" w:type="dxa"/>
            <w:vMerge w:val="restart"/>
            <w:tcBorders>
              <w:top w:val="nil"/>
              <w:left w:val="single" w:sz="4" w:space="0" w:color="auto"/>
              <w:bottom w:val="single" w:sz="4" w:space="0" w:color="000000"/>
              <w:right w:val="single" w:sz="4" w:space="0" w:color="000000"/>
            </w:tcBorders>
            <w:shd w:val="clear" w:color="auto" w:fill="auto"/>
            <w:noWrap/>
            <w:vAlign w:val="center"/>
            <w:hideMark/>
          </w:tcPr>
          <w:p w14:paraId="54DB2D6D" w14:textId="64A85B7D"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91</w:t>
            </w:r>
          </w:p>
        </w:tc>
      </w:tr>
      <w:tr w:rsidR="00E8662A" w:rsidRPr="00E8662A" w14:paraId="539A50FF" w14:textId="77777777" w:rsidTr="00720864">
        <w:trPr>
          <w:trHeight w:val="233"/>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5131321F"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10.13.11.80</w:t>
            </w:r>
          </w:p>
        </w:tc>
        <w:tc>
          <w:tcPr>
            <w:tcW w:w="1134" w:type="dxa"/>
            <w:tcBorders>
              <w:top w:val="nil"/>
              <w:left w:val="nil"/>
              <w:bottom w:val="single" w:sz="4" w:space="0" w:color="auto"/>
              <w:right w:val="single" w:sz="4" w:space="0" w:color="auto"/>
            </w:tcBorders>
            <w:shd w:val="clear" w:color="auto" w:fill="auto"/>
            <w:noWrap/>
            <w:vAlign w:val="center"/>
            <w:hideMark/>
          </w:tcPr>
          <w:p w14:paraId="675CA61A"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0210.19</w:t>
            </w:r>
          </w:p>
        </w:tc>
        <w:tc>
          <w:tcPr>
            <w:tcW w:w="5103" w:type="dxa"/>
            <w:tcBorders>
              <w:top w:val="nil"/>
              <w:left w:val="nil"/>
              <w:bottom w:val="single" w:sz="4" w:space="0" w:color="auto"/>
              <w:right w:val="single" w:sz="4" w:space="0" w:color="auto"/>
            </w:tcBorders>
            <w:shd w:val="clear" w:color="auto" w:fill="auto"/>
            <w:vAlign w:val="center"/>
            <w:hideMark/>
          </w:tcPr>
          <w:p w14:paraId="685D214A"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Épaules, palettes désossées</w:t>
            </w:r>
          </w:p>
        </w:tc>
        <w:tc>
          <w:tcPr>
            <w:tcW w:w="1134" w:type="dxa"/>
            <w:vMerge/>
            <w:tcBorders>
              <w:top w:val="nil"/>
              <w:left w:val="single" w:sz="4" w:space="0" w:color="auto"/>
              <w:bottom w:val="single" w:sz="4" w:space="0" w:color="000000"/>
              <w:right w:val="single" w:sz="4" w:space="0" w:color="000000"/>
            </w:tcBorders>
            <w:vAlign w:val="center"/>
            <w:hideMark/>
          </w:tcPr>
          <w:p w14:paraId="57D2F8A9" w14:textId="77777777" w:rsidR="00E8662A" w:rsidRPr="00E8662A" w:rsidRDefault="00E8662A" w:rsidP="00E8662A">
            <w:pPr>
              <w:spacing w:after="0" w:line="240" w:lineRule="auto"/>
              <w:jc w:val="center"/>
              <w:rPr>
                <w:rFonts w:eastAsia="Times New Roman" w:cs="Arial"/>
                <w:color w:val="000000"/>
                <w:sz w:val="20"/>
                <w:szCs w:val="20"/>
                <w:lang w:eastAsia="fr-FR"/>
              </w:rPr>
            </w:pPr>
          </w:p>
        </w:tc>
      </w:tr>
      <w:tr w:rsidR="00E8662A" w:rsidRPr="00E8662A" w14:paraId="3F8525DD" w14:textId="77777777" w:rsidTr="00720864">
        <w:trPr>
          <w:trHeight w:val="439"/>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62222C2A"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10.13.11.80</w:t>
            </w:r>
          </w:p>
        </w:tc>
        <w:tc>
          <w:tcPr>
            <w:tcW w:w="1134" w:type="dxa"/>
            <w:tcBorders>
              <w:top w:val="nil"/>
              <w:left w:val="nil"/>
              <w:bottom w:val="single" w:sz="4" w:space="0" w:color="auto"/>
              <w:right w:val="single" w:sz="4" w:space="0" w:color="auto"/>
            </w:tcBorders>
            <w:shd w:val="clear" w:color="auto" w:fill="auto"/>
            <w:noWrap/>
            <w:vAlign w:val="center"/>
            <w:hideMark/>
          </w:tcPr>
          <w:p w14:paraId="540525D1"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0210.19</w:t>
            </w:r>
          </w:p>
        </w:tc>
        <w:tc>
          <w:tcPr>
            <w:tcW w:w="5103" w:type="dxa"/>
            <w:tcBorders>
              <w:top w:val="nil"/>
              <w:left w:val="nil"/>
              <w:bottom w:val="single" w:sz="4" w:space="0" w:color="auto"/>
              <w:right w:val="single" w:sz="4" w:space="0" w:color="auto"/>
            </w:tcBorders>
            <w:shd w:val="clear" w:color="auto" w:fill="auto"/>
            <w:vAlign w:val="center"/>
            <w:hideMark/>
          </w:tcPr>
          <w:p w14:paraId="6488A59B"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Autres viandes de porc salées, saumurées, séchées ou fumées (longes, échines, jambonneaux, bacon, autres)</w:t>
            </w:r>
          </w:p>
        </w:tc>
        <w:tc>
          <w:tcPr>
            <w:tcW w:w="1134" w:type="dxa"/>
            <w:vMerge/>
            <w:tcBorders>
              <w:top w:val="nil"/>
              <w:left w:val="single" w:sz="4" w:space="0" w:color="auto"/>
              <w:bottom w:val="single" w:sz="4" w:space="0" w:color="000000"/>
              <w:right w:val="single" w:sz="4" w:space="0" w:color="000000"/>
            </w:tcBorders>
            <w:vAlign w:val="center"/>
            <w:hideMark/>
          </w:tcPr>
          <w:p w14:paraId="69460D9D" w14:textId="77777777" w:rsidR="00E8662A" w:rsidRPr="00E8662A" w:rsidRDefault="00E8662A" w:rsidP="00E8662A">
            <w:pPr>
              <w:spacing w:after="0" w:line="240" w:lineRule="auto"/>
              <w:jc w:val="center"/>
              <w:rPr>
                <w:rFonts w:eastAsia="Times New Roman" w:cs="Arial"/>
                <w:color w:val="000000"/>
                <w:sz w:val="20"/>
                <w:szCs w:val="20"/>
                <w:lang w:eastAsia="fr-FR"/>
              </w:rPr>
            </w:pPr>
          </w:p>
        </w:tc>
      </w:tr>
      <w:tr w:rsidR="00720864" w:rsidRPr="00E8662A" w14:paraId="0F05A44E" w14:textId="77777777" w:rsidTr="00720864">
        <w:trPr>
          <w:trHeight w:val="171"/>
        </w:trPr>
        <w:tc>
          <w:tcPr>
            <w:tcW w:w="1838" w:type="dxa"/>
            <w:tcBorders>
              <w:top w:val="nil"/>
              <w:left w:val="single" w:sz="4" w:space="0" w:color="000000"/>
              <w:bottom w:val="single" w:sz="4" w:space="0" w:color="000000"/>
              <w:right w:val="single" w:sz="4" w:space="0" w:color="000000"/>
            </w:tcBorders>
            <w:shd w:val="clear" w:color="000000" w:fill="B2B2B2"/>
            <w:vAlign w:val="center"/>
            <w:hideMark/>
          </w:tcPr>
          <w:p w14:paraId="720A635A"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w:t>
            </w:r>
          </w:p>
        </w:tc>
        <w:tc>
          <w:tcPr>
            <w:tcW w:w="1134" w:type="dxa"/>
            <w:tcBorders>
              <w:top w:val="nil"/>
              <w:left w:val="nil"/>
              <w:bottom w:val="single" w:sz="4" w:space="0" w:color="000000"/>
              <w:right w:val="single" w:sz="4" w:space="0" w:color="000000"/>
            </w:tcBorders>
            <w:shd w:val="clear" w:color="000000" w:fill="B2B2B2"/>
            <w:vAlign w:val="center"/>
            <w:hideMark/>
          </w:tcPr>
          <w:p w14:paraId="13926C42"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0210.12</w:t>
            </w:r>
          </w:p>
        </w:tc>
        <w:tc>
          <w:tcPr>
            <w:tcW w:w="5103" w:type="dxa"/>
            <w:tcBorders>
              <w:top w:val="nil"/>
              <w:left w:val="nil"/>
              <w:bottom w:val="single" w:sz="4" w:space="0" w:color="000000"/>
              <w:right w:val="single" w:sz="4" w:space="0" w:color="000000"/>
            </w:tcBorders>
            <w:shd w:val="clear" w:color="000000" w:fill="B2B2B2"/>
            <w:vAlign w:val="center"/>
            <w:hideMark/>
          </w:tcPr>
          <w:p w14:paraId="734FDD7D" w14:textId="41849753"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Poitrines et leurs mo</w:t>
            </w:r>
            <w:r w:rsidR="00B663D7">
              <w:rPr>
                <w:rFonts w:eastAsia="Times New Roman" w:cs="Arial"/>
                <w:color w:val="000000"/>
                <w:sz w:val="20"/>
                <w:szCs w:val="20"/>
                <w:lang w:eastAsia="fr-FR"/>
              </w:rPr>
              <w:t>rceaux SSF</w:t>
            </w:r>
          </w:p>
        </w:tc>
        <w:tc>
          <w:tcPr>
            <w:tcW w:w="1134" w:type="dxa"/>
            <w:tcBorders>
              <w:top w:val="nil"/>
              <w:left w:val="nil"/>
              <w:bottom w:val="single" w:sz="4" w:space="0" w:color="auto"/>
              <w:right w:val="single" w:sz="4" w:space="0" w:color="auto"/>
            </w:tcBorders>
            <w:shd w:val="clear" w:color="000000" w:fill="A6A6A6"/>
            <w:noWrap/>
            <w:vAlign w:val="center"/>
            <w:hideMark/>
          </w:tcPr>
          <w:p w14:paraId="59F1097B" w14:textId="62E2E52E"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105</w:t>
            </w:r>
          </w:p>
        </w:tc>
      </w:tr>
      <w:tr w:rsidR="00E8662A" w:rsidRPr="00E8662A" w14:paraId="09F1D59F" w14:textId="77777777" w:rsidTr="00720864">
        <w:trPr>
          <w:trHeight w:val="310"/>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667CF809"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xml:space="preserve">10.13.11.50 </w:t>
            </w:r>
          </w:p>
        </w:tc>
        <w:tc>
          <w:tcPr>
            <w:tcW w:w="1134" w:type="dxa"/>
            <w:tcBorders>
              <w:top w:val="nil"/>
              <w:left w:val="nil"/>
              <w:bottom w:val="single" w:sz="4" w:space="0" w:color="auto"/>
              <w:right w:val="single" w:sz="4" w:space="0" w:color="auto"/>
            </w:tcBorders>
            <w:shd w:val="clear" w:color="auto" w:fill="auto"/>
            <w:noWrap/>
            <w:vAlign w:val="center"/>
            <w:hideMark/>
          </w:tcPr>
          <w:p w14:paraId="634457D8"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0210.12</w:t>
            </w:r>
          </w:p>
        </w:tc>
        <w:tc>
          <w:tcPr>
            <w:tcW w:w="5103" w:type="dxa"/>
            <w:tcBorders>
              <w:top w:val="nil"/>
              <w:left w:val="nil"/>
              <w:bottom w:val="single" w:sz="4" w:space="0" w:color="auto"/>
              <w:right w:val="single" w:sz="4" w:space="0" w:color="auto"/>
            </w:tcBorders>
            <w:shd w:val="clear" w:color="auto" w:fill="auto"/>
            <w:vAlign w:val="center"/>
            <w:hideMark/>
          </w:tcPr>
          <w:p w14:paraId="4FEAECDC"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Poitrines salées ou saumurées / séchées ou fumées</w:t>
            </w:r>
          </w:p>
        </w:tc>
        <w:tc>
          <w:tcPr>
            <w:tcW w:w="1134" w:type="dxa"/>
            <w:tcBorders>
              <w:top w:val="nil"/>
              <w:left w:val="nil"/>
              <w:bottom w:val="single" w:sz="4" w:space="0" w:color="000000"/>
              <w:right w:val="single" w:sz="4" w:space="0" w:color="000000"/>
            </w:tcBorders>
            <w:shd w:val="clear" w:color="auto" w:fill="auto"/>
            <w:vAlign w:val="center"/>
            <w:hideMark/>
          </w:tcPr>
          <w:p w14:paraId="028D8346" w14:textId="65AF783E"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20</w:t>
            </w:r>
          </w:p>
        </w:tc>
      </w:tr>
      <w:tr w:rsidR="00E8662A" w:rsidRPr="00E8662A" w14:paraId="5BADAC29" w14:textId="77777777" w:rsidTr="00720864">
        <w:trPr>
          <w:trHeight w:val="285"/>
        </w:trPr>
        <w:tc>
          <w:tcPr>
            <w:tcW w:w="1838" w:type="dxa"/>
            <w:tcBorders>
              <w:top w:val="nil"/>
              <w:left w:val="single" w:sz="4" w:space="0" w:color="auto"/>
              <w:bottom w:val="single" w:sz="4" w:space="0" w:color="auto"/>
              <w:right w:val="single" w:sz="4" w:space="0" w:color="auto"/>
            </w:tcBorders>
            <w:shd w:val="clear" w:color="auto" w:fill="auto"/>
            <w:vAlign w:val="center"/>
            <w:hideMark/>
          </w:tcPr>
          <w:p w14:paraId="1D9CE94B"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 xml:space="preserve">10.13.11.50 </w:t>
            </w:r>
          </w:p>
        </w:tc>
        <w:tc>
          <w:tcPr>
            <w:tcW w:w="1134" w:type="dxa"/>
            <w:tcBorders>
              <w:top w:val="nil"/>
              <w:left w:val="nil"/>
              <w:bottom w:val="single" w:sz="4" w:space="0" w:color="auto"/>
              <w:right w:val="single" w:sz="4" w:space="0" w:color="auto"/>
            </w:tcBorders>
            <w:shd w:val="clear" w:color="auto" w:fill="auto"/>
            <w:noWrap/>
            <w:vAlign w:val="center"/>
            <w:hideMark/>
          </w:tcPr>
          <w:p w14:paraId="27AE9304" w14:textId="77777777"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0210.12</w:t>
            </w:r>
          </w:p>
        </w:tc>
        <w:tc>
          <w:tcPr>
            <w:tcW w:w="5103" w:type="dxa"/>
            <w:tcBorders>
              <w:top w:val="nil"/>
              <w:left w:val="nil"/>
              <w:bottom w:val="single" w:sz="4" w:space="0" w:color="auto"/>
              <w:right w:val="single" w:sz="4" w:space="0" w:color="auto"/>
            </w:tcBorders>
            <w:shd w:val="clear" w:color="auto" w:fill="auto"/>
            <w:vAlign w:val="center"/>
            <w:hideMark/>
          </w:tcPr>
          <w:p w14:paraId="6F4AD48F" w14:textId="77777777" w:rsidR="00E8662A" w:rsidRPr="00E8662A" w:rsidRDefault="00E8662A" w:rsidP="00E8662A">
            <w:pPr>
              <w:spacing w:after="0" w:line="240" w:lineRule="auto"/>
              <w:jc w:val="left"/>
              <w:rPr>
                <w:rFonts w:eastAsia="Times New Roman" w:cs="Arial"/>
                <w:color w:val="000000"/>
                <w:sz w:val="20"/>
                <w:szCs w:val="20"/>
                <w:lang w:eastAsia="fr-FR"/>
              </w:rPr>
            </w:pPr>
            <w:r w:rsidRPr="00E8662A">
              <w:rPr>
                <w:rFonts w:eastAsia="Times New Roman" w:cs="Arial"/>
                <w:color w:val="000000"/>
                <w:sz w:val="20"/>
                <w:szCs w:val="20"/>
                <w:lang w:eastAsia="fr-FR"/>
              </w:rPr>
              <w:t>Lardons salés ou saumurés / séchés ou fumés</w:t>
            </w:r>
          </w:p>
        </w:tc>
        <w:tc>
          <w:tcPr>
            <w:tcW w:w="1134" w:type="dxa"/>
            <w:tcBorders>
              <w:top w:val="nil"/>
              <w:left w:val="nil"/>
              <w:bottom w:val="single" w:sz="4" w:space="0" w:color="000000"/>
              <w:right w:val="single" w:sz="4" w:space="0" w:color="000000"/>
            </w:tcBorders>
            <w:shd w:val="clear" w:color="auto" w:fill="auto"/>
            <w:vAlign w:val="center"/>
            <w:hideMark/>
          </w:tcPr>
          <w:p w14:paraId="24C95AD0" w14:textId="263FA8EF" w:rsidR="00E8662A" w:rsidRPr="00E8662A" w:rsidRDefault="00E8662A" w:rsidP="00E8662A">
            <w:pPr>
              <w:spacing w:after="0" w:line="240" w:lineRule="auto"/>
              <w:jc w:val="center"/>
              <w:rPr>
                <w:rFonts w:eastAsia="Times New Roman" w:cs="Arial"/>
                <w:color w:val="000000"/>
                <w:sz w:val="20"/>
                <w:szCs w:val="20"/>
                <w:lang w:eastAsia="fr-FR"/>
              </w:rPr>
            </w:pPr>
            <w:r w:rsidRPr="00E8662A">
              <w:rPr>
                <w:rFonts w:eastAsia="Times New Roman" w:cs="Arial"/>
                <w:color w:val="000000"/>
                <w:sz w:val="20"/>
                <w:szCs w:val="20"/>
                <w:lang w:eastAsia="fr-FR"/>
              </w:rPr>
              <w:t>85</w:t>
            </w:r>
          </w:p>
        </w:tc>
      </w:tr>
    </w:tbl>
    <w:p w14:paraId="49F74F7E" w14:textId="0CC513DC" w:rsidR="00A83CF3" w:rsidRPr="00A83CF3" w:rsidRDefault="00AC0870" w:rsidP="00A83CF3">
      <w:pPr>
        <w:pStyle w:val="figure"/>
        <w:rPr>
          <w:rStyle w:val="figureCar"/>
          <w:b/>
          <w:bCs/>
          <w:iCs/>
        </w:rPr>
      </w:pPr>
      <w:bookmarkStart w:id="79" w:name="_Ref77692611"/>
      <w:bookmarkStart w:id="80" w:name="_Toc72143360"/>
      <w:r w:rsidRPr="00A83CF3">
        <w:rPr>
          <w:rStyle w:val="figureCar"/>
          <w:b/>
          <w:bCs/>
          <w:iCs/>
        </w:rPr>
        <w:t xml:space="preserve">Tableau </w:t>
      </w:r>
      <w:r w:rsidRPr="00A83CF3">
        <w:rPr>
          <w:rStyle w:val="figureCar"/>
          <w:b/>
          <w:bCs/>
          <w:iCs/>
        </w:rPr>
        <w:fldChar w:fldCharType="begin"/>
      </w:r>
      <w:r w:rsidRPr="00A83CF3">
        <w:rPr>
          <w:rStyle w:val="figureCar"/>
          <w:b/>
          <w:bCs/>
          <w:iCs/>
        </w:rPr>
        <w:instrText xml:space="preserve"> SEQ Tableau \* ARABIC </w:instrText>
      </w:r>
      <w:r w:rsidRPr="00A83CF3">
        <w:rPr>
          <w:rStyle w:val="figureCar"/>
          <w:b/>
          <w:bCs/>
          <w:iCs/>
        </w:rPr>
        <w:fldChar w:fldCharType="separate"/>
      </w:r>
      <w:r w:rsidR="0007597F">
        <w:rPr>
          <w:rStyle w:val="figureCar"/>
          <w:b/>
          <w:bCs/>
          <w:iCs/>
          <w:noProof/>
        </w:rPr>
        <w:t>12</w:t>
      </w:r>
      <w:r w:rsidRPr="00A83CF3">
        <w:rPr>
          <w:rStyle w:val="figureCar"/>
          <w:b/>
          <w:bCs/>
          <w:iCs/>
        </w:rPr>
        <w:fldChar w:fldCharType="end"/>
      </w:r>
      <w:bookmarkEnd w:id="79"/>
      <w:r w:rsidR="00A83CF3" w:rsidRPr="00A83CF3">
        <w:rPr>
          <w:rStyle w:val="figureCar"/>
          <w:b/>
          <w:bCs/>
          <w:iCs/>
        </w:rPr>
        <w:t xml:space="preserve"> : </w:t>
      </w:r>
      <w:r w:rsidR="00A46579" w:rsidRPr="00A83CF3">
        <w:rPr>
          <w:rStyle w:val="figureCar"/>
          <w:b/>
          <w:bCs/>
          <w:iCs/>
        </w:rPr>
        <w:t>Disponible en viande fraîche SSF en 2018</w:t>
      </w:r>
      <w:bookmarkEnd w:id="80"/>
      <w:r w:rsidR="00444740">
        <w:rPr>
          <w:rStyle w:val="figureCar"/>
          <w:b/>
          <w:bCs/>
          <w:iCs/>
        </w:rPr>
        <w:t xml:space="preserve"> en kt</w:t>
      </w:r>
    </w:p>
    <w:p w14:paraId="1CBE19CA" w14:textId="498D3A03" w:rsidR="00A46579" w:rsidRPr="00A83CF3" w:rsidRDefault="00A46579" w:rsidP="00A83CF3">
      <w:pPr>
        <w:pStyle w:val="Lgende"/>
      </w:pPr>
      <w:r w:rsidRPr="00A83CF3">
        <w:t xml:space="preserve"> (Ifip d’après Enquête PRODCOM</w:t>
      </w:r>
      <w:r w:rsidR="00AC0870" w:rsidRPr="00A83CF3">
        <w:t>, Eurostat</w:t>
      </w:r>
      <w:r w:rsidRPr="00A83CF3">
        <w:t>)</w:t>
      </w:r>
    </w:p>
    <w:p w14:paraId="15A310B4" w14:textId="0BC617A4" w:rsidR="00960171" w:rsidRDefault="00960171" w:rsidP="00960171">
      <w:pPr>
        <w:pStyle w:val="Puce1"/>
        <w:tabs>
          <w:tab w:val="clear" w:pos="720"/>
        </w:tabs>
        <w:ind w:left="0" w:firstLine="0"/>
      </w:pPr>
      <w:r>
        <w:t>Environ 25</w:t>
      </w:r>
      <w:r w:rsidR="00554C94">
        <w:t> </w:t>
      </w:r>
      <w:r>
        <w:t xml:space="preserve">% des volumes (54 </w:t>
      </w:r>
      <w:r w:rsidR="006554CE">
        <w:t>kt</w:t>
      </w:r>
      <w:r>
        <w:t>) sont issus de l’importation avec en particulier 32</w:t>
      </w:r>
      <w:r w:rsidR="006554CE">
        <w:t xml:space="preserve"> kt</w:t>
      </w:r>
      <w:r>
        <w:t xml:space="preserve"> en viande désossée SF. (Données détaillées en Annexe 6</w:t>
      </w:r>
      <w:r w:rsidR="00E6034A">
        <w:t xml:space="preserve"> a/</w:t>
      </w:r>
      <w:r>
        <w:t>)</w:t>
      </w:r>
    </w:p>
    <w:p w14:paraId="688EF0E7" w14:textId="047C3269" w:rsidR="00FB012F" w:rsidRPr="00D83B75" w:rsidRDefault="00CC0F71" w:rsidP="00A305CD">
      <w:pPr>
        <w:pStyle w:val="Puce1"/>
        <w:numPr>
          <w:ilvl w:val="0"/>
          <w:numId w:val="13"/>
        </w:numPr>
        <w:ind w:left="714" w:hanging="357"/>
      </w:pPr>
      <w:r w:rsidRPr="00D83B75">
        <w:t>L</w:t>
      </w:r>
      <w:r w:rsidR="002060FF" w:rsidRPr="00D83B75">
        <w:t xml:space="preserve">es saucisses et saucissons </w:t>
      </w:r>
      <w:r w:rsidR="00441E1F" w:rsidRPr="00D83B75">
        <w:t xml:space="preserve">issus de porc sont estimés à environ </w:t>
      </w:r>
      <w:r w:rsidR="00725A60" w:rsidRPr="00D83B75">
        <w:t>4</w:t>
      </w:r>
      <w:r w:rsidR="0044419E" w:rsidRPr="00D83B75">
        <w:t>45</w:t>
      </w:r>
      <w:r w:rsidRPr="00D83B75">
        <w:t xml:space="preserve"> </w:t>
      </w:r>
      <w:r w:rsidR="00957F11" w:rsidRPr="00D83B75">
        <w:t>kt</w:t>
      </w:r>
    </w:p>
    <w:p w14:paraId="727310A1" w14:textId="49427C92" w:rsidR="00FB012F" w:rsidRDefault="00EF6483" w:rsidP="00CC0F71">
      <w:pPr>
        <w:pStyle w:val="Puce1"/>
        <w:tabs>
          <w:tab w:val="clear" w:pos="720"/>
        </w:tabs>
        <w:ind w:left="0" w:firstLine="0"/>
      </w:pPr>
      <w:r>
        <w:t xml:space="preserve">Cette catégorie regroupe l’ensemble des produits </w:t>
      </w:r>
      <w:r w:rsidR="0085536E">
        <w:t xml:space="preserve">de mélange </w:t>
      </w:r>
      <w:r>
        <w:t xml:space="preserve">poussés sous boyau </w:t>
      </w:r>
      <w:r w:rsidR="0085536E">
        <w:t>soient</w:t>
      </w:r>
      <w:r w:rsidR="00EE4621">
        <w:t xml:space="preserve"> saucisses </w:t>
      </w:r>
      <w:r w:rsidR="0085536E">
        <w:t xml:space="preserve">ou saucissons </w:t>
      </w:r>
      <w:r>
        <w:t>quel</w:t>
      </w:r>
      <w:r w:rsidR="00EE4621">
        <w:t>le</w:t>
      </w:r>
      <w:r>
        <w:t xml:space="preserve"> que soit</w:t>
      </w:r>
      <w:r w:rsidR="00EE4621">
        <w:t xml:space="preserve"> l’étape de transformation ultérieure. Elle </w:t>
      </w:r>
      <w:r w:rsidR="00ED36E3">
        <w:t>couvre ainsi</w:t>
      </w:r>
      <w:r w:rsidR="00EE4621">
        <w:t xml:space="preserve"> les produits </w:t>
      </w:r>
      <w:r w:rsidR="005E585B">
        <w:t>séchés (saucissons secs), les produits crus (saucisserie fraîche)</w:t>
      </w:r>
      <w:r w:rsidR="00056066">
        <w:t>,</w:t>
      </w:r>
      <w:r w:rsidR="005E585B">
        <w:t xml:space="preserve"> ou étuvés (saucisserie gros hachage) et les produits cuits </w:t>
      </w:r>
      <w:r w:rsidR="00056066">
        <w:t xml:space="preserve">(pâtes fines, </w:t>
      </w:r>
      <w:r w:rsidR="007C4019">
        <w:t>saucisson à l’ail et apparentés).</w:t>
      </w:r>
    </w:p>
    <w:p w14:paraId="497715DC" w14:textId="1DB7351C" w:rsidR="00FB012F" w:rsidRDefault="00194ADF" w:rsidP="00CC0F71">
      <w:pPr>
        <w:pStyle w:val="Puce1"/>
        <w:tabs>
          <w:tab w:val="clear" w:pos="720"/>
        </w:tabs>
        <w:ind w:left="0" w:firstLine="0"/>
      </w:pPr>
      <w:r>
        <w:t>Compte tenu de la part de produits issus de volaille et autres espèces</w:t>
      </w:r>
      <w:r w:rsidR="00AA0773">
        <w:t xml:space="preserve"> dans les catégories douanières</w:t>
      </w:r>
      <w:r w:rsidR="00CC1AE4">
        <w:t xml:space="preserve"> d’une part </w:t>
      </w:r>
      <w:r w:rsidR="00CD6EBB">
        <w:t xml:space="preserve">parmi lesquels </w:t>
      </w:r>
      <w:r w:rsidR="00CC1AE4">
        <w:t>de nombreux produits de mélange</w:t>
      </w:r>
      <w:r>
        <w:t xml:space="preserve">, le total disponible </w:t>
      </w:r>
      <w:r w:rsidR="009672FE">
        <w:t xml:space="preserve">issu de la transformation du porc </w:t>
      </w:r>
      <w:r w:rsidR="00AA0773">
        <w:t xml:space="preserve">ne peut être défini précisément. </w:t>
      </w:r>
      <w:r w:rsidR="003C53AF" w:rsidRPr="000C56F5">
        <w:t>L</w:t>
      </w:r>
      <w:r w:rsidR="0088089F" w:rsidRPr="000C56F5">
        <w:t>es volumes importés (81</w:t>
      </w:r>
      <w:r w:rsidR="00E27690">
        <w:t xml:space="preserve"> </w:t>
      </w:r>
      <w:r w:rsidR="006554CE" w:rsidRPr="000C56F5">
        <w:t>kt</w:t>
      </w:r>
      <w:r w:rsidR="0088089F" w:rsidRPr="000C56F5">
        <w:t>) ne peuvent être affectés, cependant une part d’importation</w:t>
      </w:r>
      <w:r w:rsidR="00AB7D25" w:rsidRPr="000C56F5">
        <w:t xml:space="preserve">, au regard des éléments de désignation du code douanier, </w:t>
      </w:r>
      <w:r w:rsidR="00257C37" w:rsidRPr="000C56F5">
        <w:t xml:space="preserve">concernerait </w:t>
      </w:r>
      <w:r w:rsidR="00E10ED0" w:rsidRPr="000C56F5">
        <w:t xml:space="preserve">majoritairement </w:t>
      </w:r>
      <w:r w:rsidR="00257C37" w:rsidRPr="000C56F5">
        <w:t>des produits secs</w:t>
      </w:r>
      <w:r w:rsidR="00E10ED0" w:rsidRPr="000C56F5">
        <w:t xml:space="preserve"> </w:t>
      </w:r>
      <w:r w:rsidR="00426A7F" w:rsidRPr="000C56F5">
        <w:t>(45</w:t>
      </w:r>
      <w:r w:rsidR="00E27690">
        <w:t xml:space="preserve"> </w:t>
      </w:r>
      <w:r w:rsidR="006554CE" w:rsidRPr="000C56F5">
        <w:t>kt</w:t>
      </w:r>
      <w:r w:rsidR="00426A7F" w:rsidRPr="000C56F5">
        <w:t>)</w:t>
      </w:r>
      <w:r w:rsidR="00E10ED0" w:rsidRPr="000C56F5">
        <w:t>.</w:t>
      </w:r>
      <w:r w:rsidR="0088089F">
        <w:t xml:space="preserve"> (Annexe 6 </w:t>
      </w:r>
      <w:r w:rsidR="00C20C23">
        <w:t>b</w:t>
      </w:r>
      <w:r w:rsidR="0088089F">
        <w:t>/).</w:t>
      </w:r>
    </w:p>
    <w:p w14:paraId="50C6E688" w14:textId="77777777" w:rsidR="00E10ED0" w:rsidRDefault="00E10ED0" w:rsidP="00CC0F71">
      <w:pPr>
        <w:pStyle w:val="Puce1"/>
        <w:tabs>
          <w:tab w:val="clear" w:pos="720"/>
        </w:tabs>
        <w:ind w:left="0" w:firstLine="0"/>
      </w:pPr>
    </w:p>
    <w:tbl>
      <w:tblPr>
        <w:tblW w:w="9351" w:type="dxa"/>
        <w:tblCellMar>
          <w:left w:w="70" w:type="dxa"/>
          <w:right w:w="70" w:type="dxa"/>
        </w:tblCellMar>
        <w:tblLook w:val="04A0" w:firstRow="1" w:lastRow="0" w:firstColumn="1" w:lastColumn="0" w:noHBand="0" w:noVBand="1"/>
      </w:tblPr>
      <w:tblGrid>
        <w:gridCol w:w="1368"/>
        <w:gridCol w:w="1141"/>
        <w:gridCol w:w="4512"/>
        <w:gridCol w:w="1196"/>
        <w:gridCol w:w="160"/>
        <w:gridCol w:w="974"/>
      </w:tblGrid>
      <w:tr w:rsidR="00A0378B" w:rsidRPr="0052630E" w14:paraId="4F5AFF0C" w14:textId="77777777" w:rsidTr="00DB37BB">
        <w:trPr>
          <w:trHeight w:val="443"/>
        </w:trPr>
        <w:tc>
          <w:tcPr>
            <w:tcW w:w="137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B347531" w14:textId="6FC892D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lastRenderedPageBreak/>
              <w:t>Code P</w:t>
            </w:r>
            <w:r w:rsidR="00206B19">
              <w:rPr>
                <w:rFonts w:eastAsia="Times New Roman" w:cs="Arial"/>
                <w:b/>
                <w:bCs/>
                <w:color w:val="000000"/>
                <w:sz w:val="20"/>
                <w:szCs w:val="20"/>
                <w:lang w:eastAsia="fr-FR"/>
              </w:rPr>
              <w:t>RODCOM</w:t>
            </w:r>
          </w:p>
        </w:tc>
        <w:tc>
          <w:tcPr>
            <w:tcW w:w="1141" w:type="dxa"/>
            <w:tcBorders>
              <w:top w:val="single" w:sz="4" w:space="0" w:color="auto"/>
              <w:left w:val="nil"/>
              <w:bottom w:val="single" w:sz="4" w:space="0" w:color="auto"/>
              <w:right w:val="single" w:sz="4" w:space="0" w:color="auto"/>
            </w:tcBorders>
            <w:shd w:val="clear" w:color="000000" w:fill="BFBFBF"/>
            <w:vAlign w:val="center"/>
            <w:hideMark/>
          </w:tcPr>
          <w:p w14:paraId="4680980A"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 </w:t>
            </w:r>
          </w:p>
        </w:tc>
        <w:tc>
          <w:tcPr>
            <w:tcW w:w="4714" w:type="dxa"/>
            <w:tcBorders>
              <w:top w:val="single" w:sz="4" w:space="0" w:color="auto"/>
              <w:left w:val="nil"/>
              <w:bottom w:val="single" w:sz="4" w:space="0" w:color="auto"/>
              <w:right w:val="single" w:sz="4" w:space="0" w:color="auto"/>
            </w:tcBorders>
            <w:shd w:val="clear" w:color="000000" w:fill="BFBFBF"/>
            <w:vAlign w:val="center"/>
            <w:hideMark/>
          </w:tcPr>
          <w:p w14:paraId="4E559D29"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 xml:space="preserve">Catégories produits </w:t>
            </w:r>
          </w:p>
        </w:tc>
        <w:tc>
          <w:tcPr>
            <w:tcW w:w="992" w:type="dxa"/>
            <w:tcBorders>
              <w:top w:val="single" w:sz="4" w:space="0" w:color="auto"/>
              <w:left w:val="nil"/>
              <w:bottom w:val="single" w:sz="4" w:space="0" w:color="auto"/>
              <w:right w:val="single" w:sz="4" w:space="0" w:color="auto"/>
            </w:tcBorders>
            <w:shd w:val="clear" w:color="000000" w:fill="BFBFBF"/>
            <w:vAlign w:val="center"/>
            <w:hideMark/>
          </w:tcPr>
          <w:p w14:paraId="457B0C74" w14:textId="360B69A9"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 xml:space="preserve">Total </w:t>
            </w:r>
            <w:r w:rsidR="00A0378B">
              <w:rPr>
                <w:rFonts w:eastAsia="Times New Roman" w:cs="Arial"/>
                <w:b/>
                <w:bCs/>
                <w:color w:val="000000"/>
                <w:sz w:val="20"/>
                <w:szCs w:val="20"/>
                <w:lang w:eastAsia="fr-FR"/>
              </w:rPr>
              <w:br/>
              <w:t>Production</w:t>
            </w:r>
          </w:p>
        </w:tc>
        <w:tc>
          <w:tcPr>
            <w:tcW w:w="160" w:type="dxa"/>
            <w:tcBorders>
              <w:top w:val="nil"/>
              <w:left w:val="nil"/>
              <w:bottom w:val="nil"/>
              <w:right w:val="nil"/>
            </w:tcBorders>
            <w:shd w:val="clear" w:color="auto" w:fill="auto"/>
            <w:noWrap/>
            <w:vAlign w:val="center"/>
            <w:hideMark/>
          </w:tcPr>
          <w:p w14:paraId="1C99A0D3"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CBB7A98"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xml:space="preserve">Solde Net </w:t>
            </w:r>
          </w:p>
        </w:tc>
      </w:tr>
      <w:tr w:rsidR="00A0378B" w:rsidRPr="0052630E" w14:paraId="4C578992" w14:textId="77777777" w:rsidTr="00DB37BB">
        <w:trPr>
          <w:trHeight w:val="266"/>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70F7436D"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p>
        </w:tc>
        <w:tc>
          <w:tcPr>
            <w:tcW w:w="1141" w:type="dxa"/>
            <w:tcBorders>
              <w:top w:val="nil"/>
              <w:left w:val="nil"/>
              <w:bottom w:val="single" w:sz="4" w:space="0" w:color="auto"/>
              <w:right w:val="single" w:sz="4" w:space="0" w:color="auto"/>
            </w:tcBorders>
            <w:shd w:val="clear" w:color="000000" w:fill="BFBFBF"/>
            <w:vAlign w:val="center"/>
            <w:hideMark/>
          </w:tcPr>
          <w:p w14:paraId="58E2A528"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p>
        </w:tc>
        <w:tc>
          <w:tcPr>
            <w:tcW w:w="4714" w:type="dxa"/>
            <w:tcBorders>
              <w:top w:val="nil"/>
              <w:left w:val="nil"/>
              <w:bottom w:val="single" w:sz="4" w:space="0" w:color="auto"/>
              <w:right w:val="single" w:sz="4" w:space="0" w:color="auto"/>
            </w:tcBorders>
            <w:shd w:val="clear" w:color="000000" w:fill="BFBFBF"/>
            <w:vAlign w:val="center"/>
            <w:hideMark/>
          </w:tcPr>
          <w:p w14:paraId="09E6D36A" w14:textId="7E863926"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Total Saucisses et saucissons</w:t>
            </w:r>
            <w:r w:rsidR="003B3E4D">
              <w:rPr>
                <w:rFonts w:eastAsia="Times New Roman" w:cs="Arial"/>
                <w:b/>
                <w:bCs/>
                <w:color w:val="000000"/>
                <w:sz w:val="20"/>
                <w:szCs w:val="20"/>
                <w:lang w:eastAsia="fr-FR"/>
              </w:rPr>
              <w:t xml:space="preserve"> cuits</w:t>
            </w:r>
          </w:p>
        </w:tc>
        <w:tc>
          <w:tcPr>
            <w:tcW w:w="992" w:type="dxa"/>
            <w:tcBorders>
              <w:top w:val="nil"/>
              <w:left w:val="nil"/>
              <w:bottom w:val="single" w:sz="4" w:space="0" w:color="auto"/>
              <w:right w:val="single" w:sz="4" w:space="0" w:color="auto"/>
            </w:tcBorders>
            <w:shd w:val="clear" w:color="000000" w:fill="BFBFBF"/>
            <w:vAlign w:val="center"/>
            <w:hideMark/>
          </w:tcPr>
          <w:p w14:paraId="774941DA" w14:textId="3035B8BA"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4</w:t>
            </w:r>
            <w:r w:rsidR="0028373B">
              <w:rPr>
                <w:rFonts w:eastAsia="Times New Roman" w:cs="Arial"/>
                <w:b/>
                <w:bCs/>
                <w:color w:val="000000"/>
                <w:sz w:val="20"/>
                <w:szCs w:val="20"/>
                <w:lang w:eastAsia="fr-FR"/>
              </w:rPr>
              <w:t>61</w:t>
            </w:r>
          </w:p>
        </w:tc>
        <w:tc>
          <w:tcPr>
            <w:tcW w:w="160" w:type="dxa"/>
            <w:tcBorders>
              <w:top w:val="nil"/>
              <w:left w:val="nil"/>
              <w:bottom w:val="nil"/>
              <w:right w:val="nil"/>
            </w:tcBorders>
            <w:shd w:val="clear" w:color="auto" w:fill="auto"/>
            <w:noWrap/>
            <w:vAlign w:val="center"/>
            <w:hideMark/>
          </w:tcPr>
          <w:p w14:paraId="507038D0"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000000" w:fill="A6A6A6"/>
            <w:vAlign w:val="center"/>
            <w:hideMark/>
          </w:tcPr>
          <w:p w14:paraId="7C405DB3" w14:textId="0F48ED32"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4</w:t>
            </w:r>
            <w:r w:rsidR="003C53AF">
              <w:rPr>
                <w:rFonts w:eastAsia="Times New Roman" w:cs="Arial"/>
                <w:b/>
                <w:bCs/>
                <w:sz w:val="20"/>
                <w:szCs w:val="20"/>
                <w:lang w:eastAsia="fr-FR"/>
              </w:rPr>
              <w:t>98</w:t>
            </w:r>
          </w:p>
        </w:tc>
      </w:tr>
      <w:tr w:rsidR="00A0378B" w:rsidRPr="0052630E" w14:paraId="2AC36193" w14:textId="77777777" w:rsidTr="00AA0773">
        <w:trPr>
          <w:trHeight w:val="435"/>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55459575"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p>
        </w:tc>
        <w:tc>
          <w:tcPr>
            <w:tcW w:w="1141" w:type="dxa"/>
            <w:tcBorders>
              <w:top w:val="nil"/>
              <w:left w:val="nil"/>
              <w:bottom w:val="single" w:sz="4" w:space="0" w:color="auto"/>
              <w:right w:val="single" w:sz="4" w:space="0" w:color="auto"/>
            </w:tcBorders>
            <w:shd w:val="clear" w:color="000000" w:fill="BFBFBF"/>
            <w:vAlign w:val="center"/>
            <w:hideMark/>
          </w:tcPr>
          <w:p w14:paraId="69838729"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p>
        </w:tc>
        <w:tc>
          <w:tcPr>
            <w:tcW w:w="4714" w:type="dxa"/>
            <w:tcBorders>
              <w:top w:val="nil"/>
              <w:left w:val="nil"/>
              <w:bottom w:val="single" w:sz="4" w:space="0" w:color="auto"/>
              <w:right w:val="single" w:sz="4" w:space="0" w:color="auto"/>
            </w:tcBorders>
            <w:shd w:val="clear" w:color="000000" w:fill="BFBFBF"/>
            <w:vAlign w:val="center"/>
            <w:hideMark/>
          </w:tcPr>
          <w:p w14:paraId="75E5320B" w14:textId="384AF15B" w:rsidR="0052630E" w:rsidRPr="0052630E" w:rsidRDefault="00B64C2D" w:rsidP="00A83CF3">
            <w:pPr>
              <w:keepNext/>
              <w:spacing w:after="0" w:line="240" w:lineRule="auto"/>
              <w:jc w:val="left"/>
              <w:rPr>
                <w:rFonts w:eastAsia="Times New Roman" w:cs="Arial"/>
                <w:b/>
                <w:bCs/>
                <w:color w:val="000000"/>
                <w:sz w:val="20"/>
                <w:szCs w:val="20"/>
                <w:lang w:eastAsia="fr-FR"/>
              </w:rPr>
            </w:pPr>
            <w:r>
              <w:rPr>
                <w:rFonts w:eastAsia="Times New Roman" w:cs="Arial"/>
                <w:b/>
                <w:bCs/>
                <w:color w:val="000000"/>
                <w:sz w:val="20"/>
                <w:szCs w:val="20"/>
                <w:lang w:eastAsia="fr-FR"/>
              </w:rPr>
              <w:t xml:space="preserve">Dont </w:t>
            </w:r>
            <w:r w:rsidR="0052630E" w:rsidRPr="0052630E">
              <w:rPr>
                <w:rFonts w:eastAsia="Times New Roman" w:cs="Arial"/>
                <w:b/>
                <w:bCs/>
                <w:color w:val="000000"/>
                <w:sz w:val="20"/>
                <w:szCs w:val="20"/>
                <w:lang w:eastAsia="fr-FR"/>
              </w:rPr>
              <w:t>Saucisses et saucisson</w:t>
            </w:r>
            <w:r w:rsidR="003B3E4D">
              <w:rPr>
                <w:rFonts w:eastAsia="Times New Roman" w:cs="Arial"/>
                <w:b/>
                <w:bCs/>
                <w:color w:val="000000"/>
                <w:sz w:val="20"/>
                <w:szCs w:val="20"/>
                <w:lang w:eastAsia="fr-FR"/>
              </w:rPr>
              <w:t>s</w:t>
            </w:r>
            <w:r w:rsidR="0052630E" w:rsidRPr="0052630E">
              <w:rPr>
                <w:rFonts w:eastAsia="Times New Roman" w:cs="Arial"/>
                <w:b/>
                <w:bCs/>
                <w:color w:val="000000"/>
                <w:sz w:val="20"/>
                <w:szCs w:val="20"/>
                <w:lang w:eastAsia="fr-FR"/>
              </w:rPr>
              <w:t xml:space="preserve"> </w:t>
            </w:r>
            <w:r w:rsidR="003B3E4D">
              <w:rPr>
                <w:rFonts w:eastAsia="Times New Roman" w:cs="Arial"/>
                <w:b/>
                <w:bCs/>
                <w:color w:val="000000"/>
                <w:sz w:val="20"/>
                <w:szCs w:val="20"/>
                <w:lang w:eastAsia="fr-FR"/>
              </w:rPr>
              <w:t xml:space="preserve">cuits </w:t>
            </w:r>
            <w:r w:rsidR="0052630E" w:rsidRPr="0052630E">
              <w:rPr>
                <w:rFonts w:eastAsia="Times New Roman" w:cs="Arial"/>
                <w:b/>
                <w:bCs/>
                <w:color w:val="000000"/>
                <w:sz w:val="20"/>
                <w:szCs w:val="20"/>
                <w:lang w:eastAsia="fr-FR"/>
              </w:rPr>
              <w:t>Hors volaille</w:t>
            </w:r>
            <w:r w:rsidR="00C775A5">
              <w:rPr>
                <w:rFonts w:eastAsia="Times New Roman" w:cs="Arial"/>
                <w:b/>
                <w:bCs/>
                <w:color w:val="000000"/>
                <w:sz w:val="20"/>
                <w:szCs w:val="20"/>
                <w:lang w:eastAsia="fr-FR"/>
              </w:rPr>
              <w:t xml:space="preserve"> et hors merguez</w:t>
            </w:r>
          </w:p>
        </w:tc>
        <w:tc>
          <w:tcPr>
            <w:tcW w:w="992" w:type="dxa"/>
            <w:tcBorders>
              <w:top w:val="nil"/>
              <w:left w:val="nil"/>
              <w:bottom w:val="single" w:sz="4" w:space="0" w:color="auto"/>
              <w:right w:val="single" w:sz="4" w:space="0" w:color="auto"/>
            </w:tcBorders>
            <w:shd w:val="clear" w:color="000000" w:fill="BFBFBF"/>
            <w:vAlign w:val="center"/>
            <w:hideMark/>
          </w:tcPr>
          <w:p w14:paraId="74BDBD63" w14:textId="649207C4"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4</w:t>
            </w:r>
            <w:r w:rsidR="0011469C">
              <w:rPr>
                <w:rFonts w:eastAsia="Times New Roman" w:cs="Arial"/>
                <w:b/>
                <w:bCs/>
                <w:color w:val="000000"/>
                <w:sz w:val="20"/>
                <w:szCs w:val="20"/>
                <w:lang w:eastAsia="fr-FR"/>
              </w:rPr>
              <w:t>07</w:t>
            </w:r>
          </w:p>
        </w:tc>
        <w:tc>
          <w:tcPr>
            <w:tcW w:w="160" w:type="dxa"/>
            <w:tcBorders>
              <w:top w:val="nil"/>
              <w:left w:val="nil"/>
              <w:bottom w:val="nil"/>
              <w:right w:val="nil"/>
            </w:tcBorders>
            <w:shd w:val="clear" w:color="auto" w:fill="auto"/>
            <w:noWrap/>
            <w:vAlign w:val="center"/>
            <w:hideMark/>
          </w:tcPr>
          <w:p w14:paraId="2E1786A9"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000000" w:fill="A6A6A6"/>
            <w:vAlign w:val="center"/>
            <w:hideMark/>
          </w:tcPr>
          <w:p w14:paraId="5795D96F" w14:textId="66A683B6"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r w:rsidR="009672FE">
              <w:rPr>
                <w:rFonts w:eastAsia="Times New Roman" w:cs="Arial"/>
                <w:b/>
                <w:bCs/>
                <w:sz w:val="20"/>
                <w:szCs w:val="20"/>
                <w:lang w:eastAsia="fr-FR"/>
              </w:rPr>
              <w:t xml:space="preserve">Estimé </w:t>
            </w:r>
            <w:r w:rsidR="009672FE">
              <w:rPr>
                <w:rFonts w:eastAsia="Times New Roman" w:cs="Arial"/>
                <w:b/>
                <w:bCs/>
                <w:sz w:val="20"/>
                <w:szCs w:val="20"/>
                <w:lang w:eastAsia="fr-FR"/>
              </w:rPr>
              <w:br/>
              <w:t>4</w:t>
            </w:r>
            <w:r w:rsidR="0044419E">
              <w:rPr>
                <w:rFonts w:eastAsia="Times New Roman" w:cs="Arial"/>
                <w:b/>
                <w:bCs/>
                <w:sz w:val="20"/>
                <w:szCs w:val="20"/>
                <w:lang w:eastAsia="fr-FR"/>
              </w:rPr>
              <w:t>45</w:t>
            </w:r>
          </w:p>
        </w:tc>
      </w:tr>
      <w:tr w:rsidR="00A0378B" w:rsidRPr="0052630E" w14:paraId="03FA6DAB" w14:textId="77777777" w:rsidTr="00AA0773">
        <w:trPr>
          <w:trHeight w:val="330"/>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24830D9C"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p.10.13.14.60</w:t>
            </w:r>
          </w:p>
        </w:tc>
        <w:tc>
          <w:tcPr>
            <w:tcW w:w="1141" w:type="dxa"/>
            <w:tcBorders>
              <w:top w:val="nil"/>
              <w:left w:val="nil"/>
              <w:bottom w:val="single" w:sz="4" w:space="0" w:color="auto"/>
              <w:right w:val="single" w:sz="4" w:space="0" w:color="auto"/>
            </w:tcBorders>
            <w:shd w:val="clear" w:color="000000" w:fill="BFBFBF"/>
            <w:vAlign w:val="center"/>
            <w:hideMark/>
          </w:tcPr>
          <w:p w14:paraId="52ADDEE8" w14:textId="7120CEB3"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w:t>
            </w:r>
            <w:r w:rsidR="00CE1540">
              <w:rPr>
                <w:rFonts w:eastAsia="Times New Roman" w:cs="Arial"/>
                <w:color w:val="000000"/>
                <w:sz w:val="20"/>
                <w:szCs w:val="20"/>
                <w:lang w:eastAsia="fr-FR"/>
              </w:rPr>
              <w:t>1601</w:t>
            </w:r>
          </w:p>
        </w:tc>
        <w:tc>
          <w:tcPr>
            <w:tcW w:w="4714" w:type="dxa"/>
            <w:tcBorders>
              <w:top w:val="nil"/>
              <w:left w:val="nil"/>
              <w:bottom w:val="single" w:sz="4" w:space="0" w:color="auto"/>
              <w:right w:val="single" w:sz="4" w:space="0" w:color="auto"/>
            </w:tcBorders>
            <w:shd w:val="clear" w:color="000000" w:fill="BFBFBF"/>
            <w:vAlign w:val="center"/>
            <w:hideMark/>
          </w:tcPr>
          <w:p w14:paraId="734D3DD3"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Dont Saucisses et saucissons secs</w:t>
            </w:r>
          </w:p>
        </w:tc>
        <w:tc>
          <w:tcPr>
            <w:tcW w:w="992" w:type="dxa"/>
            <w:tcBorders>
              <w:top w:val="nil"/>
              <w:left w:val="nil"/>
              <w:bottom w:val="single" w:sz="4" w:space="0" w:color="auto"/>
              <w:right w:val="single" w:sz="4" w:space="0" w:color="auto"/>
            </w:tcBorders>
            <w:shd w:val="clear" w:color="000000" w:fill="BFBFBF"/>
            <w:vAlign w:val="center"/>
            <w:hideMark/>
          </w:tcPr>
          <w:p w14:paraId="7549B5CB" w14:textId="7A11A441"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116</w:t>
            </w:r>
          </w:p>
        </w:tc>
        <w:tc>
          <w:tcPr>
            <w:tcW w:w="160" w:type="dxa"/>
            <w:tcBorders>
              <w:top w:val="nil"/>
              <w:left w:val="nil"/>
              <w:bottom w:val="nil"/>
              <w:right w:val="nil"/>
            </w:tcBorders>
            <w:shd w:val="clear" w:color="auto" w:fill="auto"/>
            <w:noWrap/>
            <w:vAlign w:val="center"/>
            <w:hideMark/>
          </w:tcPr>
          <w:p w14:paraId="27D02D8D"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000000" w:fill="A6A6A6"/>
            <w:vAlign w:val="center"/>
            <w:hideMark/>
          </w:tcPr>
          <w:p w14:paraId="787036FD"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2B8E75A8" w14:textId="77777777" w:rsidTr="00AA0773">
        <w:trPr>
          <w:trHeight w:val="33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394DE002" w14:textId="77777777" w:rsidR="0052630E" w:rsidRPr="0052630E" w:rsidRDefault="0052630E" w:rsidP="00A83CF3">
            <w:pPr>
              <w:keepNext/>
              <w:spacing w:after="0" w:line="240" w:lineRule="auto"/>
              <w:jc w:val="left"/>
              <w:rPr>
                <w:rFonts w:eastAsia="Times New Roman" w:cs="Arial"/>
                <w:sz w:val="20"/>
                <w:szCs w:val="20"/>
                <w:lang w:eastAsia="fr-FR"/>
              </w:rPr>
            </w:pPr>
            <w:r w:rsidRPr="0052630E">
              <w:rPr>
                <w:rFonts w:eastAsia="Times New Roman" w:cs="Arial"/>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7B9790FA"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00A1C860" w14:textId="77777777" w:rsidR="0052630E" w:rsidRPr="0052630E" w:rsidRDefault="0052630E" w:rsidP="00A83CF3">
            <w:pPr>
              <w:keepNext/>
              <w:spacing w:after="0" w:line="240" w:lineRule="auto"/>
              <w:jc w:val="right"/>
              <w:rPr>
                <w:rFonts w:eastAsia="Times New Roman" w:cs="Arial"/>
                <w:i/>
                <w:iCs/>
                <w:sz w:val="20"/>
                <w:szCs w:val="20"/>
                <w:u w:val="single"/>
                <w:lang w:eastAsia="fr-FR"/>
              </w:rPr>
            </w:pPr>
            <w:r w:rsidRPr="0052630E">
              <w:rPr>
                <w:rFonts w:eastAsia="Times New Roman" w:cs="Arial"/>
                <w:i/>
                <w:iCs/>
                <w:sz w:val="20"/>
                <w:szCs w:val="20"/>
                <w:u w:val="single"/>
                <w:lang w:eastAsia="fr-FR"/>
              </w:rPr>
              <w:t>Dont Pur porc</w:t>
            </w:r>
          </w:p>
        </w:tc>
        <w:tc>
          <w:tcPr>
            <w:tcW w:w="992" w:type="dxa"/>
            <w:tcBorders>
              <w:top w:val="nil"/>
              <w:left w:val="nil"/>
              <w:bottom w:val="single" w:sz="4" w:space="0" w:color="auto"/>
              <w:right w:val="single" w:sz="4" w:space="0" w:color="auto"/>
            </w:tcBorders>
            <w:shd w:val="clear" w:color="auto" w:fill="auto"/>
            <w:vAlign w:val="center"/>
            <w:hideMark/>
          </w:tcPr>
          <w:p w14:paraId="5990C099" w14:textId="77777777" w:rsidR="0052630E" w:rsidRPr="0052630E" w:rsidRDefault="0052630E" w:rsidP="00A83CF3">
            <w:pPr>
              <w:keepNext/>
              <w:spacing w:after="0" w:line="240" w:lineRule="auto"/>
              <w:jc w:val="center"/>
              <w:rPr>
                <w:rFonts w:eastAsia="Times New Roman" w:cs="Arial"/>
                <w:i/>
                <w:iCs/>
                <w:color w:val="000000"/>
                <w:sz w:val="20"/>
                <w:szCs w:val="20"/>
                <w:lang w:eastAsia="fr-FR"/>
              </w:rPr>
            </w:pPr>
            <w:r w:rsidRPr="0052630E">
              <w:rPr>
                <w:rFonts w:eastAsia="Times New Roman" w:cs="Arial"/>
                <w:i/>
                <w:iCs/>
                <w:color w:val="000000"/>
                <w:sz w:val="20"/>
                <w:szCs w:val="20"/>
                <w:lang w:eastAsia="fr-FR"/>
              </w:rPr>
              <w:t>110,9</w:t>
            </w:r>
          </w:p>
        </w:tc>
        <w:tc>
          <w:tcPr>
            <w:tcW w:w="160" w:type="dxa"/>
            <w:tcBorders>
              <w:top w:val="nil"/>
              <w:left w:val="nil"/>
              <w:bottom w:val="nil"/>
              <w:right w:val="nil"/>
            </w:tcBorders>
            <w:shd w:val="clear" w:color="auto" w:fill="auto"/>
            <w:noWrap/>
            <w:vAlign w:val="center"/>
            <w:hideMark/>
          </w:tcPr>
          <w:p w14:paraId="2139907E" w14:textId="77777777" w:rsidR="0052630E" w:rsidRPr="0052630E" w:rsidRDefault="0052630E" w:rsidP="00A83CF3">
            <w:pPr>
              <w:keepNext/>
              <w:spacing w:after="0" w:line="240" w:lineRule="auto"/>
              <w:jc w:val="center"/>
              <w:rPr>
                <w:rFonts w:eastAsia="Times New Roman" w:cs="Arial"/>
                <w:i/>
                <w:iCs/>
                <w:color w:val="000000"/>
                <w:sz w:val="20"/>
                <w:szCs w:val="20"/>
                <w:lang w:eastAsia="fr-FR"/>
              </w:rPr>
            </w:pPr>
          </w:p>
        </w:tc>
        <w:tc>
          <w:tcPr>
            <w:tcW w:w="974" w:type="dxa"/>
            <w:tcBorders>
              <w:top w:val="nil"/>
              <w:left w:val="single" w:sz="4" w:space="0" w:color="000000"/>
              <w:bottom w:val="nil"/>
              <w:right w:val="single" w:sz="4" w:space="0" w:color="000000"/>
            </w:tcBorders>
            <w:shd w:val="clear" w:color="000000" w:fill="B2B2B2"/>
            <w:vAlign w:val="center"/>
            <w:hideMark/>
          </w:tcPr>
          <w:p w14:paraId="3868E7B9"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 </w:t>
            </w:r>
          </w:p>
        </w:tc>
      </w:tr>
      <w:tr w:rsidR="00A0378B" w:rsidRPr="0052630E" w14:paraId="00AA9102" w14:textId="77777777" w:rsidTr="00AA0773">
        <w:trPr>
          <w:trHeight w:val="36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13447285"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43EA0C8B"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4714" w:type="dxa"/>
            <w:tcBorders>
              <w:top w:val="nil"/>
              <w:left w:val="nil"/>
              <w:bottom w:val="single" w:sz="4" w:space="0" w:color="000000"/>
              <w:right w:val="single" w:sz="4" w:space="0" w:color="000000"/>
            </w:tcBorders>
            <w:shd w:val="clear" w:color="000000" w:fill="F2F2F2"/>
            <w:vAlign w:val="center"/>
            <w:hideMark/>
          </w:tcPr>
          <w:p w14:paraId="04EFFB21" w14:textId="77777777" w:rsidR="0052630E" w:rsidRPr="0052630E" w:rsidRDefault="0052630E" w:rsidP="00A83CF3">
            <w:pPr>
              <w:keepNext/>
              <w:spacing w:after="0" w:line="240" w:lineRule="auto"/>
              <w:jc w:val="right"/>
              <w:rPr>
                <w:rFonts w:eastAsia="Times New Roman" w:cs="Arial"/>
                <w:i/>
                <w:iCs/>
                <w:sz w:val="20"/>
                <w:szCs w:val="20"/>
                <w:u w:val="single"/>
                <w:lang w:eastAsia="fr-FR"/>
              </w:rPr>
            </w:pPr>
            <w:r w:rsidRPr="0052630E">
              <w:rPr>
                <w:rFonts w:eastAsia="Times New Roman" w:cs="Arial"/>
                <w:i/>
                <w:iCs/>
                <w:sz w:val="20"/>
                <w:szCs w:val="20"/>
                <w:u w:val="single"/>
                <w:lang w:eastAsia="fr-FR"/>
              </w:rPr>
              <w:t>Dont Mélanges (porc et autres, bœuf, autres)</w:t>
            </w:r>
          </w:p>
        </w:tc>
        <w:tc>
          <w:tcPr>
            <w:tcW w:w="992" w:type="dxa"/>
            <w:tcBorders>
              <w:top w:val="nil"/>
              <w:left w:val="nil"/>
              <w:bottom w:val="single" w:sz="4" w:space="0" w:color="auto"/>
              <w:right w:val="single" w:sz="4" w:space="0" w:color="auto"/>
            </w:tcBorders>
            <w:shd w:val="clear" w:color="000000" w:fill="F2F2F2"/>
            <w:vAlign w:val="center"/>
            <w:hideMark/>
          </w:tcPr>
          <w:p w14:paraId="0581D12C"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5,6</w:t>
            </w:r>
          </w:p>
        </w:tc>
        <w:tc>
          <w:tcPr>
            <w:tcW w:w="160" w:type="dxa"/>
            <w:tcBorders>
              <w:top w:val="nil"/>
              <w:left w:val="nil"/>
              <w:bottom w:val="nil"/>
              <w:right w:val="nil"/>
            </w:tcBorders>
            <w:shd w:val="clear" w:color="auto" w:fill="auto"/>
            <w:noWrap/>
            <w:vAlign w:val="center"/>
            <w:hideMark/>
          </w:tcPr>
          <w:p w14:paraId="60423097"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4F061E"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 </w:t>
            </w:r>
          </w:p>
        </w:tc>
      </w:tr>
      <w:tr w:rsidR="00A0378B" w:rsidRPr="0052630E" w14:paraId="14C8B3D3" w14:textId="77777777" w:rsidTr="00AA0773">
        <w:trPr>
          <w:trHeight w:val="510"/>
        </w:trPr>
        <w:tc>
          <w:tcPr>
            <w:tcW w:w="1370" w:type="dxa"/>
            <w:tcBorders>
              <w:top w:val="nil"/>
              <w:left w:val="single" w:sz="4" w:space="0" w:color="000000"/>
              <w:bottom w:val="single" w:sz="4" w:space="0" w:color="000000"/>
              <w:right w:val="single" w:sz="4" w:space="0" w:color="000000"/>
            </w:tcBorders>
            <w:shd w:val="clear" w:color="000000" w:fill="BFBFBF"/>
            <w:vAlign w:val="center"/>
            <w:hideMark/>
          </w:tcPr>
          <w:p w14:paraId="2A89A09E" w14:textId="77777777" w:rsidR="0052630E" w:rsidRPr="0052630E" w:rsidRDefault="0052630E" w:rsidP="00A83CF3">
            <w:pPr>
              <w:keepNext/>
              <w:spacing w:after="0" w:line="240" w:lineRule="auto"/>
              <w:jc w:val="left"/>
              <w:rPr>
                <w:rFonts w:eastAsia="Times New Roman" w:cs="Arial"/>
                <w:sz w:val="20"/>
                <w:szCs w:val="20"/>
                <w:lang w:eastAsia="fr-FR"/>
              </w:rPr>
            </w:pPr>
            <w:r w:rsidRPr="0052630E">
              <w:rPr>
                <w:rFonts w:eastAsia="Times New Roman" w:cs="Arial"/>
                <w:sz w:val="20"/>
                <w:szCs w:val="20"/>
                <w:lang w:eastAsia="fr-FR"/>
              </w:rPr>
              <w:t>p.10.13.14.60</w:t>
            </w:r>
          </w:p>
        </w:tc>
        <w:tc>
          <w:tcPr>
            <w:tcW w:w="1141" w:type="dxa"/>
            <w:tcBorders>
              <w:top w:val="nil"/>
              <w:left w:val="nil"/>
              <w:bottom w:val="single" w:sz="4" w:space="0" w:color="000000"/>
              <w:right w:val="single" w:sz="4" w:space="0" w:color="000000"/>
            </w:tcBorders>
            <w:shd w:val="clear" w:color="000000" w:fill="BFBFBF"/>
            <w:vAlign w:val="center"/>
            <w:hideMark/>
          </w:tcPr>
          <w:p w14:paraId="7CE38B49" w14:textId="77777777" w:rsidR="0052630E" w:rsidRPr="0052630E" w:rsidRDefault="0052630E" w:rsidP="00A83CF3">
            <w:pPr>
              <w:keepNext/>
              <w:spacing w:after="0" w:line="240" w:lineRule="auto"/>
              <w:jc w:val="center"/>
              <w:rPr>
                <w:rFonts w:eastAsia="Times New Roman" w:cs="Arial"/>
                <w:sz w:val="20"/>
                <w:szCs w:val="20"/>
                <w:lang w:eastAsia="fr-FR"/>
              </w:rPr>
            </w:pPr>
            <w:r w:rsidRPr="0052630E">
              <w:rPr>
                <w:rFonts w:eastAsia="Times New Roman" w:cs="Arial"/>
                <w:sz w:val="20"/>
                <w:szCs w:val="20"/>
                <w:lang w:eastAsia="fr-FR"/>
              </w:rPr>
              <w:t>1601 NC 1601.00.10</w:t>
            </w:r>
          </w:p>
        </w:tc>
        <w:tc>
          <w:tcPr>
            <w:tcW w:w="4714" w:type="dxa"/>
            <w:tcBorders>
              <w:top w:val="nil"/>
              <w:left w:val="nil"/>
              <w:bottom w:val="single" w:sz="4" w:space="0" w:color="000000"/>
              <w:right w:val="single" w:sz="4" w:space="0" w:color="000000"/>
            </w:tcBorders>
            <w:shd w:val="clear" w:color="000000" w:fill="BFBFBF"/>
            <w:vAlign w:val="center"/>
            <w:hideMark/>
          </w:tcPr>
          <w:p w14:paraId="40637C93" w14:textId="77777777" w:rsidR="0052630E" w:rsidRPr="0052630E" w:rsidRDefault="0052630E" w:rsidP="00A83CF3">
            <w:pPr>
              <w:keepNext/>
              <w:spacing w:after="0" w:line="240" w:lineRule="auto"/>
              <w:jc w:val="left"/>
              <w:rPr>
                <w:rFonts w:eastAsia="Times New Roman" w:cs="Arial"/>
                <w:b/>
                <w:bCs/>
                <w:sz w:val="20"/>
                <w:szCs w:val="20"/>
                <w:lang w:eastAsia="fr-FR"/>
              </w:rPr>
            </w:pPr>
            <w:r w:rsidRPr="0052630E">
              <w:rPr>
                <w:rFonts w:eastAsia="Times New Roman" w:cs="Arial"/>
                <w:b/>
                <w:bCs/>
                <w:sz w:val="20"/>
                <w:szCs w:val="20"/>
                <w:lang w:eastAsia="fr-FR"/>
              </w:rPr>
              <w:t>Dont Saucissons cuits ou à cuire (sauc. Ail, cervelas, mortadelle)</w:t>
            </w:r>
          </w:p>
        </w:tc>
        <w:tc>
          <w:tcPr>
            <w:tcW w:w="992" w:type="dxa"/>
            <w:tcBorders>
              <w:top w:val="nil"/>
              <w:left w:val="nil"/>
              <w:bottom w:val="single" w:sz="4" w:space="0" w:color="auto"/>
              <w:right w:val="single" w:sz="4" w:space="0" w:color="auto"/>
            </w:tcBorders>
            <w:shd w:val="clear" w:color="000000" w:fill="BFBFBF"/>
            <w:vAlign w:val="center"/>
            <w:hideMark/>
          </w:tcPr>
          <w:p w14:paraId="43AED7D0" w14:textId="7008530A"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41</w:t>
            </w:r>
          </w:p>
        </w:tc>
        <w:tc>
          <w:tcPr>
            <w:tcW w:w="160" w:type="dxa"/>
            <w:tcBorders>
              <w:top w:val="nil"/>
              <w:left w:val="nil"/>
              <w:bottom w:val="nil"/>
              <w:right w:val="nil"/>
            </w:tcBorders>
            <w:shd w:val="clear" w:color="auto" w:fill="auto"/>
            <w:noWrap/>
            <w:vAlign w:val="center"/>
            <w:hideMark/>
          </w:tcPr>
          <w:p w14:paraId="259A1A2F"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auto"/>
              <w:bottom w:val="single" w:sz="4" w:space="0" w:color="auto"/>
              <w:right w:val="single" w:sz="4" w:space="0" w:color="auto"/>
            </w:tcBorders>
            <w:shd w:val="clear" w:color="auto" w:fill="auto"/>
            <w:noWrap/>
            <w:vAlign w:val="center"/>
            <w:hideMark/>
          </w:tcPr>
          <w:p w14:paraId="23EB4BD3"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 </w:t>
            </w:r>
          </w:p>
        </w:tc>
      </w:tr>
      <w:tr w:rsidR="00A0378B" w:rsidRPr="0052630E" w14:paraId="0E070383"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72A754C8"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186C602A"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000000" w:fill="F2F2F2"/>
            <w:vAlign w:val="center"/>
            <w:hideMark/>
          </w:tcPr>
          <w:p w14:paraId="10B1E721" w14:textId="77777777" w:rsidR="0052630E" w:rsidRPr="0052630E" w:rsidRDefault="0052630E" w:rsidP="00A83CF3">
            <w:pPr>
              <w:keepNext/>
              <w:spacing w:after="0" w:line="240" w:lineRule="auto"/>
              <w:jc w:val="right"/>
              <w:rPr>
                <w:rFonts w:eastAsia="Times New Roman" w:cs="Arial"/>
                <w:i/>
                <w:iCs/>
                <w:sz w:val="20"/>
                <w:szCs w:val="20"/>
                <w:u w:val="single"/>
                <w:lang w:eastAsia="fr-FR"/>
              </w:rPr>
            </w:pPr>
            <w:r w:rsidRPr="0052630E">
              <w:rPr>
                <w:rFonts w:eastAsia="Times New Roman" w:cs="Arial"/>
                <w:i/>
                <w:iCs/>
                <w:sz w:val="20"/>
                <w:szCs w:val="20"/>
                <w:u w:val="single"/>
                <w:lang w:eastAsia="fr-FR"/>
              </w:rPr>
              <w:t>Dont Saucissons à base de volaille</w:t>
            </w:r>
          </w:p>
        </w:tc>
        <w:tc>
          <w:tcPr>
            <w:tcW w:w="992" w:type="dxa"/>
            <w:tcBorders>
              <w:top w:val="nil"/>
              <w:left w:val="nil"/>
              <w:bottom w:val="single" w:sz="4" w:space="0" w:color="auto"/>
              <w:right w:val="single" w:sz="4" w:space="0" w:color="auto"/>
            </w:tcBorders>
            <w:shd w:val="clear" w:color="000000" w:fill="F2F2F2"/>
            <w:vAlign w:val="center"/>
            <w:hideMark/>
          </w:tcPr>
          <w:p w14:paraId="13FC957D"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5,2</w:t>
            </w:r>
          </w:p>
        </w:tc>
        <w:tc>
          <w:tcPr>
            <w:tcW w:w="160" w:type="dxa"/>
            <w:tcBorders>
              <w:top w:val="nil"/>
              <w:left w:val="nil"/>
              <w:bottom w:val="nil"/>
              <w:right w:val="nil"/>
            </w:tcBorders>
            <w:shd w:val="clear" w:color="auto" w:fill="auto"/>
            <w:noWrap/>
            <w:vAlign w:val="center"/>
            <w:hideMark/>
          </w:tcPr>
          <w:p w14:paraId="5BFF8E3C"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76008BFB"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61888C36" w14:textId="77777777" w:rsidTr="00AA0773">
        <w:trPr>
          <w:trHeight w:val="480"/>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3E1E7EA6"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p.10.13.14.60</w:t>
            </w:r>
          </w:p>
        </w:tc>
        <w:tc>
          <w:tcPr>
            <w:tcW w:w="1141" w:type="dxa"/>
            <w:tcBorders>
              <w:top w:val="nil"/>
              <w:left w:val="nil"/>
              <w:bottom w:val="single" w:sz="4" w:space="0" w:color="auto"/>
              <w:right w:val="single" w:sz="4" w:space="0" w:color="auto"/>
            </w:tcBorders>
            <w:shd w:val="clear" w:color="000000" w:fill="BFBFBF"/>
            <w:vAlign w:val="center"/>
            <w:hideMark/>
          </w:tcPr>
          <w:p w14:paraId="32ED79C7"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1601 NC 1601.00.10</w:t>
            </w:r>
          </w:p>
        </w:tc>
        <w:tc>
          <w:tcPr>
            <w:tcW w:w="4714" w:type="dxa"/>
            <w:tcBorders>
              <w:top w:val="nil"/>
              <w:left w:val="nil"/>
              <w:bottom w:val="single" w:sz="4" w:space="0" w:color="auto"/>
              <w:right w:val="single" w:sz="4" w:space="0" w:color="auto"/>
            </w:tcBorders>
            <w:shd w:val="clear" w:color="000000" w:fill="BFBFBF"/>
            <w:vAlign w:val="center"/>
            <w:hideMark/>
          </w:tcPr>
          <w:p w14:paraId="5B65881B"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Dont Saucisses cuites ou à cuire</w:t>
            </w:r>
          </w:p>
        </w:tc>
        <w:tc>
          <w:tcPr>
            <w:tcW w:w="992" w:type="dxa"/>
            <w:tcBorders>
              <w:top w:val="nil"/>
              <w:left w:val="nil"/>
              <w:bottom w:val="single" w:sz="4" w:space="0" w:color="auto"/>
              <w:right w:val="single" w:sz="4" w:space="0" w:color="auto"/>
            </w:tcBorders>
            <w:shd w:val="clear" w:color="000000" w:fill="BFBFBF"/>
            <w:vAlign w:val="center"/>
            <w:hideMark/>
          </w:tcPr>
          <w:p w14:paraId="61235237" w14:textId="7DD4A639"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193</w:t>
            </w:r>
          </w:p>
        </w:tc>
        <w:tc>
          <w:tcPr>
            <w:tcW w:w="160" w:type="dxa"/>
            <w:tcBorders>
              <w:top w:val="nil"/>
              <w:left w:val="nil"/>
              <w:bottom w:val="nil"/>
              <w:right w:val="nil"/>
            </w:tcBorders>
            <w:shd w:val="clear" w:color="auto" w:fill="auto"/>
            <w:noWrap/>
            <w:vAlign w:val="center"/>
            <w:hideMark/>
          </w:tcPr>
          <w:p w14:paraId="23160317"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1E814D8B"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529F024D" w14:textId="77777777" w:rsidTr="00AA0773">
        <w:trPr>
          <w:trHeight w:val="27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4E77CEBB"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6542B0FA"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4A8C46E1" w14:textId="3FD7A8C8" w:rsidR="0052630E" w:rsidRPr="0044419E" w:rsidRDefault="0052630E" w:rsidP="00A83CF3">
            <w:pPr>
              <w:keepNext/>
              <w:spacing w:after="0" w:line="240" w:lineRule="auto"/>
              <w:jc w:val="left"/>
              <w:rPr>
                <w:rFonts w:eastAsia="Times New Roman" w:cs="Arial"/>
                <w:i/>
                <w:sz w:val="20"/>
                <w:szCs w:val="20"/>
                <w:u w:val="single"/>
                <w:lang w:eastAsia="fr-FR"/>
              </w:rPr>
            </w:pPr>
            <w:r w:rsidRPr="0044419E">
              <w:rPr>
                <w:rFonts w:eastAsia="Times New Roman" w:cs="Arial"/>
                <w:i/>
                <w:sz w:val="20"/>
                <w:szCs w:val="20"/>
                <w:u w:val="single"/>
                <w:lang w:eastAsia="fr-FR"/>
              </w:rPr>
              <w:t>Dont</w:t>
            </w:r>
            <w:r w:rsidR="00FB012F" w:rsidRPr="0044419E">
              <w:rPr>
                <w:rFonts w:eastAsia="Times New Roman" w:cs="Arial"/>
                <w:i/>
                <w:sz w:val="20"/>
                <w:szCs w:val="20"/>
                <w:u w:val="single"/>
                <w:lang w:eastAsia="fr-FR"/>
              </w:rPr>
              <w:t xml:space="preserve"> </w:t>
            </w:r>
            <w:r w:rsidRPr="0044419E">
              <w:rPr>
                <w:rFonts w:eastAsia="Times New Roman" w:cs="Arial"/>
                <w:i/>
                <w:sz w:val="20"/>
                <w:szCs w:val="20"/>
                <w:u w:val="single"/>
                <w:lang w:eastAsia="fr-FR"/>
              </w:rPr>
              <w:t>Saucisses pâte fine (Strasbourg, Francfort)</w:t>
            </w:r>
          </w:p>
        </w:tc>
        <w:tc>
          <w:tcPr>
            <w:tcW w:w="992" w:type="dxa"/>
            <w:tcBorders>
              <w:top w:val="nil"/>
              <w:left w:val="nil"/>
              <w:bottom w:val="single" w:sz="4" w:space="0" w:color="auto"/>
              <w:right w:val="single" w:sz="4" w:space="0" w:color="auto"/>
            </w:tcBorders>
            <w:shd w:val="clear" w:color="auto" w:fill="auto"/>
            <w:vAlign w:val="center"/>
            <w:hideMark/>
          </w:tcPr>
          <w:p w14:paraId="0287FA56"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104</w:t>
            </w:r>
          </w:p>
        </w:tc>
        <w:tc>
          <w:tcPr>
            <w:tcW w:w="160" w:type="dxa"/>
            <w:tcBorders>
              <w:top w:val="nil"/>
              <w:left w:val="nil"/>
              <w:bottom w:val="nil"/>
              <w:right w:val="nil"/>
            </w:tcBorders>
            <w:shd w:val="clear" w:color="auto" w:fill="auto"/>
            <w:noWrap/>
            <w:vAlign w:val="center"/>
            <w:hideMark/>
          </w:tcPr>
          <w:p w14:paraId="359B6B7E"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267787BC"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43EFED44" w14:textId="77777777" w:rsidTr="00AA0773">
        <w:trPr>
          <w:trHeight w:val="30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392816FE"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5206F201"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6F7EE122" w14:textId="77777777" w:rsidR="0052630E" w:rsidRPr="0044419E" w:rsidRDefault="0052630E" w:rsidP="00A83CF3">
            <w:pPr>
              <w:keepNext/>
              <w:spacing w:after="0" w:line="240" w:lineRule="auto"/>
              <w:jc w:val="right"/>
              <w:rPr>
                <w:rFonts w:eastAsia="Times New Roman" w:cs="Arial"/>
                <w:i/>
                <w:sz w:val="20"/>
                <w:szCs w:val="20"/>
                <w:u w:val="single"/>
                <w:lang w:eastAsia="fr-FR"/>
              </w:rPr>
            </w:pPr>
            <w:r w:rsidRPr="0044419E">
              <w:rPr>
                <w:rFonts w:eastAsia="Times New Roman" w:cs="Arial"/>
                <w:i/>
                <w:sz w:val="20"/>
                <w:szCs w:val="20"/>
                <w:u w:val="single"/>
                <w:lang w:eastAsia="fr-FR"/>
              </w:rPr>
              <w:t>Dont A base de porc</w:t>
            </w:r>
          </w:p>
        </w:tc>
        <w:tc>
          <w:tcPr>
            <w:tcW w:w="992" w:type="dxa"/>
            <w:tcBorders>
              <w:top w:val="nil"/>
              <w:left w:val="nil"/>
              <w:bottom w:val="single" w:sz="4" w:space="0" w:color="auto"/>
              <w:right w:val="single" w:sz="4" w:space="0" w:color="auto"/>
            </w:tcBorders>
            <w:shd w:val="clear" w:color="auto" w:fill="auto"/>
            <w:vAlign w:val="center"/>
            <w:hideMark/>
          </w:tcPr>
          <w:p w14:paraId="718FCE35"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70</w:t>
            </w:r>
          </w:p>
        </w:tc>
        <w:tc>
          <w:tcPr>
            <w:tcW w:w="160" w:type="dxa"/>
            <w:tcBorders>
              <w:top w:val="nil"/>
              <w:left w:val="nil"/>
              <w:bottom w:val="nil"/>
              <w:right w:val="nil"/>
            </w:tcBorders>
            <w:shd w:val="clear" w:color="auto" w:fill="auto"/>
            <w:noWrap/>
            <w:vAlign w:val="center"/>
            <w:hideMark/>
          </w:tcPr>
          <w:p w14:paraId="34E6C702"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146D6608"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01384BC1" w14:textId="77777777" w:rsidTr="00AA0773">
        <w:trPr>
          <w:trHeight w:val="300"/>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666E118F"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27A47C35"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000000" w:fill="F2F2F2"/>
            <w:vAlign w:val="center"/>
            <w:hideMark/>
          </w:tcPr>
          <w:p w14:paraId="6C3DCE40" w14:textId="77777777" w:rsidR="0052630E" w:rsidRPr="0044419E" w:rsidRDefault="0052630E" w:rsidP="00A83CF3">
            <w:pPr>
              <w:keepNext/>
              <w:spacing w:after="0" w:line="240" w:lineRule="auto"/>
              <w:jc w:val="right"/>
              <w:rPr>
                <w:rFonts w:eastAsia="Times New Roman" w:cs="Arial"/>
                <w:i/>
                <w:iCs/>
                <w:sz w:val="20"/>
                <w:szCs w:val="20"/>
                <w:u w:val="single"/>
                <w:lang w:eastAsia="fr-FR"/>
              </w:rPr>
            </w:pPr>
            <w:r w:rsidRPr="0044419E">
              <w:rPr>
                <w:rFonts w:eastAsia="Times New Roman" w:cs="Arial"/>
                <w:i/>
                <w:iCs/>
                <w:sz w:val="20"/>
                <w:szCs w:val="20"/>
                <w:u w:val="single"/>
                <w:lang w:eastAsia="fr-FR"/>
              </w:rPr>
              <w:t>Dont A base de volaille et autres</w:t>
            </w:r>
          </w:p>
        </w:tc>
        <w:tc>
          <w:tcPr>
            <w:tcW w:w="992" w:type="dxa"/>
            <w:tcBorders>
              <w:top w:val="nil"/>
              <w:left w:val="nil"/>
              <w:bottom w:val="single" w:sz="4" w:space="0" w:color="auto"/>
              <w:right w:val="single" w:sz="4" w:space="0" w:color="auto"/>
            </w:tcBorders>
            <w:shd w:val="clear" w:color="000000" w:fill="F2F2F2"/>
            <w:vAlign w:val="center"/>
            <w:hideMark/>
          </w:tcPr>
          <w:p w14:paraId="1A1E54A7"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22,6</w:t>
            </w:r>
          </w:p>
        </w:tc>
        <w:tc>
          <w:tcPr>
            <w:tcW w:w="160" w:type="dxa"/>
            <w:tcBorders>
              <w:top w:val="nil"/>
              <w:left w:val="nil"/>
              <w:bottom w:val="nil"/>
              <w:right w:val="nil"/>
            </w:tcBorders>
            <w:shd w:val="clear" w:color="auto" w:fill="auto"/>
            <w:noWrap/>
            <w:vAlign w:val="center"/>
            <w:hideMark/>
          </w:tcPr>
          <w:p w14:paraId="18A2579F"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27083725"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249FEDD7"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67BEDF43"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2087F75E"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1B2990EA" w14:textId="759ED903" w:rsidR="0052630E" w:rsidRPr="0052630E" w:rsidRDefault="0052630E" w:rsidP="00A83CF3">
            <w:pPr>
              <w:keepNext/>
              <w:spacing w:after="0" w:line="240" w:lineRule="auto"/>
              <w:jc w:val="left"/>
              <w:rPr>
                <w:rFonts w:eastAsia="Times New Roman" w:cs="Arial"/>
                <w:sz w:val="20"/>
                <w:szCs w:val="20"/>
                <w:lang w:eastAsia="fr-FR"/>
              </w:rPr>
            </w:pPr>
            <w:r w:rsidRPr="0052630E">
              <w:rPr>
                <w:rFonts w:eastAsia="Times New Roman" w:cs="Arial"/>
                <w:sz w:val="20"/>
                <w:szCs w:val="20"/>
                <w:lang w:eastAsia="fr-FR"/>
              </w:rPr>
              <w:t xml:space="preserve">Dont Saucisses à gros hachage </w:t>
            </w:r>
            <w:r w:rsidR="00237294">
              <w:rPr>
                <w:rFonts w:eastAsia="Times New Roman" w:cs="Arial"/>
                <w:sz w:val="20"/>
                <w:szCs w:val="20"/>
                <w:lang w:eastAsia="fr-FR"/>
              </w:rPr>
              <w:t xml:space="preserve">(Morteau, </w:t>
            </w:r>
            <w:r w:rsidR="00DC03B7">
              <w:rPr>
                <w:rFonts w:eastAsia="Times New Roman" w:cs="Arial"/>
                <w:sz w:val="20"/>
                <w:szCs w:val="20"/>
                <w:lang w:eastAsia="fr-FR"/>
              </w:rPr>
              <w:t>Toulouse</w:t>
            </w:r>
            <w:r w:rsidR="0044419E">
              <w:rPr>
                <w:rFonts w:eastAsia="Times New Roman" w:cs="Arial"/>
                <w:sz w:val="20"/>
                <w:szCs w:val="20"/>
                <w:lang w:eastAsia="fr-FR"/>
              </w:rPr>
              <w:t xml:space="preserve">, </w:t>
            </w:r>
            <w:r w:rsidR="00DC03B7">
              <w:rPr>
                <w:rFonts w:eastAsia="Times New Roman" w:cs="Arial"/>
                <w:sz w:val="20"/>
                <w:szCs w:val="20"/>
                <w:lang w:eastAsia="fr-FR"/>
              </w:rPr>
              <w:t>...</w:t>
            </w:r>
            <w:r w:rsidR="00237294">
              <w:rPr>
                <w:rFonts w:eastAsia="Times New Roman" w:cs="Arial"/>
                <w:sz w:val="20"/>
                <w:szCs w:val="20"/>
                <w:lang w:eastAsia="fr-FR"/>
              </w:rPr>
              <w:t>)</w:t>
            </w:r>
          </w:p>
        </w:tc>
        <w:tc>
          <w:tcPr>
            <w:tcW w:w="992" w:type="dxa"/>
            <w:tcBorders>
              <w:top w:val="nil"/>
              <w:left w:val="nil"/>
              <w:bottom w:val="single" w:sz="4" w:space="0" w:color="auto"/>
              <w:right w:val="single" w:sz="4" w:space="0" w:color="auto"/>
            </w:tcBorders>
            <w:shd w:val="clear" w:color="auto" w:fill="auto"/>
            <w:vAlign w:val="center"/>
            <w:hideMark/>
          </w:tcPr>
          <w:p w14:paraId="24A92A97"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89</w:t>
            </w:r>
          </w:p>
        </w:tc>
        <w:tc>
          <w:tcPr>
            <w:tcW w:w="160" w:type="dxa"/>
            <w:tcBorders>
              <w:top w:val="nil"/>
              <w:left w:val="nil"/>
              <w:bottom w:val="nil"/>
              <w:right w:val="nil"/>
            </w:tcBorders>
            <w:shd w:val="clear" w:color="auto" w:fill="auto"/>
            <w:noWrap/>
            <w:vAlign w:val="center"/>
            <w:hideMark/>
          </w:tcPr>
          <w:p w14:paraId="08D3A492"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3A5D33FB"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2863953A"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5F2CD3EB"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55CABD87"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auto" w:fill="auto"/>
            <w:vAlign w:val="center"/>
            <w:hideMark/>
          </w:tcPr>
          <w:p w14:paraId="5DD5D81B" w14:textId="6E275888" w:rsidR="0052630E" w:rsidRPr="0044419E" w:rsidRDefault="0052630E" w:rsidP="00A83CF3">
            <w:pPr>
              <w:keepNext/>
              <w:spacing w:after="0" w:line="240" w:lineRule="auto"/>
              <w:jc w:val="right"/>
              <w:rPr>
                <w:rFonts w:eastAsia="Times New Roman" w:cs="Arial"/>
                <w:i/>
                <w:sz w:val="20"/>
                <w:szCs w:val="20"/>
                <w:u w:val="single"/>
                <w:lang w:eastAsia="fr-FR"/>
              </w:rPr>
            </w:pPr>
            <w:r w:rsidRPr="0044419E">
              <w:rPr>
                <w:rFonts w:eastAsia="Times New Roman" w:cs="Arial"/>
                <w:i/>
                <w:sz w:val="20"/>
                <w:szCs w:val="20"/>
                <w:u w:val="single"/>
                <w:lang w:eastAsia="fr-FR"/>
              </w:rPr>
              <w:t xml:space="preserve">Dont saucisse fraîche (chipolatas, chair à </w:t>
            </w:r>
            <w:r w:rsidR="00DC03B7" w:rsidRPr="0044419E">
              <w:rPr>
                <w:rFonts w:eastAsia="Times New Roman" w:cs="Arial"/>
                <w:i/>
                <w:sz w:val="20"/>
                <w:szCs w:val="20"/>
                <w:u w:val="single"/>
                <w:lang w:eastAsia="fr-FR"/>
              </w:rPr>
              <w:t>saucisses...</w:t>
            </w:r>
            <w:r w:rsidRPr="0044419E">
              <w:rPr>
                <w:rFonts w:eastAsia="Times New Roman" w:cs="Arial"/>
                <w:i/>
                <w:sz w:val="20"/>
                <w:szCs w:val="20"/>
                <w:u w:val="single"/>
                <w:lang w:eastAsia="fr-FR"/>
              </w:rPr>
              <w:t>)</w:t>
            </w:r>
          </w:p>
        </w:tc>
        <w:tc>
          <w:tcPr>
            <w:tcW w:w="992" w:type="dxa"/>
            <w:tcBorders>
              <w:top w:val="nil"/>
              <w:left w:val="nil"/>
              <w:bottom w:val="single" w:sz="4" w:space="0" w:color="auto"/>
              <w:right w:val="single" w:sz="4" w:space="0" w:color="auto"/>
            </w:tcBorders>
            <w:shd w:val="clear" w:color="auto" w:fill="auto"/>
            <w:vAlign w:val="center"/>
            <w:hideMark/>
          </w:tcPr>
          <w:p w14:paraId="6FD06B82" w14:textId="575DDC34" w:rsidR="0052630E" w:rsidRPr="0052630E" w:rsidRDefault="0044419E" w:rsidP="00A83CF3">
            <w:pPr>
              <w:keepNext/>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29</w:t>
            </w:r>
          </w:p>
        </w:tc>
        <w:tc>
          <w:tcPr>
            <w:tcW w:w="160" w:type="dxa"/>
            <w:tcBorders>
              <w:top w:val="nil"/>
              <w:left w:val="nil"/>
              <w:bottom w:val="nil"/>
              <w:right w:val="nil"/>
            </w:tcBorders>
            <w:shd w:val="clear" w:color="auto" w:fill="auto"/>
            <w:noWrap/>
            <w:vAlign w:val="center"/>
            <w:hideMark/>
          </w:tcPr>
          <w:p w14:paraId="29B9430E"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434E280F"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11469C" w:rsidRPr="0052630E" w14:paraId="66E903D1"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tcPr>
          <w:p w14:paraId="5942BC4B" w14:textId="77777777" w:rsidR="0011469C" w:rsidRPr="0052630E" w:rsidRDefault="0011469C" w:rsidP="00A83CF3">
            <w:pPr>
              <w:keepNext/>
              <w:spacing w:after="0" w:line="240" w:lineRule="auto"/>
              <w:jc w:val="left"/>
              <w:rPr>
                <w:rFonts w:ascii="Times New Roman" w:eastAsia="Times New Roman" w:hAnsi="Times New Roman" w:cs="Times New Roman"/>
                <w:color w:val="000000"/>
                <w:sz w:val="20"/>
                <w:szCs w:val="20"/>
                <w:lang w:eastAsia="fr-FR"/>
              </w:rPr>
            </w:pPr>
          </w:p>
        </w:tc>
        <w:tc>
          <w:tcPr>
            <w:tcW w:w="1141" w:type="dxa"/>
            <w:tcBorders>
              <w:top w:val="nil"/>
              <w:left w:val="nil"/>
              <w:bottom w:val="single" w:sz="4" w:space="0" w:color="000000"/>
              <w:right w:val="single" w:sz="4" w:space="0" w:color="000000"/>
            </w:tcBorders>
            <w:shd w:val="clear" w:color="auto" w:fill="auto"/>
            <w:vAlign w:val="center"/>
          </w:tcPr>
          <w:p w14:paraId="703E73DE" w14:textId="77777777" w:rsidR="0011469C" w:rsidRPr="0052630E" w:rsidRDefault="0011469C" w:rsidP="00A83CF3">
            <w:pPr>
              <w:keepNext/>
              <w:spacing w:after="0" w:line="240" w:lineRule="auto"/>
              <w:jc w:val="left"/>
              <w:rPr>
                <w:rFonts w:ascii="Calibri" w:eastAsia="Times New Roman" w:hAnsi="Calibri" w:cs="Calibri"/>
                <w:color w:val="000000"/>
                <w:sz w:val="20"/>
                <w:szCs w:val="20"/>
                <w:lang w:eastAsia="fr-FR"/>
              </w:rPr>
            </w:pPr>
          </w:p>
        </w:tc>
        <w:tc>
          <w:tcPr>
            <w:tcW w:w="4714" w:type="dxa"/>
            <w:tcBorders>
              <w:top w:val="nil"/>
              <w:left w:val="nil"/>
              <w:bottom w:val="single" w:sz="4" w:space="0" w:color="000000"/>
              <w:right w:val="single" w:sz="4" w:space="0" w:color="000000"/>
            </w:tcBorders>
            <w:shd w:val="clear" w:color="000000" w:fill="F2F2F2"/>
            <w:vAlign w:val="center"/>
          </w:tcPr>
          <w:p w14:paraId="26EFF7B2" w14:textId="441E3203" w:rsidR="0011469C" w:rsidRPr="0044419E" w:rsidRDefault="0044419E" w:rsidP="00A83CF3">
            <w:pPr>
              <w:keepNext/>
              <w:spacing w:after="0" w:line="240" w:lineRule="auto"/>
              <w:jc w:val="right"/>
              <w:rPr>
                <w:rFonts w:eastAsia="Times New Roman" w:cs="Arial"/>
                <w:i/>
                <w:iCs/>
                <w:sz w:val="20"/>
                <w:szCs w:val="20"/>
                <w:u w:val="single"/>
                <w:lang w:eastAsia="fr-FR"/>
              </w:rPr>
            </w:pPr>
            <w:r w:rsidRPr="0044419E">
              <w:rPr>
                <w:rFonts w:eastAsia="Times New Roman" w:cs="Arial"/>
                <w:i/>
                <w:iCs/>
                <w:sz w:val="20"/>
                <w:szCs w:val="20"/>
                <w:u w:val="single"/>
                <w:lang w:eastAsia="fr-FR"/>
              </w:rPr>
              <w:t xml:space="preserve">Dont merguez </w:t>
            </w:r>
          </w:p>
        </w:tc>
        <w:tc>
          <w:tcPr>
            <w:tcW w:w="992" w:type="dxa"/>
            <w:tcBorders>
              <w:top w:val="nil"/>
              <w:left w:val="nil"/>
              <w:bottom w:val="single" w:sz="4" w:space="0" w:color="auto"/>
              <w:right w:val="single" w:sz="4" w:space="0" w:color="auto"/>
            </w:tcBorders>
            <w:shd w:val="clear" w:color="000000" w:fill="F2F2F2"/>
            <w:vAlign w:val="center"/>
          </w:tcPr>
          <w:p w14:paraId="5EFE3ECE" w14:textId="7ADB71ED" w:rsidR="0011469C" w:rsidRPr="0052630E" w:rsidRDefault="0044419E" w:rsidP="00A83CF3">
            <w:pPr>
              <w:keepNext/>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19</w:t>
            </w:r>
          </w:p>
        </w:tc>
        <w:tc>
          <w:tcPr>
            <w:tcW w:w="160" w:type="dxa"/>
            <w:tcBorders>
              <w:top w:val="nil"/>
              <w:left w:val="nil"/>
              <w:bottom w:val="nil"/>
              <w:right w:val="nil"/>
            </w:tcBorders>
            <w:shd w:val="clear" w:color="auto" w:fill="auto"/>
            <w:noWrap/>
            <w:vAlign w:val="center"/>
          </w:tcPr>
          <w:p w14:paraId="5ABC4831" w14:textId="77777777" w:rsidR="0011469C" w:rsidRPr="0052630E" w:rsidRDefault="0011469C"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tcPr>
          <w:p w14:paraId="042A5419" w14:textId="77777777" w:rsidR="0011469C" w:rsidRPr="0052630E" w:rsidRDefault="0011469C" w:rsidP="00A83CF3">
            <w:pPr>
              <w:keepNext/>
              <w:spacing w:after="0" w:line="240" w:lineRule="auto"/>
              <w:jc w:val="center"/>
              <w:rPr>
                <w:rFonts w:eastAsia="Times New Roman" w:cs="Arial"/>
                <w:b/>
                <w:bCs/>
                <w:sz w:val="20"/>
                <w:szCs w:val="20"/>
                <w:lang w:eastAsia="fr-FR"/>
              </w:rPr>
            </w:pPr>
          </w:p>
        </w:tc>
      </w:tr>
      <w:tr w:rsidR="00A0378B" w:rsidRPr="0052630E" w14:paraId="33067DDC" w14:textId="77777777" w:rsidTr="00AA0773">
        <w:trPr>
          <w:trHeight w:val="255"/>
        </w:trPr>
        <w:tc>
          <w:tcPr>
            <w:tcW w:w="1370" w:type="dxa"/>
            <w:tcBorders>
              <w:top w:val="nil"/>
              <w:left w:val="single" w:sz="4" w:space="0" w:color="000000"/>
              <w:bottom w:val="single" w:sz="4" w:space="0" w:color="000000"/>
              <w:right w:val="single" w:sz="4" w:space="0" w:color="000000"/>
            </w:tcBorders>
            <w:shd w:val="clear" w:color="auto" w:fill="auto"/>
            <w:vAlign w:val="center"/>
            <w:hideMark/>
          </w:tcPr>
          <w:p w14:paraId="0F609A61" w14:textId="77777777" w:rsidR="0052630E" w:rsidRPr="0052630E" w:rsidRDefault="0052630E" w:rsidP="00A83CF3">
            <w:pPr>
              <w:keepNext/>
              <w:spacing w:after="0" w:line="240" w:lineRule="auto"/>
              <w:jc w:val="left"/>
              <w:rPr>
                <w:rFonts w:ascii="Times New Roman" w:eastAsia="Times New Roman" w:hAnsi="Times New Roman" w:cs="Times New Roman"/>
                <w:color w:val="000000"/>
                <w:sz w:val="20"/>
                <w:szCs w:val="20"/>
                <w:lang w:eastAsia="fr-FR"/>
              </w:rPr>
            </w:pPr>
            <w:r w:rsidRPr="0052630E">
              <w:rPr>
                <w:rFonts w:ascii="Times New Roman" w:eastAsia="Times New Roman" w:hAnsi="Times New Roman" w:cs="Times New Roman"/>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080F3995" w14:textId="77777777" w:rsidR="0052630E" w:rsidRPr="0052630E" w:rsidRDefault="0052630E" w:rsidP="00A83CF3">
            <w:pPr>
              <w:keepNext/>
              <w:spacing w:after="0" w:line="240" w:lineRule="auto"/>
              <w:jc w:val="left"/>
              <w:rPr>
                <w:rFonts w:ascii="Calibri" w:eastAsia="Times New Roman" w:hAnsi="Calibri" w:cs="Calibri"/>
                <w:color w:val="000000"/>
                <w:sz w:val="20"/>
                <w:szCs w:val="20"/>
                <w:lang w:eastAsia="fr-FR"/>
              </w:rPr>
            </w:pPr>
            <w:r w:rsidRPr="0052630E">
              <w:rPr>
                <w:rFonts w:ascii="Calibri" w:eastAsia="Times New Roman" w:hAnsi="Calibri" w:cs="Calibri"/>
                <w:color w:val="000000"/>
                <w:sz w:val="20"/>
                <w:szCs w:val="20"/>
                <w:lang w:eastAsia="fr-FR"/>
              </w:rPr>
              <w:t> </w:t>
            </w:r>
          </w:p>
        </w:tc>
        <w:tc>
          <w:tcPr>
            <w:tcW w:w="4714" w:type="dxa"/>
            <w:tcBorders>
              <w:top w:val="nil"/>
              <w:left w:val="nil"/>
              <w:bottom w:val="single" w:sz="4" w:space="0" w:color="000000"/>
              <w:right w:val="single" w:sz="4" w:space="0" w:color="000000"/>
            </w:tcBorders>
            <w:shd w:val="clear" w:color="000000" w:fill="F2F2F2"/>
            <w:vAlign w:val="center"/>
            <w:hideMark/>
          </w:tcPr>
          <w:p w14:paraId="4B20C166" w14:textId="77777777" w:rsidR="0052630E" w:rsidRPr="0044419E" w:rsidRDefault="0052630E" w:rsidP="00A83CF3">
            <w:pPr>
              <w:keepNext/>
              <w:spacing w:after="0" w:line="240" w:lineRule="auto"/>
              <w:jc w:val="right"/>
              <w:rPr>
                <w:rFonts w:eastAsia="Times New Roman" w:cs="Arial"/>
                <w:i/>
                <w:iCs/>
                <w:sz w:val="20"/>
                <w:szCs w:val="20"/>
                <w:u w:val="single"/>
                <w:lang w:eastAsia="fr-FR"/>
              </w:rPr>
            </w:pPr>
            <w:r w:rsidRPr="0044419E">
              <w:rPr>
                <w:rFonts w:eastAsia="Times New Roman" w:cs="Arial"/>
                <w:i/>
                <w:iCs/>
                <w:sz w:val="20"/>
                <w:szCs w:val="20"/>
                <w:u w:val="single"/>
                <w:lang w:eastAsia="fr-FR"/>
              </w:rPr>
              <w:t>Dont Saucisses à base de volaille et autres</w:t>
            </w:r>
          </w:p>
        </w:tc>
        <w:tc>
          <w:tcPr>
            <w:tcW w:w="992" w:type="dxa"/>
            <w:tcBorders>
              <w:top w:val="nil"/>
              <w:left w:val="nil"/>
              <w:bottom w:val="single" w:sz="4" w:space="0" w:color="auto"/>
              <w:right w:val="single" w:sz="4" w:space="0" w:color="auto"/>
            </w:tcBorders>
            <w:shd w:val="clear" w:color="000000" w:fill="F2F2F2"/>
            <w:vAlign w:val="center"/>
            <w:hideMark/>
          </w:tcPr>
          <w:p w14:paraId="42A84FB4" w14:textId="77777777" w:rsidR="0052630E" w:rsidRPr="0052630E" w:rsidRDefault="0052630E" w:rsidP="00A83CF3">
            <w:pPr>
              <w:keepNext/>
              <w:spacing w:after="0" w:line="240" w:lineRule="auto"/>
              <w:jc w:val="center"/>
              <w:rPr>
                <w:rFonts w:eastAsia="Times New Roman" w:cs="Arial"/>
                <w:color w:val="000000"/>
                <w:sz w:val="20"/>
                <w:szCs w:val="20"/>
                <w:lang w:eastAsia="fr-FR"/>
              </w:rPr>
            </w:pPr>
            <w:r w:rsidRPr="0052630E">
              <w:rPr>
                <w:rFonts w:eastAsia="Times New Roman" w:cs="Arial"/>
                <w:color w:val="000000"/>
                <w:sz w:val="20"/>
                <w:szCs w:val="20"/>
                <w:lang w:eastAsia="fr-FR"/>
              </w:rPr>
              <w:t>0,6</w:t>
            </w:r>
          </w:p>
        </w:tc>
        <w:tc>
          <w:tcPr>
            <w:tcW w:w="160" w:type="dxa"/>
            <w:tcBorders>
              <w:top w:val="nil"/>
              <w:left w:val="nil"/>
              <w:bottom w:val="nil"/>
              <w:right w:val="nil"/>
            </w:tcBorders>
            <w:shd w:val="clear" w:color="auto" w:fill="auto"/>
            <w:noWrap/>
            <w:vAlign w:val="center"/>
            <w:hideMark/>
          </w:tcPr>
          <w:p w14:paraId="4E068A93" w14:textId="77777777" w:rsidR="0052630E" w:rsidRPr="0052630E" w:rsidRDefault="0052630E" w:rsidP="00A83CF3">
            <w:pPr>
              <w:keepNext/>
              <w:spacing w:after="0" w:line="240" w:lineRule="auto"/>
              <w:jc w:val="center"/>
              <w:rPr>
                <w:rFonts w:eastAsia="Times New Roman" w:cs="Arial"/>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6BFF0F9A"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55AAFB36" w14:textId="77777777" w:rsidTr="00AA0773">
        <w:trPr>
          <w:trHeight w:val="600"/>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1B171E97"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p.10.13.14.60</w:t>
            </w:r>
          </w:p>
        </w:tc>
        <w:tc>
          <w:tcPr>
            <w:tcW w:w="1141" w:type="dxa"/>
            <w:tcBorders>
              <w:top w:val="nil"/>
              <w:left w:val="nil"/>
              <w:bottom w:val="single" w:sz="4" w:space="0" w:color="auto"/>
              <w:right w:val="single" w:sz="4" w:space="0" w:color="auto"/>
            </w:tcBorders>
            <w:shd w:val="clear" w:color="000000" w:fill="BFBFBF"/>
            <w:vAlign w:val="center"/>
            <w:hideMark/>
          </w:tcPr>
          <w:p w14:paraId="60FD4D23"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1601 NC 1601.00.10</w:t>
            </w:r>
          </w:p>
        </w:tc>
        <w:tc>
          <w:tcPr>
            <w:tcW w:w="4714" w:type="dxa"/>
            <w:tcBorders>
              <w:top w:val="nil"/>
              <w:left w:val="nil"/>
              <w:bottom w:val="single" w:sz="4" w:space="0" w:color="auto"/>
              <w:right w:val="single" w:sz="4" w:space="0" w:color="auto"/>
            </w:tcBorders>
            <w:shd w:val="clear" w:color="000000" w:fill="BFBFBF"/>
            <w:vAlign w:val="center"/>
            <w:hideMark/>
          </w:tcPr>
          <w:p w14:paraId="70852016"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Dont Andouilles, andouillettes, boudins</w:t>
            </w:r>
          </w:p>
        </w:tc>
        <w:tc>
          <w:tcPr>
            <w:tcW w:w="992" w:type="dxa"/>
            <w:tcBorders>
              <w:top w:val="nil"/>
              <w:left w:val="nil"/>
              <w:bottom w:val="single" w:sz="4" w:space="0" w:color="auto"/>
              <w:right w:val="single" w:sz="4" w:space="0" w:color="auto"/>
            </w:tcBorders>
            <w:shd w:val="clear" w:color="000000" w:fill="BFBFBF"/>
            <w:vAlign w:val="center"/>
            <w:hideMark/>
          </w:tcPr>
          <w:p w14:paraId="3E2CED2B" w14:textId="24155402"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39</w:t>
            </w:r>
          </w:p>
        </w:tc>
        <w:tc>
          <w:tcPr>
            <w:tcW w:w="160" w:type="dxa"/>
            <w:tcBorders>
              <w:top w:val="nil"/>
              <w:left w:val="nil"/>
              <w:bottom w:val="nil"/>
              <w:right w:val="nil"/>
            </w:tcBorders>
            <w:shd w:val="clear" w:color="auto" w:fill="auto"/>
            <w:noWrap/>
            <w:vAlign w:val="center"/>
            <w:hideMark/>
          </w:tcPr>
          <w:p w14:paraId="5C936A27"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1E5C4AB6"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7A8F266C" w14:textId="77777777" w:rsidTr="00AA0773">
        <w:trPr>
          <w:trHeight w:val="375"/>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1B743151"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 xml:space="preserve">p.10.13.14.60 </w:t>
            </w:r>
          </w:p>
        </w:tc>
        <w:tc>
          <w:tcPr>
            <w:tcW w:w="1141" w:type="dxa"/>
            <w:tcBorders>
              <w:top w:val="nil"/>
              <w:left w:val="nil"/>
              <w:bottom w:val="single" w:sz="4" w:space="0" w:color="auto"/>
              <w:right w:val="single" w:sz="4" w:space="0" w:color="auto"/>
            </w:tcBorders>
            <w:shd w:val="clear" w:color="000000" w:fill="BFBFBF"/>
            <w:vAlign w:val="center"/>
            <w:hideMark/>
          </w:tcPr>
          <w:p w14:paraId="5394BD14"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1601.00.9a</w:t>
            </w:r>
          </w:p>
        </w:tc>
        <w:tc>
          <w:tcPr>
            <w:tcW w:w="4714" w:type="dxa"/>
            <w:tcBorders>
              <w:top w:val="nil"/>
              <w:left w:val="nil"/>
              <w:bottom w:val="single" w:sz="4" w:space="0" w:color="auto"/>
              <w:right w:val="single" w:sz="4" w:space="0" w:color="auto"/>
            </w:tcBorders>
            <w:shd w:val="clear" w:color="000000" w:fill="BFBFBF"/>
            <w:vAlign w:val="center"/>
            <w:hideMark/>
          </w:tcPr>
          <w:p w14:paraId="0C267B24"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Dont Saucisses et saucissons non cuits</w:t>
            </w:r>
          </w:p>
        </w:tc>
        <w:tc>
          <w:tcPr>
            <w:tcW w:w="992" w:type="dxa"/>
            <w:tcBorders>
              <w:top w:val="nil"/>
              <w:left w:val="nil"/>
              <w:bottom w:val="single" w:sz="4" w:space="0" w:color="auto"/>
              <w:right w:val="single" w:sz="4" w:space="0" w:color="auto"/>
            </w:tcBorders>
            <w:shd w:val="clear" w:color="000000" w:fill="BFBFBF"/>
            <w:vAlign w:val="center"/>
            <w:hideMark/>
          </w:tcPr>
          <w:p w14:paraId="3B4EC382" w14:textId="2624E85A"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71</w:t>
            </w:r>
          </w:p>
        </w:tc>
        <w:tc>
          <w:tcPr>
            <w:tcW w:w="160" w:type="dxa"/>
            <w:tcBorders>
              <w:top w:val="nil"/>
              <w:left w:val="nil"/>
              <w:bottom w:val="nil"/>
              <w:right w:val="nil"/>
            </w:tcBorders>
            <w:shd w:val="clear" w:color="auto" w:fill="auto"/>
            <w:noWrap/>
            <w:vAlign w:val="center"/>
            <w:hideMark/>
          </w:tcPr>
          <w:p w14:paraId="57AF2B3E"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761ABB44"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r w:rsidR="00A0378B" w:rsidRPr="0052630E" w14:paraId="6F69EAF6" w14:textId="77777777" w:rsidTr="00AA0773">
        <w:trPr>
          <w:trHeight w:val="390"/>
        </w:trPr>
        <w:tc>
          <w:tcPr>
            <w:tcW w:w="1370" w:type="dxa"/>
            <w:tcBorders>
              <w:top w:val="nil"/>
              <w:left w:val="single" w:sz="4" w:space="0" w:color="auto"/>
              <w:bottom w:val="single" w:sz="4" w:space="0" w:color="auto"/>
              <w:right w:val="single" w:sz="4" w:space="0" w:color="auto"/>
            </w:tcBorders>
            <w:shd w:val="clear" w:color="000000" w:fill="BFBFBF"/>
            <w:vAlign w:val="center"/>
            <w:hideMark/>
          </w:tcPr>
          <w:p w14:paraId="60C1EDDA"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10.13.14.30</w:t>
            </w:r>
          </w:p>
        </w:tc>
        <w:tc>
          <w:tcPr>
            <w:tcW w:w="1141" w:type="dxa"/>
            <w:tcBorders>
              <w:top w:val="nil"/>
              <w:left w:val="nil"/>
              <w:bottom w:val="single" w:sz="4" w:space="0" w:color="auto"/>
              <w:right w:val="single" w:sz="4" w:space="0" w:color="auto"/>
            </w:tcBorders>
            <w:shd w:val="clear" w:color="000000" w:fill="BFBFBF"/>
            <w:vAlign w:val="center"/>
            <w:hideMark/>
          </w:tcPr>
          <w:p w14:paraId="0ACE9E56" w14:textId="77777777" w:rsidR="0052630E" w:rsidRPr="0052630E" w:rsidRDefault="0052630E" w:rsidP="00A83CF3">
            <w:pPr>
              <w:keepNext/>
              <w:spacing w:after="0" w:line="240" w:lineRule="auto"/>
              <w:jc w:val="left"/>
              <w:rPr>
                <w:rFonts w:eastAsia="Times New Roman" w:cs="Arial"/>
                <w:color w:val="000000"/>
                <w:sz w:val="20"/>
                <w:szCs w:val="20"/>
                <w:lang w:eastAsia="fr-FR"/>
              </w:rPr>
            </w:pPr>
            <w:r w:rsidRPr="0052630E">
              <w:rPr>
                <w:rFonts w:eastAsia="Times New Roman" w:cs="Arial"/>
                <w:color w:val="000000"/>
                <w:sz w:val="20"/>
                <w:szCs w:val="20"/>
                <w:lang w:eastAsia="fr-FR"/>
              </w:rPr>
              <w:t>1601.00.10</w:t>
            </w:r>
          </w:p>
        </w:tc>
        <w:tc>
          <w:tcPr>
            <w:tcW w:w="4714" w:type="dxa"/>
            <w:tcBorders>
              <w:top w:val="nil"/>
              <w:left w:val="nil"/>
              <w:bottom w:val="single" w:sz="4" w:space="0" w:color="auto"/>
              <w:right w:val="single" w:sz="4" w:space="0" w:color="auto"/>
            </w:tcBorders>
            <w:shd w:val="clear" w:color="000000" w:fill="BFBFBF"/>
            <w:vAlign w:val="center"/>
            <w:hideMark/>
          </w:tcPr>
          <w:p w14:paraId="339D106D" w14:textId="77777777" w:rsidR="0052630E" w:rsidRPr="0052630E" w:rsidRDefault="0052630E" w:rsidP="00A83CF3">
            <w:pPr>
              <w:keepNext/>
              <w:spacing w:after="0" w:line="240" w:lineRule="auto"/>
              <w:jc w:val="left"/>
              <w:rPr>
                <w:rFonts w:eastAsia="Times New Roman" w:cs="Arial"/>
                <w:b/>
                <w:bCs/>
                <w:color w:val="000000"/>
                <w:sz w:val="20"/>
                <w:szCs w:val="20"/>
                <w:lang w:eastAsia="fr-FR"/>
              </w:rPr>
            </w:pPr>
            <w:r w:rsidRPr="0052630E">
              <w:rPr>
                <w:rFonts w:eastAsia="Times New Roman" w:cs="Arial"/>
                <w:b/>
                <w:bCs/>
                <w:color w:val="000000"/>
                <w:sz w:val="20"/>
                <w:szCs w:val="20"/>
                <w:lang w:eastAsia="fr-FR"/>
              </w:rPr>
              <w:t xml:space="preserve">Dont Saucisses et saucissons de foie </w:t>
            </w:r>
          </w:p>
        </w:tc>
        <w:tc>
          <w:tcPr>
            <w:tcW w:w="992" w:type="dxa"/>
            <w:tcBorders>
              <w:top w:val="nil"/>
              <w:left w:val="nil"/>
              <w:bottom w:val="single" w:sz="4" w:space="0" w:color="auto"/>
              <w:right w:val="single" w:sz="4" w:space="0" w:color="auto"/>
            </w:tcBorders>
            <w:shd w:val="clear" w:color="000000" w:fill="BFBFBF"/>
            <w:vAlign w:val="center"/>
            <w:hideMark/>
          </w:tcPr>
          <w:p w14:paraId="2B8BEE81" w14:textId="1837735A" w:rsidR="0052630E" w:rsidRPr="0052630E" w:rsidRDefault="0052630E" w:rsidP="00A83CF3">
            <w:pPr>
              <w:keepNext/>
              <w:spacing w:after="0" w:line="240" w:lineRule="auto"/>
              <w:jc w:val="center"/>
              <w:rPr>
                <w:rFonts w:eastAsia="Times New Roman" w:cs="Arial"/>
                <w:b/>
                <w:bCs/>
                <w:color w:val="000000"/>
                <w:sz w:val="20"/>
                <w:szCs w:val="20"/>
                <w:lang w:eastAsia="fr-FR"/>
              </w:rPr>
            </w:pPr>
            <w:r w:rsidRPr="0052630E">
              <w:rPr>
                <w:rFonts w:eastAsia="Times New Roman" w:cs="Arial"/>
                <w:b/>
                <w:bCs/>
                <w:color w:val="000000"/>
                <w:sz w:val="20"/>
                <w:szCs w:val="20"/>
                <w:lang w:eastAsia="fr-FR"/>
              </w:rPr>
              <w:t>1</w:t>
            </w:r>
          </w:p>
        </w:tc>
        <w:tc>
          <w:tcPr>
            <w:tcW w:w="160" w:type="dxa"/>
            <w:tcBorders>
              <w:top w:val="nil"/>
              <w:left w:val="nil"/>
              <w:bottom w:val="nil"/>
              <w:right w:val="nil"/>
            </w:tcBorders>
            <w:shd w:val="clear" w:color="auto" w:fill="auto"/>
            <w:noWrap/>
            <w:vAlign w:val="center"/>
            <w:hideMark/>
          </w:tcPr>
          <w:p w14:paraId="32499A97" w14:textId="77777777" w:rsidR="0052630E" w:rsidRPr="0052630E" w:rsidRDefault="0052630E" w:rsidP="00A83CF3">
            <w:pPr>
              <w:keepNext/>
              <w:spacing w:after="0" w:line="240" w:lineRule="auto"/>
              <w:jc w:val="center"/>
              <w:rPr>
                <w:rFonts w:eastAsia="Times New Roman" w:cs="Arial"/>
                <w:b/>
                <w:bCs/>
                <w:color w:val="000000"/>
                <w:sz w:val="20"/>
                <w:szCs w:val="20"/>
                <w:lang w:eastAsia="fr-FR"/>
              </w:rPr>
            </w:pPr>
          </w:p>
        </w:tc>
        <w:tc>
          <w:tcPr>
            <w:tcW w:w="974" w:type="dxa"/>
            <w:tcBorders>
              <w:top w:val="nil"/>
              <w:left w:val="single" w:sz="4" w:space="0" w:color="000000"/>
              <w:bottom w:val="single" w:sz="4" w:space="0" w:color="000000"/>
              <w:right w:val="single" w:sz="4" w:space="0" w:color="000000"/>
            </w:tcBorders>
            <w:shd w:val="clear" w:color="auto" w:fill="auto"/>
            <w:vAlign w:val="center"/>
            <w:hideMark/>
          </w:tcPr>
          <w:p w14:paraId="4CBC5085" w14:textId="77777777" w:rsidR="0052630E" w:rsidRPr="0052630E" w:rsidRDefault="0052630E" w:rsidP="00A83CF3">
            <w:pPr>
              <w:keepNext/>
              <w:spacing w:after="0" w:line="240" w:lineRule="auto"/>
              <w:jc w:val="center"/>
              <w:rPr>
                <w:rFonts w:eastAsia="Times New Roman" w:cs="Arial"/>
                <w:b/>
                <w:bCs/>
                <w:sz w:val="20"/>
                <w:szCs w:val="20"/>
                <w:lang w:eastAsia="fr-FR"/>
              </w:rPr>
            </w:pPr>
            <w:r w:rsidRPr="0052630E">
              <w:rPr>
                <w:rFonts w:eastAsia="Times New Roman" w:cs="Arial"/>
                <w:b/>
                <w:bCs/>
                <w:sz w:val="20"/>
                <w:szCs w:val="20"/>
                <w:lang w:eastAsia="fr-FR"/>
              </w:rPr>
              <w:t> </w:t>
            </w:r>
          </w:p>
        </w:tc>
      </w:tr>
    </w:tbl>
    <w:p w14:paraId="1FCFD049" w14:textId="1613B8C3" w:rsidR="00A83CF3" w:rsidRPr="00D83B75" w:rsidRDefault="00CC0F71" w:rsidP="00A83CF3">
      <w:pPr>
        <w:pStyle w:val="figure"/>
        <w:rPr>
          <w:rStyle w:val="figureCar"/>
          <w:b/>
          <w:bCs/>
          <w:iCs/>
        </w:rPr>
      </w:pPr>
      <w:bookmarkStart w:id="81" w:name="_Toc72143361"/>
      <w:r w:rsidRPr="00D83B75">
        <w:rPr>
          <w:rStyle w:val="figureCar"/>
          <w:b/>
          <w:bCs/>
          <w:iCs/>
        </w:rPr>
        <w:t xml:space="preserve">Tableau </w:t>
      </w:r>
      <w:r w:rsidRPr="00D83B75">
        <w:rPr>
          <w:rStyle w:val="figureCar"/>
          <w:b/>
          <w:bCs/>
          <w:iCs/>
        </w:rPr>
        <w:fldChar w:fldCharType="begin"/>
      </w:r>
      <w:r w:rsidRPr="00D83B75">
        <w:rPr>
          <w:rStyle w:val="figureCar"/>
          <w:b/>
          <w:bCs/>
          <w:iCs/>
        </w:rPr>
        <w:instrText xml:space="preserve"> SEQ Tableau \* ARABIC </w:instrText>
      </w:r>
      <w:r w:rsidRPr="00D83B75">
        <w:rPr>
          <w:rStyle w:val="figureCar"/>
          <w:b/>
          <w:bCs/>
          <w:iCs/>
        </w:rPr>
        <w:fldChar w:fldCharType="separate"/>
      </w:r>
      <w:r w:rsidR="0007597F">
        <w:rPr>
          <w:rStyle w:val="figureCar"/>
          <w:b/>
          <w:bCs/>
          <w:iCs/>
          <w:noProof/>
        </w:rPr>
        <w:t>13</w:t>
      </w:r>
      <w:r w:rsidRPr="00D83B75">
        <w:rPr>
          <w:rStyle w:val="figureCar"/>
          <w:b/>
          <w:bCs/>
          <w:iCs/>
        </w:rPr>
        <w:fldChar w:fldCharType="end"/>
      </w:r>
      <w:r w:rsidR="00A83CF3" w:rsidRPr="00D83B75">
        <w:rPr>
          <w:rStyle w:val="figureCar"/>
          <w:b/>
          <w:bCs/>
          <w:iCs/>
        </w:rPr>
        <w:t xml:space="preserve"> : </w:t>
      </w:r>
      <w:r w:rsidRPr="00D83B75">
        <w:rPr>
          <w:rStyle w:val="figureCar"/>
          <w:b/>
          <w:bCs/>
          <w:iCs/>
        </w:rPr>
        <w:t xml:space="preserve">Disponible </w:t>
      </w:r>
      <w:r w:rsidR="00BD66E9" w:rsidRPr="00D83B75">
        <w:rPr>
          <w:rStyle w:val="figureCar"/>
          <w:b/>
          <w:bCs/>
          <w:iCs/>
        </w:rPr>
        <w:t xml:space="preserve">en volume saucisses et saucisson en volume </w:t>
      </w:r>
      <w:r w:rsidR="00444740">
        <w:rPr>
          <w:rStyle w:val="figureCar"/>
          <w:b/>
          <w:bCs/>
          <w:iCs/>
        </w:rPr>
        <w:t>en</w:t>
      </w:r>
      <w:r w:rsidRPr="00D83B75">
        <w:rPr>
          <w:rStyle w:val="figureCar"/>
          <w:b/>
          <w:bCs/>
          <w:iCs/>
        </w:rPr>
        <w:t xml:space="preserve"> 2018</w:t>
      </w:r>
      <w:bookmarkEnd w:id="81"/>
      <w:r w:rsidR="00444740">
        <w:rPr>
          <w:rStyle w:val="figureCar"/>
          <w:b/>
          <w:bCs/>
          <w:iCs/>
        </w:rPr>
        <w:t xml:space="preserve"> en kt</w:t>
      </w:r>
    </w:p>
    <w:p w14:paraId="5C7D7132" w14:textId="7636650E" w:rsidR="002553B7" w:rsidRPr="00A83CF3" w:rsidRDefault="00CC0F71" w:rsidP="00A83CF3">
      <w:pPr>
        <w:pStyle w:val="Lgende"/>
      </w:pPr>
      <w:r w:rsidRPr="00D83B75">
        <w:t>(Ifip d’après Enquête PRODCOM, Eurostat)</w:t>
      </w:r>
    </w:p>
    <w:p w14:paraId="6F5E08DC" w14:textId="2F794400" w:rsidR="002553B7" w:rsidRDefault="002553B7" w:rsidP="00A305CD">
      <w:pPr>
        <w:pStyle w:val="Puce1"/>
        <w:numPr>
          <w:ilvl w:val="0"/>
          <w:numId w:val="13"/>
        </w:numPr>
        <w:ind w:left="714" w:hanging="357"/>
      </w:pPr>
      <w:r w:rsidRPr="00566E00">
        <w:t xml:space="preserve">La salaison </w:t>
      </w:r>
      <w:r>
        <w:t>cuite soit 268</w:t>
      </w:r>
      <w:r w:rsidRPr="00566E00">
        <w:t xml:space="preserve"> </w:t>
      </w:r>
      <w:r w:rsidR="00945A43">
        <w:t>kt</w:t>
      </w:r>
      <w:r>
        <w:t xml:space="preserve"> </w:t>
      </w:r>
    </w:p>
    <w:p w14:paraId="24790737" w14:textId="23644891" w:rsidR="00DF001B" w:rsidRDefault="0001404B" w:rsidP="002D2EFE">
      <w:pPr>
        <w:pStyle w:val="Puce1"/>
        <w:tabs>
          <w:tab w:val="clear" w:pos="720"/>
          <w:tab w:val="left" w:pos="5529"/>
        </w:tabs>
        <w:spacing w:after="120"/>
        <w:ind w:left="0" w:firstLine="0"/>
      </w:pPr>
      <w:r w:rsidRPr="00566E00">
        <w:t>L</w:t>
      </w:r>
      <w:r w:rsidR="00A41BF1" w:rsidRPr="00566E00">
        <w:t xml:space="preserve">a </w:t>
      </w:r>
      <w:r w:rsidR="00027CEB" w:rsidRPr="00566E00">
        <w:t xml:space="preserve">salaison </w:t>
      </w:r>
      <w:r w:rsidR="006B253A">
        <w:t>cuite</w:t>
      </w:r>
      <w:r w:rsidR="008339AC">
        <w:t xml:space="preserve"> soit 268</w:t>
      </w:r>
      <w:r w:rsidR="008339AC" w:rsidRPr="00566E00">
        <w:t xml:space="preserve"> </w:t>
      </w:r>
      <w:r w:rsidR="00945A43">
        <w:t>kt</w:t>
      </w:r>
      <w:r w:rsidR="006B253A">
        <w:t xml:space="preserve"> </w:t>
      </w:r>
      <w:r w:rsidR="00E35EAC">
        <w:t xml:space="preserve">est représentée partiellement au travers des </w:t>
      </w:r>
      <w:r w:rsidR="00264440">
        <w:t>jambon</w:t>
      </w:r>
      <w:r w:rsidR="00E35EAC">
        <w:t xml:space="preserve">s </w:t>
      </w:r>
      <w:r w:rsidR="006B253A">
        <w:t>et</w:t>
      </w:r>
      <w:r w:rsidR="00264440">
        <w:t xml:space="preserve"> épaule</w:t>
      </w:r>
      <w:r w:rsidR="008339AC">
        <w:t>s</w:t>
      </w:r>
      <w:r w:rsidR="00E35EAC">
        <w:t xml:space="preserve">, </w:t>
      </w:r>
      <w:r w:rsidR="00A868B1">
        <w:t>hors</w:t>
      </w:r>
      <w:r w:rsidR="00E35EAC">
        <w:t xml:space="preserve"> autres pièces cuites (jambonneaux, palette, rôti)</w:t>
      </w:r>
      <w:r w:rsidR="00D46D99">
        <w:t xml:space="preserve">. </w:t>
      </w:r>
      <w:r w:rsidR="00BD66E9">
        <w:t>(</w:t>
      </w:r>
      <w:r w:rsidR="00A868B1">
        <w:t xml:space="preserve">Détail Annexe 6 </w:t>
      </w:r>
      <w:r w:rsidR="00C20C23">
        <w:t>c</w:t>
      </w:r>
      <w:r w:rsidR="00A868B1">
        <w:t xml:space="preserve">/) </w:t>
      </w:r>
    </w:p>
    <w:tbl>
      <w:tblPr>
        <w:tblW w:w="9493" w:type="dxa"/>
        <w:jc w:val="center"/>
        <w:tblCellMar>
          <w:left w:w="70" w:type="dxa"/>
          <w:right w:w="70" w:type="dxa"/>
        </w:tblCellMar>
        <w:tblLook w:val="04A0" w:firstRow="1" w:lastRow="0" w:firstColumn="1" w:lastColumn="0" w:noHBand="0" w:noVBand="1"/>
      </w:tblPr>
      <w:tblGrid>
        <w:gridCol w:w="1555"/>
        <w:gridCol w:w="1134"/>
        <w:gridCol w:w="4394"/>
        <w:gridCol w:w="2410"/>
      </w:tblGrid>
      <w:tr w:rsidR="00572C5B" w:rsidRPr="005279A1" w14:paraId="42AA3B13" w14:textId="77777777" w:rsidTr="00572C5B">
        <w:trPr>
          <w:trHeight w:val="300"/>
          <w:jc w:val="center"/>
        </w:trPr>
        <w:tc>
          <w:tcPr>
            <w:tcW w:w="155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6EEF166E" w14:textId="52FD4719" w:rsidR="005279A1" w:rsidRPr="005279A1" w:rsidRDefault="005279A1" w:rsidP="005279A1">
            <w:pPr>
              <w:spacing w:after="0" w:line="240" w:lineRule="auto"/>
              <w:jc w:val="left"/>
              <w:rPr>
                <w:rFonts w:eastAsia="Times New Roman" w:cs="Arial"/>
                <w:b/>
                <w:color w:val="000000"/>
                <w:sz w:val="20"/>
                <w:szCs w:val="20"/>
                <w:lang w:eastAsia="fr-FR"/>
              </w:rPr>
            </w:pPr>
            <w:r w:rsidRPr="005279A1">
              <w:rPr>
                <w:rFonts w:eastAsia="Times New Roman" w:cs="Arial"/>
                <w:b/>
                <w:color w:val="000000"/>
                <w:sz w:val="20"/>
                <w:szCs w:val="20"/>
                <w:lang w:eastAsia="fr-FR"/>
              </w:rPr>
              <w:t>Code P</w:t>
            </w:r>
            <w:r w:rsidR="00206B19">
              <w:rPr>
                <w:rFonts w:eastAsia="Times New Roman" w:cs="Arial"/>
                <w:b/>
                <w:color w:val="000000"/>
                <w:sz w:val="20"/>
                <w:szCs w:val="20"/>
                <w:lang w:eastAsia="fr-FR"/>
              </w:rPr>
              <w:t>RODCOM</w:t>
            </w:r>
            <w:r w:rsidRPr="005279A1">
              <w:rPr>
                <w:rFonts w:eastAsia="Times New Roman" w:cs="Arial"/>
                <w:b/>
                <w:color w:val="000000"/>
                <w:sz w:val="20"/>
                <w:szCs w:val="20"/>
                <w:lang w:eastAsia="fr-FR"/>
              </w:rPr>
              <w:t xml:space="preserve"> </w:t>
            </w:r>
          </w:p>
        </w:tc>
        <w:tc>
          <w:tcPr>
            <w:tcW w:w="1134" w:type="dxa"/>
            <w:tcBorders>
              <w:top w:val="single" w:sz="4" w:space="0" w:color="auto"/>
              <w:left w:val="nil"/>
              <w:bottom w:val="single" w:sz="4" w:space="0" w:color="auto"/>
              <w:right w:val="single" w:sz="4" w:space="0" w:color="auto"/>
            </w:tcBorders>
            <w:shd w:val="clear" w:color="000000" w:fill="BFBFBF"/>
            <w:vAlign w:val="center"/>
            <w:hideMark/>
          </w:tcPr>
          <w:p w14:paraId="653C6388" w14:textId="77777777" w:rsidR="005279A1" w:rsidRPr="005279A1" w:rsidRDefault="005279A1" w:rsidP="005279A1">
            <w:pPr>
              <w:spacing w:after="0" w:line="240" w:lineRule="auto"/>
              <w:jc w:val="left"/>
              <w:rPr>
                <w:rFonts w:eastAsia="Times New Roman" w:cs="Arial"/>
                <w:b/>
                <w:color w:val="000000"/>
                <w:sz w:val="20"/>
                <w:szCs w:val="20"/>
                <w:lang w:eastAsia="fr-FR"/>
              </w:rPr>
            </w:pPr>
            <w:r w:rsidRPr="005279A1">
              <w:rPr>
                <w:rFonts w:eastAsia="Times New Roman" w:cs="Arial"/>
                <w:b/>
                <w:color w:val="000000"/>
                <w:sz w:val="20"/>
                <w:szCs w:val="20"/>
                <w:lang w:eastAsia="fr-FR"/>
              </w:rPr>
              <w:t>NC</w:t>
            </w:r>
          </w:p>
        </w:tc>
        <w:tc>
          <w:tcPr>
            <w:tcW w:w="4394" w:type="dxa"/>
            <w:tcBorders>
              <w:top w:val="single" w:sz="4" w:space="0" w:color="auto"/>
              <w:left w:val="nil"/>
              <w:bottom w:val="single" w:sz="4" w:space="0" w:color="auto"/>
              <w:right w:val="single" w:sz="4" w:space="0" w:color="auto"/>
            </w:tcBorders>
            <w:shd w:val="clear" w:color="000000" w:fill="BFBFBF"/>
            <w:vAlign w:val="center"/>
            <w:hideMark/>
          </w:tcPr>
          <w:p w14:paraId="58C3560F" w14:textId="38F52D33" w:rsidR="005279A1" w:rsidRPr="005279A1" w:rsidRDefault="00572C5B" w:rsidP="005279A1">
            <w:pPr>
              <w:spacing w:after="0" w:line="240" w:lineRule="auto"/>
              <w:jc w:val="left"/>
              <w:rPr>
                <w:rFonts w:eastAsia="Times New Roman" w:cs="Arial"/>
                <w:b/>
                <w:color w:val="000000"/>
                <w:sz w:val="20"/>
                <w:szCs w:val="20"/>
                <w:lang w:eastAsia="fr-FR"/>
              </w:rPr>
            </w:pPr>
            <w:r w:rsidRPr="00572C5B">
              <w:rPr>
                <w:rFonts w:eastAsia="Times New Roman" w:cs="Arial"/>
                <w:b/>
                <w:color w:val="000000"/>
                <w:sz w:val="20"/>
                <w:szCs w:val="20"/>
                <w:lang w:eastAsia="fr-FR"/>
              </w:rPr>
              <w:t>Disponible en s</w:t>
            </w:r>
            <w:r w:rsidR="005279A1" w:rsidRPr="005279A1">
              <w:rPr>
                <w:rFonts w:eastAsia="Times New Roman" w:cs="Arial"/>
                <w:b/>
                <w:color w:val="000000"/>
                <w:sz w:val="20"/>
                <w:szCs w:val="20"/>
                <w:lang w:eastAsia="fr-FR"/>
              </w:rPr>
              <w:t>alaison cuite</w:t>
            </w:r>
            <w:r w:rsidR="00681460">
              <w:rPr>
                <w:rFonts w:eastAsia="Times New Roman" w:cs="Arial"/>
                <w:b/>
                <w:color w:val="000000"/>
                <w:sz w:val="20"/>
                <w:szCs w:val="20"/>
                <w:lang w:eastAsia="fr-FR"/>
              </w:rPr>
              <w:t xml:space="preserve"> </w:t>
            </w:r>
            <w:r w:rsidR="00681460">
              <w:rPr>
                <w:rFonts w:eastAsia="Times New Roman"/>
                <w:b/>
                <w:color w:val="000000"/>
              </w:rPr>
              <w:t>en</w:t>
            </w:r>
            <w:r w:rsidR="005279A1" w:rsidRPr="005279A1">
              <w:rPr>
                <w:rFonts w:eastAsia="Times New Roman" w:cs="Arial"/>
                <w:b/>
                <w:color w:val="000000"/>
                <w:sz w:val="20"/>
                <w:szCs w:val="20"/>
                <w:lang w:eastAsia="fr-FR"/>
              </w:rPr>
              <w:t xml:space="preserve"> </w:t>
            </w:r>
            <w:r w:rsidR="00957F11">
              <w:rPr>
                <w:rFonts w:eastAsia="Times New Roman" w:cs="Arial"/>
                <w:b/>
                <w:color w:val="000000"/>
                <w:sz w:val="20"/>
                <w:szCs w:val="20"/>
                <w:lang w:eastAsia="fr-FR"/>
              </w:rPr>
              <w:t>kt</w:t>
            </w:r>
          </w:p>
        </w:tc>
        <w:tc>
          <w:tcPr>
            <w:tcW w:w="2410" w:type="dxa"/>
            <w:tcBorders>
              <w:top w:val="single" w:sz="4" w:space="0" w:color="auto"/>
              <w:left w:val="nil"/>
              <w:bottom w:val="single" w:sz="4" w:space="0" w:color="auto"/>
              <w:right w:val="single" w:sz="4" w:space="0" w:color="auto"/>
            </w:tcBorders>
            <w:shd w:val="clear" w:color="000000" w:fill="BFBFBF"/>
            <w:vAlign w:val="center"/>
            <w:hideMark/>
          </w:tcPr>
          <w:p w14:paraId="58C96EBD" w14:textId="77777777" w:rsidR="005279A1" w:rsidRPr="005279A1" w:rsidRDefault="005279A1" w:rsidP="005279A1">
            <w:pPr>
              <w:spacing w:after="0" w:line="240" w:lineRule="auto"/>
              <w:jc w:val="right"/>
              <w:rPr>
                <w:rFonts w:eastAsia="Times New Roman" w:cs="Arial"/>
                <w:b/>
                <w:i/>
                <w:iCs/>
                <w:color w:val="000000"/>
                <w:sz w:val="20"/>
                <w:szCs w:val="20"/>
                <w:lang w:eastAsia="fr-FR"/>
              </w:rPr>
            </w:pPr>
            <w:r w:rsidRPr="005279A1">
              <w:rPr>
                <w:rFonts w:eastAsia="Times New Roman" w:cs="Arial"/>
                <w:b/>
                <w:i/>
                <w:iCs/>
                <w:color w:val="000000"/>
                <w:sz w:val="20"/>
                <w:szCs w:val="20"/>
                <w:lang w:eastAsia="fr-FR"/>
              </w:rPr>
              <w:t>268</w:t>
            </w:r>
          </w:p>
        </w:tc>
      </w:tr>
      <w:tr w:rsidR="00572C5B" w:rsidRPr="005279A1" w14:paraId="3C399ED1" w14:textId="77777777" w:rsidTr="00572C5B">
        <w:trPr>
          <w:trHeight w:val="303"/>
          <w:jc w:val="center"/>
        </w:trPr>
        <w:tc>
          <w:tcPr>
            <w:tcW w:w="1555" w:type="dxa"/>
            <w:tcBorders>
              <w:top w:val="nil"/>
              <w:left w:val="single" w:sz="4" w:space="0" w:color="000000"/>
              <w:bottom w:val="single" w:sz="4" w:space="0" w:color="000000"/>
              <w:right w:val="single" w:sz="4" w:space="0" w:color="000000"/>
            </w:tcBorders>
            <w:shd w:val="clear" w:color="000000" w:fill="FFFFFF"/>
            <w:vAlign w:val="center"/>
            <w:hideMark/>
          </w:tcPr>
          <w:p w14:paraId="17A92FC1"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10.13.15.45</w:t>
            </w:r>
          </w:p>
        </w:tc>
        <w:tc>
          <w:tcPr>
            <w:tcW w:w="1134" w:type="dxa"/>
            <w:tcBorders>
              <w:top w:val="nil"/>
              <w:left w:val="nil"/>
              <w:bottom w:val="single" w:sz="4" w:space="0" w:color="000000"/>
              <w:right w:val="single" w:sz="4" w:space="0" w:color="000000"/>
            </w:tcBorders>
            <w:shd w:val="clear" w:color="000000" w:fill="FFFFFF"/>
            <w:vAlign w:val="center"/>
            <w:hideMark/>
          </w:tcPr>
          <w:p w14:paraId="5099CF83"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1602</w:t>
            </w:r>
          </w:p>
        </w:tc>
        <w:tc>
          <w:tcPr>
            <w:tcW w:w="4394" w:type="dxa"/>
            <w:tcBorders>
              <w:top w:val="nil"/>
              <w:left w:val="nil"/>
              <w:bottom w:val="single" w:sz="4" w:space="0" w:color="000000"/>
              <w:right w:val="single" w:sz="4" w:space="0" w:color="000000"/>
            </w:tcBorders>
            <w:shd w:val="clear" w:color="000000" w:fill="FFFFFF"/>
            <w:vAlign w:val="center"/>
            <w:hideMark/>
          </w:tcPr>
          <w:p w14:paraId="37BAAA9C"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Jambons cuits</w:t>
            </w:r>
          </w:p>
        </w:tc>
        <w:tc>
          <w:tcPr>
            <w:tcW w:w="2410" w:type="dxa"/>
            <w:tcBorders>
              <w:top w:val="nil"/>
              <w:left w:val="nil"/>
              <w:bottom w:val="single" w:sz="4" w:space="0" w:color="auto"/>
              <w:right w:val="single" w:sz="4" w:space="0" w:color="auto"/>
            </w:tcBorders>
            <w:shd w:val="clear" w:color="000000" w:fill="FFFFFF"/>
            <w:vAlign w:val="center"/>
            <w:hideMark/>
          </w:tcPr>
          <w:p w14:paraId="0F2FEA3B" w14:textId="77777777" w:rsidR="005279A1" w:rsidRPr="005279A1" w:rsidRDefault="005279A1" w:rsidP="005279A1">
            <w:pPr>
              <w:spacing w:after="0" w:line="240" w:lineRule="auto"/>
              <w:jc w:val="right"/>
              <w:rPr>
                <w:rFonts w:eastAsia="Times New Roman" w:cs="Arial"/>
                <w:i/>
                <w:iCs/>
                <w:color w:val="000000"/>
                <w:sz w:val="20"/>
                <w:szCs w:val="20"/>
                <w:lang w:eastAsia="fr-FR"/>
              </w:rPr>
            </w:pPr>
            <w:r w:rsidRPr="005279A1">
              <w:rPr>
                <w:rFonts w:eastAsia="Times New Roman" w:cs="Arial"/>
                <w:i/>
                <w:iCs/>
                <w:color w:val="000000"/>
                <w:sz w:val="20"/>
                <w:szCs w:val="20"/>
                <w:lang w:eastAsia="fr-FR"/>
              </w:rPr>
              <w:t xml:space="preserve">  253   </w:t>
            </w:r>
          </w:p>
        </w:tc>
      </w:tr>
      <w:tr w:rsidR="00572C5B" w:rsidRPr="005279A1" w14:paraId="68F4FB59" w14:textId="77777777" w:rsidTr="00572C5B">
        <w:trPr>
          <w:trHeight w:val="279"/>
          <w:jc w:val="center"/>
        </w:trPr>
        <w:tc>
          <w:tcPr>
            <w:tcW w:w="1555" w:type="dxa"/>
            <w:tcBorders>
              <w:top w:val="nil"/>
              <w:left w:val="single" w:sz="4" w:space="0" w:color="000000"/>
              <w:bottom w:val="single" w:sz="4" w:space="0" w:color="000000"/>
              <w:right w:val="single" w:sz="4" w:space="0" w:color="000000"/>
            </w:tcBorders>
            <w:shd w:val="clear" w:color="000000" w:fill="FFFFFF"/>
            <w:vAlign w:val="center"/>
            <w:hideMark/>
          </w:tcPr>
          <w:p w14:paraId="098E9969"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10.13.15.55</w:t>
            </w:r>
          </w:p>
        </w:tc>
        <w:tc>
          <w:tcPr>
            <w:tcW w:w="1134" w:type="dxa"/>
            <w:tcBorders>
              <w:top w:val="nil"/>
              <w:left w:val="nil"/>
              <w:bottom w:val="single" w:sz="4" w:space="0" w:color="000000"/>
              <w:right w:val="single" w:sz="4" w:space="0" w:color="000000"/>
            </w:tcBorders>
            <w:shd w:val="clear" w:color="000000" w:fill="FFFFFF"/>
            <w:vAlign w:val="center"/>
            <w:hideMark/>
          </w:tcPr>
          <w:p w14:paraId="3EA010AF"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1602</w:t>
            </w:r>
          </w:p>
        </w:tc>
        <w:tc>
          <w:tcPr>
            <w:tcW w:w="4394" w:type="dxa"/>
            <w:tcBorders>
              <w:top w:val="nil"/>
              <w:left w:val="nil"/>
              <w:bottom w:val="single" w:sz="4" w:space="0" w:color="000000"/>
              <w:right w:val="single" w:sz="4" w:space="0" w:color="000000"/>
            </w:tcBorders>
            <w:shd w:val="clear" w:color="000000" w:fill="FFFFFF"/>
            <w:vAlign w:val="center"/>
            <w:hideMark/>
          </w:tcPr>
          <w:p w14:paraId="1DACE49D" w14:textId="77777777" w:rsidR="005279A1" w:rsidRPr="005279A1" w:rsidRDefault="005279A1" w:rsidP="005279A1">
            <w:pPr>
              <w:spacing w:after="0" w:line="240" w:lineRule="auto"/>
              <w:jc w:val="left"/>
              <w:rPr>
                <w:rFonts w:eastAsia="Times New Roman" w:cs="Arial"/>
                <w:sz w:val="20"/>
                <w:szCs w:val="20"/>
                <w:lang w:eastAsia="fr-FR"/>
              </w:rPr>
            </w:pPr>
            <w:r w:rsidRPr="005279A1">
              <w:rPr>
                <w:rFonts w:eastAsia="Times New Roman" w:cs="Arial"/>
                <w:sz w:val="20"/>
                <w:szCs w:val="20"/>
                <w:lang w:eastAsia="fr-FR"/>
              </w:rPr>
              <w:t>Épaules cuites</w:t>
            </w:r>
          </w:p>
        </w:tc>
        <w:tc>
          <w:tcPr>
            <w:tcW w:w="2410" w:type="dxa"/>
            <w:tcBorders>
              <w:top w:val="nil"/>
              <w:left w:val="nil"/>
              <w:bottom w:val="single" w:sz="4" w:space="0" w:color="auto"/>
              <w:right w:val="single" w:sz="4" w:space="0" w:color="auto"/>
            </w:tcBorders>
            <w:shd w:val="clear" w:color="000000" w:fill="FFFFFF"/>
            <w:vAlign w:val="center"/>
            <w:hideMark/>
          </w:tcPr>
          <w:p w14:paraId="0CCB291D" w14:textId="77777777" w:rsidR="005279A1" w:rsidRPr="005279A1" w:rsidRDefault="005279A1" w:rsidP="005279A1">
            <w:pPr>
              <w:spacing w:after="0" w:line="240" w:lineRule="auto"/>
              <w:jc w:val="right"/>
              <w:rPr>
                <w:rFonts w:eastAsia="Times New Roman" w:cs="Arial"/>
                <w:i/>
                <w:iCs/>
                <w:color w:val="000000"/>
                <w:sz w:val="20"/>
                <w:szCs w:val="20"/>
                <w:lang w:eastAsia="fr-FR"/>
              </w:rPr>
            </w:pPr>
            <w:r w:rsidRPr="005279A1">
              <w:rPr>
                <w:rFonts w:eastAsia="Times New Roman" w:cs="Arial"/>
                <w:i/>
                <w:iCs/>
                <w:color w:val="000000"/>
                <w:sz w:val="20"/>
                <w:szCs w:val="20"/>
                <w:lang w:eastAsia="fr-FR"/>
              </w:rPr>
              <w:t xml:space="preserve">    15   </w:t>
            </w:r>
          </w:p>
        </w:tc>
      </w:tr>
    </w:tbl>
    <w:p w14:paraId="6A678032" w14:textId="30D3C709" w:rsidR="00A83CF3" w:rsidRPr="00A83CF3" w:rsidRDefault="00AC0870" w:rsidP="00A83CF3">
      <w:pPr>
        <w:pStyle w:val="figure"/>
        <w:rPr>
          <w:rStyle w:val="figureCar"/>
          <w:b/>
          <w:bCs/>
          <w:iCs/>
        </w:rPr>
      </w:pPr>
      <w:bookmarkStart w:id="82" w:name="_Toc72143362"/>
      <w:r w:rsidRPr="00A83CF3">
        <w:rPr>
          <w:rStyle w:val="figureCar"/>
          <w:b/>
          <w:bCs/>
          <w:iCs/>
        </w:rPr>
        <w:t xml:space="preserve">Tableau </w:t>
      </w:r>
      <w:r w:rsidRPr="00A83CF3">
        <w:rPr>
          <w:rStyle w:val="figureCar"/>
          <w:b/>
          <w:bCs/>
          <w:iCs/>
        </w:rPr>
        <w:fldChar w:fldCharType="begin"/>
      </w:r>
      <w:r w:rsidRPr="00A83CF3">
        <w:rPr>
          <w:rStyle w:val="figureCar"/>
          <w:b/>
          <w:bCs/>
          <w:iCs/>
        </w:rPr>
        <w:instrText xml:space="preserve"> SEQ Tableau \* ARABIC </w:instrText>
      </w:r>
      <w:r w:rsidRPr="00A83CF3">
        <w:rPr>
          <w:rStyle w:val="figureCar"/>
          <w:b/>
          <w:bCs/>
          <w:iCs/>
        </w:rPr>
        <w:fldChar w:fldCharType="separate"/>
      </w:r>
      <w:r w:rsidR="0007597F">
        <w:rPr>
          <w:rStyle w:val="figureCar"/>
          <w:b/>
          <w:bCs/>
          <w:iCs/>
          <w:noProof/>
        </w:rPr>
        <w:t>14</w:t>
      </w:r>
      <w:r w:rsidRPr="00A83CF3">
        <w:rPr>
          <w:rStyle w:val="figureCar"/>
          <w:b/>
          <w:bCs/>
          <w:iCs/>
        </w:rPr>
        <w:fldChar w:fldCharType="end"/>
      </w:r>
      <w:r w:rsidR="00A83CF3" w:rsidRPr="00A83CF3">
        <w:rPr>
          <w:rStyle w:val="figureCar"/>
          <w:b/>
          <w:bCs/>
          <w:iCs/>
        </w:rPr>
        <w:t xml:space="preserve"> : </w:t>
      </w:r>
      <w:r w:rsidR="00C462FC" w:rsidRPr="00A83CF3">
        <w:rPr>
          <w:rStyle w:val="figureCar"/>
          <w:b/>
          <w:bCs/>
          <w:iCs/>
        </w:rPr>
        <w:t xml:space="preserve">Disponible en </w:t>
      </w:r>
      <w:r w:rsidR="00D93866" w:rsidRPr="00A83CF3">
        <w:rPr>
          <w:rStyle w:val="figureCar"/>
          <w:b/>
          <w:bCs/>
          <w:iCs/>
        </w:rPr>
        <w:t>salaison cuite</w:t>
      </w:r>
      <w:r w:rsidR="005279A1" w:rsidRPr="00A83CF3">
        <w:rPr>
          <w:rStyle w:val="figureCar"/>
          <w:b/>
          <w:bCs/>
          <w:iCs/>
        </w:rPr>
        <w:t xml:space="preserve"> partielle</w:t>
      </w:r>
      <w:r w:rsidR="00D93866" w:rsidRPr="00A83CF3">
        <w:rPr>
          <w:rStyle w:val="figureCar"/>
          <w:b/>
          <w:bCs/>
          <w:iCs/>
        </w:rPr>
        <w:t xml:space="preserve"> </w:t>
      </w:r>
      <w:r w:rsidR="00444740">
        <w:rPr>
          <w:rStyle w:val="figureCar"/>
          <w:b/>
          <w:bCs/>
          <w:iCs/>
        </w:rPr>
        <w:t xml:space="preserve">en </w:t>
      </w:r>
      <w:r w:rsidR="00C462FC" w:rsidRPr="00A83CF3">
        <w:rPr>
          <w:rStyle w:val="figureCar"/>
          <w:b/>
          <w:bCs/>
          <w:iCs/>
        </w:rPr>
        <w:t>2018</w:t>
      </w:r>
      <w:bookmarkEnd w:id="82"/>
      <w:r w:rsidR="00681460">
        <w:rPr>
          <w:rStyle w:val="figureCar"/>
          <w:b/>
          <w:bCs/>
          <w:iCs/>
        </w:rPr>
        <w:t xml:space="preserve"> en kt</w:t>
      </w:r>
    </w:p>
    <w:p w14:paraId="0FB3A8C9" w14:textId="672DFD9E" w:rsidR="00E35EAC" w:rsidRPr="00A83CF3" w:rsidRDefault="00C462FC" w:rsidP="00A83CF3">
      <w:pPr>
        <w:pStyle w:val="Lgende"/>
      </w:pPr>
      <w:r w:rsidRPr="00A83CF3">
        <w:t>(Ifip d’après Enquête PRODCOM</w:t>
      </w:r>
      <w:r w:rsidR="00AC0870" w:rsidRPr="00A83CF3">
        <w:t>, Eurostat</w:t>
      </w:r>
      <w:r w:rsidRPr="00A83CF3">
        <w:t>)</w:t>
      </w:r>
    </w:p>
    <w:p w14:paraId="11282903" w14:textId="6E01D07A" w:rsidR="00C20C23" w:rsidRDefault="00BD66E9" w:rsidP="00717017">
      <w:pPr>
        <w:pStyle w:val="Puce1"/>
        <w:tabs>
          <w:tab w:val="clear" w:pos="720"/>
        </w:tabs>
        <w:ind w:left="0" w:firstLine="0"/>
        <w:rPr>
          <w:sz w:val="20"/>
        </w:rPr>
      </w:pPr>
      <w:r>
        <w:t>Le jambon cuit représente 95</w:t>
      </w:r>
      <w:r w:rsidR="00A83CF3">
        <w:t> </w:t>
      </w:r>
      <w:r>
        <w:t>% des volumes disponibles. La part des importations en produits de salaison est de 12</w:t>
      </w:r>
      <w:r w:rsidR="00A83CF3">
        <w:t> </w:t>
      </w:r>
      <w:r>
        <w:t>%.</w:t>
      </w:r>
    </w:p>
    <w:p w14:paraId="78412348" w14:textId="1E0267F8" w:rsidR="002553B7" w:rsidRDefault="002553B7" w:rsidP="00A305CD">
      <w:pPr>
        <w:pStyle w:val="Puce1"/>
        <w:numPr>
          <w:ilvl w:val="0"/>
          <w:numId w:val="13"/>
        </w:numPr>
        <w:ind w:left="714" w:hanging="357"/>
      </w:pPr>
      <w:r w:rsidRPr="00566E00">
        <w:t>L</w:t>
      </w:r>
      <w:r>
        <w:t xml:space="preserve">es autres cuits et charcuteries cuites </w:t>
      </w:r>
      <w:r w:rsidR="005469D8">
        <w:t>104</w:t>
      </w:r>
      <w:r>
        <w:t> </w:t>
      </w:r>
      <w:r w:rsidR="00957F11">
        <w:t>kt</w:t>
      </w:r>
    </w:p>
    <w:p w14:paraId="111AD7D4" w14:textId="5341C4DB" w:rsidR="006A18CF" w:rsidRDefault="00CC0F71" w:rsidP="002D2EFE">
      <w:pPr>
        <w:pStyle w:val="Puce1"/>
        <w:tabs>
          <w:tab w:val="clear" w:pos="720"/>
        </w:tabs>
        <w:spacing w:before="0"/>
        <w:ind w:left="0" w:firstLine="0"/>
      </w:pPr>
      <w:r w:rsidRPr="00EE1F2B">
        <w:t>L</w:t>
      </w:r>
      <w:r w:rsidR="006B5673">
        <w:t xml:space="preserve">a catégorie </w:t>
      </w:r>
      <w:r w:rsidR="000744CE">
        <w:t>« </w:t>
      </w:r>
      <w:r w:rsidR="00B85428">
        <w:t>autres cuits et charcuterie cuite</w:t>
      </w:r>
      <w:r w:rsidR="000744CE">
        <w:t> »</w:t>
      </w:r>
      <w:r w:rsidR="00B85428">
        <w:t xml:space="preserve"> </w:t>
      </w:r>
      <w:r w:rsidR="006A18CF">
        <w:t>couvre</w:t>
      </w:r>
      <w:r w:rsidR="002D2EFE">
        <w:t xml:space="preserve"> </w:t>
      </w:r>
      <w:r w:rsidR="000744CE">
        <w:t>les</w:t>
      </w:r>
      <w:r w:rsidR="00E039F7">
        <w:t xml:space="preserve"> produits cuits</w:t>
      </w:r>
      <w:r w:rsidR="000744CE">
        <w:t xml:space="preserve"> suivants </w:t>
      </w:r>
      <w:r w:rsidR="006A18CF">
        <w:t>:</w:t>
      </w:r>
    </w:p>
    <w:p w14:paraId="2A4948CA" w14:textId="5669191A" w:rsidR="006A18CF" w:rsidRDefault="00B85428" w:rsidP="00444740">
      <w:pPr>
        <w:pStyle w:val="Puce1"/>
        <w:numPr>
          <w:ilvl w:val="0"/>
          <w:numId w:val="18"/>
        </w:numPr>
        <w:spacing w:before="0"/>
        <w:ind w:left="1134"/>
      </w:pPr>
      <w:r>
        <w:t xml:space="preserve">des produits de salaison cuite </w:t>
      </w:r>
      <w:r w:rsidR="008E19A5">
        <w:t>(jambonneaux</w:t>
      </w:r>
      <w:r w:rsidR="008E1CB5">
        <w:t xml:space="preserve">, </w:t>
      </w:r>
      <w:r w:rsidR="008058FC">
        <w:t>rôti</w:t>
      </w:r>
      <w:r w:rsidR="00130C8E">
        <w:t>, pieds cuits</w:t>
      </w:r>
      <w:r w:rsidR="008058FC">
        <w:t xml:space="preserve">), </w:t>
      </w:r>
    </w:p>
    <w:p w14:paraId="6D17FE78" w14:textId="77777777" w:rsidR="00A83CF3" w:rsidRDefault="0060664C" w:rsidP="00444740">
      <w:pPr>
        <w:pStyle w:val="Puce1"/>
        <w:numPr>
          <w:ilvl w:val="0"/>
          <w:numId w:val="18"/>
        </w:numPr>
        <w:spacing w:before="0"/>
        <w:ind w:left="1134"/>
      </w:pPr>
      <w:r>
        <w:t>des pâtés</w:t>
      </w:r>
      <w:r w:rsidR="00AF04ED">
        <w:t xml:space="preserve"> avec marquants</w:t>
      </w:r>
      <w:r w:rsidR="00A460EB">
        <w:t xml:space="preserve"> (par opposition aux mousses de foie)</w:t>
      </w:r>
      <w:r w:rsidR="00AF04ED">
        <w:t xml:space="preserve"> tels que pâté de campagne, de chair, </w:t>
      </w:r>
      <w:r w:rsidR="006A18CF">
        <w:t>galantines</w:t>
      </w:r>
      <w:r w:rsidR="00F83C06">
        <w:t xml:space="preserve"> et</w:t>
      </w:r>
      <w:r w:rsidR="003D5BE3">
        <w:t xml:space="preserve"> produits à base de tête,</w:t>
      </w:r>
    </w:p>
    <w:p w14:paraId="05B23DC3" w14:textId="6FBE282B" w:rsidR="0053135B" w:rsidRDefault="00E039F7" w:rsidP="00444740">
      <w:pPr>
        <w:pStyle w:val="Puce1"/>
        <w:numPr>
          <w:ilvl w:val="0"/>
          <w:numId w:val="18"/>
        </w:numPr>
        <w:spacing w:before="0"/>
        <w:ind w:left="1134"/>
      </w:pPr>
      <w:r>
        <w:t>des produits cuits dans la graisse de type</w:t>
      </w:r>
      <w:r w:rsidR="002D2EFE">
        <w:t xml:space="preserve"> </w:t>
      </w:r>
      <w:r>
        <w:t>: ril</w:t>
      </w:r>
      <w:r w:rsidR="0053135B">
        <w:t>lettes, frittons.</w:t>
      </w:r>
    </w:p>
    <w:p w14:paraId="7F571CBE" w14:textId="30BEA3EE" w:rsidR="003456F4" w:rsidRPr="007D09F4" w:rsidRDefault="00FC2376" w:rsidP="002D2EFE">
      <w:pPr>
        <w:spacing w:after="120"/>
        <w:rPr>
          <w:lang w:eastAsia="fr-FR"/>
        </w:rPr>
      </w:pPr>
      <w:r>
        <w:rPr>
          <w:lang w:eastAsia="fr-FR"/>
        </w:rPr>
        <w:t xml:space="preserve">Les données d’importation et d’exportation fournissent dans leur désignation des indications insuffisantes pour permettre de ventiler les volumes </w:t>
      </w:r>
      <w:r w:rsidR="008174BF">
        <w:rPr>
          <w:lang w:eastAsia="fr-FR"/>
        </w:rPr>
        <w:t xml:space="preserve">afférents par famille de produits. </w:t>
      </w:r>
      <w:r w:rsidR="0053135B">
        <w:rPr>
          <w:lang w:eastAsia="fr-FR"/>
        </w:rPr>
        <w:t>C</w:t>
      </w:r>
      <w:r w:rsidR="008174BF">
        <w:rPr>
          <w:lang w:eastAsia="fr-FR"/>
        </w:rPr>
        <w:t>ependant et c</w:t>
      </w:r>
      <w:r w:rsidR="0053135B">
        <w:rPr>
          <w:lang w:eastAsia="fr-FR"/>
        </w:rPr>
        <w:t xml:space="preserve">ompte tenu </w:t>
      </w:r>
      <w:r w:rsidR="00926F24">
        <w:rPr>
          <w:lang w:eastAsia="fr-FR"/>
        </w:rPr>
        <w:t xml:space="preserve">de la part </w:t>
      </w:r>
      <w:r w:rsidR="00194411">
        <w:rPr>
          <w:lang w:eastAsia="fr-FR"/>
        </w:rPr>
        <w:t>relativement peu important</w:t>
      </w:r>
      <w:r w:rsidR="000C1718">
        <w:rPr>
          <w:lang w:eastAsia="fr-FR"/>
        </w:rPr>
        <w:t>e</w:t>
      </w:r>
      <w:r w:rsidR="005469D8">
        <w:rPr>
          <w:lang w:eastAsia="fr-FR"/>
        </w:rPr>
        <w:t>, au</w:t>
      </w:r>
      <w:r w:rsidR="00AB1DFC">
        <w:rPr>
          <w:lang w:eastAsia="fr-FR"/>
        </w:rPr>
        <w:t xml:space="preserve"> </w:t>
      </w:r>
      <w:r w:rsidR="005469D8">
        <w:rPr>
          <w:lang w:eastAsia="fr-FR"/>
        </w:rPr>
        <w:t>regard de la production</w:t>
      </w:r>
      <w:r w:rsidR="005450C0">
        <w:rPr>
          <w:lang w:eastAsia="fr-FR"/>
        </w:rPr>
        <w:t>,</w:t>
      </w:r>
      <w:r w:rsidR="00194411">
        <w:rPr>
          <w:lang w:eastAsia="fr-FR"/>
        </w:rPr>
        <w:t xml:space="preserve"> </w:t>
      </w:r>
      <w:r w:rsidR="00926F24">
        <w:rPr>
          <w:lang w:eastAsia="fr-FR"/>
        </w:rPr>
        <w:t>de l’importation (13</w:t>
      </w:r>
      <w:r w:rsidR="006554CE">
        <w:rPr>
          <w:lang w:eastAsia="fr-FR"/>
        </w:rPr>
        <w:t>kt</w:t>
      </w:r>
      <w:r w:rsidR="005450C0">
        <w:rPr>
          <w:lang w:eastAsia="fr-FR"/>
        </w:rPr>
        <w:t> ;</w:t>
      </w:r>
      <w:r w:rsidR="00926F24">
        <w:rPr>
          <w:lang w:eastAsia="fr-FR"/>
        </w:rPr>
        <w:t xml:space="preserve"> </w:t>
      </w:r>
      <w:r w:rsidR="003D4043">
        <w:rPr>
          <w:lang w:eastAsia="fr-FR"/>
        </w:rPr>
        <w:t>1</w:t>
      </w:r>
      <w:r w:rsidR="005450C0">
        <w:rPr>
          <w:lang w:eastAsia="fr-FR"/>
        </w:rPr>
        <w:t>3</w:t>
      </w:r>
      <w:r w:rsidR="00F04C95">
        <w:rPr>
          <w:lang w:eastAsia="fr-FR"/>
        </w:rPr>
        <w:t> </w:t>
      </w:r>
      <w:r w:rsidR="00926F24">
        <w:rPr>
          <w:lang w:eastAsia="fr-FR"/>
        </w:rPr>
        <w:t>%</w:t>
      </w:r>
      <w:r w:rsidR="005450C0">
        <w:rPr>
          <w:lang w:eastAsia="fr-FR"/>
        </w:rPr>
        <w:t>)</w:t>
      </w:r>
      <w:r w:rsidR="00926F24">
        <w:rPr>
          <w:lang w:eastAsia="fr-FR"/>
        </w:rPr>
        <w:t xml:space="preserve">, et </w:t>
      </w:r>
      <w:r w:rsidR="008D66B0">
        <w:rPr>
          <w:lang w:eastAsia="fr-FR"/>
        </w:rPr>
        <w:t xml:space="preserve">de </w:t>
      </w:r>
      <w:r w:rsidR="00194411">
        <w:rPr>
          <w:lang w:eastAsia="fr-FR"/>
        </w:rPr>
        <w:t>l’</w:t>
      </w:r>
      <w:r w:rsidR="008D66B0">
        <w:rPr>
          <w:lang w:eastAsia="fr-FR"/>
        </w:rPr>
        <w:t>exportation (</w:t>
      </w:r>
      <w:r w:rsidR="005450C0">
        <w:rPr>
          <w:lang w:eastAsia="fr-FR"/>
        </w:rPr>
        <w:t>4</w:t>
      </w:r>
      <w:r w:rsidR="006554CE">
        <w:rPr>
          <w:lang w:eastAsia="fr-FR"/>
        </w:rPr>
        <w:t>,</w:t>
      </w:r>
      <w:r w:rsidR="005450C0">
        <w:rPr>
          <w:lang w:eastAsia="fr-FR"/>
        </w:rPr>
        <w:t xml:space="preserve">254 </w:t>
      </w:r>
      <w:r w:rsidR="006554CE">
        <w:rPr>
          <w:lang w:eastAsia="fr-FR"/>
        </w:rPr>
        <w:t>kt</w:t>
      </w:r>
      <w:r w:rsidR="005450C0">
        <w:rPr>
          <w:lang w:eastAsia="fr-FR"/>
        </w:rPr>
        <w:t>, 4,5</w:t>
      </w:r>
      <w:r w:rsidR="00F04C95">
        <w:rPr>
          <w:lang w:eastAsia="fr-FR"/>
        </w:rPr>
        <w:t> </w:t>
      </w:r>
      <w:r w:rsidR="008D66B0">
        <w:rPr>
          <w:lang w:eastAsia="fr-FR"/>
        </w:rPr>
        <w:t xml:space="preserve">%), les volumes </w:t>
      </w:r>
      <w:r w:rsidR="006E6F6B">
        <w:rPr>
          <w:lang w:eastAsia="fr-FR"/>
        </w:rPr>
        <w:t xml:space="preserve">de </w:t>
      </w:r>
      <w:r w:rsidR="008D66B0">
        <w:rPr>
          <w:lang w:eastAsia="fr-FR"/>
        </w:rPr>
        <w:t>pro</w:t>
      </w:r>
      <w:r w:rsidR="0020143F">
        <w:rPr>
          <w:lang w:eastAsia="fr-FR"/>
        </w:rPr>
        <w:t>duction constituent une base pour approcher le</w:t>
      </w:r>
      <w:r w:rsidR="00B3015F">
        <w:rPr>
          <w:lang w:eastAsia="fr-FR"/>
        </w:rPr>
        <w:t xml:space="preserve"> disponible à la consommation</w:t>
      </w:r>
      <w:r w:rsidR="00E47FC9">
        <w:rPr>
          <w:lang w:eastAsia="fr-FR"/>
        </w:rPr>
        <w:t xml:space="preserve"> de chaque catégorie</w:t>
      </w:r>
      <w:r w:rsidR="00B3015F">
        <w:rPr>
          <w:lang w:eastAsia="fr-FR"/>
        </w:rPr>
        <w:t>.</w:t>
      </w:r>
    </w:p>
    <w:tbl>
      <w:tblPr>
        <w:tblW w:w="9204" w:type="dxa"/>
        <w:tblLayout w:type="fixed"/>
        <w:tblCellMar>
          <w:left w:w="70" w:type="dxa"/>
          <w:right w:w="70" w:type="dxa"/>
        </w:tblCellMar>
        <w:tblLook w:val="04A0" w:firstRow="1" w:lastRow="0" w:firstColumn="1" w:lastColumn="0" w:noHBand="0" w:noVBand="1"/>
      </w:tblPr>
      <w:tblGrid>
        <w:gridCol w:w="1271"/>
        <w:gridCol w:w="1559"/>
        <w:gridCol w:w="3686"/>
        <w:gridCol w:w="1246"/>
        <w:gridCol w:w="171"/>
        <w:gridCol w:w="1271"/>
      </w:tblGrid>
      <w:tr w:rsidR="000937DC" w:rsidRPr="00AF2E7D" w14:paraId="0984B6DF" w14:textId="77777777" w:rsidTr="00444740">
        <w:trPr>
          <w:trHeight w:val="20"/>
        </w:trPr>
        <w:tc>
          <w:tcPr>
            <w:tcW w:w="127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B321812" w14:textId="3A420C47"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lastRenderedPageBreak/>
              <w:t>Code P</w:t>
            </w:r>
            <w:r w:rsidR="00206B19">
              <w:rPr>
                <w:rFonts w:eastAsia="Times New Roman" w:cs="Arial"/>
                <w:b/>
                <w:bCs/>
                <w:color w:val="000000"/>
                <w:sz w:val="20"/>
                <w:szCs w:val="20"/>
                <w:lang w:eastAsia="fr-FR"/>
              </w:rPr>
              <w:t>RODCOM</w:t>
            </w:r>
            <w:r w:rsidRPr="00AF2E7D">
              <w:rPr>
                <w:rFonts w:eastAsia="Times New Roman" w:cs="Arial"/>
                <w:b/>
                <w:bCs/>
                <w:color w:val="000000"/>
                <w:sz w:val="20"/>
                <w:szCs w:val="20"/>
                <w:lang w:eastAsia="fr-FR"/>
              </w:rPr>
              <w:t xml:space="preserve"> </w:t>
            </w:r>
          </w:p>
        </w:tc>
        <w:tc>
          <w:tcPr>
            <w:tcW w:w="1559" w:type="dxa"/>
            <w:tcBorders>
              <w:top w:val="single" w:sz="4" w:space="0" w:color="auto"/>
              <w:left w:val="nil"/>
              <w:bottom w:val="single" w:sz="4" w:space="0" w:color="auto"/>
              <w:right w:val="single" w:sz="4" w:space="0" w:color="auto"/>
            </w:tcBorders>
            <w:shd w:val="clear" w:color="000000" w:fill="BFBFBF"/>
            <w:vAlign w:val="center"/>
            <w:hideMark/>
          </w:tcPr>
          <w:p w14:paraId="6BD22B93" w14:textId="77777777" w:rsidR="00AF2E7D" w:rsidRPr="00AF2E7D" w:rsidRDefault="00AF2E7D" w:rsidP="00AF2E7D">
            <w:pPr>
              <w:spacing w:after="0" w:line="240" w:lineRule="auto"/>
              <w:jc w:val="center"/>
              <w:rPr>
                <w:rFonts w:eastAsia="Times New Roman" w:cs="Arial"/>
                <w:b/>
                <w:bCs/>
                <w:color w:val="000000"/>
                <w:sz w:val="20"/>
                <w:szCs w:val="20"/>
                <w:lang w:eastAsia="fr-FR"/>
              </w:rPr>
            </w:pPr>
            <w:r w:rsidRPr="00AF2E7D">
              <w:rPr>
                <w:rFonts w:eastAsia="Times New Roman" w:cs="Arial"/>
                <w:b/>
                <w:bCs/>
                <w:color w:val="000000"/>
                <w:sz w:val="20"/>
                <w:szCs w:val="20"/>
                <w:lang w:eastAsia="fr-FR"/>
              </w:rPr>
              <w:t xml:space="preserve">NC </w:t>
            </w:r>
          </w:p>
        </w:tc>
        <w:tc>
          <w:tcPr>
            <w:tcW w:w="3686" w:type="dxa"/>
            <w:tcBorders>
              <w:top w:val="single" w:sz="4" w:space="0" w:color="auto"/>
              <w:left w:val="nil"/>
              <w:bottom w:val="single" w:sz="4" w:space="0" w:color="auto"/>
              <w:right w:val="single" w:sz="4" w:space="0" w:color="auto"/>
            </w:tcBorders>
            <w:shd w:val="clear" w:color="000000" w:fill="BFBFBF"/>
            <w:vAlign w:val="center"/>
            <w:hideMark/>
          </w:tcPr>
          <w:p w14:paraId="78DE99B7" w14:textId="77777777"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 xml:space="preserve">Catégories produits </w:t>
            </w:r>
          </w:p>
        </w:tc>
        <w:tc>
          <w:tcPr>
            <w:tcW w:w="1246" w:type="dxa"/>
            <w:tcBorders>
              <w:top w:val="single" w:sz="4" w:space="0" w:color="auto"/>
              <w:left w:val="nil"/>
              <w:bottom w:val="single" w:sz="4" w:space="0" w:color="auto"/>
              <w:right w:val="single" w:sz="4" w:space="0" w:color="auto"/>
            </w:tcBorders>
            <w:shd w:val="clear" w:color="000000" w:fill="BFBFBF"/>
            <w:vAlign w:val="center"/>
            <w:hideMark/>
          </w:tcPr>
          <w:p w14:paraId="0EBBF04E" w14:textId="08F9B239" w:rsidR="00AF2E7D" w:rsidRPr="00AF2E7D" w:rsidRDefault="00AF2E7D" w:rsidP="00AF2E7D">
            <w:pPr>
              <w:spacing w:after="0" w:line="240" w:lineRule="auto"/>
              <w:jc w:val="center"/>
              <w:rPr>
                <w:rFonts w:eastAsia="Times New Roman" w:cs="Arial"/>
                <w:b/>
                <w:bCs/>
                <w:color w:val="000000"/>
                <w:sz w:val="20"/>
                <w:szCs w:val="20"/>
                <w:lang w:eastAsia="fr-FR"/>
              </w:rPr>
            </w:pPr>
            <w:r w:rsidRPr="00AF2E7D">
              <w:rPr>
                <w:rFonts w:eastAsia="Times New Roman" w:cs="Arial"/>
                <w:b/>
                <w:bCs/>
                <w:color w:val="000000"/>
                <w:sz w:val="20"/>
                <w:szCs w:val="20"/>
                <w:lang w:eastAsia="fr-FR"/>
              </w:rPr>
              <w:t>Production</w:t>
            </w:r>
          </w:p>
        </w:tc>
        <w:tc>
          <w:tcPr>
            <w:tcW w:w="171" w:type="dxa"/>
            <w:tcBorders>
              <w:top w:val="nil"/>
              <w:left w:val="nil"/>
              <w:bottom w:val="nil"/>
              <w:right w:val="nil"/>
            </w:tcBorders>
            <w:shd w:val="clear" w:color="auto" w:fill="auto"/>
            <w:noWrap/>
            <w:vAlign w:val="center"/>
            <w:hideMark/>
          </w:tcPr>
          <w:p w14:paraId="5AFE8653" w14:textId="77777777" w:rsidR="00AF2E7D" w:rsidRPr="00AF2E7D" w:rsidRDefault="00AF2E7D" w:rsidP="00AF2E7D">
            <w:pPr>
              <w:spacing w:after="0" w:line="240" w:lineRule="auto"/>
              <w:jc w:val="center"/>
              <w:rPr>
                <w:rFonts w:eastAsia="Times New Roman" w:cs="Arial"/>
                <w:b/>
                <w:bCs/>
                <w:color w:val="000000"/>
                <w:sz w:val="20"/>
                <w:szCs w:val="20"/>
                <w:lang w:eastAsia="fr-FR"/>
              </w:rPr>
            </w:pPr>
          </w:p>
        </w:tc>
        <w:tc>
          <w:tcPr>
            <w:tcW w:w="127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173FB83"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xml:space="preserve">Solde Net </w:t>
            </w:r>
          </w:p>
        </w:tc>
      </w:tr>
      <w:tr w:rsidR="000937DC" w:rsidRPr="00AF2E7D" w14:paraId="0EA8FBD2" w14:textId="77777777" w:rsidTr="00444740">
        <w:trPr>
          <w:trHeight w:val="339"/>
        </w:trPr>
        <w:tc>
          <w:tcPr>
            <w:tcW w:w="1271" w:type="dxa"/>
            <w:tcBorders>
              <w:top w:val="nil"/>
              <w:left w:val="nil"/>
              <w:bottom w:val="nil"/>
              <w:right w:val="nil"/>
            </w:tcBorders>
            <w:shd w:val="clear" w:color="000000" w:fill="BFBFBF"/>
            <w:vAlign w:val="center"/>
            <w:hideMark/>
          </w:tcPr>
          <w:p w14:paraId="43683A3D" w14:textId="77777777"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 </w:t>
            </w:r>
          </w:p>
        </w:tc>
        <w:tc>
          <w:tcPr>
            <w:tcW w:w="1559" w:type="dxa"/>
            <w:tcBorders>
              <w:top w:val="nil"/>
              <w:left w:val="single" w:sz="4" w:space="0" w:color="auto"/>
              <w:bottom w:val="single" w:sz="4" w:space="0" w:color="auto"/>
              <w:right w:val="single" w:sz="4" w:space="0" w:color="auto"/>
            </w:tcBorders>
            <w:shd w:val="clear" w:color="000000" w:fill="BFBFBF"/>
            <w:vAlign w:val="center"/>
            <w:hideMark/>
          </w:tcPr>
          <w:p w14:paraId="108F1CF7" w14:textId="77777777"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 </w:t>
            </w:r>
          </w:p>
        </w:tc>
        <w:tc>
          <w:tcPr>
            <w:tcW w:w="3686" w:type="dxa"/>
            <w:tcBorders>
              <w:top w:val="nil"/>
              <w:left w:val="nil"/>
              <w:bottom w:val="single" w:sz="4" w:space="0" w:color="auto"/>
              <w:right w:val="single" w:sz="4" w:space="0" w:color="auto"/>
            </w:tcBorders>
            <w:shd w:val="clear" w:color="000000" w:fill="BFBFBF"/>
            <w:vAlign w:val="center"/>
            <w:hideMark/>
          </w:tcPr>
          <w:p w14:paraId="5D56EB4C" w14:textId="79379B00" w:rsidR="00AF2E7D" w:rsidRPr="00AF2E7D" w:rsidRDefault="00AF2E7D" w:rsidP="00AF2E7D">
            <w:pPr>
              <w:spacing w:after="0" w:line="240" w:lineRule="auto"/>
              <w:jc w:val="left"/>
              <w:rPr>
                <w:rFonts w:eastAsia="Times New Roman" w:cs="Arial"/>
                <w:b/>
                <w:bCs/>
                <w:color w:val="000000"/>
                <w:sz w:val="20"/>
                <w:szCs w:val="20"/>
                <w:lang w:eastAsia="fr-FR"/>
              </w:rPr>
            </w:pPr>
            <w:r w:rsidRPr="00AF2E7D">
              <w:rPr>
                <w:rFonts w:eastAsia="Times New Roman" w:cs="Arial"/>
                <w:b/>
                <w:bCs/>
                <w:color w:val="000000"/>
                <w:sz w:val="20"/>
                <w:szCs w:val="20"/>
                <w:lang w:eastAsia="fr-FR"/>
              </w:rPr>
              <w:t xml:space="preserve">Autres cuits + mélanges charc. </w:t>
            </w:r>
            <w:r w:rsidR="0044419E">
              <w:rPr>
                <w:rFonts w:eastAsia="Times New Roman" w:cs="Arial"/>
                <w:b/>
                <w:bCs/>
                <w:color w:val="000000"/>
                <w:sz w:val="20"/>
                <w:szCs w:val="20"/>
                <w:lang w:eastAsia="fr-FR"/>
              </w:rPr>
              <w:t>c</w:t>
            </w:r>
            <w:r w:rsidRPr="00AF2E7D">
              <w:rPr>
                <w:rFonts w:eastAsia="Times New Roman" w:cs="Arial"/>
                <w:b/>
                <w:bCs/>
                <w:color w:val="000000"/>
                <w:sz w:val="20"/>
                <w:szCs w:val="20"/>
                <w:lang w:eastAsia="fr-FR"/>
              </w:rPr>
              <w:t>uite</w:t>
            </w:r>
          </w:p>
        </w:tc>
        <w:tc>
          <w:tcPr>
            <w:tcW w:w="1246" w:type="dxa"/>
            <w:tcBorders>
              <w:top w:val="nil"/>
              <w:left w:val="nil"/>
              <w:bottom w:val="single" w:sz="4" w:space="0" w:color="auto"/>
              <w:right w:val="single" w:sz="4" w:space="0" w:color="auto"/>
            </w:tcBorders>
            <w:shd w:val="clear" w:color="000000" w:fill="BFBFBF"/>
            <w:vAlign w:val="center"/>
            <w:hideMark/>
          </w:tcPr>
          <w:p w14:paraId="6A8DABF5" w14:textId="33D2ED51" w:rsidR="00AF2E7D" w:rsidRPr="00AF2E7D" w:rsidRDefault="00DD51B4" w:rsidP="00AF2E7D">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94</w:t>
            </w:r>
          </w:p>
        </w:tc>
        <w:tc>
          <w:tcPr>
            <w:tcW w:w="171" w:type="dxa"/>
            <w:tcBorders>
              <w:top w:val="nil"/>
              <w:left w:val="nil"/>
              <w:bottom w:val="nil"/>
              <w:right w:val="nil"/>
            </w:tcBorders>
            <w:shd w:val="clear" w:color="auto" w:fill="auto"/>
            <w:noWrap/>
            <w:vAlign w:val="center"/>
            <w:hideMark/>
          </w:tcPr>
          <w:p w14:paraId="580ABEAD" w14:textId="77777777" w:rsidR="00AF2E7D" w:rsidRPr="00AF2E7D" w:rsidRDefault="00AF2E7D" w:rsidP="00AF2E7D">
            <w:pPr>
              <w:spacing w:after="0" w:line="240" w:lineRule="auto"/>
              <w:jc w:val="center"/>
              <w:rPr>
                <w:rFonts w:eastAsia="Times New Roman" w:cs="Arial"/>
                <w:b/>
                <w:bCs/>
                <w:color w:val="000000"/>
                <w:sz w:val="20"/>
                <w:szCs w:val="20"/>
                <w:lang w:eastAsia="fr-FR"/>
              </w:rPr>
            </w:pPr>
          </w:p>
        </w:tc>
        <w:tc>
          <w:tcPr>
            <w:tcW w:w="1271" w:type="dxa"/>
            <w:tcBorders>
              <w:top w:val="nil"/>
              <w:left w:val="single" w:sz="4" w:space="0" w:color="auto"/>
              <w:bottom w:val="single" w:sz="4" w:space="0" w:color="auto"/>
              <w:right w:val="single" w:sz="4" w:space="0" w:color="auto"/>
            </w:tcBorders>
            <w:shd w:val="clear" w:color="000000" w:fill="BFBFBF"/>
            <w:vAlign w:val="center"/>
            <w:hideMark/>
          </w:tcPr>
          <w:p w14:paraId="2F41E989" w14:textId="21FC04E2" w:rsidR="00AF2E7D" w:rsidRPr="00AF2E7D" w:rsidRDefault="005469D8" w:rsidP="00AF2E7D">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104</w:t>
            </w:r>
          </w:p>
        </w:tc>
      </w:tr>
      <w:tr w:rsidR="000937DC" w:rsidRPr="00AF2E7D" w14:paraId="4806975A" w14:textId="77777777" w:rsidTr="00444740">
        <w:trPr>
          <w:trHeight w:val="445"/>
        </w:trPr>
        <w:tc>
          <w:tcPr>
            <w:tcW w:w="1271" w:type="dxa"/>
            <w:tcBorders>
              <w:top w:val="single" w:sz="4" w:space="0" w:color="000000"/>
              <w:left w:val="single" w:sz="4" w:space="0" w:color="000000"/>
              <w:bottom w:val="single" w:sz="4" w:space="0" w:color="000000"/>
              <w:right w:val="single" w:sz="4" w:space="0" w:color="000000"/>
            </w:tcBorders>
            <w:shd w:val="clear" w:color="000000" w:fill="BFBFBF"/>
            <w:vAlign w:val="center"/>
            <w:hideMark/>
          </w:tcPr>
          <w:p w14:paraId="03D172F8"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10.13.15.75</w:t>
            </w:r>
          </w:p>
        </w:tc>
        <w:tc>
          <w:tcPr>
            <w:tcW w:w="1559" w:type="dxa"/>
            <w:tcBorders>
              <w:top w:val="nil"/>
              <w:left w:val="nil"/>
              <w:bottom w:val="single" w:sz="4" w:space="0" w:color="000000"/>
              <w:right w:val="single" w:sz="4" w:space="0" w:color="000000"/>
            </w:tcBorders>
            <w:shd w:val="clear" w:color="000000" w:fill="BFBFBF"/>
            <w:vAlign w:val="center"/>
            <w:hideMark/>
          </w:tcPr>
          <w:p w14:paraId="1534591B" w14:textId="59F50C0C"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 xml:space="preserve">1602.49 </w:t>
            </w:r>
            <w:r w:rsidR="00CE1540">
              <w:rPr>
                <w:rFonts w:eastAsia="Times New Roman" w:cs="Arial"/>
                <w:sz w:val="20"/>
                <w:szCs w:val="20"/>
                <w:lang w:eastAsia="fr-FR"/>
              </w:rPr>
              <w:t>NC</w:t>
            </w:r>
            <w:r w:rsidRPr="00AF2E7D">
              <w:rPr>
                <w:rFonts w:eastAsia="Times New Roman" w:cs="Arial"/>
                <w:sz w:val="20"/>
                <w:szCs w:val="20"/>
                <w:lang w:eastAsia="fr-FR"/>
              </w:rPr>
              <w:t xml:space="preserve"> 1602.49.50</w:t>
            </w:r>
          </w:p>
        </w:tc>
        <w:tc>
          <w:tcPr>
            <w:tcW w:w="3686" w:type="dxa"/>
            <w:tcBorders>
              <w:top w:val="nil"/>
              <w:left w:val="nil"/>
              <w:bottom w:val="single" w:sz="4" w:space="0" w:color="000000"/>
              <w:right w:val="single" w:sz="4" w:space="0" w:color="000000"/>
            </w:tcBorders>
            <w:shd w:val="clear" w:color="000000" w:fill="BFBFBF"/>
            <w:vAlign w:val="center"/>
            <w:hideMark/>
          </w:tcPr>
          <w:p w14:paraId="144B1F74" w14:textId="7777777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Autres pièces cuites</w:t>
            </w:r>
          </w:p>
        </w:tc>
        <w:tc>
          <w:tcPr>
            <w:tcW w:w="1246" w:type="dxa"/>
            <w:tcBorders>
              <w:top w:val="nil"/>
              <w:left w:val="nil"/>
              <w:bottom w:val="single" w:sz="4" w:space="0" w:color="000000"/>
              <w:right w:val="single" w:sz="4" w:space="0" w:color="000000"/>
            </w:tcBorders>
            <w:shd w:val="clear" w:color="000000" w:fill="BFBFBF"/>
            <w:vAlign w:val="center"/>
            <w:hideMark/>
          </w:tcPr>
          <w:p w14:paraId="210252ED"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30</w:t>
            </w:r>
          </w:p>
        </w:tc>
        <w:tc>
          <w:tcPr>
            <w:tcW w:w="171" w:type="dxa"/>
            <w:tcBorders>
              <w:top w:val="nil"/>
              <w:left w:val="nil"/>
              <w:bottom w:val="nil"/>
              <w:right w:val="nil"/>
            </w:tcBorders>
            <w:shd w:val="clear" w:color="auto" w:fill="auto"/>
            <w:noWrap/>
            <w:vAlign w:val="center"/>
            <w:hideMark/>
          </w:tcPr>
          <w:p w14:paraId="713400E5"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7313573C"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w:t>
            </w:r>
          </w:p>
        </w:tc>
      </w:tr>
      <w:tr w:rsidR="008E19A5" w:rsidRPr="00AF2E7D" w14:paraId="56B9EE74" w14:textId="77777777" w:rsidTr="00444740">
        <w:trPr>
          <w:trHeight w:val="20"/>
        </w:trPr>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3FE92998" w14:textId="77777777" w:rsidR="00AF2E7D" w:rsidRPr="00AF2E7D" w:rsidRDefault="00AF2E7D" w:rsidP="00AF2E7D">
            <w:pPr>
              <w:spacing w:after="0" w:line="240" w:lineRule="auto"/>
              <w:jc w:val="left"/>
              <w:rPr>
                <w:rFonts w:eastAsia="Times New Roman" w:cs="Arial"/>
                <w:color w:val="000000"/>
                <w:sz w:val="20"/>
                <w:szCs w:val="20"/>
                <w:lang w:eastAsia="fr-FR"/>
              </w:rPr>
            </w:pPr>
            <w:r w:rsidRPr="00AF2E7D">
              <w:rPr>
                <w:rFonts w:eastAsia="Times New Roman" w:cs="Arial"/>
                <w:color w:val="000000"/>
                <w:sz w:val="20"/>
                <w:szCs w:val="20"/>
                <w:lang w:eastAsia="fr-FR"/>
              </w:rPr>
              <w:t> </w:t>
            </w:r>
          </w:p>
        </w:tc>
        <w:tc>
          <w:tcPr>
            <w:tcW w:w="1559" w:type="dxa"/>
            <w:tcBorders>
              <w:top w:val="nil"/>
              <w:left w:val="nil"/>
              <w:bottom w:val="single" w:sz="4" w:space="0" w:color="000000"/>
              <w:right w:val="single" w:sz="4" w:space="0" w:color="000000"/>
            </w:tcBorders>
            <w:shd w:val="clear" w:color="auto" w:fill="auto"/>
            <w:vAlign w:val="center"/>
            <w:hideMark/>
          </w:tcPr>
          <w:p w14:paraId="6EED7426" w14:textId="77777777" w:rsidR="00AF2E7D" w:rsidRPr="00AF2E7D" w:rsidRDefault="00AF2E7D" w:rsidP="00AF2E7D">
            <w:pPr>
              <w:spacing w:after="0" w:line="240" w:lineRule="auto"/>
              <w:jc w:val="left"/>
              <w:rPr>
                <w:rFonts w:eastAsia="Times New Roman" w:cs="Arial"/>
                <w:color w:val="000000"/>
                <w:sz w:val="20"/>
                <w:szCs w:val="20"/>
                <w:lang w:eastAsia="fr-FR"/>
              </w:rPr>
            </w:pPr>
            <w:r w:rsidRPr="00AF2E7D">
              <w:rPr>
                <w:rFonts w:eastAsia="Times New Roman" w:cs="Arial"/>
                <w:color w:val="000000"/>
                <w:sz w:val="20"/>
                <w:szCs w:val="20"/>
                <w:lang w:eastAsia="fr-FR"/>
              </w:rPr>
              <w:t> </w:t>
            </w:r>
          </w:p>
        </w:tc>
        <w:tc>
          <w:tcPr>
            <w:tcW w:w="3686" w:type="dxa"/>
            <w:tcBorders>
              <w:top w:val="nil"/>
              <w:left w:val="nil"/>
              <w:bottom w:val="single" w:sz="4" w:space="0" w:color="000000"/>
              <w:right w:val="single" w:sz="4" w:space="0" w:color="000000"/>
            </w:tcBorders>
            <w:shd w:val="clear" w:color="auto" w:fill="auto"/>
            <w:vAlign w:val="center"/>
            <w:hideMark/>
          </w:tcPr>
          <w:p w14:paraId="268DBE08" w14:textId="05FAD6F1" w:rsidR="00AF2E7D" w:rsidRPr="00AF2E7D" w:rsidRDefault="00AF2E7D" w:rsidP="00AF2E7D">
            <w:pPr>
              <w:spacing w:after="0" w:line="240" w:lineRule="auto"/>
              <w:jc w:val="right"/>
              <w:rPr>
                <w:rFonts w:eastAsia="Times New Roman" w:cs="Arial"/>
                <w:sz w:val="20"/>
                <w:szCs w:val="20"/>
                <w:lang w:eastAsia="fr-FR"/>
              </w:rPr>
            </w:pPr>
            <w:r w:rsidRPr="00AF2E7D">
              <w:rPr>
                <w:rFonts w:eastAsia="Times New Roman" w:cs="Arial"/>
                <w:sz w:val="20"/>
                <w:szCs w:val="20"/>
                <w:lang w:eastAsia="fr-FR"/>
              </w:rPr>
              <w:t>Dont Rôtis de porc</w:t>
            </w:r>
            <w:r w:rsidR="008058FC">
              <w:rPr>
                <w:rFonts w:eastAsia="Times New Roman" w:cs="Arial"/>
                <w:sz w:val="20"/>
                <w:szCs w:val="20"/>
                <w:lang w:eastAsia="fr-FR"/>
              </w:rPr>
              <w:t>,</w:t>
            </w:r>
            <w:r w:rsidRPr="00AF2E7D">
              <w:rPr>
                <w:rFonts w:eastAsia="Times New Roman" w:cs="Arial"/>
                <w:sz w:val="20"/>
                <w:szCs w:val="20"/>
                <w:lang w:eastAsia="fr-FR"/>
              </w:rPr>
              <w:t xml:space="preserve"> </w:t>
            </w:r>
            <w:r w:rsidR="008058FC">
              <w:rPr>
                <w:rFonts w:eastAsia="Times New Roman" w:cs="Arial"/>
                <w:sz w:val="20"/>
                <w:szCs w:val="20"/>
                <w:lang w:eastAsia="fr-FR"/>
              </w:rPr>
              <w:t>j</w:t>
            </w:r>
            <w:r w:rsidRPr="00AF2E7D">
              <w:rPr>
                <w:rFonts w:eastAsia="Times New Roman" w:cs="Arial"/>
                <w:sz w:val="20"/>
                <w:szCs w:val="20"/>
                <w:lang w:eastAsia="fr-FR"/>
              </w:rPr>
              <w:t>ambonneaux</w:t>
            </w:r>
            <w:r w:rsidR="008058FC">
              <w:rPr>
                <w:rFonts w:eastAsia="Times New Roman" w:cs="Arial"/>
                <w:sz w:val="20"/>
                <w:szCs w:val="20"/>
                <w:lang w:eastAsia="fr-FR"/>
              </w:rPr>
              <w:t xml:space="preserve"> </w:t>
            </w:r>
            <w:r w:rsidRPr="00AF2E7D">
              <w:rPr>
                <w:rFonts w:eastAsia="Times New Roman" w:cs="Arial"/>
                <w:sz w:val="20"/>
                <w:szCs w:val="20"/>
                <w:lang w:eastAsia="fr-FR"/>
              </w:rPr>
              <w:t>cuits</w:t>
            </w:r>
          </w:p>
        </w:tc>
        <w:tc>
          <w:tcPr>
            <w:tcW w:w="1246" w:type="dxa"/>
            <w:tcBorders>
              <w:top w:val="nil"/>
              <w:left w:val="nil"/>
              <w:bottom w:val="single" w:sz="4" w:space="0" w:color="000000"/>
              <w:right w:val="single" w:sz="4" w:space="0" w:color="000000"/>
            </w:tcBorders>
            <w:shd w:val="clear" w:color="auto" w:fill="auto"/>
            <w:vAlign w:val="center"/>
            <w:hideMark/>
          </w:tcPr>
          <w:p w14:paraId="26C005DC"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21</w:t>
            </w:r>
          </w:p>
        </w:tc>
        <w:tc>
          <w:tcPr>
            <w:tcW w:w="171" w:type="dxa"/>
            <w:tcBorders>
              <w:top w:val="nil"/>
              <w:left w:val="nil"/>
              <w:bottom w:val="nil"/>
              <w:right w:val="nil"/>
            </w:tcBorders>
            <w:shd w:val="clear" w:color="auto" w:fill="auto"/>
            <w:noWrap/>
            <w:vAlign w:val="center"/>
            <w:hideMark/>
          </w:tcPr>
          <w:p w14:paraId="2FAD914E" w14:textId="77777777" w:rsidR="00AF2E7D" w:rsidRPr="00AF2E7D" w:rsidRDefault="00AF2E7D" w:rsidP="00AF2E7D">
            <w:pPr>
              <w:spacing w:after="0" w:line="240" w:lineRule="auto"/>
              <w:jc w:val="center"/>
              <w:rPr>
                <w:rFonts w:eastAsia="Times New Roman" w:cs="Arial"/>
                <w:sz w:val="20"/>
                <w:szCs w:val="20"/>
                <w:lang w:eastAsia="fr-FR"/>
              </w:rPr>
            </w:pPr>
          </w:p>
        </w:tc>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30AC22A5"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w:t>
            </w:r>
          </w:p>
        </w:tc>
      </w:tr>
      <w:tr w:rsidR="008E19A5" w:rsidRPr="00AF2E7D" w14:paraId="671E7B1E" w14:textId="77777777" w:rsidTr="00444740">
        <w:trPr>
          <w:trHeight w:val="650"/>
        </w:trPr>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35FDC22A" w14:textId="77777777" w:rsidR="00AF2E7D" w:rsidRPr="00AF2E7D" w:rsidRDefault="00AF2E7D" w:rsidP="00AF2E7D">
            <w:pPr>
              <w:spacing w:after="0" w:line="240" w:lineRule="auto"/>
              <w:jc w:val="left"/>
              <w:rPr>
                <w:rFonts w:eastAsia="Times New Roman" w:cs="Arial"/>
                <w:color w:val="000000"/>
                <w:sz w:val="20"/>
                <w:szCs w:val="20"/>
                <w:lang w:eastAsia="fr-FR"/>
              </w:rPr>
            </w:pPr>
            <w:r w:rsidRPr="00AF2E7D">
              <w:rPr>
                <w:rFonts w:eastAsia="Times New Roman" w:cs="Arial"/>
                <w:color w:val="000000"/>
                <w:sz w:val="20"/>
                <w:szCs w:val="20"/>
                <w:lang w:eastAsia="fr-FR"/>
              </w:rPr>
              <w:t> </w:t>
            </w:r>
          </w:p>
        </w:tc>
        <w:tc>
          <w:tcPr>
            <w:tcW w:w="1559" w:type="dxa"/>
            <w:tcBorders>
              <w:top w:val="nil"/>
              <w:left w:val="nil"/>
              <w:bottom w:val="single" w:sz="4" w:space="0" w:color="000000"/>
              <w:right w:val="single" w:sz="4" w:space="0" w:color="000000"/>
            </w:tcBorders>
            <w:shd w:val="clear" w:color="auto" w:fill="auto"/>
            <w:vAlign w:val="center"/>
            <w:hideMark/>
          </w:tcPr>
          <w:p w14:paraId="630E9FEB" w14:textId="77777777" w:rsidR="00AF2E7D" w:rsidRPr="00AF2E7D" w:rsidRDefault="00AF2E7D" w:rsidP="00AF2E7D">
            <w:pPr>
              <w:spacing w:after="0" w:line="240" w:lineRule="auto"/>
              <w:jc w:val="left"/>
              <w:rPr>
                <w:rFonts w:eastAsia="Times New Roman" w:cs="Arial"/>
                <w:color w:val="000000"/>
                <w:sz w:val="20"/>
                <w:szCs w:val="20"/>
                <w:lang w:eastAsia="fr-FR"/>
              </w:rPr>
            </w:pPr>
            <w:r w:rsidRPr="00AF2E7D">
              <w:rPr>
                <w:rFonts w:eastAsia="Times New Roman" w:cs="Arial"/>
                <w:color w:val="000000"/>
                <w:sz w:val="20"/>
                <w:szCs w:val="20"/>
                <w:lang w:eastAsia="fr-FR"/>
              </w:rPr>
              <w:t> </w:t>
            </w:r>
          </w:p>
        </w:tc>
        <w:tc>
          <w:tcPr>
            <w:tcW w:w="3686" w:type="dxa"/>
            <w:tcBorders>
              <w:top w:val="nil"/>
              <w:left w:val="nil"/>
              <w:bottom w:val="single" w:sz="4" w:space="0" w:color="000000"/>
              <w:right w:val="single" w:sz="4" w:space="0" w:color="000000"/>
            </w:tcBorders>
            <w:shd w:val="clear" w:color="auto" w:fill="auto"/>
            <w:vAlign w:val="center"/>
            <w:hideMark/>
          </w:tcPr>
          <w:p w14:paraId="4319F255" w14:textId="2CB05CB5" w:rsidR="00AF2E7D" w:rsidRPr="00AF2E7D" w:rsidRDefault="00AF2E7D" w:rsidP="00AF2E7D">
            <w:pPr>
              <w:spacing w:after="0" w:line="240" w:lineRule="auto"/>
              <w:jc w:val="right"/>
              <w:rPr>
                <w:rFonts w:eastAsia="Times New Roman" w:cs="Arial"/>
                <w:sz w:val="20"/>
                <w:szCs w:val="20"/>
                <w:lang w:eastAsia="fr-FR"/>
              </w:rPr>
            </w:pPr>
            <w:r w:rsidRPr="00AF2E7D">
              <w:rPr>
                <w:rFonts w:eastAsia="Times New Roman" w:cs="Arial"/>
                <w:sz w:val="20"/>
                <w:szCs w:val="20"/>
                <w:lang w:eastAsia="fr-FR"/>
              </w:rPr>
              <w:t>Dont Jambon de Reims, de Bourgogne, de l'Ardèche, persillé, poitrine cuite</w:t>
            </w:r>
            <w:r w:rsidR="00945A43">
              <w:rPr>
                <w:rFonts w:eastAsia="Times New Roman" w:cs="Arial"/>
                <w:sz w:val="20"/>
                <w:szCs w:val="20"/>
                <w:lang w:eastAsia="fr-FR"/>
              </w:rPr>
              <w:t>…</w:t>
            </w:r>
          </w:p>
        </w:tc>
        <w:tc>
          <w:tcPr>
            <w:tcW w:w="1246" w:type="dxa"/>
            <w:tcBorders>
              <w:top w:val="nil"/>
              <w:left w:val="nil"/>
              <w:bottom w:val="single" w:sz="4" w:space="0" w:color="000000"/>
              <w:right w:val="single" w:sz="4" w:space="0" w:color="000000"/>
            </w:tcBorders>
            <w:shd w:val="clear" w:color="auto" w:fill="auto"/>
            <w:vAlign w:val="center"/>
            <w:hideMark/>
          </w:tcPr>
          <w:p w14:paraId="5572794D"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9</w:t>
            </w:r>
          </w:p>
        </w:tc>
        <w:tc>
          <w:tcPr>
            <w:tcW w:w="171" w:type="dxa"/>
            <w:tcBorders>
              <w:top w:val="nil"/>
              <w:left w:val="nil"/>
              <w:bottom w:val="nil"/>
              <w:right w:val="nil"/>
            </w:tcBorders>
            <w:shd w:val="clear" w:color="auto" w:fill="auto"/>
            <w:noWrap/>
            <w:vAlign w:val="center"/>
            <w:hideMark/>
          </w:tcPr>
          <w:p w14:paraId="23A45152" w14:textId="77777777" w:rsidR="00AF2E7D" w:rsidRPr="00AF2E7D" w:rsidRDefault="00AF2E7D" w:rsidP="00AF2E7D">
            <w:pPr>
              <w:spacing w:after="0" w:line="240" w:lineRule="auto"/>
              <w:jc w:val="center"/>
              <w:rPr>
                <w:rFonts w:eastAsia="Times New Roman" w:cs="Arial"/>
                <w:sz w:val="20"/>
                <w:szCs w:val="20"/>
                <w:lang w:eastAsia="fr-FR"/>
              </w:rPr>
            </w:pPr>
          </w:p>
        </w:tc>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71D0822A"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w:t>
            </w:r>
          </w:p>
        </w:tc>
      </w:tr>
      <w:tr w:rsidR="000937DC" w:rsidRPr="00AF2E7D" w14:paraId="604229DA" w14:textId="77777777" w:rsidTr="00444740">
        <w:trPr>
          <w:trHeight w:val="20"/>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17662377"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10.13.15.75</w:t>
            </w:r>
          </w:p>
        </w:tc>
        <w:tc>
          <w:tcPr>
            <w:tcW w:w="1559" w:type="dxa"/>
            <w:tcBorders>
              <w:top w:val="single" w:sz="4" w:space="0" w:color="000000"/>
              <w:left w:val="nil"/>
              <w:bottom w:val="single" w:sz="4" w:space="0" w:color="auto"/>
              <w:right w:val="single" w:sz="4" w:space="0" w:color="000000"/>
            </w:tcBorders>
            <w:shd w:val="clear" w:color="000000" w:fill="BFBFBF"/>
            <w:vAlign w:val="center"/>
            <w:hideMark/>
          </w:tcPr>
          <w:p w14:paraId="446B3F7B" w14:textId="4E4F22EF" w:rsidR="00AF2E7D" w:rsidRPr="00AF2E7D" w:rsidRDefault="00AF2E7D" w:rsidP="00AF2E7D">
            <w:pPr>
              <w:spacing w:after="0" w:line="240" w:lineRule="auto"/>
              <w:jc w:val="left"/>
              <w:rPr>
                <w:rFonts w:eastAsia="Times New Roman" w:cs="Arial"/>
                <w:sz w:val="20"/>
                <w:szCs w:val="20"/>
                <w:lang w:eastAsia="fr-FR"/>
              </w:rPr>
            </w:pPr>
            <w:r w:rsidRPr="00AF2E7D">
              <w:rPr>
                <w:rFonts w:eastAsia="Times New Roman" w:cs="Arial"/>
                <w:sz w:val="20"/>
                <w:szCs w:val="20"/>
                <w:lang w:eastAsia="fr-FR"/>
              </w:rPr>
              <w:t>1602.49</w:t>
            </w:r>
            <w:r w:rsidR="008E1CB5">
              <w:rPr>
                <w:rFonts w:eastAsia="Times New Roman" w:cs="Arial"/>
                <w:sz w:val="20"/>
                <w:szCs w:val="20"/>
                <w:lang w:eastAsia="fr-FR"/>
              </w:rPr>
              <w:t xml:space="preserve"> NC</w:t>
            </w:r>
            <w:r w:rsidRPr="00AF2E7D">
              <w:rPr>
                <w:rFonts w:eastAsia="Times New Roman" w:cs="Arial"/>
                <w:sz w:val="20"/>
                <w:szCs w:val="20"/>
                <w:lang w:eastAsia="fr-FR"/>
              </w:rPr>
              <w:t xml:space="preserve"> 1602.49.50</w:t>
            </w:r>
          </w:p>
        </w:tc>
        <w:tc>
          <w:tcPr>
            <w:tcW w:w="3686" w:type="dxa"/>
            <w:tcBorders>
              <w:top w:val="nil"/>
              <w:left w:val="nil"/>
              <w:bottom w:val="single" w:sz="4" w:space="0" w:color="000000"/>
              <w:right w:val="single" w:sz="4" w:space="0" w:color="000000"/>
            </w:tcBorders>
            <w:shd w:val="clear" w:color="000000" w:fill="BFBFBF"/>
            <w:vAlign w:val="center"/>
            <w:hideMark/>
          </w:tcPr>
          <w:p w14:paraId="616F34D0" w14:textId="7777777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Pâtés autres que de foie (campagne, pâté croûte, fricandeaux, pâtés de chair, galantines, ballotines)</w:t>
            </w:r>
          </w:p>
        </w:tc>
        <w:tc>
          <w:tcPr>
            <w:tcW w:w="1246" w:type="dxa"/>
            <w:tcBorders>
              <w:top w:val="nil"/>
              <w:left w:val="nil"/>
              <w:bottom w:val="single" w:sz="4" w:space="0" w:color="000000"/>
              <w:right w:val="single" w:sz="4" w:space="0" w:color="000000"/>
            </w:tcBorders>
            <w:shd w:val="clear" w:color="000000" w:fill="BFBFBF"/>
            <w:vAlign w:val="center"/>
            <w:hideMark/>
          </w:tcPr>
          <w:p w14:paraId="0249F552"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36</w:t>
            </w:r>
          </w:p>
        </w:tc>
        <w:tc>
          <w:tcPr>
            <w:tcW w:w="171" w:type="dxa"/>
            <w:tcBorders>
              <w:top w:val="nil"/>
              <w:left w:val="nil"/>
              <w:bottom w:val="nil"/>
              <w:right w:val="nil"/>
            </w:tcBorders>
            <w:shd w:val="clear" w:color="auto" w:fill="auto"/>
            <w:noWrap/>
            <w:vAlign w:val="center"/>
            <w:hideMark/>
          </w:tcPr>
          <w:p w14:paraId="6A54F186"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57C29E5D"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 </w:t>
            </w:r>
          </w:p>
        </w:tc>
      </w:tr>
      <w:tr w:rsidR="007D09F4" w:rsidRPr="00AF2E7D" w14:paraId="08597275" w14:textId="77777777" w:rsidTr="00444740">
        <w:trPr>
          <w:trHeight w:val="311"/>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654C88C1"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10.13.15.75</w:t>
            </w:r>
          </w:p>
        </w:tc>
        <w:tc>
          <w:tcPr>
            <w:tcW w:w="1559" w:type="dxa"/>
            <w:tcBorders>
              <w:top w:val="single" w:sz="4" w:space="0" w:color="auto"/>
              <w:left w:val="nil"/>
              <w:bottom w:val="single" w:sz="4" w:space="0" w:color="000000"/>
              <w:right w:val="single" w:sz="4" w:space="0" w:color="000000"/>
            </w:tcBorders>
            <w:shd w:val="clear" w:color="000000" w:fill="BFBFBF"/>
            <w:vAlign w:val="center"/>
            <w:hideMark/>
          </w:tcPr>
          <w:p w14:paraId="442737EB" w14:textId="77777777" w:rsidR="00AF2E7D" w:rsidRPr="00AF2E7D" w:rsidRDefault="00AF2E7D" w:rsidP="00AF2E7D">
            <w:pPr>
              <w:spacing w:after="0" w:line="240" w:lineRule="auto"/>
              <w:jc w:val="left"/>
              <w:rPr>
                <w:rFonts w:eastAsia="Times New Roman" w:cs="Arial"/>
                <w:sz w:val="20"/>
                <w:szCs w:val="20"/>
                <w:lang w:eastAsia="fr-FR"/>
              </w:rPr>
            </w:pPr>
            <w:r w:rsidRPr="00AF2E7D">
              <w:rPr>
                <w:rFonts w:eastAsia="Times New Roman" w:cs="Arial"/>
                <w:sz w:val="20"/>
                <w:szCs w:val="20"/>
                <w:lang w:eastAsia="fr-FR"/>
              </w:rPr>
              <w:t> </w:t>
            </w:r>
          </w:p>
        </w:tc>
        <w:tc>
          <w:tcPr>
            <w:tcW w:w="3686" w:type="dxa"/>
            <w:tcBorders>
              <w:top w:val="nil"/>
              <w:left w:val="nil"/>
              <w:bottom w:val="single" w:sz="4" w:space="0" w:color="000000"/>
              <w:right w:val="single" w:sz="4" w:space="0" w:color="000000"/>
            </w:tcBorders>
            <w:shd w:val="clear" w:color="000000" w:fill="BFBFBF"/>
            <w:vAlign w:val="center"/>
            <w:hideMark/>
          </w:tcPr>
          <w:p w14:paraId="2F990A1D" w14:textId="7777777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Préparations à base de tête de porc</w:t>
            </w:r>
          </w:p>
        </w:tc>
        <w:tc>
          <w:tcPr>
            <w:tcW w:w="1246" w:type="dxa"/>
            <w:tcBorders>
              <w:top w:val="nil"/>
              <w:left w:val="nil"/>
              <w:bottom w:val="single" w:sz="4" w:space="0" w:color="000000"/>
              <w:right w:val="single" w:sz="4" w:space="0" w:color="000000"/>
            </w:tcBorders>
            <w:shd w:val="clear" w:color="000000" w:fill="BFBFBF"/>
            <w:vAlign w:val="center"/>
            <w:hideMark/>
          </w:tcPr>
          <w:p w14:paraId="1D25C8EA" w14:textId="511425A6" w:rsidR="00AF2E7D" w:rsidRPr="00AF2E7D" w:rsidRDefault="00B97E0E" w:rsidP="00AF2E7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10</w:t>
            </w:r>
          </w:p>
        </w:tc>
        <w:tc>
          <w:tcPr>
            <w:tcW w:w="171" w:type="dxa"/>
            <w:tcBorders>
              <w:top w:val="nil"/>
              <w:left w:val="nil"/>
              <w:bottom w:val="nil"/>
              <w:right w:val="nil"/>
            </w:tcBorders>
            <w:shd w:val="clear" w:color="auto" w:fill="auto"/>
            <w:noWrap/>
            <w:vAlign w:val="center"/>
            <w:hideMark/>
          </w:tcPr>
          <w:p w14:paraId="4D996C55"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11DDE2FB" w14:textId="77777777" w:rsidR="00AF2E7D" w:rsidRPr="00AF2E7D" w:rsidRDefault="00AF2E7D" w:rsidP="00AF2E7D">
            <w:pPr>
              <w:spacing w:after="0" w:line="240" w:lineRule="auto"/>
              <w:jc w:val="center"/>
              <w:rPr>
                <w:rFonts w:eastAsia="Times New Roman" w:cs="Arial"/>
                <w:color w:val="000000"/>
                <w:sz w:val="20"/>
                <w:szCs w:val="20"/>
                <w:lang w:eastAsia="fr-FR"/>
              </w:rPr>
            </w:pPr>
            <w:r w:rsidRPr="00AF2E7D">
              <w:rPr>
                <w:rFonts w:eastAsia="Times New Roman" w:cs="Arial"/>
                <w:color w:val="000000"/>
                <w:sz w:val="20"/>
                <w:szCs w:val="20"/>
                <w:lang w:eastAsia="fr-FR"/>
              </w:rPr>
              <w:t> </w:t>
            </w:r>
          </w:p>
        </w:tc>
      </w:tr>
      <w:tr w:rsidR="007D09F4" w:rsidRPr="00AF2E7D" w14:paraId="050E5447" w14:textId="77777777" w:rsidTr="00444740">
        <w:trPr>
          <w:trHeight w:val="20"/>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6A88999D"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10.85.11.00</w:t>
            </w:r>
          </w:p>
        </w:tc>
        <w:tc>
          <w:tcPr>
            <w:tcW w:w="1559" w:type="dxa"/>
            <w:tcBorders>
              <w:top w:val="nil"/>
              <w:left w:val="nil"/>
              <w:bottom w:val="single" w:sz="4" w:space="0" w:color="000000"/>
              <w:right w:val="single" w:sz="4" w:space="0" w:color="000000"/>
            </w:tcBorders>
            <w:shd w:val="clear" w:color="000000" w:fill="BFBFBF"/>
            <w:vAlign w:val="center"/>
            <w:hideMark/>
          </w:tcPr>
          <w:p w14:paraId="157A1532" w14:textId="034305D2" w:rsidR="00AF2E7D" w:rsidRPr="00AF2E7D" w:rsidRDefault="00AF2E7D" w:rsidP="00AF2E7D">
            <w:pPr>
              <w:spacing w:after="0" w:line="240" w:lineRule="auto"/>
              <w:jc w:val="center"/>
              <w:rPr>
                <w:rFonts w:eastAsia="Times New Roman" w:cs="Arial"/>
                <w:color w:val="000000"/>
                <w:sz w:val="20"/>
                <w:szCs w:val="20"/>
                <w:lang w:eastAsia="fr-FR"/>
              </w:rPr>
            </w:pPr>
            <w:r w:rsidRPr="00AF2E7D">
              <w:rPr>
                <w:rFonts w:eastAsia="Times New Roman" w:cs="Arial"/>
                <w:sz w:val="20"/>
                <w:szCs w:val="20"/>
                <w:lang w:eastAsia="fr-FR"/>
              </w:rPr>
              <w:t xml:space="preserve">1601+1602 </w:t>
            </w:r>
            <w:r w:rsidR="008E1CB5">
              <w:rPr>
                <w:rFonts w:eastAsia="Times New Roman" w:cs="Arial"/>
                <w:sz w:val="20"/>
                <w:szCs w:val="20"/>
                <w:lang w:eastAsia="fr-FR"/>
              </w:rPr>
              <w:t>NC</w:t>
            </w:r>
            <w:r w:rsidRPr="00AF2E7D">
              <w:rPr>
                <w:rFonts w:eastAsia="Times New Roman" w:cs="Arial"/>
                <w:sz w:val="20"/>
                <w:szCs w:val="20"/>
                <w:lang w:eastAsia="fr-FR"/>
              </w:rPr>
              <w:t>1602.10.00</w:t>
            </w:r>
          </w:p>
        </w:tc>
        <w:tc>
          <w:tcPr>
            <w:tcW w:w="3686" w:type="dxa"/>
            <w:tcBorders>
              <w:top w:val="nil"/>
              <w:left w:val="nil"/>
              <w:bottom w:val="single" w:sz="4" w:space="0" w:color="000000"/>
              <w:right w:val="single" w:sz="4" w:space="0" w:color="000000"/>
            </w:tcBorders>
            <w:shd w:val="clear" w:color="000000" w:fill="BFBFBF"/>
            <w:vAlign w:val="center"/>
            <w:hideMark/>
          </w:tcPr>
          <w:p w14:paraId="078BEDFE" w14:textId="7777777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Pieds cuits, panés, farcis</w:t>
            </w:r>
          </w:p>
        </w:tc>
        <w:tc>
          <w:tcPr>
            <w:tcW w:w="1246" w:type="dxa"/>
            <w:tcBorders>
              <w:top w:val="nil"/>
              <w:left w:val="nil"/>
              <w:bottom w:val="single" w:sz="4" w:space="0" w:color="000000"/>
              <w:right w:val="single" w:sz="4" w:space="0" w:color="000000"/>
            </w:tcBorders>
            <w:shd w:val="clear" w:color="000000" w:fill="BFBFBF"/>
            <w:vAlign w:val="center"/>
            <w:hideMark/>
          </w:tcPr>
          <w:p w14:paraId="1E35E00C" w14:textId="77777777" w:rsidR="00AF2E7D" w:rsidRPr="00AF2E7D" w:rsidRDefault="00AF2E7D" w:rsidP="00AF2E7D">
            <w:pPr>
              <w:spacing w:after="0" w:line="240" w:lineRule="auto"/>
              <w:jc w:val="center"/>
              <w:rPr>
                <w:rFonts w:eastAsia="Times New Roman" w:cs="Arial"/>
                <w:b/>
                <w:bCs/>
                <w:sz w:val="20"/>
                <w:szCs w:val="20"/>
                <w:lang w:eastAsia="fr-FR"/>
              </w:rPr>
            </w:pPr>
            <w:r w:rsidRPr="00AF2E7D">
              <w:rPr>
                <w:rFonts w:eastAsia="Times New Roman" w:cs="Arial"/>
                <w:b/>
                <w:bCs/>
                <w:sz w:val="20"/>
                <w:szCs w:val="20"/>
                <w:lang w:eastAsia="fr-FR"/>
              </w:rPr>
              <w:t>2</w:t>
            </w:r>
          </w:p>
        </w:tc>
        <w:tc>
          <w:tcPr>
            <w:tcW w:w="171" w:type="dxa"/>
            <w:tcBorders>
              <w:top w:val="nil"/>
              <w:left w:val="nil"/>
              <w:bottom w:val="nil"/>
              <w:right w:val="nil"/>
            </w:tcBorders>
            <w:shd w:val="clear" w:color="auto" w:fill="auto"/>
            <w:noWrap/>
            <w:vAlign w:val="center"/>
            <w:hideMark/>
          </w:tcPr>
          <w:p w14:paraId="13E0FDBC"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3972D2D0" w14:textId="77777777" w:rsidR="00AF2E7D" w:rsidRPr="00AF2E7D" w:rsidRDefault="00AF2E7D" w:rsidP="00AF2E7D">
            <w:pPr>
              <w:spacing w:after="0" w:line="240" w:lineRule="auto"/>
              <w:jc w:val="center"/>
              <w:rPr>
                <w:rFonts w:eastAsia="Times New Roman" w:cs="Arial"/>
                <w:color w:val="000000"/>
                <w:sz w:val="20"/>
                <w:szCs w:val="20"/>
                <w:lang w:eastAsia="fr-FR"/>
              </w:rPr>
            </w:pPr>
            <w:r w:rsidRPr="00AF2E7D">
              <w:rPr>
                <w:rFonts w:eastAsia="Times New Roman" w:cs="Arial"/>
                <w:color w:val="000000"/>
                <w:sz w:val="20"/>
                <w:szCs w:val="20"/>
                <w:lang w:eastAsia="fr-FR"/>
              </w:rPr>
              <w:t> </w:t>
            </w:r>
          </w:p>
        </w:tc>
      </w:tr>
      <w:tr w:rsidR="007D09F4" w:rsidRPr="00AF2E7D" w14:paraId="701B41BA" w14:textId="77777777" w:rsidTr="00444740">
        <w:trPr>
          <w:trHeight w:val="545"/>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11C3CBB0" w14:textId="77777777"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10.13.15.75</w:t>
            </w:r>
          </w:p>
        </w:tc>
        <w:tc>
          <w:tcPr>
            <w:tcW w:w="1559" w:type="dxa"/>
            <w:tcBorders>
              <w:top w:val="nil"/>
              <w:left w:val="nil"/>
              <w:bottom w:val="single" w:sz="4" w:space="0" w:color="000000"/>
              <w:right w:val="single" w:sz="4" w:space="0" w:color="000000"/>
            </w:tcBorders>
            <w:shd w:val="clear" w:color="000000" w:fill="BFBFBF"/>
            <w:vAlign w:val="center"/>
            <w:hideMark/>
          </w:tcPr>
          <w:p w14:paraId="1F69D2A4" w14:textId="778BE368" w:rsidR="00AF2E7D" w:rsidRPr="00AF2E7D" w:rsidRDefault="00AF2E7D" w:rsidP="00AF2E7D">
            <w:pPr>
              <w:spacing w:after="0" w:line="240" w:lineRule="auto"/>
              <w:jc w:val="center"/>
              <w:rPr>
                <w:rFonts w:eastAsia="Times New Roman" w:cs="Arial"/>
                <w:sz w:val="20"/>
                <w:szCs w:val="20"/>
                <w:lang w:eastAsia="fr-FR"/>
              </w:rPr>
            </w:pPr>
            <w:r w:rsidRPr="00AF2E7D">
              <w:rPr>
                <w:rFonts w:eastAsia="Times New Roman" w:cs="Arial"/>
                <w:sz w:val="20"/>
                <w:szCs w:val="20"/>
                <w:lang w:eastAsia="fr-FR"/>
              </w:rPr>
              <w:t xml:space="preserve">1602.49 </w:t>
            </w:r>
            <w:r w:rsidR="008E1CB5">
              <w:rPr>
                <w:rFonts w:eastAsia="Times New Roman" w:cs="Arial"/>
                <w:sz w:val="20"/>
                <w:szCs w:val="20"/>
                <w:lang w:eastAsia="fr-FR"/>
              </w:rPr>
              <w:t>NC</w:t>
            </w:r>
            <w:r w:rsidRPr="00AF2E7D">
              <w:rPr>
                <w:rFonts w:eastAsia="Times New Roman" w:cs="Arial"/>
                <w:sz w:val="20"/>
                <w:szCs w:val="20"/>
                <w:lang w:eastAsia="fr-FR"/>
              </w:rPr>
              <w:t xml:space="preserve"> 1602.49.50</w:t>
            </w:r>
          </w:p>
        </w:tc>
        <w:tc>
          <w:tcPr>
            <w:tcW w:w="3686" w:type="dxa"/>
            <w:tcBorders>
              <w:top w:val="nil"/>
              <w:left w:val="nil"/>
              <w:bottom w:val="single" w:sz="4" w:space="0" w:color="000000"/>
              <w:right w:val="single" w:sz="4" w:space="0" w:color="000000"/>
            </w:tcBorders>
            <w:shd w:val="clear" w:color="000000" w:fill="BFBFBF"/>
            <w:vAlign w:val="center"/>
            <w:hideMark/>
          </w:tcPr>
          <w:p w14:paraId="39C29DCB" w14:textId="5AE5B627" w:rsidR="00AF2E7D" w:rsidRPr="00AF2E7D" w:rsidRDefault="00AF2E7D" w:rsidP="00AF2E7D">
            <w:pPr>
              <w:spacing w:after="0" w:line="240" w:lineRule="auto"/>
              <w:jc w:val="left"/>
              <w:rPr>
                <w:rFonts w:eastAsia="Times New Roman" w:cs="Arial"/>
                <w:b/>
                <w:bCs/>
                <w:sz w:val="20"/>
                <w:szCs w:val="20"/>
                <w:lang w:eastAsia="fr-FR"/>
              </w:rPr>
            </w:pPr>
            <w:r w:rsidRPr="00AF2E7D">
              <w:rPr>
                <w:rFonts w:eastAsia="Times New Roman" w:cs="Arial"/>
                <w:b/>
                <w:bCs/>
                <w:sz w:val="20"/>
                <w:szCs w:val="20"/>
                <w:lang w:eastAsia="fr-FR"/>
              </w:rPr>
              <w:t>Rillettes de porc / fritons, grattons, </w:t>
            </w:r>
            <w:r w:rsidR="007A5E56">
              <w:rPr>
                <w:rFonts w:eastAsia="Times New Roman" w:cs="Arial"/>
                <w:b/>
                <w:bCs/>
                <w:sz w:val="20"/>
                <w:szCs w:val="20"/>
                <w:lang w:eastAsia="fr-FR"/>
              </w:rPr>
              <w:br/>
            </w:r>
            <w:r w:rsidRPr="00AF2E7D">
              <w:rPr>
                <w:rFonts w:eastAsia="Times New Roman" w:cs="Arial"/>
                <w:b/>
                <w:bCs/>
                <w:sz w:val="20"/>
                <w:szCs w:val="20"/>
                <w:lang w:eastAsia="fr-FR"/>
              </w:rPr>
              <w:t>rillauds, grillons</w:t>
            </w:r>
          </w:p>
        </w:tc>
        <w:tc>
          <w:tcPr>
            <w:tcW w:w="1246" w:type="dxa"/>
            <w:tcBorders>
              <w:top w:val="nil"/>
              <w:left w:val="nil"/>
              <w:bottom w:val="single" w:sz="4" w:space="0" w:color="000000"/>
              <w:right w:val="single" w:sz="4" w:space="0" w:color="000000"/>
            </w:tcBorders>
            <w:shd w:val="clear" w:color="000000" w:fill="BFBFBF"/>
            <w:vAlign w:val="center"/>
            <w:hideMark/>
          </w:tcPr>
          <w:p w14:paraId="7A2C41C5" w14:textId="0758ED85" w:rsidR="00AF2E7D" w:rsidRPr="00AF2E7D" w:rsidRDefault="003162E7" w:rsidP="00AF2E7D">
            <w:pPr>
              <w:spacing w:after="0" w:line="240" w:lineRule="auto"/>
              <w:jc w:val="center"/>
              <w:rPr>
                <w:rFonts w:eastAsia="Times New Roman" w:cs="Arial"/>
                <w:b/>
                <w:bCs/>
                <w:sz w:val="20"/>
                <w:szCs w:val="20"/>
                <w:lang w:eastAsia="fr-FR"/>
              </w:rPr>
            </w:pPr>
            <w:r>
              <w:rPr>
                <w:rFonts w:eastAsia="Times New Roman" w:cs="Arial"/>
                <w:b/>
                <w:bCs/>
                <w:sz w:val="20"/>
                <w:szCs w:val="20"/>
                <w:lang w:eastAsia="fr-FR"/>
              </w:rPr>
              <w:t>16</w:t>
            </w:r>
          </w:p>
        </w:tc>
        <w:tc>
          <w:tcPr>
            <w:tcW w:w="171" w:type="dxa"/>
            <w:tcBorders>
              <w:top w:val="nil"/>
              <w:left w:val="nil"/>
              <w:bottom w:val="nil"/>
              <w:right w:val="nil"/>
            </w:tcBorders>
            <w:shd w:val="clear" w:color="auto" w:fill="auto"/>
            <w:noWrap/>
            <w:vAlign w:val="center"/>
            <w:hideMark/>
          </w:tcPr>
          <w:p w14:paraId="0EE41848" w14:textId="77777777" w:rsidR="00AF2E7D" w:rsidRPr="00AF2E7D" w:rsidRDefault="00AF2E7D" w:rsidP="00AF2E7D">
            <w:pPr>
              <w:spacing w:after="0" w:line="240" w:lineRule="auto"/>
              <w:jc w:val="center"/>
              <w:rPr>
                <w:rFonts w:eastAsia="Times New Roman" w:cs="Arial"/>
                <w:b/>
                <w:bCs/>
                <w:sz w:val="20"/>
                <w:szCs w:val="20"/>
                <w:lang w:eastAsia="fr-FR"/>
              </w:rPr>
            </w:pPr>
          </w:p>
        </w:tc>
        <w:tc>
          <w:tcPr>
            <w:tcW w:w="1271" w:type="dxa"/>
            <w:tcBorders>
              <w:top w:val="nil"/>
              <w:left w:val="single" w:sz="4" w:space="0" w:color="auto"/>
              <w:bottom w:val="single" w:sz="4" w:space="0" w:color="auto"/>
              <w:right w:val="single" w:sz="4" w:space="0" w:color="auto"/>
            </w:tcBorders>
            <w:shd w:val="clear" w:color="auto" w:fill="auto"/>
            <w:noWrap/>
            <w:vAlign w:val="center"/>
            <w:hideMark/>
          </w:tcPr>
          <w:p w14:paraId="5F84436B" w14:textId="77777777" w:rsidR="00AF2E7D" w:rsidRPr="00AF2E7D" w:rsidRDefault="00AF2E7D" w:rsidP="00AF2E7D">
            <w:pPr>
              <w:spacing w:after="0" w:line="240" w:lineRule="auto"/>
              <w:jc w:val="center"/>
              <w:rPr>
                <w:rFonts w:eastAsia="Times New Roman" w:cs="Arial"/>
                <w:color w:val="000000"/>
                <w:sz w:val="20"/>
                <w:szCs w:val="20"/>
                <w:lang w:eastAsia="fr-FR"/>
              </w:rPr>
            </w:pPr>
            <w:r w:rsidRPr="00AF2E7D">
              <w:rPr>
                <w:rFonts w:eastAsia="Times New Roman" w:cs="Arial"/>
                <w:color w:val="000000"/>
                <w:sz w:val="20"/>
                <w:szCs w:val="20"/>
                <w:lang w:eastAsia="fr-FR"/>
              </w:rPr>
              <w:t> </w:t>
            </w:r>
          </w:p>
        </w:tc>
      </w:tr>
    </w:tbl>
    <w:p w14:paraId="7E2CFCAC" w14:textId="0BA9CEC2" w:rsidR="00A83CF3" w:rsidRPr="00A83CF3" w:rsidRDefault="008E1CB5" w:rsidP="00A83CF3">
      <w:pPr>
        <w:pStyle w:val="figure"/>
      </w:pPr>
      <w:bookmarkStart w:id="83" w:name="_Toc72143363"/>
      <w:r w:rsidRPr="00A83CF3">
        <w:rPr>
          <w:rStyle w:val="figureCar"/>
          <w:b/>
          <w:bCs/>
          <w:iCs/>
        </w:rPr>
        <w:t xml:space="preserve">Tableau </w:t>
      </w:r>
      <w:r w:rsidRPr="00A83CF3">
        <w:rPr>
          <w:rStyle w:val="figureCar"/>
          <w:b/>
          <w:bCs/>
          <w:iCs/>
        </w:rPr>
        <w:fldChar w:fldCharType="begin"/>
      </w:r>
      <w:r w:rsidRPr="00A83CF3">
        <w:rPr>
          <w:rStyle w:val="figureCar"/>
          <w:b/>
          <w:bCs/>
          <w:iCs/>
        </w:rPr>
        <w:instrText xml:space="preserve"> SEQ Tableau \* ARABIC </w:instrText>
      </w:r>
      <w:r w:rsidRPr="00A83CF3">
        <w:rPr>
          <w:rStyle w:val="figureCar"/>
          <w:b/>
          <w:bCs/>
          <w:iCs/>
        </w:rPr>
        <w:fldChar w:fldCharType="separate"/>
      </w:r>
      <w:r w:rsidR="0007597F">
        <w:rPr>
          <w:rStyle w:val="figureCar"/>
          <w:b/>
          <w:bCs/>
          <w:iCs/>
          <w:noProof/>
        </w:rPr>
        <w:t>15</w:t>
      </w:r>
      <w:r w:rsidRPr="00A83CF3">
        <w:rPr>
          <w:rStyle w:val="figureCar"/>
          <w:b/>
          <w:bCs/>
          <w:iCs/>
        </w:rPr>
        <w:fldChar w:fldCharType="end"/>
      </w:r>
      <w:r w:rsidR="00A83CF3" w:rsidRPr="00A83CF3">
        <w:rPr>
          <w:rStyle w:val="figureCar"/>
          <w:b/>
          <w:bCs/>
          <w:iCs/>
        </w:rPr>
        <w:t xml:space="preserve"> : </w:t>
      </w:r>
      <w:r w:rsidR="00D92BC2" w:rsidRPr="00A83CF3">
        <w:rPr>
          <w:rStyle w:val="figureCar"/>
          <w:b/>
          <w:bCs/>
          <w:iCs/>
        </w:rPr>
        <w:t>D</w:t>
      </w:r>
      <w:r w:rsidRPr="00A83CF3">
        <w:rPr>
          <w:rStyle w:val="figureCar"/>
          <w:b/>
          <w:bCs/>
          <w:iCs/>
        </w:rPr>
        <w:t>isponible</w:t>
      </w:r>
      <w:r w:rsidR="00D92BC2" w:rsidRPr="00A83CF3">
        <w:rPr>
          <w:rStyle w:val="figureCar"/>
          <w:b/>
          <w:bCs/>
          <w:iCs/>
        </w:rPr>
        <w:t xml:space="preserve"> en volume en autres cuits et charcuterie cuite</w:t>
      </w:r>
      <w:r w:rsidRPr="00A83CF3">
        <w:rPr>
          <w:rStyle w:val="figureCar"/>
          <w:b/>
          <w:bCs/>
          <w:iCs/>
        </w:rPr>
        <w:t xml:space="preserve"> </w:t>
      </w:r>
      <w:r w:rsidR="00444740">
        <w:rPr>
          <w:rStyle w:val="figureCar"/>
          <w:b/>
          <w:bCs/>
          <w:iCs/>
        </w:rPr>
        <w:t xml:space="preserve">en </w:t>
      </w:r>
      <w:r w:rsidRPr="00A83CF3">
        <w:rPr>
          <w:rStyle w:val="figureCar"/>
          <w:b/>
          <w:bCs/>
          <w:iCs/>
        </w:rPr>
        <w:t>2018</w:t>
      </w:r>
      <w:bookmarkEnd w:id="83"/>
      <w:r w:rsidRPr="00A83CF3">
        <w:t xml:space="preserve"> </w:t>
      </w:r>
      <w:r w:rsidR="00681460">
        <w:t>en kt</w:t>
      </w:r>
    </w:p>
    <w:p w14:paraId="1B8DDC2E" w14:textId="419B4EDB" w:rsidR="008C753A" w:rsidRPr="00A83CF3" w:rsidRDefault="008E1CB5" w:rsidP="00A83CF3">
      <w:pPr>
        <w:pStyle w:val="Lgende"/>
      </w:pPr>
      <w:r w:rsidRPr="00A83CF3">
        <w:t>(Ifip d’après Enquête PRODCOM, Eurostat</w:t>
      </w:r>
      <w:r w:rsidR="003456F4" w:rsidRPr="00A83CF3">
        <w:t>)</w:t>
      </w:r>
    </w:p>
    <w:p w14:paraId="3BD0AA1C" w14:textId="16FDE109" w:rsidR="002553B7" w:rsidRDefault="002553B7" w:rsidP="00A305CD">
      <w:pPr>
        <w:pStyle w:val="Puce1"/>
        <w:numPr>
          <w:ilvl w:val="0"/>
          <w:numId w:val="13"/>
        </w:numPr>
        <w:tabs>
          <w:tab w:val="clear" w:pos="720"/>
        </w:tabs>
        <w:ind w:left="0" w:firstLine="0"/>
      </w:pPr>
      <w:r w:rsidRPr="00566E00">
        <w:t>L</w:t>
      </w:r>
      <w:r>
        <w:t>es pâtés à base de foie 77 </w:t>
      </w:r>
      <w:r w:rsidR="00957F11">
        <w:t>kt</w:t>
      </w:r>
    </w:p>
    <w:p w14:paraId="42905824" w14:textId="2FD847F5" w:rsidR="00CB4172" w:rsidRDefault="00E42754" w:rsidP="00755E09">
      <w:pPr>
        <w:pStyle w:val="Puce1"/>
        <w:tabs>
          <w:tab w:val="clear" w:pos="720"/>
        </w:tabs>
        <w:ind w:left="0" w:firstLine="0"/>
      </w:pPr>
      <w:r>
        <w:t xml:space="preserve">Les pâtés </w:t>
      </w:r>
      <w:r w:rsidR="00EC3BF6">
        <w:t>à base de foie hors produits de volaille représentent 77 </w:t>
      </w:r>
      <w:r w:rsidR="00957F11">
        <w:t>kt</w:t>
      </w:r>
      <w:r w:rsidR="00EC3BF6">
        <w:t>.</w:t>
      </w:r>
      <w:r w:rsidR="009260FA">
        <w:t xml:space="preserve"> </w:t>
      </w:r>
      <w:r w:rsidR="006D2E85">
        <w:t xml:space="preserve">Les produits de volaille </w:t>
      </w:r>
      <w:r w:rsidR="00B549DF">
        <w:t xml:space="preserve">représentent </w:t>
      </w:r>
      <w:r w:rsidR="00FE4746">
        <w:t>12</w:t>
      </w:r>
      <w:r w:rsidR="00F04C95">
        <w:t> </w:t>
      </w:r>
      <w:r w:rsidR="00FE4746">
        <w:t xml:space="preserve">% du total </w:t>
      </w:r>
      <w:r w:rsidR="005469D8">
        <w:t xml:space="preserve">des </w:t>
      </w:r>
      <w:r w:rsidR="00FE4746">
        <w:t>produit</w:t>
      </w:r>
      <w:r w:rsidR="005469D8">
        <w:t>s</w:t>
      </w:r>
      <w:r w:rsidR="00FE4746">
        <w:t xml:space="preserve"> en pâtés à base de foie. </w:t>
      </w:r>
      <w:r w:rsidR="007955D0">
        <w:t xml:space="preserve">Par ailleurs, les importations et exportations s’équilibrent. En conséquence, </w:t>
      </w:r>
      <w:r w:rsidR="00755E09">
        <w:t>comme pour la catégorie précédente, le disponible est à rapprocher des volumes de production</w:t>
      </w:r>
      <w:r w:rsidR="008C5254">
        <w:t xml:space="preserve"> pour le total de la production</w:t>
      </w:r>
      <w:r w:rsidR="00755E09">
        <w:t xml:space="preserve"> </w:t>
      </w:r>
      <w:r w:rsidR="00CB4172">
        <w:t>(Données détaillées Annexe 6c/)</w:t>
      </w:r>
      <w:r w:rsidR="00444740">
        <w:t>.</w:t>
      </w:r>
    </w:p>
    <w:tbl>
      <w:tblPr>
        <w:tblW w:w="9209" w:type="dxa"/>
        <w:tblCellMar>
          <w:left w:w="70" w:type="dxa"/>
          <w:right w:w="70" w:type="dxa"/>
        </w:tblCellMar>
        <w:tblLook w:val="04A0" w:firstRow="1" w:lastRow="0" w:firstColumn="1" w:lastColumn="0" w:noHBand="0" w:noVBand="1"/>
      </w:tblPr>
      <w:tblGrid>
        <w:gridCol w:w="1271"/>
        <w:gridCol w:w="1141"/>
        <w:gridCol w:w="3962"/>
        <w:gridCol w:w="1276"/>
        <w:gridCol w:w="160"/>
        <w:gridCol w:w="1399"/>
      </w:tblGrid>
      <w:tr w:rsidR="003B5CD2" w:rsidRPr="000937DC" w14:paraId="059A2D2B" w14:textId="77777777" w:rsidTr="00CB4172">
        <w:trPr>
          <w:trHeight w:val="130"/>
        </w:trPr>
        <w:tc>
          <w:tcPr>
            <w:tcW w:w="1271"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E293B07" w14:textId="782C059B" w:rsidR="00A46060" w:rsidRPr="00A46060" w:rsidRDefault="00A46060" w:rsidP="00A46060">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Code P</w:t>
            </w:r>
            <w:r w:rsidR="00206B19">
              <w:rPr>
                <w:rFonts w:eastAsia="Times New Roman" w:cs="Arial"/>
                <w:b/>
                <w:bCs/>
                <w:color w:val="000000"/>
                <w:sz w:val="20"/>
                <w:szCs w:val="20"/>
                <w:lang w:eastAsia="fr-FR"/>
              </w:rPr>
              <w:t>RODCOM</w:t>
            </w:r>
          </w:p>
        </w:tc>
        <w:tc>
          <w:tcPr>
            <w:tcW w:w="1141" w:type="dxa"/>
            <w:tcBorders>
              <w:top w:val="single" w:sz="4" w:space="0" w:color="auto"/>
              <w:left w:val="nil"/>
              <w:bottom w:val="single" w:sz="4" w:space="0" w:color="auto"/>
              <w:right w:val="single" w:sz="4" w:space="0" w:color="auto"/>
            </w:tcBorders>
            <w:shd w:val="clear" w:color="000000" w:fill="BFBFBF"/>
            <w:vAlign w:val="center"/>
            <w:hideMark/>
          </w:tcPr>
          <w:p w14:paraId="1ECA5370" w14:textId="77777777" w:rsidR="00A46060" w:rsidRPr="00A46060" w:rsidRDefault="00A46060" w:rsidP="00A46060">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 </w:t>
            </w:r>
          </w:p>
        </w:tc>
        <w:tc>
          <w:tcPr>
            <w:tcW w:w="3962" w:type="dxa"/>
            <w:tcBorders>
              <w:top w:val="single" w:sz="4" w:space="0" w:color="auto"/>
              <w:left w:val="nil"/>
              <w:bottom w:val="single" w:sz="4" w:space="0" w:color="auto"/>
              <w:right w:val="single" w:sz="4" w:space="0" w:color="auto"/>
            </w:tcBorders>
            <w:shd w:val="clear" w:color="000000" w:fill="BFBFBF"/>
            <w:vAlign w:val="center"/>
            <w:hideMark/>
          </w:tcPr>
          <w:p w14:paraId="52EFA5A3" w14:textId="77777777" w:rsidR="00A46060" w:rsidRPr="00A46060" w:rsidRDefault="00A46060" w:rsidP="00A46060">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 xml:space="preserve">Catégories produits </w:t>
            </w:r>
          </w:p>
        </w:tc>
        <w:tc>
          <w:tcPr>
            <w:tcW w:w="1276" w:type="dxa"/>
            <w:tcBorders>
              <w:top w:val="single" w:sz="4" w:space="0" w:color="auto"/>
              <w:left w:val="nil"/>
              <w:bottom w:val="single" w:sz="4" w:space="0" w:color="auto"/>
              <w:right w:val="single" w:sz="4" w:space="0" w:color="auto"/>
            </w:tcBorders>
            <w:shd w:val="clear" w:color="000000" w:fill="BFBFBF"/>
            <w:vAlign w:val="center"/>
            <w:hideMark/>
          </w:tcPr>
          <w:p w14:paraId="4EB22FA9" w14:textId="77777777" w:rsidR="00A46060" w:rsidRPr="00A46060" w:rsidRDefault="00A46060" w:rsidP="00A46060">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 xml:space="preserve">Production </w:t>
            </w:r>
          </w:p>
        </w:tc>
        <w:tc>
          <w:tcPr>
            <w:tcW w:w="160" w:type="dxa"/>
            <w:tcBorders>
              <w:top w:val="nil"/>
              <w:left w:val="nil"/>
              <w:bottom w:val="nil"/>
              <w:right w:val="nil"/>
            </w:tcBorders>
            <w:shd w:val="clear" w:color="auto" w:fill="auto"/>
            <w:noWrap/>
            <w:vAlign w:val="bottom"/>
            <w:hideMark/>
          </w:tcPr>
          <w:p w14:paraId="24DB513F" w14:textId="77777777" w:rsidR="00A46060" w:rsidRPr="00A46060" w:rsidRDefault="00A46060" w:rsidP="00A46060">
            <w:pPr>
              <w:spacing w:after="0" w:line="240" w:lineRule="auto"/>
              <w:jc w:val="left"/>
              <w:rPr>
                <w:rFonts w:eastAsia="Times New Roman" w:cs="Arial"/>
                <w:b/>
                <w:bCs/>
                <w:color w:val="000000"/>
                <w:sz w:val="20"/>
                <w:szCs w:val="20"/>
                <w:lang w:eastAsia="fr-FR"/>
              </w:rPr>
            </w:pPr>
          </w:p>
        </w:tc>
        <w:tc>
          <w:tcPr>
            <w:tcW w:w="1399"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0CC8921D" w14:textId="77777777" w:rsidR="00A46060" w:rsidRPr="00A46060" w:rsidRDefault="00A46060" w:rsidP="000937DC">
            <w:pPr>
              <w:spacing w:after="0" w:line="240" w:lineRule="auto"/>
              <w:jc w:val="left"/>
              <w:rPr>
                <w:rFonts w:eastAsia="Times New Roman" w:cs="Arial"/>
                <w:b/>
                <w:bCs/>
                <w:color w:val="000000"/>
                <w:sz w:val="20"/>
                <w:szCs w:val="20"/>
                <w:lang w:eastAsia="fr-FR"/>
              </w:rPr>
            </w:pPr>
            <w:r w:rsidRPr="00A46060">
              <w:rPr>
                <w:rFonts w:eastAsia="Times New Roman" w:cs="Arial"/>
                <w:b/>
                <w:bCs/>
                <w:color w:val="000000"/>
                <w:sz w:val="20"/>
                <w:szCs w:val="20"/>
                <w:lang w:eastAsia="fr-FR"/>
              </w:rPr>
              <w:t xml:space="preserve">Solde Net </w:t>
            </w:r>
          </w:p>
        </w:tc>
      </w:tr>
      <w:tr w:rsidR="003B5CD2" w:rsidRPr="00A46060" w14:paraId="72CAA1E3" w14:textId="77777777" w:rsidTr="00CB4172">
        <w:trPr>
          <w:trHeight w:val="581"/>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06C37ACE"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1141" w:type="dxa"/>
            <w:tcBorders>
              <w:top w:val="nil"/>
              <w:left w:val="nil"/>
              <w:bottom w:val="single" w:sz="4" w:space="0" w:color="000000"/>
              <w:right w:val="single" w:sz="4" w:space="0" w:color="000000"/>
            </w:tcBorders>
            <w:shd w:val="clear" w:color="000000" w:fill="BFBFBF"/>
            <w:vAlign w:val="center"/>
            <w:hideMark/>
          </w:tcPr>
          <w:p w14:paraId="144ADC72"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3962" w:type="dxa"/>
            <w:tcBorders>
              <w:top w:val="nil"/>
              <w:left w:val="nil"/>
              <w:bottom w:val="single" w:sz="4" w:space="0" w:color="000000"/>
              <w:right w:val="single" w:sz="4" w:space="0" w:color="000000"/>
            </w:tcBorders>
            <w:shd w:val="clear" w:color="000000" w:fill="BFBFBF"/>
            <w:vAlign w:val="center"/>
            <w:hideMark/>
          </w:tcPr>
          <w:p w14:paraId="16F7D051" w14:textId="77777777" w:rsidR="00A46060" w:rsidRPr="00A46060" w:rsidRDefault="00A46060" w:rsidP="00A46060">
            <w:pPr>
              <w:spacing w:after="0" w:line="240" w:lineRule="auto"/>
              <w:jc w:val="left"/>
              <w:rPr>
                <w:rFonts w:eastAsia="Times New Roman" w:cs="Arial"/>
                <w:b/>
                <w:bCs/>
                <w:sz w:val="20"/>
                <w:szCs w:val="20"/>
                <w:lang w:eastAsia="fr-FR"/>
              </w:rPr>
            </w:pPr>
            <w:r w:rsidRPr="00A46060">
              <w:rPr>
                <w:rFonts w:eastAsia="Times New Roman" w:cs="Arial"/>
                <w:b/>
                <w:bCs/>
                <w:sz w:val="20"/>
                <w:szCs w:val="20"/>
                <w:lang w:eastAsia="fr-FR"/>
              </w:rPr>
              <w:t>Total Pâtés et préparations diverses à base de foie</w:t>
            </w:r>
          </w:p>
        </w:tc>
        <w:tc>
          <w:tcPr>
            <w:tcW w:w="1276" w:type="dxa"/>
            <w:tcBorders>
              <w:top w:val="nil"/>
              <w:left w:val="nil"/>
              <w:bottom w:val="nil"/>
              <w:right w:val="single" w:sz="4" w:space="0" w:color="000000"/>
            </w:tcBorders>
            <w:shd w:val="clear" w:color="000000" w:fill="BFBFBF"/>
            <w:vAlign w:val="center"/>
            <w:hideMark/>
          </w:tcPr>
          <w:p w14:paraId="3BFF712B" w14:textId="3569538F" w:rsidR="00A46060" w:rsidRPr="00A46060" w:rsidRDefault="00A46060" w:rsidP="004D0323">
            <w:pPr>
              <w:spacing w:after="0" w:line="240" w:lineRule="auto"/>
              <w:jc w:val="center"/>
              <w:rPr>
                <w:rFonts w:eastAsia="Times New Roman" w:cs="Arial"/>
                <w:b/>
                <w:bCs/>
                <w:color w:val="000000"/>
                <w:sz w:val="20"/>
                <w:szCs w:val="20"/>
                <w:lang w:eastAsia="fr-FR"/>
              </w:rPr>
            </w:pPr>
            <w:r w:rsidRPr="00A46060">
              <w:rPr>
                <w:rFonts w:eastAsia="Times New Roman" w:cs="Arial"/>
                <w:b/>
                <w:bCs/>
                <w:color w:val="000000"/>
                <w:sz w:val="20"/>
                <w:szCs w:val="20"/>
                <w:lang w:eastAsia="fr-FR"/>
              </w:rPr>
              <w:t>88</w:t>
            </w:r>
          </w:p>
        </w:tc>
        <w:tc>
          <w:tcPr>
            <w:tcW w:w="160" w:type="dxa"/>
            <w:tcBorders>
              <w:top w:val="nil"/>
              <w:left w:val="nil"/>
              <w:bottom w:val="nil"/>
              <w:right w:val="nil"/>
            </w:tcBorders>
            <w:shd w:val="clear" w:color="auto" w:fill="auto"/>
            <w:noWrap/>
            <w:vAlign w:val="bottom"/>
            <w:hideMark/>
          </w:tcPr>
          <w:p w14:paraId="51A54BDF" w14:textId="77777777" w:rsidR="00A46060" w:rsidRPr="00A46060" w:rsidRDefault="00A46060" w:rsidP="004D0323">
            <w:pPr>
              <w:spacing w:after="0" w:line="240" w:lineRule="auto"/>
              <w:jc w:val="center"/>
              <w:rPr>
                <w:rFonts w:eastAsia="Times New Roman" w:cs="Arial"/>
                <w:b/>
                <w:bCs/>
                <w:color w:val="000000"/>
                <w:sz w:val="20"/>
                <w:szCs w:val="20"/>
                <w:lang w:eastAsia="fr-FR"/>
              </w:rPr>
            </w:pPr>
          </w:p>
        </w:tc>
        <w:tc>
          <w:tcPr>
            <w:tcW w:w="1399" w:type="dxa"/>
            <w:tcBorders>
              <w:top w:val="nil"/>
              <w:left w:val="single" w:sz="4" w:space="0" w:color="000000"/>
              <w:bottom w:val="nil"/>
              <w:right w:val="single" w:sz="4" w:space="0" w:color="000000"/>
            </w:tcBorders>
            <w:shd w:val="clear" w:color="000000" w:fill="BFBFBF"/>
            <w:vAlign w:val="center"/>
            <w:hideMark/>
          </w:tcPr>
          <w:p w14:paraId="4D5C8E44" w14:textId="56118F7A" w:rsidR="00A46060" w:rsidRPr="00A46060" w:rsidRDefault="00A46060" w:rsidP="004D0323">
            <w:pPr>
              <w:spacing w:after="0" w:line="240" w:lineRule="auto"/>
              <w:jc w:val="center"/>
              <w:rPr>
                <w:rFonts w:eastAsia="Times New Roman" w:cs="Arial"/>
                <w:b/>
                <w:bCs/>
                <w:color w:val="000000"/>
                <w:sz w:val="20"/>
                <w:szCs w:val="20"/>
                <w:lang w:eastAsia="fr-FR"/>
              </w:rPr>
            </w:pPr>
            <w:r w:rsidRPr="00A46060">
              <w:rPr>
                <w:rFonts w:eastAsia="Times New Roman" w:cs="Arial"/>
                <w:b/>
                <w:bCs/>
                <w:color w:val="000000"/>
                <w:sz w:val="20"/>
                <w:szCs w:val="20"/>
                <w:lang w:eastAsia="fr-FR"/>
              </w:rPr>
              <w:t>89</w:t>
            </w:r>
          </w:p>
        </w:tc>
      </w:tr>
      <w:tr w:rsidR="003B5CD2" w:rsidRPr="00A46060" w14:paraId="09FAD051" w14:textId="77777777" w:rsidTr="00CB4172">
        <w:trPr>
          <w:trHeight w:val="405"/>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62B183D7"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1141" w:type="dxa"/>
            <w:tcBorders>
              <w:top w:val="nil"/>
              <w:left w:val="nil"/>
              <w:bottom w:val="single" w:sz="4" w:space="0" w:color="000000"/>
              <w:right w:val="single" w:sz="4" w:space="0" w:color="000000"/>
            </w:tcBorders>
            <w:shd w:val="clear" w:color="000000" w:fill="BFBFBF"/>
            <w:vAlign w:val="center"/>
            <w:hideMark/>
          </w:tcPr>
          <w:p w14:paraId="4F1BAB0B"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3962" w:type="dxa"/>
            <w:tcBorders>
              <w:top w:val="nil"/>
              <w:left w:val="nil"/>
              <w:bottom w:val="single" w:sz="4" w:space="0" w:color="000000"/>
              <w:right w:val="nil"/>
            </w:tcBorders>
            <w:shd w:val="clear" w:color="000000" w:fill="BFBFBF"/>
            <w:vAlign w:val="center"/>
            <w:hideMark/>
          </w:tcPr>
          <w:p w14:paraId="737D99F6" w14:textId="20819CE6" w:rsidR="00A46060" w:rsidRPr="00A46060" w:rsidRDefault="00A46060" w:rsidP="00A46060">
            <w:pPr>
              <w:spacing w:after="0" w:line="240" w:lineRule="auto"/>
              <w:jc w:val="left"/>
              <w:rPr>
                <w:rFonts w:eastAsia="Times New Roman" w:cs="Arial"/>
                <w:b/>
                <w:bCs/>
                <w:sz w:val="20"/>
                <w:szCs w:val="20"/>
                <w:lang w:eastAsia="fr-FR"/>
              </w:rPr>
            </w:pPr>
            <w:r w:rsidRPr="00A46060">
              <w:rPr>
                <w:rFonts w:eastAsia="Times New Roman" w:cs="Arial"/>
                <w:b/>
                <w:bCs/>
                <w:sz w:val="20"/>
                <w:szCs w:val="20"/>
                <w:lang w:eastAsia="fr-FR"/>
              </w:rPr>
              <w:t>Total hors produit avec volaille</w:t>
            </w:r>
          </w:p>
        </w:tc>
        <w:tc>
          <w:tcPr>
            <w:tcW w:w="1276"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48871D2" w14:textId="579EEDCB" w:rsidR="00A46060" w:rsidRPr="00A46060" w:rsidRDefault="00A46060" w:rsidP="004D0323">
            <w:pPr>
              <w:spacing w:after="0" w:line="240" w:lineRule="auto"/>
              <w:jc w:val="center"/>
              <w:rPr>
                <w:rFonts w:eastAsia="Times New Roman" w:cs="Arial"/>
                <w:b/>
                <w:bCs/>
                <w:color w:val="000000"/>
                <w:sz w:val="20"/>
                <w:szCs w:val="20"/>
                <w:lang w:eastAsia="fr-FR"/>
              </w:rPr>
            </w:pPr>
            <w:r w:rsidRPr="00A46060">
              <w:rPr>
                <w:rFonts w:eastAsia="Times New Roman" w:cs="Arial"/>
                <w:b/>
                <w:bCs/>
                <w:color w:val="000000"/>
                <w:sz w:val="20"/>
                <w:szCs w:val="20"/>
                <w:lang w:eastAsia="fr-FR"/>
              </w:rPr>
              <w:t>77</w:t>
            </w:r>
          </w:p>
        </w:tc>
        <w:tc>
          <w:tcPr>
            <w:tcW w:w="160" w:type="dxa"/>
            <w:tcBorders>
              <w:top w:val="nil"/>
              <w:left w:val="nil"/>
              <w:bottom w:val="nil"/>
              <w:right w:val="nil"/>
            </w:tcBorders>
            <w:shd w:val="clear" w:color="auto" w:fill="auto"/>
            <w:noWrap/>
            <w:vAlign w:val="bottom"/>
            <w:hideMark/>
          </w:tcPr>
          <w:p w14:paraId="71835E14" w14:textId="77777777" w:rsidR="00A46060" w:rsidRPr="00A46060" w:rsidRDefault="00A46060" w:rsidP="004D0323">
            <w:pPr>
              <w:spacing w:after="0" w:line="240" w:lineRule="auto"/>
              <w:jc w:val="center"/>
              <w:rPr>
                <w:rFonts w:eastAsia="Times New Roman" w:cs="Arial"/>
                <w:b/>
                <w:bCs/>
                <w:color w:val="000000"/>
                <w:sz w:val="20"/>
                <w:szCs w:val="20"/>
                <w:lang w:eastAsia="fr-FR"/>
              </w:rPr>
            </w:pPr>
          </w:p>
        </w:tc>
        <w:tc>
          <w:tcPr>
            <w:tcW w:w="1399" w:type="dxa"/>
            <w:tcBorders>
              <w:top w:val="single" w:sz="4" w:space="0" w:color="000000"/>
              <w:left w:val="single" w:sz="4" w:space="0" w:color="000000"/>
              <w:bottom w:val="nil"/>
              <w:right w:val="single" w:sz="4" w:space="0" w:color="000000"/>
            </w:tcBorders>
            <w:shd w:val="clear" w:color="000000" w:fill="BFBFBF"/>
            <w:vAlign w:val="center"/>
            <w:hideMark/>
          </w:tcPr>
          <w:p w14:paraId="57BD0878" w14:textId="093DC612" w:rsidR="00A46060" w:rsidRPr="00A46060" w:rsidRDefault="00500787" w:rsidP="004D0323">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77</w:t>
            </w:r>
          </w:p>
        </w:tc>
      </w:tr>
      <w:tr w:rsidR="003B5CD2" w:rsidRPr="00A46060" w14:paraId="77F880CC" w14:textId="77777777" w:rsidTr="00CB4172">
        <w:trPr>
          <w:trHeight w:val="437"/>
        </w:trPr>
        <w:tc>
          <w:tcPr>
            <w:tcW w:w="1271" w:type="dxa"/>
            <w:tcBorders>
              <w:top w:val="nil"/>
              <w:left w:val="single" w:sz="4" w:space="0" w:color="000000"/>
              <w:bottom w:val="single" w:sz="4" w:space="0" w:color="000000"/>
              <w:right w:val="single" w:sz="4" w:space="0" w:color="000000"/>
            </w:tcBorders>
            <w:shd w:val="clear" w:color="auto" w:fill="auto"/>
            <w:vAlign w:val="center"/>
            <w:hideMark/>
          </w:tcPr>
          <w:p w14:paraId="76167C67"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1141" w:type="dxa"/>
            <w:tcBorders>
              <w:top w:val="nil"/>
              <w:left w:val="nil"/>
              <w:bottom w:val="single" w:sz="4" w:space="0" w:color="000000"/>
              <w:right w:val="single" w:sz="4" w:space="0" w:color="000000"/>
            </w:tcBorders>
            <w:shd w:val="clear" w:color="auto" w:fill="auto"/>
            <w:vAlign w:val="center"/>
            <w:hideMark/>
          </w:tcPr>
          <w:p w14:paraId="57AF7879"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3962" w:type="dxa"/>
            <w:tcBorders>
              <w:top w:val="nil"/>
              <w:left w:val="nil"/>
              <w:bottom w:val="single" w:sz="4" w:space="0" w:color="000000"/>
              <w:right w:val="single" w:sz="4" w:space="0" w:color="000000"/>
            </w:tcBorders>
            <w:shd w:val="clear" w:color="auto" w:fill="auto"/>
            <w:vAlign w:val="center"/>
            <w:hideMark/>
          </w:tcPr>
          <w:p w14:paraId="01AD99F2" w14:textId="5AE93CE8" w:rsidR="00A46060" w:rsidRPr="00A46060" w:rsidRDefault="00B720AE" w:rsidP="00A46060">
            <w:pPr>
              <w:spacing w:after="0" w:line="240" w:lineRule="auto"/>
              <w:jc w:val="right"/>
              <w:rPr>
                <w:rFonts w:eastAsia="Times New Roman" w:cs="Arial"/>
                <w:sz w:val="20"/>
                <w:szCs w:val="20"/>
                <w:lang w:eastAsia="fr-FR"/>
              </w:rPr>
            </w:pPr>
            <w:r>
              <w:rPr>
                <w:rFonts w:eastAsia="Times New Roman" w:cs="Arial"/>
                <w:sz w:val="20"/>
                <w:szCs w:val="20"/>
                <w:lang w:eastAsia="fr-FR"/>
              </w:rPr>
              <w:t xml:space="preserve">Dt </w:t>
            </w:r>
            <w:r w:rsidR="00A46060" w:rsidRPr="00A46060">
              <w:rPr>
                <w:rFonts w:eastAsia="Times New Roman" w:cs="Arial"/>
                <w:sz w:val="20"/>
                <w:szCs w:val="20"/>
                <w:lang w:eastAsia="fr-FR"/>
              </w:rPr>
              <w:t>Pâtés et préparations diverses de foie</w:t>
            </w:r>
          </w:p>
        </w:tc>
        <w:tc>
          <w:tcPr>
            <w:tcW w:w="1276" w:type="dxa"/>
            <w:tcBorders>
              <w:top w:val="nil"/>
              <w:left w:val="nil"/>
              <w:bottom w:val="single" w:sz="4" w:space="0" w:color="auto"/>
              <w:right w:val="single" w:sz="4" w:space="0" w:color="auto"/>
            </w:tcBorders>
            <w:shd w:val="clear" w:color="auto" w:fill="auto"/>
            <w:vAlign w:val="center"/>
            <w:hideMark/>
          </w:tcPr>
          <w:p w14:paraId="7BF7802C" w14:textId="7CBE9446" w:rsidR="00A46060" w:rsidRPr="00A46060" w:rsidRDefault="00A46060" w:rsidP="004D0323">
            <w:pPr>
              <w:spacing w:after="0" w:line="240" w:lineRule="auto"/>
              <w:jc w:val="center"/>
              <w:rPr>
                <w:rFonts w:eastAsia="Times New Roman" w:cs="Arial"/>
                <w:color w:val="000000"/>
                <w:sz w:val="20"/>
                <w:szCs w:val="20"/>
                <w:lang w:eastAsia="fr-FR"/>
              </w:rPr>
            </w:pPr>
            <w:r w:rsidRPr="00A46060">
              <w:rPr>
                <w:rFonts w:eastAsia="Times New Roman" w:cs="Arial"/>
                <w:color w:val="000000"/>
                <w:sz w:val="20"/>
                <w:szCs w:val="20"/>
                <w:lang w:eastAsia="fr-FR"/>
              </w:rPr>
              <w:t>23</w:t>
            </w:r>
          </w:p>
        </w:tc>
        <w:tc>
          <w:tcPr>
            <w:tcW w:w="160" w:type="dxa"/>
            <w:tcBorders>
              <w:top w:val="nil"/>
              <w:left w:val="nil"/>
              <w:bottom w:val="nil"/>
              <w:right w:val="nil"/>
            </w:tcBorders>
            <w:shd w:val="clear" w:color="auto" w:fill="auto"/>
            <w:noWrap/>
            <w:vAlign w:val="bottom"/>
            <w:hideMark/>
          </w:tcPr>
          <w:p w14:paraId="60FD1F15" w14:textId="77777777" w:rsidR="00A46060" w:rsidRPr="00A46060" w:rsidRDefault="00A46060" w:rsidP="004D0323">
            <w:pPr>
              <w:spacing w:after="0" w:line="240" w:lineRule="auto"/>
              <w:jc w:val="center"/>
              <w:rPr>
                <w:rFonts w:eastAsia="Times New Roman" w:cs="Arial"/>
                <w:color w:val="000000"/>
                <w:sz w:val="20"/>
                <w:szCs w:val="20"/>
                <w:lang w:eastAsia="fr-FR"/>
              </w:rPr>
            </w:pPr>
          </w:p>
        </w:tc>
        <w:tc>
          <w:tcPr>
            <w:tcW w:w="13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9E4636" w14:textId="39216FD5" w:rsidR="00A46060" w:rsidRPr="00A46060" w:rsidRDefault="004D0323" w:rsidP="004D0323">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w:t>
            </w:r>
          </w:p>
        </w:tc>
      </w:tr>
      <w:tr w:rsidR="003B5CD2" w:rsidRPr="00A46060" w14:paraId="10EAF6B2" w14:textId="77777777" w:rsidTr="004D0323">
        <w:trPr>
          <w:trHeight w:val="611"/>
        </w:trPr>
        <w:tc>
          <w:tcPr>
            <w:tcW w:w="1271" w:type="dxa"/>
            <w:tcBorders>
              <w:top w:val="nil"/>
              <w:left w:val="single" w:sz="4" w:space="0" w:color="000000"/>
              <w:bottom w:val="single" w:sz="4" w:space="0" w:color="000000"/>
              <w:right w:val="single" w:sz="4" w:space="0" w:color="000000"/>
            </w:tcBorders>
            <w:shd w:val="clear" w:color="000000" w:fill="BFBFBF"/>
            <w:hideMark/>
          </w:tcPr>
          <w:p w14:paraId="137203A1" w14:textId="77777777" w:rsidR="00A46060" w:rsidRPr="00A46060" w:rsidRDefault="00A46060" w:rsidP="00A46060">
            <w:pPr>
              <w:spacing w:after="0" w:line="240" w:lineRule="auto"/>
              <w:jc w:val="center"/>
              <w:rPr>
                <w:rFonts w:eastAsia="Times New Roman" w:cs="Arial"/>
                <w:sz w:val="20"/>
                <w:szCs w:val="20"/>
                <w:lang w:eastAsia="fr-FR"/>
              </w:rPr>
            </w:pPr>
            <w:r w:rsidRPr="00A46060">
              <w:rPr>
                <w:rFonts w:eastAsia="Times New Roman" w:cs="Arial"/>
                <w:sz w:val="20"/>
                <w:szCs w:val="20"/>
                <w:lang w:eastAsia="fr-FR"/>
              </w:rPr>
              <w:t>10.13.15.05</w:t>
            </w:r>
          </w:p>
        </w:tc>
        <w:tc>
          <w:tcPr>
            <w:tcW w:w="1141" w:type="dxa"/>
            <w:tcBorders>
              <w:top w:val="nil"/>
              <w:left w:val="nil"/>
              <w:bottom w:val="single" w:sz="4" w:space="0" w:color="000000"/>
              <w:right w:val="single" w:sz="4" w:space="0" w:color="000000"/>
            </w:tcBorders>
            <w:shd w:val="clear" w:color="000000" w:fill="BFBFBF"/>
            <w:hideMark/>
          </w:tcPr>
          <w:p w14:paraId="1801F229" w14:textId="77777777" w:rsidR="00A46060" w:rsidRPr="00A46060" w:rsidRDefault="00A46060" w:rsidP="00A46060">
            <w:pPr>
              <w:spacing w:after="0" w:line="240" w:lineRule="auto"/>
              <w:jc w:val="center"/>
              <w:rPr>
                <w:rFonts w:eastAsia="Times New Roman" w:cs="Arial"/>
                <w:sz w:val="20"/>
                <w:szCs w:val="20"/>
                <w:lang w:eastAsia="fr-FR"/>
              </w:rPr>
            </w:pPr>
            <w:r w:rsidRPr="00A46060">
              <w:rPr>
                <w:rFonts w:eastAsia="Times New Roman" w:cs="Arial"/>
                <w:sz w:val="20"/>
                <w:szCs w:val="20"/>
                <w:lang w:eastAsia="fr-FR"/>
              </w:rPr>
              <w:t>1602.20.10</w:t>
            </w:r>
          </w:p>
        </w:tc>
        <w:tc>
          <w:tcPr>
            <w:tcW w:w="3962" w:type="dxa"/>
            <w:tcBorders>
              <w:top w:val="nil"/>
              <w:left w:val="nil"/>
              <w:bottom w:val="single" w:sz="4" w:space="0" w:color="000000"/>
              <w:right w:val="single" w:sz="4" w:space="0" w:color="000000"/>
            </w:tcBorders>
            <w:shd w:val="clear" w:color="000000" w:fill="BFBFBF"/>
            <w:hideMark/>
          </w:tcPr>
          <w:p w14:paraId="1DB3CAFD" w14:textId="77777777" w:rsidR="00A46060" w:rsidRPr="00A46060" w:rsidRDefault="00A46060" w:rsidP="00A46060">
            <w:pPr>
              <w:spacing w:after="0" w:line="240" w:lineRule="auto"/>
              <w:jc w:val="left"/>
              <w:rPr>
                <w:rFonts w:eastAsia="Times New Roman" w:cs="Arial"/>
                <w:sz w:val="20"/>
                <w:szCs w:val="20"/>
                <w:lang w:eastAsia="fr-FR"/>
              </w:rPr>
            </w:pPr>
            <w:r w:rsidRPr="00A46060">
              <w:rPr>
                <w:rFonts w:eastAsia="Times New Roman" w:cs="Arial"/>
                <w:sz w:val="20"/>
                <w:szCs w:val="20"/>
                <w:lang w:eastAsia="fr-FR"/>
              </w:rPr>
              <w:t>Pâté, crème, mousse, terrine contenant du foie d'oie ou de canard (hors foie gras)</w:t>
            </w:r>
          </w:p>
        </w:tc>
        <w:tc>
          <w:tcPr>
            <w:tcW w:w="1276" w:type="dxa"/>
            <w:tcBorders>
              <w:top w:val="nil"/>
              <w:left w:val="nil"/>
              <w:bottom w:val="single" w:sz="4" w:space="0" w:color="auto"/>
              <w:right w:val="single" w:sz="4" w:space="0" w:color="auto"/>
            </w:tcBorders>
            <w:shd w:val="clear" w:color="000000" w:fill="BFBFBF"/>
            <w:vAlign w:val="center"/>
            <w:hideMark/>
          </w:tcPr>
          <w:p w14:paraId="157F1950" w14:textId="112A766F" w:rsidR="00A46060" w:rsidRPr="00A46060" w:rsidRDefault="00A46060" w:rsidP="004D0323">
            <w:pPr>
              <w:spacing w:after="0" w:line="240" w:lineRule="auto"/>
              <w:jc w:val="center"/>
              <w:rPr>
                <w:rFonts w:eastAsia="Times New Roman" w:cs="Arial"/>
                <w:color w:val="000000"/>
                <w:sz w:val="20"/>
                <w:szCs w:val="20"/>
                <w:lang w:eastAsia="fr-FR"/>
              </w:rPr>
            </w:pPr>
            <w:r w:rsidRPr="00A46060">
              <w:rPr>
                <w:rFonts w:eastAsia="Times New Roman" w:cs="Arial"/>
                <w:color w:val="000000"/>
                <w:sz w:val="20"/>
                <w:szCs w:val="20"/>
                <w:lang w:eastAsia="fr-FR"/>
              </w:rPr>
              <w:t>12</w:t>
            </w:r>
          </w:p>
        </w:tc>
        <w:tc>
          <w:tcPr>
            <w:tcW w:w="160" w:type="dxa"/>
            <w:tcBorders>
              <w:top w:val="nil"/>
              <w:left w:val="nil"/>
              <w:bottom w:val="nil"/>
              <w:right w:val="nil"/>
            </w:tcBorders>
            <w:shd w:val="clear" w:color="auto" w:fill="auto"/>
            <w:noWrap/>
            <w:vAlign w:val="bottom"/>
            <w:hideMark/>
          </w:tcPr>
          <w:p w14:paraId="47FADDE4" w14:textId="77777777" w:rsidR="00A46060" w:rsidRPr="00A46060" w:rsidRDefault="00A46060" w:rsidP="004D0323">
            <w:pPr>
              <w:spacing w:after="0" w:line="240" w:lineRule="auto"/>
              <w:jc w:val="center"/>
              <w:rPr>
                <w:rFonts w:eastAsia="Times New Roman" w:cs="Arial"/>
                <w:color w:val="000000"/>
                <w:sz w:val="20"/>
                <w:szCs w:val="20"/>
                <w:lang w:eastAsia="fr-FR"/>
              </w:rPr>
            </w:pPr>
          </w:p>
        </w:tc>
        <w:tc>
          <w:tcPr>
            <w:tcW w:w="1399"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14:paraId="7E1F46C5" w14:textId="61C8D260" w:rsidR="00A46060" w:rsidRPr="00A46060" w:rsidRDefault="004D0323" w:rsidP="004D0323">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w:t>
            </w:r>
          </w:p>
        </w:tc>
      </w:tr>
      <w:tr w:rsidR="003B5CD2" w:rsidRPr="00A46060" w14:paraId="137CCFE1" w14:textId="77777777" w:rsidTr="00CB4172">
        <w:trPr>
          <w:trHeight w:val="291"/>
        </w:trPr>
        <w:tc>
          <w:tcPr>
            <w:tcW w:w="1271" w:type="dxa"/>
            <w:tcBorders>
              <w:top w:val="nil"/>
              <w:left w:val="single" w:sz="4" w:space="0" w:color="000000"/>
              <w:bottom w:val="single" w:sz="4" w:space="0" w:color="000000"/>
              <w:right w:val="single" w:sz="4" w:space="0" w:color="000000"/>
            </w:tcBorders>
            <w:shd w:val="clear" w:color="auto" w:fill="auto"/>
            <w:hideMark/>
          </w:tcPr>
          <w:p w14:paraId="2106B959" w14:textId="77777777" w:rsidR="00A46060" w:rsidRPr="00A46060" w:rsidRDefault="00A46060" w:rsidP="00A46060">
            <w:pPr>
              <w:spacing w:after="0" w:line="240" w:lineRule="auto"/>
              <w:jc w:val="center"/>
              <w:rPr>
                <w:rFonts w:eastAsia="Times New Roman" w:cs="Arial"/>
                <w:sz w:val="20"/>
                <w:szCs w:val="20"/>
                <w:lang w:eastAsia="fr-FR"/>
              </w:rPr>
            </w:pPr>
            <w:r w:rsidRPr="00A46060">
              <w:rPr>
                <w:rFonts w:eastAsia="Times New Roman" w:cs="Arial"/>
                <w:sz w:val="20"/>
                <w:szCs w:val="20"/>
                <w:lang w:eastAsia="fr-FR"/>
              </w:rPr>
              <w:t>10.13.15.15</w:t>
            </w:r>
          </w:p>
        </w:tc>
        <w:tc>
          <w:tcPr>
            <w:tcW w:w="1141" w:type="dxa"/>
            <w:tcBorders>
              <w:top w:val="nil"/>
              <w:left w:val="nil"/>
              <w:bottom w:val="single" w:sz="4" w:space="0" w:color="000000"/>
              <w:right w:val="single" w:sz="4" w:space="0" w:color="000000"/>
            </w:tcBorders>
            <w:shd w:val="clear" w:color="auto" w:fill="auto"/>
            <w:hideMark/>
          </w:tcPr>
          <w:p w14:paraId="1A014508" w14:textId="77777777" w:rsidR="00A46060" w:rsidRPr="00A46060" w:rsidRDefault="00A46060" w:rsidP="00A46060">
            <w:pPr>
              <w:spacing w:after="0" w:line="240" w:lineRule="auto"/>
              <w:jc w:val="center"/>
              <w:rPr>
                <w:rFonts w:eastAsia="Times New Roman" w:cs="Arial"/>
                <w:sz w:val="20"/>
                <w:szCs w:val="20"/>
                <w:lang w:eastAsia="fr-FR"/>
              </w:rPr>
            </w:pPr>
            <w:r w:rsidRPr="00A46060">
              <w:rPr>
                <w:rFonts w:eastAsia="Times New Roman" w:cs="Arial"/>
                <w:sz w:val="20"/>
                <w:szCs w:val="20"/>
                <w:lang w:eastAsia="fr-FR"/>
              </w:rPr>
              <w:t>1602.20.90</w:t>
            </w:r>
          </w:p>
        </w:tc>
        <w:tc>
          <w:tcPr>
            <w:tcW w:w="3962" w:type="dxa"/>
            <w:tcBorders>
              <w:top w:val="nil"/>
              <w:left w:val="nil"/>
              <w:bottom w:val="single" w:sz="4" w:space="0" w:color="000000"/>
              <w:right w:val="single" w:sz="4" w:space="0" w:color="000000"/>
            </w:tcBorders>
            <w:shd w:val="clear" w:color="auto" w:fill="auto"/>
            <w:hideMark/>
          </w:tcPr>
          <w:p w14:paraId="3DC1F223" w14:textId="2B614DB8" w:rsidR="00A46060" w:rsidRPr="00A46060" w:rsidRDefault="00B720AE" w:rsidP="00111D5D">
            <w:pPr>
              <w:spacing w:after="0" w:line="240" w:lineRule="auto"/>
              <w:jc w:val="right"/>
              <w:rPr>
                <w:rFonts w:eastAsia="Times New Roman" w:cs="Arial"/>
                <w:sz w:val="20"/>
                <w:szCs w:val="20"/>
                <w:lang w:eastAsia="fr-FR"/>
              </w:rPr>
            </w:pPr>
            <w:r>
              <w:rPr>
                <w:rFonts w:eastAsia="Times New Roman" w:cs="Arial"/>
                <w:sz w:val="20"/>
                <w:szCs w:val="20"/>
                <w:lang w:eastAsia="fr-FR"/>
              </w:rPr>
              <w:t>Dt p</w:t>
            </w:r>
            <w:r w:rsidR="00A46060" w:rsidRPr="00A46060">
              <w:rPr>
                <w:rFonts w:eastAsia="Times New Roman" w:cs="Arial"/>
                <w:sz w:val="20"/>
                <w:szCs w:val="20"/>
                <w:lang w:eastAsia="fr-FR"/>
              </w:rPr>
              <w:t>réparations</w:t>
            </w:r>
            <w:r>
              <w:rPr>
                <w:rFonts w:eastAsia="Times New Roman" w:cs="Arial"/>
                <w:sz w:val="20"/>
                <w:szCs w:val="20"/>
                <w:lang w:eastAsia="fr-FR"/>
              </w:rPr>
              <w:t xml:space="preserve">, </w:t>
            </w:r>
            <w:r w:rsidR="00A46060" w:rsidRPr="00A46060">
              <w:rPr>
                <w:rFonts w:eastAsia="Times New Roman" w:cs="Arial"/>
                <w:sz w:val="20"/>
                <w:szCs w:val="20"/>
                <w:lang w:eastAsia="fr-FR"/>
              </w:rPr>
              <w:t>conserves de foie de porc</w:t>
            </w:r>
          </w:p>
        </w:tc>
        <w:tc>
          <w:tcPr>
            <w:tcW w:w="1276" w:type="dxa"/>
            <w:tcBorders>
              <w:top w:val="nil"/>
              <w:left w:val="nil"/>
              <w:bottom w:val="single" w:sz="4" w:space="0" w:color="auto"/>
              <w:right w:val="single" w:sz="4" w:space="0" w:color="auto"/>
            </w:tcBorders>
            <w:shd w:val="clear" w:color="auto" w:fill="auto"/>
            <w:vAlign w:val="center"/>
            <w:hideMark/>
          </w:tcPr>
          <w:p w14:paraId="54730553" w14:textId="755D79B8" w:rsidR="00A46060" w:rsidRPr="00A46060" w:rsidRDefault="00A46060" w:rsidP="004D0323">
            <w:pPr>
              <w:spacing w:after="0" w:line="240" w:lineRule="auto"/>
              <w:jc w:val="center"/>
              <w:rPr>
                <w:rFonts w:eastAsia="Times New Roman" w:cs="Arial"/>
                <w:color w:val="000000"/>
                <w:sz w:val="20"/>
                <w:szCs w:val="20"/>
                <w:lang w:eastAsia="fr-FR"/>
              </w:rPr>
            </w:pPr>
            <w:r w:rsidRPr="00A46060">
              <w:rPr>
                <w:rFonts w:eastAsia="Times New Roman" w:cs="Arial"/>
                <w:color w:val="000000"/>
                <w:sz w:val="20"/>
                <w:szCs w:val="20"/>
                <w:lang w:eastAsia="fr-FR"/>
              </w:rPr>
              <w:t>12</w:t>
            </w:r>
          </w:p>
        </w:tc>
        <w:tc>
          <w:tcPr>
            <w:tcW w:w="160" w:type="dxa"/>
            <w:tcBorders>
              <w:top w:val="nil"/>
              <w:left w:val="nil"/>
              <w:bottom w:val="nil"/>
              <w:right w:val="nil"/>
            </w:tcBorders>
            <w:shd w:val="clear" w:color="auto" w:fill="auto"/>
            <w:noWrap/>
            <w:vAlign w:val="bottom"/>
            <w:hideMark/>
          </w:tcPr>
          <w:p w14:paraId="5BA02E79" w14:textId="77777777" w:rsidR="00A46060" w:rsidRPr="00A46060" w:rsidRDefault="00A46060" w:rsidP="004D0323">
            <w:pPr>
              <w:spacing w:after="0" w:line="240" w:lineRule="auto"/>
              <w:jc w:val="center"/>
              <w:rPr>
                <w:rFonts w:eastAsia="Times New Roman" w:cs="Arial"/>
                <w:color w:val="000000"/>
                <w:sz w:val="20"/>
                <w:szCs w:val="20"/>
                <w:lang w:eastAsia="fr-FR"/>
              </w:rPr>
            </w:pPr>
          </w:p>
        </w:tc>
        <w:tc>
          <w:tcPr>
            <w:tcW w:w="1399" w:type="dxa"/>
            <w:tcBorders>
              <w:top w:val="nil"/>
              <w:left w:val="single" w:sz="4" w:space="0" w:color="auto"/>
              <w:bottom w:val="single" w:sz="4" w:space="0" w:color="auto"/>
              <w:right w:val="single" w:sz="4" w:space="0" w:color="auto"/>
            </w:tcBorders>
            <w:shd w:val="clear" w:color="auto" w:fill="auto"/>
            <w:noWrap/>
            <w:vAlign w:val="bottom"/>
            <w:hideMark/>
          </w:tcPr>
          <w:p w14:paraId="2B23B252" w14:textId="06F7843D" w:rsidR="00A46060" w:rsidRPr="00A46060" w:rsidRDefault="004D0323" w:rsidP="004D0323">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w:t>
            </w:r>
          </w:p>
        </w:tc>
      </w:tr>
      <w:tr w:rsidR="003B5CD2" w:rsidRPr="00A46060" w14:paraId="5BF7FE4E" w14:textId="77777777" w:rsidTr="004D0323">
        <w:trPr>
          <w:trHeight w:val="130"/>
        </w:trPr>
        <w:tc>
          <w:tcPr>
            <w:tcW w:w="1271" w:type="dxa"/>
            <w:tcBorders>
              <w:top w:val="nil"/>
              <w:left w:val="single" w:sz="4" w:space="0" w:color="000000"/>
              <w:bottom w:val="single" w:sz="4" w:space="0" w:color="000000"/>
              <w:right w:val="single" w:sz="4" w:space="0" w:color="000000"/>
            </w:tcBorders>
            <w:shd w:val="clear" w:color="000000" w:fill="BFBFBF"/>
            <w:vAlign w:val="center"/>
            <w:hideMark/>
          </w:tcPr>
          <w:p w14:paraId="363FA748"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1141" w:type="dxa"/>
            <w:tcBorders>
              <w:top w:val="nil"/>
              <w:left w:val="nil"/>
              <w:bottom w:val="single" w:sz="4" w:space="0" w:color="000000"/>
              <w:right w:val="single" w:sz="4" w:space="0" w:color="000000"/>
            </w:tcBorders>
            <w:shd w:val="clear" w:color="000000" w:fill="BFBFBF"/>
            <w:vAlign w:val="center"/>
            <w:hideMark/>
          </w:tcPr>
          <w:p w14:paraId="43014601" w14:textId="77777777" w:rsidR="00A46060" w:rsidRPr="00A46060" w:rsidRDefault="00A46060" w:rsidP="00A46060">
            <w:pPr>
              <w:spacing w:after="0" w:line="240" w:lineRule="auto"/>
              <w:jc w:val="left"/>
              <w:rPr>
                <w:rFonts w:eastAsia="Times New Roman" w:cs="Arial"/>
                <w:color w:val="000000"/>
                <w:sz w:val="20"/>
                <w:szCs w:val="20"/>
                <w:lang w:eastAsia="fr-FR"/>
              </w:rPr>
            </w:pPr>
            <w:r w:rsidRPr="00A46060">
              <w:rPr>
                <w:rFonts w:eastAsia="Times New Roman" w:cs="Arial"/>
                <w:color w:val="000000"/>
                <w:sz w:val="20"/>
                <w:szCs w:val="20"/>
                <w:lang w:eastAsia="fr-FR"/>
              </w:rPr>
              <w:t> </w:t>
            </w:r>
          </w:p>
        </w:tc>
        <w:tc>
          <w:tcPr>
            <w:tcW w:w="3962" w:type="dxa"/>
            <w:tcBorders>
              <w:top w:val="nil"/>
              <w:left w:val="nil"/>
              <w:bottom w:val="single" w:sz="4" w:space="0" w:color="000000"/>
              <w:right w:val="single" w:sz="4" w:space="0" w:color="000000"/>
            </w:tcBorders>
            <w:shd w:val="clear" w:color="000000" w:fill="BFBFBF"/>
            <w:hideMark/>
          </w:tcPr>
          <w:p w14:paraId="22E76DD4" w14:textId="363BB293" w:rsidR="00A46060" w:rsidRPr="00A46060" w:rsidRDefault="00A46060" w:rsidP="00A46060">
            <w:pPr>
              <w:spacing w:after="0" w:line="240" w:lineRule="auto"/>
              <w:jc w:val="left"/>
              <w:rPr>
                <w:rFonts w:eastAsia="Times New Roman" w:cs="Arial"/>
                <w:b/>
                <w:bCs/>
                <w:sz w:val="20"/>
                <w:szCs w:val="20"/>
                <w:lang w:eastAsia="fr-FR"/>
              </w:rPr>
            </w:pPr>
            <w:r w:rsidRPr="00A46060">
              <w:rPr>
                <w:rFonts w:eastAsia="Times New Roman" w:cs="Arial"/>
                <w:b/>
                <w:bCs/>
                <w:sz w:val="20"/>
                <w:szCs w:val="20"/>
                <w:lang w:eastAsia="fr-FR"/>
              </w:rPr>
              <w:t>Autres préparations et conserves à base de porc, y compris les mélanges</w:t>
            </w:r>
          </w:p>
        </w:tc>
        <w:tc>
          <w:tcPr>
            <w:tcW w:w="1276" w:type="dxa"/>
            <w:tcBorders>
              <w:top w:val="nil"/>
              <w:left w:val="nil"/>
              <w:bottom w:val="single" w:sz="4" w:space="0" w:color="auto"/>
              <w:right w:val="single" w:sz="4" w:space="0" w:color="auto"/>
            </w:tcBorders>
            <w:shd w:val="clear" w:color="000000" w:fill="BFBFBF"/>
            <w:vAlign w:val="center"/>
            <w:hideMark/>
          </w:tcPr>
          <w:p w14:paraId="236D3336" w14:textId="01BC9A64" w:rsidR="00A46060" w:rsidRPr="00A46060" w:rsidRDefault="00A46060" w:rsidP="004D0323">
            <w:pPr>
              <w:spacing w:after="0" w:line="240" w:lineRule="auto"/>
              <w:jc w:val="center"/>
              <w:rPr>
                <w:rFonts w:eastAsia="Times New Roman" w:cs="Arial"/>
                <w:color w:val="000000"/>
                <w:sz w:val="20"/>
                <w:szCs w:val="20"/>
                <w:lang w:eastAsia="fr-FR"/>
              </w:rPr>
            </w:pPr>
            <w:r w:rsidRPr="00A46060">
              <w:rPr>
                <w:rFonts w:eastAsia="Times New Roman" w:cs="Arial"/>
                <w:color w:val="000000"/>
                <w:sz w:val="20"/>
                <w:szCs w:val="20"/>
                <w:lang w:eastAsia="fr-FR"/>
              </w:rPr>
              <w:t>65</w:t>
            </w:r>
          </w:p>
        </w:tc>
        <w:tc>
          <w:tcPr>
            <w:tcW w:w="160" w:type="dxa"/>
            <w:tcBorders>
              <w:top w:val="nil"/>
              <w:left w:val="nil"/>
              <w:bottom w:val="nil"/>
              <w:right w:val="nil"/>
            </w:tcBorders>
            <w:shd w:val="clear" w:color="auto" w:fill="auto"/>
            <w:noWrap/>
            <w:vAlign w:val="bottom"/>
            <w:hideMark/>
          </w:tcPr>
          <w:p w14:paraId="2F526640" w14:textId="77777777" w:rsidR="00A46060" w:rsidRPr="00A46060" w:rsidRDefault="00A46060" w:rsidP="004D0323">
            <w:pPr>
              <w:spacing w:after="0" w:line="240" w:lineRule="auto"/>
              <w:jc w:val="center"/>
              <w:rPr>
                <w:rFonts w:eastAsia="Times New Roman" w:cs="Arial"/>
                <w:color w:val="000000"/>
                <w:sz w:val="20"/>
                <w:szCs w:val="20"/>
                <w:lang w:eastAsia="fr-FR"/>
              </w:rPr>
            </w:pPr>
          </w:p>
        </w:tc>
        <w:tc>
          <w:tcPr>
            <w:tcW w:w="1399" w:type="dxa"/>
            <w:tcBorders>
              <w:top w:val="nil"/>
              <w:left w:val="single" w:sz="4" w:space="0" w:color="auto"/>
              <w:bottom w:val="single" w:sz="4" w:space="0" w:color="auto"/>
              <w:right w:val="single" w:sz="4" w:space="0" w:color="auto"/>
            </w:tcBorders>
            <w:shd w:val="clear" w:color="auto" w:fill="BFBFBF" w:themeFill="background1" w:themeFillShade="BF"/>
            <w:noWrap/>
            <w:vAlign w:val="center"/>
            <w:hideMark/>
          </w:tcPr>
          <w:p w14:paraId="0729719B" w14:textId="77B65173" w:rsidR="00A46060" w:rsidRPr="00A46060" w:rsidRDefault="004D0323" w:rsidP="004D0323">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w:t>
            </w:r>
          </w:p>
        </w:tc>
      </w:tr>
    </w:tbl>
    <w:p w14:paraId="157315B1" w14:textId="42857CCE" w:rsidR="00A83CF3" w:rsidRPr="00A83CF3" w:rsidRDefault="004D780E" w:rsidP="00A83CF3">
      <w:pPr>
        <w:pStyle w:val="figure"/>
      </w:pPr>
      <w:bookmarkStart w:id="84" w:name="_Toc72143364"/>
      <w:r w:rsidRPr="00A83CF3">
        <w:t xml:space="preserve">Tableau </w:t>
      </w:r>
      <w:r w:rsidR="00E27D6E">
        <w:fldChar w:fldCharType="begin"/>
      </w:r>
      <w:r w:rsidR="00E27D6E">
        <w:instrText xml:space="preserve"> SEQ Tableau \* ARABIC </w:instrText>
      </w:r>
      <w:r w:rsidR="00E27D6E">
        <w:fldChar w:fldCharType="separate"/>
      </w:r>
      <w:r w:rsidR="0007597F">
        <w:rPr>
          <w:noProof/>
        </w:rPr>
        <w:t>16</w:t>
      </w:r>
      <w:r w:rsidR="00E27D6E">
        <w:rPr>
          <w:noProof/>
        </w:rPr>
        <w:fldChar w:fldCharType="end"/>
      </w:r>
      <w:r w:rsidR="00A83CF3" w:rsidRPr="00A83CF3">
        <w:rPr>
          <w:rStyle w:val="figureCar"/>
          <w:b/>
          <w:bCs/>
          <w:iCs/>
        </w:rPr>
        <w:t xml:space="preserve"> : </w:t>
      </w:r>
      <w:r w:rsidRPr="00A83CF3">
        <w:rPr>
          <w:rStyle w:val="figureCar"/>
          <w:b/>
          <w:bCs/>
          <w:iCs/>
        </w:rPr>
        <w:t xml:space="preserve">Disponible en volume en autres cuits et charcuterie cuite en </w:t>
      </w:r>
      <w:r w:rsidR="00444740">
        <w:rPr>
          <w:rStyle w:val="figureCar"/>
          <w:b/>
          <w:bCs/>
          <w:iCs/>
        </w:rPr>
        <w:t xml:space="preserve">kt en </w:t>
      </w:r>
      <w:r w:rsidRPr="00A83CF3">
        <w:rPr>
          <w:rStyle w:val="figureCar"/>
          <w:b/>
          <w:bCs/>
          <w:iCs/>
        </w:rPr>
        <w:t>2018</w:t>
      </w:r>
      <w:bookmarkEnd w:id="84"/>
      <w:r w:rsidRPr="00A83CF3">
        <w:t xml:space="preserve"> </w:t>
      </w:r>
    </w:p>
    <w:p w14:paraId="20D07860" w14:textId="06F8E4ED" w:rsidR="00CB4172" w:rsidRPr="00A83CF3" w:rsidRDefault="004D780E" w:rsidP="00A83CF3">
      <w:pPr>
        <w:pStyle w:val="Lgende"/>
      </w:pPr>
      <w:r w:rsidRPr="00A83CF3">
        <w:t>(Ifip d’après Enquête PRODCOM, Eurostat)</w:t>
      </w:r>
    </w:p>
    <w:p w14:paraId="4A05F494" w14:textId="174D528E" w:rsidR="0006076D" w:rsidRPr="005469D8" w:rsidRDefault="00FE112D" w:rsidP="00A305CD">
      <w:pPr>
        <w:pStyle w:val="Puce1"/>
        <w:numPr>
          <w:ilvl w:val="0"/>
          <w:numId w:val="13"/>
        </w:numPr>
        <w:ind w:left="714" w:hanging="357"/>
      </w:pPr>
      <w:r>
        <w:t>Total</w:t>
      </w:r>
      <w:r w:rsidRPr="00057B62">
        <w:rPr>
          <w:rFonts w:eastAsiaTheme="minorHAnsi" w:cstheme="minorBidi"/>
          <w:szCs w:val="22"/>
          <w:lang w:val="fr-CA"/>
        </w:rPr>
        <w:t xml:space="preserve"> disponible </w:t>
      </w:r>
      <w:r>
        <w:rPr>
          <w:rFonts w:eastAsiaTheme="minorHAnsi" w:cstheme="minorBidi"/>
          <w:szCs w:val="22"/>
          <w:lang w:val="fr-CA"/>
        </w:rPr>
        <w:t>de l’</w:t>
      </w:r>
      <w:r w:rsidRPr="00057B62">
        <w:rPr>
          <w:rFonts w:eastAsiaTheme="minorHAnsi" w:cstheme="minorBidi"/>
          <w:szCs w:val="22"/>
          <w:lang w:val="fr-CA"/>
        </w:rPr>
        <w:t>activité 10.1</w:t>
      </w:r>
      <w:r>
        <w:rPr>
          <w:rFonts w:eastAsiaTheme="minorHAnsi" w:cstheme="minorBidi"/>
          <w:szCs w:val="22"/>
          <w:lang w:val="fr-CA"/>
        </w:rPr>
        <w:t>3</w:t>
      </w:r>
      <w:r w:rsidRPr="00057B62">
        <w:rPr>
          <w:rFonts w:eastAsiaTheme="minorHAnsi" w:cstheme="minorBidi"/>
          <w:szCs w:val="22"/>
          <w:lang w:val="fr-CA"/>
        </w:rPr>
        <w:t>.</w:t>
      </w:r>
      <w:r>
        <w:rPr>
          <w:rFonts w:eastAsiaTheme="minorHAnsi" w:cstheme="minorBidi"/>
          <w:szCs w:val="22"/>
          <w:lang w:val="fr-CA"/>
        </w:rPr>
        <w:t xml:space="preserve">A, </w:t>
      </w:r>
      <w:r w:rsidR="008E591B">
        <w:rPr>
          <w:rFonts w:eastAsiaTheme="minorHAnsi" w:cstheme="minorBidi"/>
          <w:szCs w:val="22"/>
          <w:lang w:val="fr-CA"/>
        </w:rPr>
        <w:t>1</w:t>
      </w:r>
      <w:r w:rsidR="0088314A">
        <w:rPr>
          <w:rFonts w:eastAsiaTheme="minorHAnsi" w:cstheme="minorBidi"/>
          <w:szCs w:val="22"/>
          <w:lang w:val="fr-CA"/>
        </w:rPr>
        <w:t>11</w:t>
      </w:r>
      <w:r w:rsidR="00BF06B5">
        <w:rPr>
          <w:rFonts w:eastAsiaTheme="minorHAnsi" w:cstheme="minorBidi"/>
          <w:szCs w:val="22"/>
          <w:lang w:val="fr-CA"/>
        </w:rPr>
        <w:t>0</w:t>
      </w:r>
      <w:r w:rsidRPr="00057B62">
        <w:rPr>
          <w:rFonts w:eastAsiaTheme="minorHAnsi" w:cstheme="minorBidi"/>
          <w:szCs w:val="22"/>
          <w:lang w:val="fr-CA"/>
        </w:rPr>
        <w:t xml:space="preserve"> </w:t>
      </w:r>
      <w:r w:rsidR="00957F11">
        <w:rPr>
          <w:rFonts w:eastAsiaTheme="minorHAnsi" w:cstheme="minorBidi"/>
          <w:szCs w:val="22"/>
          <w:lang w:val="fr-CA"/>
        </w:rPr>
        <w:t>kt</w:t>
      </w:r>
      <w:r w:rsidRPr="00057B62">
        <w:rPr>
          <w:rFonts w:eastAsiaTheme="minorHAnsi" w:cstheme="minorBidi"/>
          <w:szCs w:val="22"/>
          <w:lang w:val="fr-CA"/>
        </w:rPr>
        <w:t xml:space="preserve"> </w:t>
      </w:r>
      <w:r w:rsidRPr="00C31840">
        <w:rPr>
          <w:rFonts w:eastAsiaTheme="minorHAnsi" w:cstheme="minorBidi"/>
          <w:szCs w:val="22"/>
          <w:lang w:val="fr-CA"/>
        </w:rPr>
        <w:footnoteReference w:id="6"/>
      </w:r>
    </w:p>
    <w:p w14:paraId="6E218250" w14:textId="0C64CF2E" w:rsidR="005964E5" w:rsidRDefault="005964E5" w:rsidP="00AD17DA">
      <w:pPr>
        <w:pStyle w:val="Puce1"/>
        <w:tabs>
          <w:tab w:val="clear" w:pos="720"/>
        </w:tabs>
        <w:spacing w:after="120"/>
        <w:ind w:left="0" w:firstLine="0"/>
      </w:pPr>
      <w:r>
        <w:t>Le volume disponible en sortie</w:t>
      </w:r>
      <w:r w:rsidR="00B720AE">
        <w:t xml:space="preserve"> de 3</w:t>
      </w:r>
      <w:r w:rsidR="00B720AE" w:rsidRPr="00444740">
        <w:rPr>
          <w:vertAlign w:val="superscript"/>
        </w:rPr>
        <w:t>ème</w:t>
      </w:r>
      <w:r w:rsidR="00B720AE">
        <w:t xml:space="preserve"> transformation</w:t>
      </w:r>
      <w:r>
        <w:t xml:space="preserve"> est de 111</w:t>
      </w:r>
      <w:r w:rsidR="00BF06B5">
        <w:t>0</w:t>
      </w:r>
      <w:r>
        <w:t xml:space="preserve"> </w:t>
      </w:r>
      <w:r w:rsidR="00957F11">
        <w:t>kt</w:t>
      </w:r>
      <w:r w:rsidR="00B720AE">
        <w:t xml:space="preserve"> avec une part relative de produits de charcuterie issus de la transformation des pièces primaires de </w:t>
      </w:r>
      <w:r w:rsidR="00FB286D">
        <w:t>55</w:t>
      </w:r>
      <w:r w:rsidR="00F04C95">
        <w:t> </w:t>
      </w:r>
      <w:r w:rsidR="00B720AE">
        <w:t xml:space="preserve">% comparativement aux produits de salaison </w:t>
      </w:r>
      <w:r w:rsidR="00FB286D">
        <w:t>issus</w:t>
      </w:r>
      <w:r w:rsidR="00B720AE">
        <w:t xml:space="preserve"> de muscles</w:t>
      </w:r>
      <w:r w:rsidR="00FB286D">
        <w:t xml:space="preserve"> (</w:t>
      </w:r>
      <w:r w:rsidR="00B70816">
        <w:t>4</w:t>
      </w:r>
      <w:r w:rsidR="00FB286D">
        <w:t>5</w:t>
      </w:r>
      <w:r w:rsidR="00F04C95">
        <w:t> </w:t>
      </w:r>
      <w:r w:rsidR="00FB286D">
        <w:t>%)</w:t>
      </w:r>
      <w:r w:rsidR="00B720AE">
        <w:t>.</w:t>
      </w:r>
    </w:p>
    <w:tbl>
      <w:tblPr>
        <w:tblW w:w="9351" w:type="dxa"/>
        <w:tblCellMar>
          <w:left w:w="70" w:type="dxa"/>
          <w:right w:w="70" w:type="dxa"/>
        </w:tblCellMar>
        <w:tblLook w:val="04A0" w:firstRow="1" w:lastRow="0" w:firstColumn="1" w:lastColumn="0" w:noHBand="0" w:noVBand="1"/>
      </w:tblPr>
      <w:tblGrid>
        <w:gridCol w:w="2420"/>
        <w:gridCol w:w="1090"/>
        <w:gridCol w:w="1238"/>
        <w:gridCol w:w="1187"/>
        <w:gridCol w:w="1139"/>
        <w:gridCol w:w="1103"/>
        <w:gridCol w:w="1174"/>
      </w:tblGrid>
      <w:tr w:rsidR="00B70816" w:rsidRPr="002E750F" w14:paraId="14CE4DA8" w14:textId="77777777" w:rsidTr="0002537E">
        <w:trPr>
          <w:trHeight w:val="330"/>
        </w:trPr>
        <w:tc>
          <w:tcPr>
            <w:tcW w:w="3101"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080BF20F" w14:textId="77777777" w:rsidR="005964E5" w:rsidRPr="0002537E" w:rsidRDefault="005964E5" w:rsidP="00A83CF3">
            <w:pPr>
              <w:keepNext/>
              <w:spacing w:after="0" w:line="240" w:lineRule="auto"/>
              <w:jc w:val="left"/>
              <w:rPr>
                <w:rFonts w:eastAsia="Times New Roman" w:cs="Arial"/>
                <w:sz w:val="18"/>
                <w:szCs w:val="18"/>
                <w:lang w:eastAsia="fr-FR"/>
              </w:rPr>
            </w:pPr>
          </w:p>
        </w:tc>
        <w:tc>
          <w:tcPr>
            <w:tcW w:w="171"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4D51CE77" w14:textId="77777777"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Production </w:t>
            </w:r>
          </w:p>
        </w:tc>
        <w:tc>
          <w:tcPr>
            <w:tcW w:w="1294"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566A7ABA" w14:textId="77777777"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Exportation </w:t>
            </w:r>
          </w:p>
        </w:tc>
        <w:tc>
          <w:tcPr>
            <w:tcW w:w="1221"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4DF3270F" w14:textId="77777777"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Importation </w:t>
            </w:r>
          </w:p>
        </w:tc>
        <w:tc>
          <w:tcPr>
            <w:tcW w:w="1185"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042E3D19" w14:textId="77777777"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Incertitude</w:t>
            </w:r>
          </w:p>
        </w:tc>
        <w:tc>
          <w:tcPr>
            <w:tcW w:w="1127"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7CEAA8F7" w14:textId="3B842EB3" w:rsidR="005964E5"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Disponible </w:t>
            </w:r>
          </w:p>
        </w:tc>
        <w:tc>
          <w:tcPr>
            <w:tcW w:w="1252"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51611779" w14:textId="15B45B1A" w:rsidR="00FB286D" w:rsidRPr="0002537E" w:rsidRDefault="005964E5" w:rsidP="00A83CF3">
            <w:pPr>
              <w:keepNext/>
              <w:spacing w:after="0" w:line="240" w:lineRule="auto"/>
              <w:jc w:val="center"/>
              <w:rPr>
                <w:rFonts w:eastAsia="Times New Roman" w:cs="Arial"/>
                <w:b/>
                <w:bCs/>
                <w:color w:val="000000"/>
                <w:sz w:val="18"/>
                <w:szCs w:val="18"/>
                <w:lang w:eastAsia="fr-FR"/>
              </w:rPr>
            </w:pPr>
            <w:r w:rsidRPr="0002537E">
              <w:rPr>
                <w:rFonts w:eastAsia="Times New Roman" w:cs="Arial"/>
                <w:b/>
                <w:bCs/>
                <w:color w:val="000000"/>
                <w:sz w:val="18"/>
                <w:szCs w:val="18"/>
                <w:lang w:eastAsia="fr-FR"/>
              </w:rPr>
              <w:t xml:space="preserve">Part </w:t>
            </w:r>
            <w:r w:rsidR="00FB286D" w:rsidRPr="0002537E">
              <w:rPr>
                <w:rFonts w:eastAsia="Times New Roman" w:cs="Arial"/>
                <w:b/>
                <w:bCs/>
                <w:color w:val="000000"/>
                <w:sz w:val="18"/>
                <w:szCs w:val="18"/>
                <w:lang w:eastAsia="fr-FR"/>
              </w:rPr>
              <w:t>disponible %</w:t>
            </w:r>
          </w:p>
        </w:tc>
      </w:tr>
      <w:tr w:rsidR="00B70816" w:rsidRPr="005964E5" w14:paraId="64FE4796" w14:textId="77777777" w:rsidTr="0002537E">
        <w:trPr>
          <w:trHeight w:val="345"/>
        </w:trPr>
        <w:tc>
          <w:tcPr>
            <w:tcW w:w="3101" w:type="dxa"/>
            <w:tcBorders>
              <w:top w:val="single" w:sz="4" w:space="0" w:color="auto"/>
              <w:left w:val="single" w:sz="4" w:space="0" w:color="auto"/>
              <w:bottom w:val="single" w:sz="4" w:space="0" w:color="auto"/>
              <w:right w:val="single" w:sz="4" w:space="0" w:color="auto"/>
            </w:tcBorders>
            <w:shd w:val="clear" w:color="000000" w:fill="BFBFBF"/>
            <w:vAlign w:val="bottom"/>
            <w:hideMark/>
          </w:tcPr>
          <w:p w14:paraId="4985F18F" w14:textId="77777777" w:rsidR="005964E5" w:rsidRPr="002E750F" w:rsidRDefault="005964E5" w:rsidP="00A83CF3">
            <w:pPr>
              <w:keepNext/>
              <w:spacing w:after="0" w:line="240" w:lineRule="auto"/>
              <w:jc w:val="left"/>
              <w:rPr>
                <w:rFonts w:eastAsia="Times New Roman" w:cs="Arial"/>
                <w:b/>
                <w:bCs/>
                <w:color w:val="000000"/>
                <w:sz w:val="20"/>
                <w:szCs w:val="20"/>
                <w:lang w:eastAsia="fr-FR"/>
              </w:rPr>
            </w:pPr>
            <w:r w:rsidRPr="002E750F">
              <w:rPr>
                <w:rFonts w:eastAsia="Times New Roman" w:cs="Arial"/>
                <w:b/>
                <w:bCs/>
                <w:color w:val="000000"/>
                <w:sz w:val="20"/>
                <w:szCs w:val="20"/>
                <w:lang w:eastAsia="fr-FR"/>
              </w:rPr>
              <w:t xml:space="preserve">Total Disponible Charcuterie salaison de porc </w:t>
            </w:r>
          </w:p>
        </w:tc>
        <w:tc>
          <w:tcPr>
            <w:tcW w:w="171" w:type="dxa"/>
            <w:tcBorders>
              <w:top w:val="single" w:sz="4" w:space="0" w:color="auto"/>
              <w:left w:val="nil"/>
              <w:bottom w:val="single" w:sz="4" w:space="0" w:color="auto"/>
              <w:right w:val="single" w:sz="4" w:space="0" w:color="auto"/>
            </w:tcBorders>
            <w:shd w:val="clear" w:color="000000" w:fill="BFBFBF"/>
            <w:vAlign w:val="center"/>
            <w:hideMark/>
          </w:tcPr>
          <w:p w14:paraId="3290D863" w14:textId="473B9AE0" w:rsidR="005964E5" w:rsidRPr="002E750F" w:rsidRDefault="00562730" w:rsidP="00A83CF3">
            <w:pPr>
              <w:keepNext/>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999</w:t>
            </w:r>
          </w:p>
        </w:tc>
        <w:tc>
          <w:tcPr>
            <w:tcW w:w="1294" w:type="dxa"/>
            <w:tcBorders>
              <w:top w:val="single" w:sz="4" w:space="0" w:color="auto"/>
              <w:left w:val="nil"/>
              <w:bottom w:val="single" w:sz="4" w:space="0" w:color="auto"/>
              <w:right w:val="single" w:sz="4" w:space="0" w:color="auto"/>
            </w:tcBorders>
            <w:shd w:val="clear" w:color="000000" w:fill="BFBFBF"/>
            <w:vAlign w:val="center"/>
            <w:hideMark/>
          </w:tcPr>
          <w:p w14:paraId="79CA14D8" w14:textId="7AAC7374" w:rsidR="005964E5" w:rsidRPr="002E750F" w:rsidRDefault="00562730" w:rsidP="00A83CF3">
            <w:pPr>
              <w:keepNext/>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62</w:t>
            </w:r>
          </w:p>
        </w:tc>
        <w:tc>
          <w:tcPr>
            <w:tcW w:w="1221" w:type="dxa"/>
            <w:tcBorders>
              <w:top w:val="single" w:sz="4" w:space="0" w:color="auto"/>
              <w:left w:val="nil"/>
              <w:bottom w:val="single" w:sz="4" w:space="0" w:color="auto"/>
              <w:right w:val="single" w:sz="4" w:space="0" w:color="auto"/>
            </w:tcBorders>
            <w:shd w:val="clear" w:color="000000" w:fill="BFBFBF"/>
            <w:vAlign w:val="center"/>
            <w:hideMark/>
          </w:tcPr>
          <w:p w14:paraId="588E9C3A" w14:textId="60560C29" w:rsidR="005964E5" w:rsidRPr="002E750F" w:rsidRDefault="005964E5" w:rsidP="00A83CF3">
            <w:pPr>
              <w:keepNext/>
              <w:spacing w:after="0" w:line="240" w:lineRule="auto"/>
              <w:jc w:val="right"/>
              <w:rPr>
                <w:rFonts w:eastAsia="Times New Roman" w:cs="Arial"/>
                <w:b/>
                <w:bCs/>
                <w:color w:val="000000"/>
                <w:sz w:val="20"/>
                <w:szCs w:val="20"/>
                <w:lang w:eastAsia="fr-FR"/>
              </w:rPr>
            </w:pPr>
            <w:r w:rsidRPr="002E750F">
              <w:rPr>
                <w:rFonts w:eastAsia="Times New Roman" w:cs="Arial"/>
                <w:b/>
                <w:bCs/>
                <w:color w:val="000000"/>
                <w:sz w:val="20"/>
                <w:szCs w:val="20"/>
                <w:lang w:eastAsia="fr-FR"/>
              </w:rPr>
              <w:t>1</w:t>
            </w:r>
            <w:r w:rsidR="00562730">
              <w:rPr>
                <w:rFonts w:eastAsia="Times New Roman" w:cs="Arial"/>
                <w:b/>
                <w:bCs/>
                <w:color w:val="000000"/>
                <w:sz w:val="20"/>
                <w:szCs w:val="20"/>
                <w:lang w:eastAsia="fr-FR"/>
              </w:rPr>
              <w:t>73</w:t>
            </w:r>
          </w:p>
        </w:tc>
        <w:tc>
          <w:tcPr>
            <w:tcW w:w="1185" w:type="dxa"/>
            <w:tcBorders>
              <w:top w:val="single" w:sz="4" w:space="0" w:color="auto"/>
              <w:left w:val="nil"/>
              <w:bottom w:val="single" w:sz="4" w:space="0" w:color="auto"/>
              <w:right w:val="single" w:sz="4" w:space="0" w:color="auto"/>
            </w:tcBorders>
            <w:shd w:val="clear" w:color="000000" w:fill="BFBFBF"/>
            <w:vAlign w:val="center"/>
            <w:hideMark/>
          </w:tcPr>
          <w:p w14:paraId="720C3D5A" w14:textId="601D7568" w:rsidR="005964E5" w:rsidRPr="002E750F" w:rsidRDefault="005964E5" w:rsidP="00562730">
            <w:pPr>
              <w:keepNext/>
              <w:spacing w:after="0" w:line="240" w:lineRule="auto"/>
              <w:jc w:val="center"/>
              <w:rPr>
                <w:rFonts w:eastAsia="Times New Roman" w:cs="Arial"/>
                <w:b/>
                <w:bCs/>
                <w:color w:val="000000"/>
                <w:sz w:val="20"/>
                <w:szCs w:val="20"/>
                <w:lang w:eastAsia="fr-FR"/>
              </w:rPr>
            </w:pPr>
          </w:p>
        </w:tc>
        <w:tc>
          <w:tcPr>
            <w:tcW w:w="1127" w:type="dxa"/>
            <w:tcBorders>
              <w:top w:val="single" w:sz="4" w:space="0" w:color="auto"/>
              <w:left w:val="nil"/>
              <w:bottom w:val="single" w:sz="4" w:space="0" w:color="auto"/>
              <w:right w:val="single" w:sz="4" w:space="0" w:color="auto"/>
            </w:tcBorders>
            <w:shd w:val="clear" w:color="000000" w:fill="BFBFBF"/>
            <w:vAlign w:val="center"/>
            <w:hideMark/>
          </w:tcPr>
          <w:p w14:paraId="5A9A8F31" w14:textId="5C3FD592" w:rsidR="005964E5" w:rsidRPr="002E750F" w:rsidRDefault="005964E5" w:rsidP="00A83CF3">
            <w:pPr>
              <w:keepNext/>
              <w:spacing w:after="0" w:line="240" w:lineRule="auto"/>
              <w:jc w:val="center"/>
              <w:rPr>
                <w:rFonts w:eastAsia="Times New Roman" w:cs="Arial"/>
                <w:b/>
                <w:bCs/>
                <w:color w:val="000000"/>
                <w:sz w:val="20"/>
                <w:szCs w:val="20"/>
                <w:lang w:eastAsia="fr-FR"/>
              </w:rPr>
            </w:pPr>
            <w:r w:rsidRPr="002E750F">
              <w:rPr>
                <w:rFonts w:eastAsia="Times New Roman" w:cs="Arial"/>
                <w:b/>
                <w:bCs/>
                <w:color w:val="000000"/>
                <w:sz w:val="20"/>
                <w:szCs w:val="20"/>
                <w:lang w:eastAsia="fr-FR"/>
              </w:rPr>
              <w:t>1 11</w:t>
            </w:r>
            <w:r w:rsidR="00562730">
              <w:rPr>
                <w:rFonts w:eastAsia="Times New Roman" w:cs="Arial"/>
                <w:b/>
                <w:bCs/>
                <w:color w:val="000000"/>
                <w:sz w:val="20"/>
                <w:szCs w:val="20"/>
                <w:lang w:eastAsia="fr-FR"/>
              </w:rPr>
              <w:t>0</w:t>
            </w:r>
          </w:p>
        </w:tc>
        <w:tc>
          <w:tcPr>
            <w:tcW w:w="1252"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6744169" w14:textId="77777777" w:rsidR="005964E5" w:rsidRPr="002E750F" w:rsidRDefault="005964E5" w:rsidP="00A83CF3">
            <w:pPr>
              <w:keepNext/>
              <w:spacing w:after="0" w:line="240" w:lineRule="auto"/>
              <w:jc w:val="center"/>
              <w:rPr>
                <w:rFonts w:eastAsia="Times New Roman" w:cs="Arial"/>
                <w:b/>
                <w:bCs/>
                <w:color w:val="000000"/>
                <w:sz w:val="20"/>
                <w:szCs w:val="20"/>
                <w:lang w:eastAsia="fr-FR"/>
              </w:rPr>
            </w:pPr>
            <w:r w:rsidRPr="002E750F">
              <w:rPr>
                <w:rFonts w:eastAsia="Times New Roman" w:cs="Arial"/>
                <w:b/>
                <w:bCs/>
                <w:color w:val="000000"/>
                <w:sz w:val="20"/>
                <w:szCs w:val="20"/>
                <w:lang w:eastAsia="fr-FR"/>
              </w:rPr>
              <w:t>100%</w:t>
            </w:r>
          </w:p>
        </w:tc>
      </w:tr>
      <w:tr w:rsidR="00B70816" w:rsidRPr="005964E5" w14:paraId="5ABA1E8C" w14:textId="77777777" w:rsidTr="0002537E">
        <w:trPr>
          <w:trHeight w:val="315"/>
        </w:trPr>
        <w:tc>
          <w:tcPr>
            <w:tcW w:w="31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0D3BCF" w14:textId="5988D1F3"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v</w:t>
            </w:r>
            <w:r w:rsidR="005964E5" w:rsidRPr="002E750F">
              <w:rPr>
                <w:rFonts w:eastAsia="Times New Roman" w:cs="Arial"/>
                <w:color w:val="000000"/>
                <w:sz w:val="20"/>
                <w:szCs w:val="20"/>
                <w:lang w:eastAsia="fr-FR"/>
              </w:rPr>
              <w:t xml:space="preserve">iandes SSF </w:t>
            </w:r>
          </w:p>
        </w:tc>
        <w:tc>
          <w:tcPr>
            <w:tcW w:w="1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BC2068" w14:textId="20F29E5A"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1</w:t>
            </w:r>
            <w:r w:rsidR="00562730">
              <w:rPr>
                <w:rFonts w:eastAsia="Times New Roman" w:cs="Arial"/>
                <w:color w:val="000000"/>
                <w:sz w:val="20"/>
                <w:szCs w:val="20"/>
                <w:lang w:eastAsia="fr-FR"/>
              </w:rPr>
              <w:t>71</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341611"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6</w:t>
            </w: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3F4D4F"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52</w:t>
            </w:r>
          </w:p>
        </w:tc>
        <w:tc>
          <w:tcPr>
            <w:tcW w:w="11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85C651" w14:textId="352703FE"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Déduit</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15B338" w14:textId="0CA242E3" w:rsidR="005964E5" w:rsidRPr="002E750F" w:rsidRDefault="005964E5" w:rsidP="00562730">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21</w:t>
            </w:r>
            <w:r w:rsidR="00562730">
              <w:rPr>
                <w:rFonts w:eastAsia="Times New Roman" w:cs="Arial"/>
                <w:color w:val="000000"/>
                <w:sz w:val="20"/>
                <w:szCs w:val="20"/>
                <w:lang w:eastAsia="fr-FR"/>
              </w:rPr>
              <w:t>7</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89421E" w14:textId="760C96A6"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19</w:t>
            </w:r>
            <w:r w:rsidR="00562730">
              <w:rPr>
                <w:rFonts w:eastAsia="Times New Roman" w:cs="Arial"/>
                <w:color w:val="000000"/>
                <w:sz w:val="20"/>
                <w:szCs w:val="20"/>
                <w:lang w:eastAsia="fr-FR"/>
              </w:rPr>
              <w:t>,5</w:t>
            </w:r>
            <w:r w:rsidRPr="002E750F">
              <w:rPr>
                <w:rFonts w:eastAsia="Times New Roman" w:cs="Arial"/>
                <w:color w:val="000000"/>
                <w:sz w:val="20"/>
                <w:szCs w:val="20"/>
                <w:lang w:eastAsia="fr-FR"/>
              </w:rPr>
              <w:t>%</w:t>
            </w:r>
          </w:p>
        </w:tc>
      </w:tr>
      <w:tr w:rsidR="00B70816" w:rsidRPr="005964E5" w14:paraId="3B88F84B" w14:textId="77777777" w:rsidTr="0002537E">
        <w:trPr>
          <w:trHeight w:val="375"/>
        </w:trPr>
        <w:tc>
          <w:tcPr>
            <w:tcW w:w="310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132D869" w14:textId="19A86E6D"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s</w:t>
            </w:r>
            <w:r w:rsidR="005964E5" w:rsidRPr="002E750F">
              <w:rPr>
                <w:rFonts w:eastAsia="Times New Roman" w:cs="Arial"/>
                <w:color w:val="000000"/>
                <w:sz w:val="20"/>
                <w:szCs w:val="20"/>
                <w:lang w:eastAsia="fr-FR"/>
              </w:rPr>
              <w:t xml:space="preserve">aucisses et saucisson cuit </w:t>
            </w:r>
            <w:r w:rsidR="005964E5" w:rsidRPr="002E750F">
              <w:rPr>
                <w:rFonts w:eastAsia="Times New Roman" w:cs="Arial"/>
                <w:color w:val="000000"/>
                <w:sz w:val="20"/>
                <w:szCs w:val="20"/>
                <w:u w:val="single"/>
                <w:lang w:eastAsia="fr-FR"/>
              </w:rPr>
              <w:t>Hors volaille</w:t>
            </w:r>
          </w:p>
        </w:tc>
        <w:tc>
          <w:tcPr>
            <w:tcW w:w="17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6A4F363" w14:textId="5CC76735"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4</w:t>
            </w:r>
            <w:r w:rsidR="00562730">
              <w:rPr>
                <w:rFonts w:eastAsia="Times New Roman" w:cs="Arial"/>
                <w:color w:val="000000"/>
                <w:sz w:val="20"/>
                <w:szCs w:val="20"/>
                <w:lang w:eastAsia="fr-FR"/>
              </w:rPr>
              <w:t>07</w:t>
            </w:r>
          </w:p>
        </w:tc>
        <w:tc>
          <w:tcPr>
            <w:tcW w:w="12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119DC22" w14:textId="62DF243B" w:rsidR="005964E5" w:rsidRPr="002E750F" w:rsidRDefault="00562730" w:rsidP="00A83CF3">
            <w:pPr>
              <w:keepNext/>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44</w:t>
            </w:r>
          </w:p>
        </w:tc>
        <w:tc>
          <w:tcPr>
            <w:tcW w:w="122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81EBC8C" w14:textId="4D699F1C" w:rsidR="005964E5" w:rsidRPr="002E750F" w:rsidRDefault="00562730" w:rsidP="00A83CF3">
            <w:pPr>
              <w:keepNext/>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81</w:t>
            </w:r>
          </w:p>
        </w:tc>
        <w:tc>
          <w:tcPr>
            <w:tcW w:w="11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E34298B"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Estimé</w:t>
            </w:r>
          </w:p>
        </w:tc>
        <w:tc>
          <w:tcPr>
            <w:tcW w:w="112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22A80E8" w14:textId="71B9B89C"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4</w:t>
            </w:r>
            <w:r w:rsidR="00562730">
              <w:rPr>
                <w:rFonts w:eastAsia="Times New Roman" w:cs="Arial"/>
                <w:color w:val="000000"/>
                <w:sz w:val="20"/>
                <w:szCs w:val="20"/>
                <w:lang w:eastAsia="fr-FR"/>
              </w:rPr>
              <w:t>44</w:t>
            </w:r>
          </w:p>
        </w:tc>
        <w:tc>
          <w:tcPr>
            <w:tcW w:w="12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39FFBBA" w14:textId="7B38792D"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4</w:t>
            </w:r>
            <w:r w:rsidR="00562730">
              <w:rPr>
                <w:rFonts w:eastAsia="Times New Roman" w:cs="Arial"/>
                <w:color w:val="000000"/>
                <w:sz w:val="20"/>
                <w:szCs w:val="20"/>
                <w:lang w:eastAsia="fr-FR"/>
              </w:rPr>
              <w:t>0</w:t>
            </w:r>
            <w:r w:rsidRPr="002E750F">
              <w:rPr>
                <w:rFonts w:eastAsia="Times New Roman" w:cs="Arial"/>
                <w:color w:val="000000"/>
                <w:sz w:val="20"/>
                <w:szCs w:val="20"/>
                <w:lang w:eastAsia="fr-FR"/>
              </w:rPr>
              <w:t>%</w:t>
            </w:r>
          </w:p>
        </w:tc>
      </w:tr>
      <w:tr w:rsidR="00B70816" w:rsidRPr="005964E5" w14:paraId="13ACD39A" w14:textId="77777777" w:rsidTr="0002537E">
        <w:trPr>
          <w:trHeight w:val="391"/>
        </w:trPr>
        <w:tc>
          <w:tcPr>
            <w:tcW w:w="31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AA3A67" w14:textId="56A0776E"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s</w:t>
            </w:r>
            <w:r w:rsidR="005964E5" w:rsidRPr="002E750F">
              <w:rPr>
                <w:rFonts w:eastAsia="Times New Roman" w:cs="Arial"/>
                <w:color w:val="000000"/>
                <w:sz w:val="20"/>
                <w:szCs w:val="20"/>
                <w:lang w:eastAsia="fr-FR"/>
              </w:rPr>
              <w:t xml:space="preserve">alaison cuite </w:t>
            </w:r>
          </w:p>
        </w:tc>
        <w:tc>
          <w:tcPr>
            <w:tcW w:w="1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8F3D22"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250</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2938A4"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7</w:t>
            </w: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6EA5A5"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26</w:t>
            </w:r>
          </w:p>
        </w:tc>
        <w:tc>
          <w:tcPr>
            <w:tcW w:w="11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D5A261"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Estimé</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C32B3F"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268</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5ED8B8"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24%</w:t>
            </w:r>
          </w:p>
        </w:tc>
      </w:tr>
      <w:tr w:rsidR="00B70816" w:rsidRPr="005964E5" w14:paraId="2DD77473" w14:textId="77777777" w:rsidTr="0002537E">
        <w:trPr>
          <w:trHeight w:val="570"/>
        </w:trPr>
        <w:tc>
          <w:tcPr>
            <w:tcW w:w="310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83E7CBB" w14:textId="78F4D0B2"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a</w:t>
            </w:r>
            <w:r w:rsidR="005964E5" w:rsidRPr="002E750F">
              <w:rPr>
                <w:rFonts w:eastAsia="Times New Roman" w:cs="Arial"/>
                <w:color w:val="000000"/>
                <w:sz w:val="20"/>
                <w:szCs w:val="20"/>
                <w:lang w:eastAsia="fr-FR"/>
              </w:rPr>
              <w:t xml:space="preserve">utres cuits et mélanges charcuterie cuite dont pâté autre que de foie </w:t>
            </w:r>
          </w:p>
        </w:tc>
        <w:tc>
          <w:tcPr>
            <w:tcW w:w="17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043FE35"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94</w:t>
            </w:r>
          </w:p>
        </w:tc>
        <w:tc>
          <w:tcPr>
            <w:tcW w:w="12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B7BFCCA"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4,3</w:t>
            </w:r>
          </w:p>
        </w:tc>
        <w:tc>
          <w:tcPr>
            <w:tcW w:w="122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E9D9A70"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13</w:t>
            </w:r>
          </w:p>
        </w:tc>
        <w:tc>
          <w:tcPr>
            <w:tcW w:w="11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F3A9858" w14:textId="124D6B01"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Déduit</w:t>
            </w:r>
          </w:p>
        </w:tc>
        <w:tc>
          <w:tcPr>
            <w:tcW w:w="112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5F36A1F"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104</w:t>
            </w:r>
          </w:p>
        </w:tc>
        <w:tc>
          <w:tcPr>
            <w:tcW w:w="12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63AEE5E"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9%</w:t>
            </w:r>
          </w:p>
        </w:tc>
      </w:tr>
      <w:tr w:rsidR="00B70816" w:rsidRPr="005964E5" w14:paraId="768D9F84" w14:textId="77777777" w:rsidTr="0002537E">
        <w:trPr>
          <w:trHeight w:val="300"/>
        </w:trPr>
        <w:tc>
          <w:tcPr>
            <w:tcW w:w="31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9B339F" w14:textId="2A683966" w:rsidR="005964E5" w:rsidRPr="002E750F" w:rsidRDefault="00B720AE"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Dt p</w:t>
            </w:r>
            <w:r w:rsidR="005964E5" w:rsidRPr="002E750F">
              <w:rPr>
                <w:rFonts w:eastAsia="Times New Roman" w:cs="Arial"/>
                <w:color w:val="000000"/>
                <w:sz w:val="20"/>
                <w:szCs w:val="20"/>
                <w:lang w:eastAsia="fr-FR"/>
              </w:rPr>
              <w:t>âtés et préparations à base de foie</w:t>
            </w:r>
          </w:p>
        </w:tc>
        <w:tc>
          <w:tcPr>
            <w:tcW w:w="1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183E6C"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77</w:t>
            </w:r>
          </w:p>
        </w:tc>
        <w:tc>
          <w:tcPr>
            <w:tcW w:w="12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1F58AC"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0,7</w:t>
            </w:r>
          </w:p>
        </w:tc>
        <w:tc>
          <w:tcPr>
            <w:tcW w:w="12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99BB77" w14:textId="77777777" w:rsidR="005964E5" w:rsidRPr="002E750F" w:rsidRDefault="005964E5" w:rsidP="00A83CF3">
            <w:pPr>
              <w:keepNext/>
              <w:spacing w:after="0" w:line="240" w:lineRule="auto"/>
              <w:jc w:val="right"/>
              <w:rPr>
                <w:rFonts w:eastAsia="Times New Roman" w:cs="Arial"/>
                <w:color w:val="000000"/>
                <w:sz w:val="20"/>
                <w:szCs w:val="20"/>
                <w:lang w:eastAsia="fr-FR"/>
              </w:rPr>
            </w:pPr>
            <w:r w:rsidRPr="002E750F">
              <w:rPr>
                <w:rFonts w:eastAsia="Times New Roman" w:cs="Arial"/>
                <w:color w:val="000000"/>
                <w:sz w:val="20"/>
                <w:szCs w:val="20"/>
                <w:lang w:eastAsia="fr-FR"/>
              </w:rPr>
              <w:t>1</w:t>
            </w:r>
          </w:p>
        </w:tc>
        <w:tc>
          <w:tcPr>
            <w:tcW w:w="11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99D2C" w14:textId="3F0EC08F"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Déduit</w:t>
            </w:r>
          </w:p>
        </w:tc>
        <w:tc>
          <w:tcPr>
            <w:tcW w:w="1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CF6BC4"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77</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65FC52" w14:textId="77777777" w:rsidR="005964E5" w:rsidRPr="002E750F" w:rsidRDefault="005964E5" w:rsidP="00A83CF3">
            <w:pPr>
              <w:keepNext/>
              <w:spacing w:after="0" w:line="240" w:lineRule="auto"/>
              <w:jc w:val="center"/>
              <w:rPr>
                <w:rFonts w:eastAsia="Times New Roman" w:cs="Arial"/>
                <w:color w:val="000000"/>
                <w:sz w:val="20"/>
                <w:szCs w:val="20"/>
                <w:lang w:eastAsia="fr-FR"/>
              </w:rPr>
            </w:pPr>
            <w:r w:rsidRPr="002E750F">
              <w:rPr>
                <w:rFonts w:eastAsia="Times New Roman" w:cs="Arial"/>
                <w:color w:val="000000"/>
                <w:sz w:val="20"/>
                <w:szCs w:val="20"/>
                <w:lang w:eastAsia="fr-FR"/>
              </w:rPr>
              <w:t>7%</w:t>
            </w:r>
          </w:p>
        </w:tc>
      </w:tr>
    </w:tbl>
    <w:p w14:paraId="435C9A45" w14:textId="394F05B3" w:rsidR="00A83CF3" w:rsidRPr="00D83B75" w:rsidRDefault="00B70816" w:rsidP="00A83CF3">
      <w:pPr>
        <w:pStyle w:val="figure"/>
      </w:pPr>
      <w:bookmarkStart w:id="85" w:name="_Toc72143365"/>
      <w:r w:rsidRPr="00D83B75">
        <w:t xml:space="preserve">Tableau </w:t>
      </w:r>
      <w:r w:rsidR="00E27D6E">
        <w:fldChar w:fldCharType="begin"/>
      </w:r>
      <w:r w:rsidR="00E27D6E">
        <w:instrText xml:space="preserve"> SEQ Tableau \* ARABIC </w:instrText>
      </w:r>
      <w:r w:rsidR="00E27D6E">
        <w:fldChar w:fldCharType="separate"/>
      </w:r>
      <w:r w:rsidR="0007597F">
        <w:rPr>
          <w:noProof/>
        </w:rPr>
        <w:t>17</w:t>
      </w:r>
      <w:r w:rsidR="00E27D6E">
        <w:rPr>
          <w:noProof/>
        </w:rPr>
        <w:fldChar w:fldCharType="end"/>
      </w:r>
      <w:r w:rsidR="00A83CF3" w:rsidRPr="00D83B75">
        <w:rPr>
          <w:rStyle w:val="figureCar"/>
          <w:b/>
          <w:bCs/>
          <w:iCs/>
        </w:rPr>
        <w:t xml:space="preserve"> : </w:t>
      </w:r>
      <w:r w:rsidRPr="00D83B75">
        <w:rPr>
          <w:rStyle w:val="figureCar"/>
          <w:b/>
          <w:bCs/>
          <w:iCs/>
        </w:rPr>
        <w:t xml:space="preserve">Disponible en volume en autres cuits et charcuterie cuite en </w:t>
      </w:r>
      <w:r w:rsidR="00444740">
        <w:rPr>
          <w:rStyle w:val="figureCar"/>
          <w:b/>
          <w:bCs/>
          <w:iCs/>
        </w:rPr>
        <w:t xml:space="preserve">kt en </w:t>
      </w:r>
      <w:r w:rsidRPr="00D83B75">
        <w:rPr>
          <w:rStyle w:val="figureCar"/>
          <w:b/>
          <w:bCs/>
          <w:iCs/>
        </w:rPr>
        <w:t>2018</w:t>
      </w:r>
      <w:bookmarkEnd w:id="85"/>
      <w:r w:rsidRPr="00D83B75">
        <w:t xml:space="preserve"> </w:t>
      </w:r>
    </w:p>
    <w:p w14:paraId="6554B238" w14:textId="518701CB" w:rsidR="00B70816" w:rsidRPr="00A83CF3" w:rsidRDefault="00B70816" w:rsidP="00A83CF3">
      <w:pPr>
        <w:pStyle w:val="Lgende"/>
      </w:pPr>
      <w:r w:rsidRPr="00D83B75">
        <w:t>(Ifip d’après Enquête PRODCOM, Eurostat)</w:t>
      </w:r>
    </w:p>
    <w:p w14:paraId="10EB561B" w14:textId="62173186" w:rsidR="00C90E58" w:rsidRPr="00B70816" w:rsidRDefault="00B70816" w:rsidP="00CD1AF0">
      <w:pPr>
        <w:spacing w:after="0"/>
      </w:pPr>
      <w:r>
        <w:t xml:space="preserve">La part de l’exportation sur la production est de </w:t>
      </w:r>
      <w:r w:rsidR="00BF06B5">
        <w:t>6</w:t>
      </w:r>
      <w:r>
        <w:t>,</w:t>
      </w:r>
      <w:r w:rsidR="00BF06B5">
        <w:t>2</w:t>
      </w:r>
      <w:r w:rsidR="00F04C95">
        <w:t> </w:t>
      </w:r>
      <w:r>
        <w:t>% et la part de l’importation sur le disponible est 1</w:t>
      </w:r>
      <w:r w:rsidR="00BF06B5">
        <w:t>5,6</w:t>
      </w:r>
      <w:r w:rsidR="00337270">
        <w:t> </w:t>
      </w:r>
      <w:r>
        <w:t>%.</w:t>
      </w:r>
    </w:p>
    <w:p w14:paraId="278BF83D" w14:textId="1EF779C9" w:rsidR="00525667" w:rsidRPr="00B70816" w:rsidRDefault="007E73B9" w:rsidP="00B70816">
      <w:pPr>
        <w:pStyle w:val="Titre4"/>
        <w:rPr>
          <w:szCs w:val="20"/>
        </w:rPr>
      </w:pPr>
      <w:bookmarkStart w:id="86" w:name="_Toc78131564"/>
      <w:r>
        <w:t>2.2.5.</w:t>
      </w:r>
      <w:r w:rsidR="00C12161">
        <w:t xml:space="preserve">6. </w:t>
      </w:r>
      <w:r>
        <w:t>Résultats d’appariement de l’a</w:t>
      </w:r>
      <w:r w:rsidRPr="002A14D9">
        <w:t xml:space="preserve">ctivité </w:t>
      </w:r>
      <w:r w:rsidRPr="00BC0882">
        <w:rPr>
          <w:szCs w:val="20"/>
        </w:rPr>
        <w:t>(10.</w:t>
      </w:r>
      <w:r>
        <w:rPr>
          <w:szCs w:val="20"/>
        </w:rPr>
        <w:t>85</w:t>
      </w:r>
      <w:r w:rsidRPr="00BC0882">
        <w:rPr>
          <w:szCs w:val="20"/>
        </w:rPr>
        <w:t>.</w:t>
      </w:r>
      <w:r>
        <w:rPr>
          <w:szCs w:val="20"/>
        </w:rPr>
        <w:t>A</w:t>
      </w:r>
      <w:r w:rsidRPr="00BC0882">
        <w:rPr>
          <w:szCs w:val="20"/>
        </w:rPr>
        <w:t>)</w:t>
      </w:r>
      <w:r>
        <w:rPr>
          <w:szCs w:val="20"/>
        </w:rPr>
        <w:t> :</w:t>
      </w:r>
      <w:bookmarkEnd w:id="86"/>
      <w:r>
        <w:rPr>
          <w:szCs w:val="20"/>
        </w:rPr>
        <w:t xml:space="preserve"> </w:t>
      </w:r>
    </w:p>
    <w:p w14:paraId="67EB9FB4" w14:textId="322E533B" w:rsidR="00E772B7" w:rsidRDefault="00E103E9" w:rsidP="00444740">
      <w:pPr>
        <w:spacing w:after="120"/>
      </w:pPr>
      <w:r>
        <w:t xml:space="preserve">L’agrégation des codes NC8 </w:t>
      </w:r>
      <w:r w:rsidR="00D21622">
        <w:t xml:space="preserve">correspondant aux codes PRODCOM des catégories traiteurs d’intérêt </w:t>
      </w:r>
      <w:r w:rsidR="00B40774">
        <w:t xml:space="preserve">pour l’étude, </w:t>
      </w:r>
      <w:r w:rsidR="00D21622">
        <w:t>ne permet pas d’apparier les données</w:t>
      </w:r>
      <w:r w:rsidR="00E772B7">
        <w:t>. Le code douanier intégrant la racine 2106 correspond aux</w:t>
      </w:r>
      <w:r w:rsidRPr="00AB1DFC">
        <w:t xml:space="preserve"> </w:t>
      </w:r>
      <w:r w:rsidR="00B40774">
        <w:t>« </w:t>
      </w:r>
      <w:r w:rsidR="00E772B7">
        <w:t>p</w:t>
      </w:r>
      <w:r w:rsidRPr="00AB1DFC">
        <w:t>réparations alimentaires non dénommées</w:t>
      </w:r>
      <w:r w:rsidR="00B40774">
        <w:t xml:space="preserve"> par </w:t>
      </w:r>
      <w:r w:rsidRPr="00AB1DFC">
        <w:t>ailleurs</w:t>
      </w:r>
      <w:r w:rsidR="00B40774">
        <w:t> »</w:t>
      </w:r>
      <w:r w:rsidR="00E772B7">
        <w:t xml:space="preserve">. </w:t>
      </w:r>
    </w:p>
    <w:tbl>
      <w:tblPr>
        <w:tblW w:w="9351" w:type="dxa"/>
        <w:tblCellMar>
          <w:left w:w="70" w:type="dxa"/>
          <w:right w:w="70" w:type="dxa"/>
        </w:tblCellMar>
        <w:tblLook w:val="04A0" w:firstRow="1" w:lastRow="0" w:firstColumn="1" w:lastColumn="0" w:noHBand="0" w:noVBand="1"/>
      </w:tblPr>
      <w:tblGrid>
        <w:gridCol w:w="1500"/>
        <w:gridCol w:w="2300"/>
        <w:gridCol w:w="5551"/>
      </w:tblGrid>
      <w:tr w:rsidR="00AB1DFC" w:rsidRPr="00AB1DFC" w14:paraId="2753AA54" w14:textId="77777777" w:rsidTr="00B40774">
        <w:trPr>
          <w:trHeight w:val="645"/>
        </w:trPr>
        <w:tc>
          <w:tcPr>
            <w:tcW w:w="150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5511E535" w14:textId="77777777" w:rsidR="00AB1DFC" w:rsidRPr="0002537E" w:rsidRDefault="00AB1DFC" w:rsidP="00AB1DFC">
            <w:pPr>
              <w:spacing w:after="0" w:line="240" w:lineRule="auto"/>
              <w:jc w:val="left"/>
              <w:rPr>
                <w:rFonts w:eastAsia="Times New Roman" w:cs="Arial"/>
                <w:b/>
                <w:bCs/>
                <w:sz w:val="20"/>
                <w:szCs w:val="20"/>
                <w:lang w:eastAsia="fr-FR"/>
              </w:rPr>
            </w:pPr>
            <w:r w:rsidRPr="0002537E">
              <w:rPr>
                <w:rFonts w:eastAsia="Times New Roman" w:cs="Arial"/>
                <w:b/>
                <w:bCs/>
                <w:sz w:val="20"/>
                <w:szCs w:val="20"/>
                <w:lang w:eastAsia="fr-FR"/>
              </w:rPr>
              <w:t>Code PRODCOM</w:t>
            </w:r>
          </w:p>
        </w:tc>
        <w:tc>
          <w:tcPr>
            <w:tcW w:w="2300" w:type="dxa"/>
            <w:tcBorders>
              <w:top w:val="single" w:sz="4" w:space="0" w:color="auto"/>
              <w:left w:val="nil"/>
              <w:bottom w:val="single" w:sz="4" w:space="0" w:color="auto"/>
              <w:right w:val="single" w:sz="4" w:space="0" w:color="auto"/>
            </w:tcBorders>
            <w:shd w:val="clear" w:color="000000" w:fill="BFBFBF"/>
            <w:vAlign w:val="center"/>
            <w:hideMark/>
          </w:tcPr>
          <w:p w14:paraId="2A9315B8" w14:textId="77777777" w:rsidR="00AB1DFC" w:rsidRPr="0002537E" w:rsidRDefault="00AB1DFC" w:rsidP="00AB1DFC">
            <w:pPr>
              <w:spacing w:after="0" w:line="240" w:lineRule="auto"/>
              <w:jc w:val="left"/>
              <w:rPr>
                <w:rFonts w:eastAsia="Times New Roman" w:cs="Arial"/>
                <w:b/>
                <w:bCs/>
                <w:sz w:val="20"/>
                <w:szCs w:val="20"/>
                <w:lang w:eastAsia="fr-FR"/>
              </w:rPr>
            </w:pPr>
            <w:r w:rsidRPr="0002537E">
              <w:rPr>
                <w:rFonts w:eastAsia="Times New Roman" w:cs="Arial"/>
                <w:b/>
                <w:bCs/>
                <w:sz w:val="20"/>
                <w:szCs w:val="20"/>
                <w:lang w:eastAsia="fr-FR"/>
              </w:rPr>
              <w:t>NC</w:t>
            </w:r>
          </w:p>
        </w:tc>
        <w:tc>
          <w:tcPr>
            <w:tcW w:w="5551" w:type="dxa"/>
            <w:tcBorders>
              <w:top w:val="single" w:sz="4" w:space="0" w:color="auto"/>
              <w:left w:val="nil"/>
              <w:bottom w:val="single" w:sz="4" w:space="0" w:color="auto"/>
              <w:right w:val="single" w:sz="4" w:space="0" w:color="auto"/>
            </w:tcBorders>
            <w:shd w:val="clear" w:color="000000" w:fill="BFBFBF"/>
            <w:vAlign w:val="center"/>
            <w:hideMark/>
          </w:tcPr>
          <w:p w14:paraId="67B50A29" w14:textId="77777777" w:rsidR="00AB1DFC" w:rsidRPr="0002537E" w:rsidRDefault="00AB1DFC" w:rsidP="00AB1DFC">
            <w:pPr>
              <w:spacing w:after="0" w:line="240" w:lineRule="auto"/>
              <w:jc w:val="left"/>
              <w:rPr>
                <w:rFonts w:eastAsia="Times New Roman" w:cs="Arial"/>
                <w:b/>
                <w:bCs/>
                <w:color w:val="000000"/>
                <w:sz w:val="20"/>
                <w:szCs w:val="20"/>
                <w:lang w:eastAsia="fr-FR"/>
              </w:rPr>
            </w:pPr>
            <w:r w:rsidRPr="0002537E">
              <w:rPr>
                <w:rFonts w:eastAsia="Times New Roman" w:cs="Arial"/>
                <w:b/>
                <w:bCs/>
                <w:color w:val="000000"/>
                <w:sz w:val="20"/>
                <w:szCs w:val="20"/>
                <w:lang w:eastAsia="fr-FR"/>
              </w:rPr>
              <w:t xml:space="preserve">Catégories produits </w:t>
            </w:r>
          </w:p>
        </w:tc>
      </w:tr>
      <w:tr w:rsidR="00AB1DFC" w:rsidRPr="00AB1DFC" w14:paraId="4731DB6A"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FBA0D6A"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10.85.11.00</w:t>
            </w:r>
          </w:p>
        </w:tc>
        <w:tc>
          <w:tcPr>
            <w:tcW w:w="23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A17E7D"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17E5939" w14:textId="52BF4382"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 xml:space="preserve">Plats cuisinés à base de porc </w:t>
            </w:r>
          </w:p>
        </w:tc>
      </w:tr>
      <w:tr w:rsidR="00AB1DFC" w:rsidRPr="00AB1DFC" w14:paraId="0D1060C9"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EBB4713"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10.13.15.75</w:t>
            </w:r>
          </w:p>
        </w:tc>
        <w:tc>
          <w:tcPr>
            <w:tcW w:w="23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1A28E60"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auto"/>
            </w:tcBorders>
            <w:shd w:val="clear" w:color="D9D9D9" w:fill="D9D9D9"/>
            <w:vAlign w:val="center"/>
            <w:hideMark/>
          </w:tcPr>
          <w:p w14:paraId="643CD6FC" w14:textId="7CAA5D71"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Salades composées charcutières avec ingrédient animal &gt;20</w:t>
            </w:r>
            <w:r w:rsidR="009E630C" w:rsidRPr="0002537E">
              <w:rPr>
                <w:rFonts w:eastAsia="Times New Roman" w:cs="Arial"/>
                <w:sz w:val="20"/>
                <w:szCs w:val="20"/>
                <w:lang w:eastAsia="fr-FR"/>
              </w:rPr>
              <w:t> </w:t>
            </w:r>
            <w:r w:rsidRPr="0002537E">
              <w:rPr>
                <w:rFonts w:eastAsia="Times New Roman" w:cs="Arial"/>
                <w:sz w:val="20"/>
                <w:szCs w:val="20"/>
                <w:lang w:eastAsia="fr-FR"/>
              </w:rPr>
              <w:t>%</w:t>
            </w:r>
          </w:p>
        </w:tc>
      </w:tr>
      <w:tr w:rsidR="00AB1DFC" w:rsidRPr="00AB1DFC" w14:paraId="22905218"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85DAD53"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10.85.11.00</w:t>
            </w:r>
          </w:p>
        </w:tc>
        <w:tc>
          <w:tcPr>
            <w:tcW w:w="23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CCF2CBB"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auto"/>
            </w:tcBorders>
            <w:shd w:val="clear" w:color="auto" w:fill="auto"/>
            <w:vAlign w:val="center"/>
            <w:hideMark/>
          </w:tcPr>
          <w:p w14:paraId="42F3EB22" w14:textId="534531FF"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Salades avec ingrédient animal &lt;20 %</w:t>
            </w:r>
          </w:p>
        </w:tc>
      </w:tr>
      <w:tr w:rsidR="00AB1DFC" w:rsidRPr="00AB1DFC" w14:paraId="0EFB6722"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5AA14EC"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10.85.11.00 10.85.19.10</w:t>
            </w:r>
          </w:p>
        </w:tc>
        <w:tc>
          <w:tcPr>
            <w:tcW w:w="23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8F17009"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2163DBFE" w14:textId="74E68FB1"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Feuilletés, friands et bouchées (à base de viande), saucissons en brioche, croque</w:t>
            </w:r>
            <w:r w:rsidR="00E772B7" w:rsidRPr="0002537E">
              <w:rPr>
                <w:rFonts w:eastAsia="Times New Roman" w:cs="Arial"/>
                <w:sz w:val="20"/>
                <w:szCs w:val="20"/>
                <w:lang w:eastAsia="fr-FR"/>
              </w:rPr>
              <w:t>-</w:t>
            </w:r>
            <w:r w:rsidRPr="0002537E">
              <w:rPr>
                <w:rFonts w:eastAsia="Times New Roman" w:cs="Arial"/>
                <w:sz w:val="20"/>
                <w:szCs w:val="20"/>
                <w:lang w:eastAsia="fr-FR"/>
              </w:rPr>
              <w:t xml:space="preserve">monsieur </w:t>
            </w:r>
          </w:p>
        </w:tc>
      </w:tr>
      <w:tr w:rsidR="00AB1DFC" w:rsidRPr="00AB1DFC" w14:paraId="3CB2F1D1" w14:textId="77777777" w:rsidTr="00B40774">
        <w:trPr>
          <w:trHeight w:val="645"/>
        </w:trPr>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DB03E3E"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10.85.11.00</w:t>
            </w:r>
          </w:p>
        </w:tc>
        <w:tc>
          <w:tcPr>
            <w:tcW w:w="23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50C7E2"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111081"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Autres spécialités salées à base de viande (croissants au jambon, roulés, hot-dogs)</w:t>
            </w:r>
          </w:p>
        </w:tc>
      </w:tr>
      <w:tr w:rsidR="00AB1DFC" w:rsidRPr="00AB1DFC" w14:paraId="4F5FF82F" w14:textId="77777777" w:rsidTr="00B40774">
        <w:trPr>
          <w:trHeight w:val="615"/>
        </w:trPr>
        <w:tc>
          <w:tcPr>
            <w:tcW w:w="15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7F3A74F"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10.85.14.10</w:t>
            </w:r>
          </w:p>
        </w:tc>
        <w:tc>
          <w:tcPr>
            <w:tcW w:w="23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9664703" w14:textId="77777777" w:rsidR="00AB1DFC" w:rsidRPr="0002537E" w:rsidRDefault="00AB1DFC" w:rsidP="00AB1DFC">
            <w:pPr>
              <w:spacing w:after="0" w:line="240" w:lineRule="auto"/>
              <w:jc w:val="left"/>
              <w:rPr>
                <w:rFonts w:eastAsia="Times New Roman" w:cs="Arial"/>
                <w:color w:val="000000"/>
                <w:sz w:val="20"/>
                <w:szCs w:val="20"/>
                <w:lang w:eastAsia="fr-FR"/>
              </w:rPr>
            </w:pPr>
            <w:r w:rsidRPr="0002537E">
              <w:rPr>
                <w:rFonts w:eastAsia="Times New Roman" w:cs="Arial"/>
                <w:sz w:val="20"/>
                <w:szCs w:val="20"/>
                <w:lang w:eastAsia="fr-FR"/>
              </w:rPr>
              <w:t>1601+1602 non</w:t>
            </w:r>
            <w:r w:rsidRPr="0002537E">
              <w:rPr>
                <w:rFonts w:eastAsia="Times New Roman" w:cs="Arial"/>
                <w:sz w:val="20"/>
                <w:szCs w:val="20"/>
                <w:lang w:eastAsia="fr-FR"/>
              </w:rPr>
              <w:br/>
              <w:t>compris 1602.10.00</w:t>
            </w:r>
          </w:p>
        </w:tc>
        <w:tc>
          <w:tcPr>
            <w:tcW w:w="555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03BEF23E" w14:textId="209BE293"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 xml:space="preserve">Pâtes alimentaires cuisinées </w:t>
            </w:r>
          </w:p>
        </w:tc>
      </w:tr>
      <w:tr w:rsidR="00AB1DFC" w:rsidRPr="00AB1DFC" w14:paraId="1BAE6E67" w14:textId="77777777" w:rsidTr="00B40774">
        <w:trPr>
          <w:trHeight w:val="510"/>
        </w:trPr>
        <w:tc>
          <w:tcPr>
            <w:tcW w:w="15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FC0FDBD"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10.85.19.10</w:t>
            </w:r>
          </w:p>
        </w:tc>
        <w:tc>
          <w:tcPr>
            <w:tcW w:w="230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9D30D42"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2106.90.98</w:t>
            </w:r>
          </w:p>
        </w:tc>
        <w:tc>
          <w:tcPr>
            <w:tcW w:w="555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0B06F66" w14:textId="6D72A43A"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 xml:space="preserve">Tartes salées, quiches, tartes, pizzas, crêpes garnies </w:t>
            </w:r>
          </w:p>
        </w:tc>
      </w:tr>
      <w:tr w:rsidR="00AB1DFC" w:rsidRPr="00AB1DFC" w14:paraId="7B7D90C1" w14:textId="77777777" w:rsidTr="00B40774">
        <w:trPr>
          <w:trHeight w:val="435"/>
        </w:trPr>
        <w:tc>
          <w:tcPr>
            <w:tcW w:w="1500"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0DCE30CD" w14:textId="77777777" w:rsidR="00AB1DFC" w:rsidRPr="0002537E" w:rsidRDefault="00AB1DFC" w:rsidP="00AB1DFC">
            <w:pPr>
              <w:spacing w:after="0" w:line="240" w:lineRule="auto"/>
              <w:jc w:val="left"/>
              <w:rPr>
                <w:rFonts w:eastAsia="Times New Roman" w:cs="Arial"/>
                <w:i/>
                <w:iCs/>
                <w:sz w:val="20"/>
                <w:szCs w:val="20"/>
                <w:lang w:eastAsia="fr-FR"/>
              </w:rPr>
            </w:pPr>
            <w:r w:rsidRPr="0002537E">
              <w:rPr>
                <w:rFonts w:eastAsia="Times New Roman" w:cs="Arial"/>
                <w:i/>
                <w:iCs/>
                <w:sz w:val="20"/>
                <w:szCs w:val="20"/>
                <w:lang w:eastAsia="fr-FR"/>
              </w:rPr>
              <w:t>10.89.16.00</w:t>
            </w:r>
          </w:p>
        </w:tc>
        <w:tc>
          <w:tcPr>
            <w:tcW w:w="2300"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3A32D19C" w14:textId="77777777" w:rsidR="00AB1DFC" w:rsidRPr="0002537E" w:rsidRDefault="00AB1DFC" w:rsidP="00AB1DFC">
            <w:pPr>
              <w:spacing w:after="0" w:line="240" w:lineRule="auto"/>
              <w:jc w:val="left"/>
              <w:rPr>
                <w:rFonts w:eastAsia="Times New Roman" w:cs="Arial"/>
                <w:sz w:val="20"/>
                <w:szCs w:val="20"/>
                <w:lang w:eastAsia="fr-FR"/>
              </w:rPr>
            </w:pPr>
            <w:r w:rsidRPr="0002537E">
              <w:rPr>
                <w:rFonts w:eastAsia="Times New Roman" w:cs="Arial"/>
                <w:sz w:val="20"/>
                <w:szCs w:val="20"/>
                <w:lang w:eastAsia="fr-FR"/>
              </w:rPr>
              <w:t>2106.90.98</w:t>
            </w:r>
          </w:p>
        </w:tc>
        <w:tc>
          <w:tcPr>
            <w:tcW w:w="5551" w:type="dxa"/>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4AA01CCC" w14:textId="62132CC5" w:rsidR="00AB1DFC" w:rsidRPr="0002537E" w:rsidRDefault="00AB1DFC" w:rsidP="00AB1DFC">
            <w:pPr>
              <w:spacing w:after="0" w:line="240" w:lineRule="auto"/>
              <w:jc w:val="left"/>
              <w:rPr>
                <w:rFonts w:eastAsia="Times New Roman" w:cs="Arial"/>
                <w:i/>
                <w:iCs/>
                <w:sz w:val="20"/>
                <w:szCs w:val="20"/>
                <w:lang w:eastAsia="fr-FR"/>
              </w:rPr>
            </w:pPr>
            <w:r w:rsidRPr="0002537E">
              <w:rPr>
                <w:rFonts w:eastAsia="Times New Roman" w:cs="Arial"/>
                <w:i/>
                <w:iCs/>
                <w:sz w:val="20"/>
                <w:szCs w:val="20"/>
                <w:lang w:eastAsia="fr-FR"/>
              </w:rPr>
              <w:t>Préparations alimentaires périssables telles que sandwichs et pizzas fraîches</w:t>
            </w:r>
          </w:p>
        </w:tc>
      </w:tr>
    </w:tbl>
    <w:p w14:paraId="04C475D7" w14:textId="12BF17C0" w:rsidR="009111E5" w:rsidRPr="00AC4581" w:rsidRDefault="00AC4581" w:rsidP="00AC4581">
      <w:pPr>
        <w:pStyle w:val="figure"/>
      </w:pPr>
      <w:bookmarkStart w:id="87" w:name="_Toc72143366"/>
      <w:r>
        <w:t xml:space="preserve">Tableau </w:t>
      </w:r>
      <w:r w:rsidR="00E27D6E">
        <w:fldChar w:fldCharType="begin"/>
      </w:r>
      <w:r w:rsidR="00E27D6E">
        <w:instrText xml:space="preserve"> SEQ Tableau \* ARABIC </w:instrText>
      </w:r>
      <w:r w:rsidR="00E27D6E">
        <w:fldChar w:fldCharType="separate"/>
      </w:r>
      <w:r w:rsidR="0007597F">
        <w:rPr>
          <w:noProof/>
        </w:rPr>
        <w:t>18</w:t>
      </w:r>
      <w:r w:rsidR="00E27D6E">
        <w:rPr>
          <w:noProof/>
        </w:rPr>
        <w:fldChar w:fldCharType="end"/>
      </w:r>
      <w:r>
        <w:t xml:space="preserve"> : </w:t>
      </w:r>
      <w:r w:rsidR="00E103E9" w:rsidRPr="00AC4581">
        <w:rPr>
          <w:rStyle w:val="figureCar"/>
          <w:b/>
          <w:bCs/>
          <w:iCs/>
        </w:rPr>
        <w:t>Appariement des données PRODCOM et des codes douaniers NC8 pour les catégories de produits traiteurs intégrant du porc</w:t>
      </w:r>
      <w:bookmarkEnd w:id="87"/>
      <w:r w:rsidR="00AB1DFC" w:rsidRPr="00AC4581">
        <w:t xml:space="preserve"> </w:t>
      </w:r>
    </w:p>
    <w:p w14:paraId="44FDD3A5" w14:textId="54B37CB8" w:rsidR="00AB1DFC" w:rsidRPr="00AC4581" w:rsidRDefault="00AB1DFC" w:rsidP="00AC4581">
      <w:pPr>
        <w:pStyle w:val="Lgende"/>
      </w:pPr>
      <w:r w:rsidRPr="00AC4581">
        <w:t>(Ifip d’après Enquête PRODCOM, Eurostat)</w:t>
      </w:r>
    </w:p>
    <w:p w14:paraId="66554363" w14:textId="384DC96F" w:rsidR="005D5F52" w:rsidRPr="00AB1DFC" w:rsidRDefault="00E772B7" w:rsidP="00B40774">
      <w:pPr>
        <w:spacing w:after="0"/>
      </w:pPr>
      <w:r w:rsidRPr="0027296F">
        <w:t xml:space="preserve">Concernant l’international, et comme </w:t>
      </w:r>
      <w:r w:rsidR="00B40774">
        <w:t xml:space="preserve">au </w:t>
      </w:r>
      <w:r w:rsidRPr="0027296F">
        <w:t>sein de la filière porcine, la part d</w:t>
      </w:r>
      <w:r>
        <w:t xml:space="preserve">’exportation </w:t>
      </w:r>
      <w:r w:rsidRPr="0027296F">
        <w:t>des entreprises spécialisées du traiteur est structurellement faible</w:t>
      </w:r>
      <w:r>
        <w:t xml:space="preserve">, </w:t>
      </w:r>
      <w:r w:rsidRPr="0027296F">
        <w:t>en</w:t>
      </w:r>
      <w:r>
        <w:t>viron</w:t>
      </w:r>
      <w:r w:rsidRPr="0027296F">
        <w:t xml:space="preserve"> 8</w:t>
      </w:r>
      <w:r w:rsidR="009111E5">
        <w:t> </w:t>
      </w:r>
      <w:r w:rsidRPr="0027296F">
        <w:t>%</w:t>
      </w:r>
      <w:r>
        <w:t xml:space="preserve"> selon l’Adepale,</w:t>
      </w:r>
      <w:r w:rsidRPr="0027296F">
        <w:t xml:space="preserve"> comparativement au poids de l’exportation au sein des indu</w:t>
      </w:r>
      <w:r>
        <w:t>s</w:t>
      </w:r>
      <w:r w:rsidRPr="0027296F">
        <w:t>tri</w:t>
      </w:r>
      <w:r>
        <w:t>e</w:t>
      </w:r>
      <w:r w:rsidRPr="0027296F">
        <w:t>s</w:t>
      </w:r>
      <w:r>
        <w:t xml:space="preserve"> agro-alimentaires</w:t>
      </w:r>
      <w:r w:rsidRPr="0027296F">
        <w:t xml:space="preserve"> de l’ordre de </w:t>
      </w:r>
      <w:r w:rsidRPr="0027296F">
        <w:lastRenderedPageBreak/>
        <w:t>35</w:t>
      </w:r>
      <w:r w:rsidR="009111E5">
        <w:t> </w:t>
      </w:r>
      <w:r w:rsidRPr="0027296F">
        <w:t>%</w:t>
      </w:r>
      <w:r>
        <w:t xml:space="preserve">. Cette part réduite s’explique </w:t>
      </w:r>
      <w:r w:rsidRPr="0027296F">
        <w:t xml:space="preserve">notamment </w:t>
      </w:r>
      <w:r>
        <w:t>par</w:t>
      </w:r>
      <w:r w:rsidRPr="0027296F">
        <w:t xml:space="preserve"> les différences d</w:t>
      </w:r>
      <w:r>
        <w:t>’</w:t>
      </w:r>
      <w:r w:rsidRPr="0027296F">
        <w:t>habitudes alimentaires et les traditions culinaires propres à chaque pays.</w:t>
      </w:r>
      <w:r>
        <w:t xml:space="preserve"> Quant à la part d’importation, elle n’est pas co</w:t>
      </w:r>
      <w:r w:rsidR="00B40774">
        <w:t>mmuniquée</w:t>
      </w:r>
      <w:r>
        <w:t>.</w:t>
      </w:r>
    </w:p>
    <w:p w14:paraId="3E94DF4E" w14:textId="58B880B8" w:rsidR="008150C6" w:rsidRPr="00D44A19" w:rsidRDefault="008150C6" w:rsidP="00AA28BC">
      <w:pPr>
        <w:pStyle w:val="Titre1"/>
        <w:numPr>
          <w:ilvl w:val="0"/>
          <w:numId w:val="9"/>
        </w:numPr>
        <w:rPr>
          <w:rFonts w:eastAsiaTheme="minorHAnsi"/>
        </w:rPr>
      </w:pPr>
      <w:bookmarkStart w:id="88" w:name="_Toc78131565"/>
      <w:r w:rsidRPr="00D44A19">
        <w:rPr>
          <w:rFonts w:eastAsiaTheme="minorHAnsi"/>
        </w:rPr>
        <w:t>Enquêtes de mesure des comportements déclaratifs de consommation ou d’achats</w:t>
      </w:r>
      <w:bookmarkEnd w:id="88"/>
    </w:p>
    <w:p w14:paraId="20CA9DE6" w14:textId="7EBAECB8" w:rsidR="00903B97" w:rsidRDefault="00E20C47" w:rsidP="008F4A66">
      <w:r w:rsidRPr="00E20C47">
        <w:t>Parmi les méthodes de recueils de la consommation alimentaire, on peut distinguer celles réalisé</w:t>
      </w:r>
      <w:r>
        <w:t>e</w:t>
      </w:r>
      <w:r w:rsidRPr="00E20C47">
        <w:t xml:space="preserve">s au niveau collectif </w:t>
      </w:r>
      <w:r>
        <w:t xml:space="preserve">et </w:t>
      </w:r>
      <w:r w:rsidRPr="00E20C47">
        <w:t xml:space="preserve">celles </w:t>
      </w:r>
      <w:r w:rsidR="00B93806">
        <w:t xml:space="preserve">conduites sur le plan </w:t>
      </w:r>
      <w:r w:rsidRPr="00E20C47">
        <w:t>individuel.</w:t>
      </w:r>
      <w:r>
        <w:t xml:space="preserve"> Parmi ces dernières, certaines </w:t>
      </w:r>
      <w:r w:rsidRPr="00E20C47">
        <w:t>f</w:t>
      </w:r>
      <w:r w:rsidR="007B7EA4">
        <w:t>on</w:t>
      </w:r>
      <w:r w:rsidRPr="00E20C47">
        <w:t>t appel à la mémoire (méthode rétrospective) ou à l’enregistrement (méthode prospective).</w:t>
      </w:r>
      <w:r w:rsidR="00A51F76">
        <w:t xml:space="preserve"> </w:t>
      </w:r>
      <w:r w:rsidR="00903B97">
        <w:t>L</w:t>
      </w:r>
      <w:r w:rsidR="00903B97" w:rsidRPr="00530130">
        <w:t xml:space="preserve">e tableau </w:t>
      </w:r>
      <w:r w:rsidR="00903B97">
        <w:t xml:space="preserve">1 </w:t>
      </w:r>
      <w:r w:rsidR="00903B97" w:rsidRPr="00530130">
        <w:t xml:space="preserve">synthétise les caractéristiques des principales sources disponibles </w:t>
      </w:r>
      <w:r w:rsidR="00903B97">
        <w:t>et interrogées dans le cadre de cette étude.</w:t>
      </w:r>
    </w:p>
    <w:p w14:paraId="3E3644EE" w14:textId="50AD3B59" w:rsidR="00903B97" w:rsidRDefault="00903B97" w:rsidP="008F4A66">
      <w:pPr>
        <w:sectPr w:rsidR="00903B97" w:rsidSect="00B73F4D">
          <w:headerReference w:type="default" r:id="rId29"/>
          <w:pgSz w:w="11906" w:h="16838" w:code="9"/>
          <w:pgMar w:top="1304" w:right="1133" w:bottom="1304" w:left="1418" w:header="567" w:footer="709" w:gutter="0"/>
          <w:pgNumType w:start="1"/>
          <w:cols w:space="708"/>
          <w:docGrid w:linePitch="360"/>
        </w:sectPr>
      </w:pPr>
    </w:p>
    <w:p w14:paraId="5936DDBD" w14:textId="4A68F82B" w:rsidR="00903B97" w:rsidRDefault="00903B97" w:rsidP="00B70D60">
      <w:pPr>
        <w:spacing w:after="0"/>
      </w:pPr>
    </w:p>
    <w:tbl>
      <w:tblPr>
        <w:tblW w:w="13603" w:type="dxa"/>
        <w:tblCellMar>
          <w:left w:w="70" w:type="dxa"/>
          <w:right w:w="70" w:type="dxa"/>
        </w:tblCellMar>
        <w:tblLook w:val="04A0" w:firstRow="1" w:lastRow="0" w:firstColumn="1" w:lastColumn="0" w:noHBand="0" w:noVBand="1"/>
      </w:tblPr>
      <w:tblGrid>
        <w:gridCol w:w="1549"/>
        <w:gridCol w:w="1565"/>
        <w:gridCol w:w="1691"/>
        <w:gridCol w:w="2262"/>
        <w:gridCol w:w="1840"/>
        <w:gridCol w:w="1441"/>
        <w:gridCol w:w="1557"/>
        <w:gridCol w:w="1698"/>
      </w:tblGrid>
      <w:tr w:rsidR="005D5F52" w:rsidRPr="00E221FE" w14:paraId="19E6AEB4" w14:textId="77777777" w:rsidTr="00D83B75">
        <w:trPr>
          <w:trHeight w:val="765"/>
        </w:trPr>
        <w:tc>
          <w:tcPr>
            <w:tcW w:w="154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61206F"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Source</w:t>
            </w:r>
          </w:p>
        </w:tc>
        <w:tc>
          <w:tcPr>
            <w:tcW w:w="1565" w:type="dxa"/>
            <w:tcBorders>
              <w:top w:val="single" w:sz="4" w:space="0" w:color="000000"/>
              <w:left w:val="nil"/>
              <w:bottom w:val="single" w:sz="4" w:space="0" w:color="000000"/>
              <w:right w:val="single" w:sz="4" w:space="0" w:color="000000"/>
            </w:tcBorders>
            <w:shd w:val="clear" w:color="auto" w:fill="auto"/>
            <w:vAlign w:val="center"/>
            <w:hideMark/>
          </w:tcPr>
          <w:p w14:paraId="642634D0"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Nature</w:t>
            </w:r>
          </w:p>
        </w:tc>
        <w:tc>
          <w:tcPr>
            <w:tcW w:w="1691" w:type="dxa"/>
            <w:tcBorders>
              <w:top w:val="single" w:sz="4" w:space="0" w:color="000000"/>
              <w:left w:val="nil"/>
              <w:bottom w:val="single" w:sz="4" w:space="0" w:color="000000"/>
              <w:right w:val="single" w:sz="4" w:space="0" w:color="000000"/>
            </w:tcBorders>
            <w:shd w:val="clear" w:color="auto" w:fill="auto"/>
            <w:vAlign w:val="center"/>
            <w:hideMark/>
          </w:tcPr>
          <w:p w14:paraId="28C4FE62"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Populations de référence</w:t>
            </w:r>
          </w:p>
        </w:tc>
        <w:tc>
          <w:tcPr>
            <w:tcW w:w="2262" w:type="dxa"/>
            <w:tcBorders>
              <w:top w:val="single" w:sz="4" w:space="0" w:color="000000"/>
              <w:left w:val="nil"/>
              <w:bottom w:val="single" w:sz="4" w:space="0" w:color="000000"/>
              <w:right w:val="single" w:sz="4" w:space="0" w:color="000000"/>
            </w:tcBorders>
            <w:shd w:val="clear" w:color="auto" w:fill="auto"/>
            <w:vAlign w:val="center"/>
            <w:hideMark/>
          </w:tcPr>
          <w:p w14:paraId="285FC1E1"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Echantillon</w:t>
            </w:r>
          </w:p>
        </w:tc>
        <w:tc>
          <w:tcPr>
            <w:tcW w:w="1840" w:type="dxa"/>
            <w:tcBorders>
              <w:top w:val="single" w:sz="4" w:space="0" w:color="000000"/>
              <w:left w:val="nil"/>
              <w:bottom w:val="single" w:sz="4" w:space="0" w:color="000000"/>
              <w:right w:val="single" w:sz="4" w:space="0" w:color="000000"/>
            </w:tcBorders>
            <w:shd w:val="clear" w:color="auto" w:fill="auto"/>
            <w:vAlign w:val="center"/>
            <w:hideMark/>
          </w:tcPr>
          <w:p w14:paraId="7C9DAB21"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Champ couvert</w:t>
            </w:r>
          </w:p>
        </w:tc>
        <w:tc>
          <w:tcPr>
            <w:tcW w:w="1441" w:type="dxa"/>
            <w:tcBorders>
              <w:top w:val="single" w:sz="4" w:space="0" w:color="000000"/>
              <w:left w:val="nil"/>
              <w:bottom w:val="single" w:sz="4" w:space="0" w:color="000000"/>
              <w:right w:val="single" w:sz="4" w:space="0" w:color="000000"/>
            </w:tcBorders>
            <w:shd w:val="clear" w:color="auto" w:fill="auto"/>
            <w:vAlign w:val="center"/>
            <w:hideMark/>
          </w:tcPr>
          <w:p w14:paraId="47BAFB63"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Méthode de recueil</w:t>
            </w:r>
          </w:p>
        </w:tc>
        <w:tc>
          <w:tcPr>
            <w:tcW w:w="1557" w:type="dxa"/>
            <w:tcBorders>
              <w:top w:val="single" w:sz="4" w:space="0" w:color="000000"/>
              <w:left w:val="nil"/>
              <w:bottom w:val="single" w:sz="4" w:space="0" w:color="000000"/>
              <w:right w:val="single" w:sz="4" w:space="0" w:color="000000"/>
            </w:tcBorders>
            <w:shd w:val="clear" w:color="auto" w:fill="auto"/>
            <w:vAlign w:val="center"/>
            <w:hideMark/>
          </w:tcPr>
          <w:p w14:paraId="6B4ADC1B"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Unité de mesure</w:t>
            </w:r>
          </w:p>
        </w:tc>
        <w:tc>
          <w:tcPr>
            <w:tcW w:w="1698" w:type="dxa"/>
            <w:tcBorders>
              <w:top w:val="single" w:sz="4" w:space="0" w:color="000000"/>
              <w:left w:val="nil"/>
              <w:bottom w:val="single" w:sz="4" w:space="0" w:color="000000"/>
              <w:right w:val="single" w:sz="4" w:space="0" w:color="000000"/>
            </w:tcBorders>
            <w:shd w:val="clear" w:color="auto" w:fill="auto"/>
            <w:vAlign w:val="center"/>
            <w:hideMark/>
          </w:tcPr>
          <w:p w14:paraId="31EADB2A"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Périodicité (données disponibles)</w:t>
            </w:r>
          </w:p>
        </w:tc>
      </w:tr>
      <w:tr w:rsidR="005D5F52" w:rsidRPr="00E221FE" w14:paraId="19B49AA8" w14:textId="77777777" w:rsidTr="00D83B75">
        <w:trPr>
          <w:trHeight w:val="795"/>
        </w:trPr>
        <w:tc>
          <w:tcPr>
            <w:tcW w:w="154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C8FE11" w14:textId="77777777" w:rsidR="00903B97" w:rsidRPr="00E221FE" w:rsidRDefault="00903B97" w:rsidP="00866FCB">
            <w:pPr>
              <w:spacing w:after="0" w:line="240" w:lineRule="auto"/>
              <w:jc w:val="center"/>
              <w:rPr>
                <w:rFonts w:eastAsia="Times New Roman" w:cs="Arial"/>
                <w:b/>
                <w:bCs/>
                <w:color w:val="000000"/>
                <w:sz w:val="20"/>
                <w:szCs w:val="20"/>
                <w:lang w:eastAsia="fr-FR"/>
              </w:rPr>
            </w:pPr>
            <w:r w:rsidRPr="00E221FE">
              <w:rPr>
                <w:rFonts w:eastAsia="Times New Roman" w:cs="Arial"/>
                <w:b/>
                <w:bCs/>
                <w:color w:val="000000"/>
                <w:sz w:val="20"/>
                <w:szCs w:val="20"/>
                <w:lang w:eastAsia="fr-FR"/>
              </w:rPr>
              <w:t>Données par bilan</w:t>
            </w:r>
          </w:p>
        </w:tc>
        <w:tc>
          <w:tcPr>
            <w:tcW w:w="1565" w:type="dxa"/>
            <w:tcBorders>
              <w:top w:val="single" w:sz="4" w:space="0" w:color="auto"/>
              <w:left w:val="nil"/>
              <w:bottom w:val="single" w:sz="4" w:space="0" w:color="auto"/>
              <w:right w:val="single" w:sz="4" w:space="0" w:color="auto"/>
            </w:tcBorders>
            <w:shd w:val="clear" w:color="auto" w:fill="auto"/>
            <w:vAlign w:val="center"/>
            <w:hideMark/>
          </w:tcPr>
          <w:p w14:paraId="56C7A160"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Bilans</w:t>
            </w:r>
          </w:p>
        </w:tc>
        <w:tc>
          <w:tcPr>
            <w:tcW w:w="1691" w:type="dxa"/>
            <w:tcBorders>
              <w:top w:val="single" w:sz="4" w:space="0" w:color="auto"/>
              <w:left w:val="nil"/>
              <w:bottom w:val="single" w:sz="4" w:space="0" w:color="auto"/>
              <w:right w:val="single" w:sz="4" w:space="0" w:color="auto"/>
            </w:tcBorders>
            <w:shd w:val="clear" w:color="auto" w:fill="auto"/>
            <w:vAlign w:val="center"/>
            <w:hideMark/>
          </w:tcPr>
          <w:p w14:paraId="4386B97D" w14:textId="6807B651" w:rsidR="00903B97" w:rsidRPr="00E221FE" w:rsidRDefault="00D83B75" w:rsidP="00866FCB">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Ensemble territoire France</w:t>
            </w:r>
            <w:r>
              <w:rPr>
                <w:rFonts w:eastAsia="Times New Roman" w:cs="Arial"/>
                <w:color w:val="000000"/>
                <w:sz w:val="20"/>
                <w:szCs w:val="20"/>
                <w:lang w:eastAsia="fr-FR"/>
              </w:rPr>
              <w:br/>
              <w:t>(ménages et institutions)</w:t>
            </w:r>
          </w:p>
        </w:tc>
        <w:tc>
          <w:tcPr>
            <w:tcW w:w="2262" w:type="dxa"/>
            <w:tcBorders>
              <w:top w:val="single" w:sz="4" w:space="0" w:color="auto"/>
              <w:left w:val="nil"/>
              <w:bottom w:val="single" w:sz="4" w:space="0" w:color="auto"/>
              <w:right w:val="single" w:sz="4" w:space="0" w:color="auto"/>
            </w:tcBorders>
            <w:shd w:val="clear" w:color="auto" w:fill="auto"/>
            <w:vAlign w:val="center"/>
            <w:hideMark/>
          </w:tcPr>
          <w:p w14:paraId="2286D38B"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14:paraId="296E3AE3" w14:textId="04FA4E8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Domicile (achats, auto</w:t>
            </w:r>
            <w:r w:rsidR="004D0323">
              <w:rPr>
                <w:rFonts w:eastAsia="Times New Roman" w:cs="Arial"/>
                <w:color w:val="000000"/>
                <w:sz w:val="20"/>
                <w:szCs w:val="20"/>
                <w:lang w:eastAsia="fr-FR"/>
              </w:rPr>
              <w:t>-</w:t>
            </w:r>
            <w:r w:rsidRPr="00E221FE">
              <w:rPr>
                <w:rFonts w:eastAsia="Times New Roman" w:cs="Arial"/>
                <w:color w:val="000000"/>
                <w:sz w:val="20"/>
                <w:szCs w:val="20"/>
                <w:lang w:eastAsia="fr-FR"/>
              </w:rPr>
              <w:t>consommation) Hors domicile</w:t>
            </w:r>
          </w:p>
        </w:tc>
        <w:tc>
          <w:tcPr>
            <w:tcW w:w="1441" w:type="dxa"/>
            <w:tcBorders>
              <w:top w:val="single" w:sz="4" w:space="0" w:color="auto"/>
              <w:left w:val="nil"/>
              <w:bottom w:val="single" w:sz="4" w:space="0" w:color="auto"/>
              <w:right w:val="single" w:sz="4" w:space="0" w:color="auto"/>
            </w:tcBorders>
            <w:shd w:val="clear" w:color="auto" w:fill="auto"/>
            <w:vAlign w:val="center"/>
            <w:hideMark/>
          </w:tcPr>
          <w:p w14:paraId="04D5E392" w14:textId="4A407FCF" w:rsidR="00903B97" w:rsidRPr="00E221FE" w:rsidRDefault="00D83B75" w:rsidP="00866FCB">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Entreprises de production et douanes</w:t>
            </w:r>
          </w:p>
        </w:tc>
        <w:tc>
          <w:tcPr>
            <w:tcW w:w="1557" w:type="dxa"/>
            <w:tcBorders>
              <w:top w:val="single" w:sz="4" w:space="0" w:color="auto"/>
              <w:left w:val="nil"/>
              <w:bottom w:val="single" w:sz="4" w:space="0" w:color="auto"/>
              <w:right w:val="single" w:sz="4" w:space="0" w:color="auto"/>
            </w:tcBorders>
            <w:shd w:val="clear" w:color="auto" w:fill="auto"/>
            <w:vAlign w:val="center"/>
            <w:hideMark/>
          </w:tcPr>
          <w:p w14:paraId="1C8807FF"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Equivalent primaire (carcasse)</w:t>
            </w:r>
          </w:p>
        </w:tc>
        <w:tc>
          <w:tcPr>
            <w:tcW w:w="1698" w:type="dxa"/>
            <w:tcBorders>
              <w:top w:val="single" w:sz="4" w:space="0" w:color="auto"/>
              <w:left w:val="nil"/>
              <w:bottom w:val="single" w:sz="4" w:space="0" w:color="auto"/>
              <w:right w:val="single" w:sz="4" w:space="0" w:color="auto"/>
            </w:tcBorders>
            <w:shd w:val="clear" w:color="auto" w:fill="auto"/>
            <w:vAlign w:val="center"/>
            <w:hideMark/>
          </w:tcPr>
          <w:p w14:paraId="29A77EB4"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Annuelle (2018)</w:t>
            </w:r>
          </w:p>
        </w:tc>
      </w:tr>
      <w:tr w:rsidR="005D5F52" w:rsidRPr="00E221FE" w14:paraId="3743A1CD" w14:textId="77777777" w:rsidTr="00D83B75">
        <w:trPr>
          <w:trHeight w:val="836"/>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409DDBA6" w14:textId="77777777" w:rsidR="00903B97" w:rsidRPr="00E221FE" w:rsidRDefault="00903B97" w:rsidP="00866FCB">
            <w:pPr>
              <w:spacing w:after="0" w:line="240" w:lineRule="auto"/>
              <w:jc w:val="center"/>
              <w:rPr>
                <w:rFonts w:eastAsia="Times New Roman" w:cs="Arial"/>
                <w:b/>
                <w:bCs/>
                <w:color w:val="000000"/>
                <w:sz w:val="20"/>
                <w:szCs w:val="20"/>
                <w:lang w:eastAsia="fr-FR"/>
              </w:rPr>
            </w:pPr>
            <w:r w:rsidRPr="00E221FE">
              <w:rPr>
                <w:rFonts w:eastAsia="Times New Roman" w:cs="Arial"/>
                <w:b/>
                <w:bCs/>
                <w:sz w:val="20"/>
                <w:szCs w:val="20"/>
                <w:lang w:eastAsia="fr-FR"/>
              </w:rPr>
              <w:t>INSEE</w:t>
            </w:r>
            <w:r w:rsidRPr="00E221FE">
              <w:rPr>
                <w:rFonts w:eastAsia="Times New Roman" w:cs="Arial"/>
                <w:b/>
                <w:bCs/>
                <w:sz w:val="20"/>
                <w:szCs w:val="20"/>
                <w:lang w:eastAsia="fr-FR"/>
              </w:rPr>
              <w:br/>
              <w:t>Budget de Famille</w:t>
            </w:r>
          </w:p>
        </w:tc>
        <w:tc>
          <w:tcPr>
            <w:tcW w:w="1565" w:type="dxa"/>
            <w:tcBorders>
              <w:top w:val="nil"/>
              <w:left w:val="nil"/>
              <w:bottom w:val="single" w:sz="4" w:space="0" w:color="000000"/>
              <w:right w:val="single" w:sz="4" w:space="0" w:color="000000"/>
            </w:tcBorders>
            <w:shd w:val="clear" w:color="auto" w:fill="auto"/>
            <w:vAlign w:val="center"/>
            <w:hideMark/>
          </w:tcPr>
          <w:p w14:paraId="03004720"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Achats</w:t>
            </w:r>
          </w:p>
        </w:tc>
        <w:tc>
          <w:tcPr>
            <w:tcW w:w="1691" w:type="dxa"/>
            <w:tcBorders>
              <w:top w:val="nil"/>
              <w:left w:val="nil"/>
              <w:bottom w:val="single" w:sz="4" w:space="0" w:color="000000"/>
              <w:right w:val="single" w:sz="4" w:space="0" w:color="000000"/>
            </w:tcBorders>
            <w:shd w:val="clear" w:color="auto" w:fill="auto"/>
            <w:vAlign w:val="center"/>
            <w:hideMark/>
          </w:tcPr>
          <w:p w14:paraId="3CB5459B"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Ménages</w:t>
            </w:r>
          </w:p>
        </w:tc>
        <w:tc>
          <w:tcPr>
            <w:tcW w:w="2262" w:type="dxa"/>
            <w:tcBorders>
              <w:top w:val="nil"/>
              <w:left w:val="nil"/>
              <w:bottom w:val="single" w:sz="4" w:space="0" w:color="000000"/>
              <w:right w:val="single" w:sz="4" w:space="0" w:color="000000"/>
            </w:tcBorders>
            <w:shd w:val="clear" w:color="auto" w:fill="auto"/>
            <w:vAlign w:val="center"/>
            <w:hideMark/>
          </w:tcPr>
          <w:p w14:paraId="113C20E2"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12 000 ménages en France métropolitaine, 3 900 en Outre-mer</w:t>
            </w:r>
          </w:p>
        </w:tc>
        <w:tc>
          <w:tcPr>
            <w:tcW w:w="1840" w:type="dxa"/>
            <w:tcBorders>
              <w:top w:val="nil"/>
              <w:left w:val="nil"/>
              <w:bottom w:val="single" w:sz="4" w:space="0" w:color="000000"/>
              <w:right w:val="single" w:sz="4" w:space="0" w:color="000000"/>
            </w:tcBorders>
            <w:shd w:val="clear" w:color="auto" w:fill="auto"/>
            <w:vAlign w:val="center"/>
            <w:hideMark/>
          </w:tcPr>
          <w:p w14:paraId="4AC632DA"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Domicile (achats)</w:t>
            </w:r>
          </w:p>
        </w:tc>
        <w:tc>
          <w:tcPr>
            <w:tcW w:w="1441" w:type="dxa"/>
            <w:tcBorders>
              <w:top w:val="nil"/>
              <w:left w:val="nil"/>
              <w:bottom w:val="single" w:sz="4" w:space="0" w:color="000000"/>
              <w:right w:val="single" w:sz="4" w:space="0" w:color="000000"/>
            </w:tcBorders>
            <w:shd w:val="clear" w:color="auto" w:fill="auto"/>
            <w:vAlign w:val="center"/>
            <w:hideMark/>
          </w:tcPr>
          <w:p w14:paraId="3099AA3D"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Carnet d'achats (14 j)</w:t>
            </w:r>
          </w:p>
        </w:tc>
        <w:tc>
          <w:tcPr>
            <w:tcW w:w="1557" w:type="dxa"/>
            <w:tcBorders>
              <w:top w:val="nil"/>
              <w:left w:val="nil"/>
              <w:bottom w:val="single" w:sz="4" w:space="0" w:color="000000"/>
              <w:right w:val="single" w:sz="4" w:space="0" w:color="000000"/>
            </w:tcBorders>
            <w:shd w:val="clear" w:color="auto" w:fill="auto"/>
            <w:vAlign w:val="center"/>
            <w:hideMark/>
          </w:tcPr>
          <w:p w14:paraId="1224C639"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Dépenses</w:t>
            </w:r>
          </w:p>
        </w:tc>
        <w:tc>
          <w:tcPr>
            <w:tcW w:w="1698" w:type="dxa"/>
            <w:tcBorders>
              <w:top w:val="nil"/>
              <w:left w:val="nil"/>
              <w:bottom w:val="nil"/>
              <w:right w:val="single" w:sz="4" w:space="0" w:color="000000"/>
            </w:tcBorders>
            <w:shd w:val="clear" w:color="auto" w:fill="auto"/>
            <w:vAlign w:val="center"/>
            <w:hideMark/>
          </w:tcPr>
          <w:p w14:paraId="27D526F1"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Quinquennale (2017)</w:t>
            </w:r>
          </w:p>
        </w:tc>
      </w:tr>
      <w:tr w:rsidR="005D5F52" w:rsidRPr="00E221FE" w14:paraId="2C32C0A1" w14:textId="77777777" w:rsidTr="00D83B75">
        <w:trPr>
          <w:trHeight w:val="870"/>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38A2FC6E" w14:textId="5ED24AD5"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INCA</w:t>
            </w:r>
          </w:p>
        </w:tc>
        <w:tc>
          <w:tcPr>
            <w:tcW w:w="1565" w:type="dxa"/>
            <w:tcBorders>
              <w:top w:val="nil"/>
              <w:left w:val="nil"/>
              <w:bottom w:val="single" w:sz="4" w:space="0" w:color="000000"/>
              <w:right w:val="single" w:sz="4" w:space="0" w:color="000000"/>
            </w:tcBorders>
            <w:shd w:val="clear" w:color="auto" w:fill="auto"/>
            <w:vAlign w:val="center"/>
            <w:hideMark/>
          </w:tcPr>
          <w:p w14:paraId="5FBAE253"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Consommation</w:t>
            </w:r>
          </w:p>
        </w:tc>
        <w:tc>
          <w:tcPr>
            <w:tcW w:w="1691" w:type="dxa"/>
            <w:tcBorders>
              <w:top w:val="nil"/>
              <w:left w:val="nil"/>
              <w:bottom w:val="single" w:sz="4" w:space="0" w:color="000000"/>
              <w:right w:val="single" w:sz="4" w:space="0" w:color="000000"/>
            </w:tcBorders>
            <w:shd w:val="clear" w:color="auto" w:fill="auto"/>
            <w:vAlign w:val="center"/>
            <w:hideMark/>
          </w:tcPr>
          <w:p w14:paraId="1F89663E"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Individus</w:t>
            </w:r>
          </w:p>
        </w:tc>
        <w:tc>
          <w:tcPr>
            <w:tcW w:w="2262" w:type="dxa"/>
            <w:tcBorders>
              <w:top w:val="nil"/>
              <w:left w:val="nil"/>
              <w:bottom w:val="single" w:sz="4" w:space="0" w:color="000000"/>
              <w:right w:val="single" w:sz="4" w:space="0" w:color="000000"/>
            </w:tcBorders>
            <w:shd w:val="clear" w:color="auto" w:fill="auto"/>
            <w:vAlign w:val="center"/>
            <w:hideMark/>
          </w:tcPr>
          <w:p w14:paraId="75241510" w14:textId="4B9BC6BF"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 xml:space="preserve">5 855 individus </w:t>
            </w:r>
            <w:r w:rsidR="00B70D60">
              <w:rPr>
                <w:rFonts w:eastAsia="Times New Roman" w:cs="Arial"/>
                <w:color w:val="000000"/>
                <w:sz w:val="20"/>
                <w:szCs w:val="20"/>
                <w:lang w:eastAsia="fr-FR"/>
              </w:rPr>
              <w:br/>
            </w:r>
            <w:r w:rsidRPr="00E221FE">
              <w:rPr>
                <w:rFonts w:eastAsia="Times New Roman" w:cs="Arial"/>
                <w:color w:val="000000"/>
                <w:sz w:val="20"/>
                <w:szCs w:val="20"/>
                <w:lang w:eastAsia="fr-FR"/>
              </w:rPr>
              <w:t>de 18 à 79 ans</w:t>
            </w:r>
          </w:p>
        </w:tc>
        <w:tc>
          <w:tcPr>
            <w:tcW w:w="1840" w:type="dxa"/>
            <w:tcBorders>
              <w:top w:val="nil"/>
              <w:left w:val="nil"/>
              <w:bottom w:val="single" w:sz="4" w:space="0" w:color="000000"/>
              <w:right w:val="single" w:sz="4" w:space="0" w:color="000000"/>
            </w:tcBorders>
            <w:shd w:val="clear" w:color="auto" w:fill="auto"/>
            <w:vAlign w:val="center"/>
            <w:hideMark/>
          </w:tcPr>
          <w:p w14:paraId="0448FE07"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A domicile (achats, auto- consommation) Hors domicile</w:t>
            </w:r>
          </w:p>
        </w:tc>
        <w:tc>
          <w:tcPr>
            <w:tcW w:w="1441" w:type="dxa"/>
            <w:tcBorders>
              <w:top w:val="nil"/>
              <w:left w:val="nil"/>
              <w:bottom w:val="single" w:sz="4" w:space="0" w:color="000000"/>
              <w:right w:val="single" w:sz="4" w:space="0" w:color="000000"/>
            </w:tcBorders>
            <w:shd w:val="clear" w:color="auto" w:fill="auto"/>
            <w:vAlign w:val="center"/>
            <w:hideMark/>
          </w:tcPr>
          <w:p w14:paraId="7F4605B7"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Carnet de consommation (7 j)</w:t>
            </w:r>
          </w:p>
        </w:tc>
        <w:tc>
          <w:tcPr>
            <w:tcW w:w="1557" w:type="dxa"/>
            <w:tcBorders>
              <w:top w:val="nil"/>
              <w:left w:val="nil"/>
              <w:bottom w:val="single" w:sz="4" w:space="0" w:color="000000"/>
              <w:right w:val="single" w:sz="4" w:space="0" w:color="000000"/>
            </w:tcBorders>
            <w:shd w:val="clear" w:color="auto" w:fill="auto"/>
            <w:vAlign w:val="center"/>
            <w:hideMark/>
          </w:tcPr>
          <w:p w14:paraId="3C564002"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Fréquences Quantités consommées</w:t>
            </w:r>
          </w:p>
        </w:tc>
        <w:tc>
          <w:tcPr>
            <w:tcW w:w="1698" w:type="dxa"/>
            <w:tcBorders>
              <w:top w:val="single" w:sz="4" w:space="0" w:color="000000"/>
              <w:left w:val="nil"/>
              <w:bottom w:val="single" w:sz="4" w:space="0" w:color="000000"/>
              <w:right w:val="single" w:sz="4" w:space="0" w:color="000000"/>
            </w:tcBorders>
            <w:shd w:val="clear" w:color="auto" w:fill="auto"/>
            <w:vAlign w:val="center"/>
            <w:hideMark/>
          </w:tcPr>
          <w:p w14:paraId="53E25063"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Variable (2014-2015)</w:t>
            </w:r>
          </w:p>
        </w:tc>
      </w:tr>
      <w:tr w:rsidR="005D5F52" w:rsidRPr="00E221FE" w14:paraId="6594157D" w14:textId="77777777" w:rsidTr="00D83B75">
        <w:trPr>
          <w:trHeight w:val="1230"/>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3214B216" w14:textId="77777777" w:rsidR="00903B97" w:rsidRPr="00E221FE" w:rsidRDefault="00903B97" w:rsidP="00866FCB">
            <w:pPr>
              <w:spacing w:after="0" w:line="240" w:lineRule="auto"/>
              <w:jc w:val="center"/>
              <w:rPr>
                <w:rFonts w:eastAsia="Times New Roman" w:cs="Arial"/>
                <w:b/>
                <w:bCs/>
                <w:sz w:val="20"/>
                <w:szCs w:val="20"/>
                <w:lang w:eastAsia="fr-FR"/>
              </w:rPr>
            </w:pPr>
            <w:r w:rsidRPr="00E221FE">
              <w:rPr>
                <w:rFonts w:eastAsia="Times New Roman" w:cs="Arial"/>
                <w:b/>
                <w:bCs/>
                <w:sz w:val="20"/>
                <w:szCs w:val="20"/>
                <w:lang w:eastAsia="fr-FR"/>
              </w:rPr>
              <w:t>CREDOC CCAF</w:t>
            </w:r>
          </w:p>
        </w:tc>
        <w:tc>
          <w:tcPr>
            <w:tcW w:w="1565" w:type="dxa"/>
            <w:tcBorders>
              <w:top w:val="nil"/>
              <w:left w:val="nil"/>
              <w:bottom w:val="single" w:sz="4" w:space="0" w:color="000000"/>
              <w:right w:val="single" w:sz="4" w:space="0" w:color="000000"/>
            </w:tcBorders>
            <w:shd w:val="clear" w:color="auto" w:fill="auto"/>
            <w:vAlign w:val="center"/>
            <w:hideMark/>
          </w:tcPr>
          <w:p w14:paraId="5F00C869"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Consommation</w:t>
            </w:r>
          </w:p>
        </w:tc>
        <w:tc>
          <w:tcPr>
            <w:tcW w:w="1691" w:type="dxa"/>
            <w:tcBorders>
              <w:top w:val="nil"/>
              <w:left w:val="nil"/>
              <w:bottom w:val="single" w:sz="4" w:space="0" w:color="000000"/>
              <w:right w:val="single" w:sz="4" w:space="0" w:color="000000"/>
            </w:tcBorders>
            <w:shd w:val="clear" w:color="auto" w:fill="auto"/>
            <w:vAlign w:val="center"/>
            <w:hideMark/>
          </w:tcPr>
          <w:p w14:paraId="3C155CDB"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Individus</w:t>
            </w:r>
          </w:p>
        </w:tc>
        <w:tc>
          <w:tcPr>
            <w:tcW w:w="2262" w:type="dxa"/>
            <w:tcBorders>
              <w:top w:val="nil"/>
              <w:left w:val="nil"/>
              <w:bottom w:val="single" w:sz="4" w:space="0" w:color="000000"/>
              <w:right w:val="single" w:sz="4" w:space="0" w:color="000000"/>
            </w:tcBorders>
            <w:shd w:val="clear" w:color="auto" w:fill="auto"/>
            <w:vAlign w:val="center"/>
            <w:hideMark/>
          </w:tcPr>
          <w:p w14:paraId="1A9808F0" w14:textId="7FC8BEEE"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1 735 adultes normoévaluants représentatifs des plus de 18 ans</w:t>
            </w:r>
            <w:r w:rsidR="005D5F52">
              <w:rPr>
                <w:rFonts w:eastAsia="Times New Roman" w:cs="Arial"/>
                <w:sz w:val="20"/>
                <w:szCs w:val="20"/>
                <w:lang w:eastAsia="fr-FR"/>
              </w:rPr>
              <w:t xml:space="preserve"> </w:t>
            </w:r>
            <w:r w:rsidRPr="00E221FE">
              <w:rPr>
                <w:rFonts w:eastAsia="Times New Roman" w:cs="Arial"/>
                <w:sz w:val="20"/>
                <w:szCs w:val="20"/>
                <w:lang w:eastAsia="fr-FR"/>
              </w:rPr>
              <w:t>1 354 enfants et adolescents représentatifs des 3-17 ans et plus</w:t>
            </w:r>
          </w:p>
        </w:tc>
        <w:tc>
          <w:tcPr>
            <w:tcW w:w="1840" w:type="dxa"/>
            <w:tcBorders>
              <w:top w:val="nil"/>
              <w:left w:val="nil"/>
              <w:bottom w:val="single" w:sz="4" w:space="0" w:color="000000"/>
              <w:right w:val="single" w:sz="4" w:space="0" w:color="000000"/>
            </w:tcBorders>
            <w:shd w:val="clear" w:color="auto" w:fill="auto"/>
            <w:vAlign w:val="center"/>
            <w:hideMark/>
          </w:tcPr>
          <w:p w14:paraId="559BAEAF"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Domicile (achats, auto- consommation) Hors domicile</w:t>
            </w:r>
          </w:p>
        </w:tc>
        <w:tc>
          <w:tcPr>
            <w:tcW w:w="1441" w:type="dxa"/>
            <w:tcBorders>
              <w:top w:val="nil"/>
              <w:left w:val="nil"/>
              <w:bottom w:val="single" w:sz="4" w:space="0" w:color="000000"/>
              <w:right w:val="single" w:sz="4" w:space="0" w:color="000000"/>
            </w:tcBorders>
            <w:shd w:val="clear" w:color="auto" w:fill="auto"/>
            <w:vAlign w:val="center"/>
            <w:hideMark/>
          </w:tcPr>
          <w:p w14:paraId="50896510"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Carnet de consommation (7 j)</w:t>
            </w:r>
          </w:p>
        </w:tc>
        <w:tc>
          <w:tcPr>
            <w:tcW w:w="1557" w:type="dxa"/>
            <w:tcBorders>
              <w:top w:val="nil"/>
              <w:left w:val="nil"/>
              <w:bottom w:val="single" w:sz="4" w:space="0" w:color="000000"/>
              <w:right w:val="single" w:sz="4" w:space="0" w:color="000000"/>
            </w:tcBorders>
            <w:shd w:val="clear" w:color="auto" w:fill="auto"/>
            <w:vAlign w:val="center"/>
            <w:hideMark/>
          </w:tcPr>
          <w:p w14:paraId="41F6E975"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Fréquences Quantités consommées</w:t>
            </w:r>
          </w:p>
        </w:tc>
        <w:tc>
          <w:tcPr>
            <w:tcW w:w="1698" w:type="dxa"/>
            <w:tcBorders>
              <w:top w:val="nil"/>
              <w:left w:val="nil"/>
              <w:bottom w:val="single" w:sz="4" w:space="0" w:color="000000"/>
              <w:right w:val="single" w:sz="4" w:space="0" w:color="000000"/>
            </w:tcBorders>
            <w:shd w:val="clear" w:color="auto" w:fill="auto"/>
            <w:vAlign w:val="center"/>
            <w:hideMark/>
          </w:tcPr>
          <w:p w14:paraId="386714C2"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Variable (2018-2019)</w:t>
            </w:r>
          </w:p>
        </w:tc>
      </w:tr>
      <w:tr w:rsidR="005D5F52" w:rsidRPr="00E221FE" w14:paraId="7319D22E" w14:textId="77777777" w:rsidTr="00D83B75">
        <w:trPr>
          <w:trHeight w:val="760"/>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7D095365" w14:textId="77777777" w:rsidR="00903B97" w:rsidRPr="00E221FE" w:rsidRDefault="00903B97" w:rsidP="00866FCB">
            <w:pPr>
              <w:spacing w:after="0" w:line="240" w:lineRule="auto"/>
              <w:jc w:val="center"/>
              <w:rPr>
                <w:rFonts w:eastAsia="Times New Roman" w:cs="Arial"/>
                <w:b/>
                <w:bCs/>
                <w:color w:val="000000"/>
                <w:sz w:val="20"/>
                <w:szCs w:val="20"/>
                <w:lang w:eastAsia="fr-FR"/>
              </w:rPr>
            </w:pPr>
            <w:r w:rsidRPr="00E221FE">
              <w:rPr>
                <w:rFonts w:eastAsia="Times New Roman" w:cs="Arial"/>
                <w:b/>
                <w:bCs/>
                <w:color w:val="000000"/>
                <w:sz w:val="20"/>
                <w:szCs w:val="20"/>
                <w:lang w:eastAsia="fr-FR"/>
              </w:rPr>
              <w:t>Kantar World Panel</w:t>
            </w:r>
          </w:p>
        </w:tc>
        <w:tc>
          <w:tcPr>
            <w:tcW w:w="1565" w:type="dxa"/>
            <w:tcBorders>
              <w:top w:val="nil"/>
              <w:left w:val="nil"/>
              <w:bottom w:val="single" w:sz="4" w:space="0" w:color="000000"/>
              <w:right w:val="single" w:sz="4" w:space="0" w:color="000000"/>
            </w:tcBorders>
            <w:shd w:val="clear" w:color="auto" w:fill="auto"/>
            <w:vAlign w:val="center"/>
            <w:hideMark/>
          </w:tcPr>
          <w:p w14:paraId="69D1349D"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Achats</w:t>
            </w:r>
          </w:p>
        </w:tc>
        <w:tc>
          <w:tcPr>
            <w:tcW w:w="1691" w:type="dxa"/>
            <w:tcBorders>
              <w:top w:val="nil"/>
              <w:left w:val="nil"/>
              <w:bottom w:val="single" w:sz="4" w:space="0" w:color="000000"/>
              <w:right w:val="single" w:sz="4" w:space="0" w:color="000000"/>
            </w:tcBorders>
            <w:shd w:val="clear" w:color="auto" w:fill="auto"/>
            <w:vAlign w:val="center"/>
            <w:hideMark/>
          </w:tcPr>
          <w:p w14:paraId="19DC4CAB"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Ménages</w:t>
            </w:r>
          </w:p>
        </w:tc>
        <w:tc>
          <w:tcPr>
            <w:tcW w:w="2262" w:type="dxa"/>
            <w:tcBorders>
              <w:top w:val="nil"/>
              <w:left w:val="nil"/>
              <w:bottom w:val="single" w:sz="4" w:space="0" w:color="000000"/>
              <w:right w:val="single" w:sz="4" w:space="0" w:color="000000"/>
            </w:tcBorders>
            <w:shd w:val="clear" w:color="auto" w:fill="auto"/>
            <w:vAlign w:val="center"/>
            <w:hideMark/>
          </w:tcPr>
          <w:p w14:paraId="33760999" w14:textId="3DF0304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18000 ménages (FLS)</w:t>
            </w:r>
            <w:r w:rsidRPr="00E221FE">
              <w:rPr>
                <w:rFonts w:eastAsia="Times New Roman" w:cs="Arial"/>
                <w:sz w:val="20"/>
                <w:szCs w:val="20"/>
                <w:lang w:eastAsia="fr-FR"/>
              </w:rPr>
              <w:br/>
              <w:t>12000 ménages (Tradition)</w:t>
            </w:r>
          </w:p>
        </w:tc>
        <w:tc>
          <w:tcPr>
            <w:tcW w:w="1840" w:type="dxa"/>
            <w:tcBorders>
              <w:top w:val="nil"/>
              <w:left w:val="nil"/>
              <w:bottom w:val="single" w:sz="4" w:space="0" w:color="000000"/>
              <w:right w:val="single" w:sz="4" w:space="0" w:color="000000"/>
            </w:tcBorders>
            <w:shd w:val="clear" w:color="auto" w:fill="auto"/>
            <w:vAlign w:val="center"/>
            <w:hideMark/>
          </w:tcPr>
          <w:p w14:paraId="525B0561"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Domicile (achats)</w:t>
            </w:r>
          </w:p>
        </w:tc>
        <w:tc>
          <w:tcPr>
            <w:tcW w:w="1441" w:type="dxa"/>
            <w:tcBorders>
              <w:top w:val="nil"/>
              <w:left w:val="nil"/>
              <w:bottom w:val="single" w:sz="4" w:space="0" w:color="000000"/>
              <w:right w:val="single" w:sz="4" w:space="0" w:color="000000"/>
            </w:tcBorders>
            <w:shd w:val="clear" w:color="auto" w:fill="auto"/>
            <w:vAlign w:val="center"/>
            <w:hideMark/>
          </w:tcPr>
          <w:p w14:paraId="08EA2911"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Relevé électronique quotidien</w:t>
            </w:r>
          </w:p>
        </w:tc>
        <w:tc>
          <w:tcPr>
            <w:tcW w:w="1557" w:type="dxa"/>
            <w:tcBorders>
              <w:top w:val="nil"/>
              <w:left w:val="nil"/>
              <w:bottom w:val="single" w:sz="4" w:space="0" w:color="000000"/>
              <w:right w:val="single" w:sz="4" w:space="0" w:color="000000"/>
            </w:tcBorders>
            <w:shd w:val="clear" w:color="auto" w:fill="auto"/>
            <w:vAlign w:val="center"/>
            <w:hideMark/>
          </w:tcPr>
          <w:p w14:paraId="1A3627F3"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Dépenses Quantités</w:t>
            </w:r>
          </w:p>
        </w:tc>
        <w:tc>
          <w:tcPr>
            <w:tcW w:w="1698" w:type="dxa"/>
            <w:tcBorders>
              <w:top w:val="nil"/>
              <w:left w:val="nil"/>
              <w:bottom w:val="single" w:sz="4" w:space="0" w:color="000000"/>
              <w:right w:val="single" w:sz="4" w:space="0" w:color="000000"/>
            </w:tcBorders>
            <w:shd w:val="clear" w:color="auto" w:fill="auto"/>
            <w:vAlign w:val="center"/>
            <w:hideMark/>
          </w:tcPr>
          <w:p w14:paraId="2AA766A7"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Enquête permanente (2018 étudiée)</w:t>
            </w:r>
          </w:p>
        </w:tc>
      </w:tr>
      <w:tr w:rsidR="005D5F52" w:rsidRPr="00E221FE" w14:paraId="5E1DA4EE" w14:textId="77777777" w:rsidTr="00D83B75">
        <w:trPr>
          <w:trHeight w:val="1380"/>
        </w:trPr>
        <w:tc>
          <w:tcPr>
            <w:tcW w:w="1549" w:type="dxa"/>
            <w:tcBorders>
              <w:top w:val="nil"/>
              <w:left w:val="single" w:sz="4" w:space="0" w:color="000000"/>
              <w:bottom w:val="single" w:sz="4" w:space="0" w:color="000000"/>
              <w:right w:val="single" w:sz="4" w:space="0" w:color="000000"/>
            </w:tcBorders>
            <w:shd w:val="clear" w:color="auto" w:fill="auto"/>
            <w:vAlign w:val="center"/>
            <w:hideMark/>
          </w:tcPr>
          <w:p w14:paraId="40A133C9" w14:textId="77777777" w:rsidR="00903B97" w:rsidRPr="00E221FE" w:rsidRDefault="00903B97" w:rsidP="00866FCB">
            <w:pPr>
              <w:spacing w:after="0" w:line="240" w:lineRule="auto"/>
              <w:jc w:val="center"/>
              <w:rPr>
                <w:rFonts w:eastAsia="Times New Roman" w:cs="Arial"/>
                <w:b/>
                <w:bCs/>
                <w:color w:val="000000"/>
                <w:sz w:val="20"/>
                <w:szCs w:val="20"/>
                <w:lang w:eastAsia="fr-FR"/>
              </w:rPr>
            </w:pPr>
            <w:r w:rsidRPr="00E221FE">
              <w:rPr>
                <w:rFonts w:eastAsia="Times New Roman" w:cs="Arial"/>
                <w:b/>
                <w:bCs/>
                <w:color w:val="000000"/>
                <w:sz w:val="20"/>
                <w:szCs w:val="20"/>
                <w:lang w:eastAsia="fr-FR"/>
              </w:rPr>
              <w:t>Gira Food Service</w:t>
            </w:r>
          </w:p>
        </w:tc>
        <w:tc>
          <w:tcPr>
            <w:tcW w:w="1565" w:type="dxa"/>
            <w:tcBorders>
              <w:top w:val="nil"/>
              <w:left w:val="nil"/>
              <w:bottom w:val="single" w:sz="4" w:space="0" w:color="000000"/>
              <w:right w:val="single" w:sz="4" w:space="0" w:color="000000"/>
            </w:tcBorders>
            <w:shd w:val="clear" w:color="auto" w:fill="auto"/>
            <w:vAlign w:val="center"/>
            <w:hideMark/>
          </w:tcPr>
          <w:p w14:paraId="034C7047"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Achats</w:t>
            </w:r>
          </w:p>
        </w:tc>
        <w:tc>
          <w:tcPr>
            <w:tcW w:w="1691" w:type="dxa"/>
            <w:tcBorders>
              <w:top w:val="nil"/>
              <w:left w:val="nil"/>
              <w:bottom w:val="single" w:sz="4" w:space="0" w:color="000000"/>
              <w:right w:val="single" w:sz="4" w:space="0" w:color="000000"/>
            </w:tcBorders>
            <w:shd w:val="clear" w:color="auto" w:fill="auto"/>
            <w:vAlign w:val="center"/>
            <w:hideMark/>
          </w:tcPr>
          <w:p w14:paraId="267C077F"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Enquête distributeurs et opérateurs finaux de la restauration hors domicile</w:t>
            </w:r>
          </w:p>
        </w:tc>
        <w:tc>
          <w:tcPr>
            <w:tcW w:w="2262" w:type="dxa"/>
            <w:tcBorders>
              <w:top w:val="nil"/>
              <w:left w:val="nil"/>
              <w:bottom w:val="single" w:sz="4" w:space="0" w:color="000000"/>
              <w:right w:val="single" w:sz="4" w:space="0" w:color="000000"/>
            </w:tcBorders>
            <w:shd w:val="clear" w:color="auto" w:fill="auto"/>
            <w:vAlign w:val="center"/>
            <w:hideMark/>
          </w:tcPr>
          <w:p w14:paraId="7F385359"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NC</w:t>
            </w:r>
          </w:p>
        </w:tc>
        <w:tc>
          <w:tcPr>
            <w:tcW w:w="1840" w:type="dxa"/>
            <w:tcBorders>
              <w:top w:val="nil"/>
              <w:left w:val="nil"/>
              <w:bottom w:val="single" w:sz="4" w:space="0" w:color="000000"/>
              <w:right w:val="single" w:sz="4" w:space="0" w:color="000000"/>
            </w:tcBorders>
            <w:shd w:val="clear" w:color="auto" w:fill="auto"/>
            <w:vAlign w:val="center"/>
            <w:hideMark/>
          </w:tcPr>
          <w:p w14:paraId="2EE287BA"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Hors domicile (achats)</w:t>
            </w:r>
          </w:p>
        </w:tc>
        <w:tc>
          <w:tcPr>
            <w:tcW w:w="1441" w:type="dxa"/>
            <w:tcBorders>
              <w:top w:val="nil"/>
              <w:left w:val="nil"/>
              <w:bottom w:val="single" w:sz="4" w:space="0" w:color="000000"/>
              <w:right w:val="single" w:sz="4" w:space="0" w:color="000000"/>
            </w:tcBorders>
            <w:shd w:val="clear" w:color="auto" w:fill="auto"/>
            <w:vAlign w:val="center"/>
            <w:hideMark/>
          </w:tcPr>
          <w:p w14:paraId="437DB0EE"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Déclaratifs d’achat et de vente, grammage par prestation</w:t>
            </w:r>
          </w:p>
        </w:tc>
        <w:tc>
          <w:tcPr>
            <w:tcW w:w="1557" w:type="dxa"/>
            <w:tcBorders>
              <w:top w:val="nil"/>
              <w:left w:val="nil"/>
              <w:bottom w:val="single" w:sz="4" w:space="0" w:color="000000"/>
              <w:right w:val="single" w:sz="4" w:space="0" w:color="000000"/>
            </w:tcBorders>
            <w:shd w:val="clear" w:color="auto" w:fill="auto"/>
            <w:vAlign w:val="center"/>
            <w:hideMark/>
          </w:tcPr>
          <w:p w14:paraId="47F96371" w14:textId="77777777" w:rsidR="00903B97" w:rsidRPr="00E221FE" w:rsidRDefault="00903B97" w:rsidP="00866FCB">
            <w:pPr>
              <w:spacing w:after="0" w:line="240" w:lineRule="auto"/>
              <w:jc w:val="center"/>
              <w:rPr>
                <w:rFonts w:eastAsia="Times New Roman" w:cs="Arial"/>
                <w:sz w:val="20"/>
                <w:szCs w:val="20"/>
                <w:lang w:eastAsia="fr-FR"/>
              </w:rPr>
            </w:pPr>
            <w:r w:rsidRPr="00E221FE">
              <w:rPr>
                <w:rFonts w:eastAsia="Times New Roman" w:cs="Arial"/>
                <w:sz w:val="20"/>
                <w:szCs w:val="20"/>
                <w:lang w:eastAsia="fr-FR"/>
              </w:rPr>
              <w:t>Nombre de prestation, volume et CA</w:t>
            </w:r>
          </w:p>
        </w:tc>
        <w:tc>
          <w:tcPr>
            <w:tcW w:w="169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68BCBE" w14:textId="77777777" w:rsidR="00903B97" w:rsidRPr="00E221FE" w:rsidRDefault="00903B97" w:rsidP="00866FCB">
            <w:pPr>
              <w:spacing w:after="0" w:line="240" w:lineRule="auto"/>
              <w:jc w:val="center"/>
              <w:rPr>
                <w:rFonts w:eastAsia="Times New Roman" w:cs="Arial"/>
                <w:color w:val="000000"/>
                <w:sz w:val="20"/>
                <w:szCs w:val="20"/>
                <w:lang w:eastAsia="fr-FR"/>
              </w:rPr>
            </w:pPr>
            <w:r w:rsidRPr="00E221FE">
              <w:rPr>
                <w:rFonts w:eastAsia="Times New Roman" w:cs="Arial"/>
                <w:color w:val="000000"/>
                <w:sz w:val="20"/>
                <w:szCs w:val="20"/>
                <w:lang w:eastAsia="fr-FR"/>
              </w:rPr>
              <w:t>Variable (2018)</w:t>
            </w:r>
          </w:p>
        </w:tc>
      </w:tr>
    </w:tbl>
    <w:p w14:paraId="69790116" w14:textId="4D5B4B8F" w:rsidR="00AC4581" w:rsidRPr="00482227" w:rsidRDefault="005D5F52" w:rsidP="0002537E">
      <w:pPr>
        <w:pStyle w:val="figure"/>
      </w:pPr>
      <w:bookmarkStart w:id="89" w:name="_Toc72143367"/>
      <w:r w:rsidRPr="005D5F52">
        <w:t xml:space="preserve">Tableau </w:t>
      </w:r>
      <w:r w:rsidR="00E27D6E">
        <w:fldChar w:fldCharType="begin"/>
      </w:r>
      <w:r w:rsidR="00E27D6E">
        <w:instrText xml:space="preserve"> SEQ Tableau \* ARABIC </w:instrText>
      </w:r>
      <w:r w:rsidR="00E27D6E">
        <w:fldChar w:fldCharType="separate"/>
      </w:r>
      <w:r w:rsidR="0007597F">
        <w:rPr>
          <w:noProof/>
        </w:rPr>
        <w:t>19</w:t>
      </w:r>
      <w:r w:rsidR="00E27D6E">
        <w:rPr>
          <w:noProof/>
        </w:rPr>
        <w:fldChar w:fldCharType="end"/>
      </w:r>
      <w:r w:rsidR="0078093F">
        <w:t xml:space="preserve"> : </w:t>
      </w:r>
      <w:r w:rsidR="00482227">
        <w:t>Récapitulatif des s</w:t>
      </w:r>
      <w:r w:rsidR="00482227" w:rsidRPr="00482227">
        <w:t>ources d’</w:t>
      </w:r>
      <w:r w:rsidR="00482227">
        <w:t>analyse</w:t>
      </w:r>
      <w:bookmarkEnd w:id="89"/>
    </w:p>
    <w:p w14:paraId="324D2B7C" w14:textId="630C49D3" w:rsidR="00903B97" w:rsidRPr="00E45E57" w:rsidRDefault="00903B97" w:rsidP="00B70D60">
      <w:pPr>
        <w:pStyle w:val="Lgende"/>
        <w:ind w:left="0"/>
      </w:pPr>
      <w:r w:rsidRPr="00E45E57">
        <w:t>Seules les sources portant sur des échantillons nationaux représentatifs ont été retenues dans ce tableau de synthèse.</w:t>
      </w:r>
    </w:p>
    <w:p w14:paraId="5589F289" w14:textId="77777777" w:rsidR="00903B97" w:rsidRDefault="00903B97" w:rsidP="007E17F9">
      <w:pPr>
        <w:rPr>
          <w:rFonts w:cs="Arial"/>
          <w:sz w:val="20"/>
          <w:szCs w:val="20"/>
        </w:rPr>
      </w:pPr>
    </w:p>
    <w:p w14:paraId="12F60F34" w14:textId="77777777" w:rsidR="00903B97" w:rsidRPr="007E17F9" w:rsidRDefault="00903B97" w:rsidP="00A305CD">
      <w:pPr>
        <w:pStyle w:val="Paragraphedeliste"/>
        <w:numPr>
          <w:ilvl w:val="0"/>
          <w:numId w:val="15"/>
        </w:numPr>
        <w:jc w:val="center"/>
        <w:rPr>
          <w:sz w:val="20"/>
          <w:szCs w:val="20"/>
        </w:rPr>
        <w:sectPr w:rsidR="00903B97" w:rsidRPr="007E17F9" w:rsidSect="00B73F4D">
          <w:pgSz w:w="16838" w:h="11906" w:orient="landscape" w:code="9"/>
          <w:pgMar w:top="1418" w:right="1304" w:bottom="1134" w:left="1304" w:header="567" w:footer="709" w:gutter="0"/>
          <w:cols w:space="708"/>
          <w:docGrid w:linePitch="360"/>
        </w:sectPr>
      </w:pPr>
    </w:p>
    <w:p w14:paraId="08B6826C" w14:textId="0810DD32" w:rsidR="008150C6" w:rsidRDefault="00992377" w:rsidP="00A63F35">
      <w:pPr>
        <w:pStyle w:val="Titre2"/>
      </w:pPr>
      <w:bookmarkStart w:id="90" w:name="_Toc78131566"/>
      <w:r>
        <w:lastRenderedPageBreak/>
        <w:t>L’e</w:t>
      </w:r>
      <w:r w:rsidR="008150C6" w:rsidRPr="008150C6">
        <w:t xml:space="preserve">nquête budget des familles </w:t>
      </w:r>
      <w:r>
        <w:t>de l’INSEE</w:t>
      </w:r>
      <w:r w:rsidR="00DF5546">
        <w:t xml:space="preserve"> et l’enquête annuelle des comptes nationaux base 2014</w:t>
      </w:r>
      <w:bookmarkEnd w:id="90"/>
    </w:p>
    <w:p w14:paraId="6FE198E5" w14:textId="2DADEDA7" w:rsidR="0031586D" w:rsidRPr="0027378B" w:rsidRDefault="0031586D" w:rsidP="0031586D">
      <w:pPr>
        <w:pStyle w:val="Titre3"/>
      </w:pPr>
      <w:bookmarkStart w:id="91" w:name="_Toc78131567"/>
      <w:r w:rsidRPr="0027378B">
        <w:t>3.</w:t>
      </w:r>
      <w:r w:rsidR="00B9002C">
        <w:t>1</w:t>
      </w:r>
      <w:r w:rsidRPr="0027378B">
        <w:t xml:space="preserve">.1. </w:t>
      </w:r>
      <w:r>
        <w:t>Objectifs et méthode de l’enquête</w:t>
      </w:r>
      <w:bookmarkEnd w:id="91"/>
      <w:r>
        <w:t xml:space="preserve"> </w:t>
      </w:r>
    </w:p>
    <w:p w14:paraId="272F77B2" w14:textId="408E0838" w:rsidR="007227F8" w:rsidRPr="00DF5546" w:rsidRDefault="004E1529" w:rsidP="00F17F16">
      <w:pPr>
        <w:ind w:left="142"/>
      </w:pPr>
      <w:r w:rsidRPr="004E549B">
        <w:rPr>
          <w:lang w:eastAsia="fr-FR"/>
        </w:rPr>
        <w:t>Les enquêtes Budget des Familles</w:t>
      </w:r>
      <w:r w:rsidR="00CF186E">
        <w:rPr>
          <w:lang w:eastAsia="fr-FR"/>
        </w:rPr>
        <w:t xml:space="preserve"> </w:t>
      </w:r>
      <w:r w:rsidR="00611CAB">
        <w:rPr>
          <w:lang w:eastAsia="fr-FR"/>
        </w:rPr>
        <w:t>(BD</w:t>
      </w:r>
      <w:r w:rsidR="001065CB">
        <w:rPr>
          <w:lang w:eastAsia="fr-FR"/>
        </w:rPr>
        <w:t>F</w:t>
      </w:r>
      <w:r w:rsidR="00611CAB">
        <w:rPr>
          <w:lang w:eastAsia="fr-FR"/>
        </w:rPr>
        <w:t xml:space="preserve">) </w:t>
      </w:r>
      <w:r w:rsidR="00CF186E">
        <w:rPr>
          <w:lang w:eastAsia="fr-FR"/>
        </w:rPr>
        <w:t>réalisées tous les cinq ans</w:t>
      </w:r>
      <w:r w:rsidR="002C0921">
        <w:rPr>
          <w:lang w:eastAsia="fr-FR"/>
        </w:rPr>
        <w:t>,</w:t>
      </w:r>
      <w:r w:rsidRPr="004E549B">
        <w:rPr>
          <w:lang w:eastAsia="fr-FR"/>
        </w:rPr>
        <w:t xml:space="preserve"> enregistrent les dépenses alimentaires et les</w:t>
      </w:r>
      <w:r w:rsidR="00CF186E">
        <w:rPr>
          <w:lang w:eastAsia="fr-FR"/>
        </w:rPr>
        <w:t xml:space="preserve"> ressources</w:t>
      </w:r>
      <w:r w:rsidRPr="004E549B">
        <w:rPr>
          <w:lang w:eastAsia="fr-FR"/>
        </w:rPr>
        <w:t xml:space="preserve"> des ménages</w:t>
      </w:r>
      <w:r w:rsidR="00CF186E">
        <w:rPr>
          <w:lang w:eastAsia="fr-FR"/>
        </w:rPr>
        <w:t xml:space="preserve"> </w:t>
      </w:r>
      <w:r w:rsidR="00B2594C">
        <w:rPr>
          <w:lang w:eastAsia="fr-FR"/>
        </w:rPr>
        <w:t>ordinaires</w:t>
      </w:r>
      <w:r w:rsidR="00CF186E">
        <w:rPr>
          <w:lang w:eastAsia="fr-FR"/>
        </w:rPr>
        <w:t xml:space="preserve"> </w:t>
      </w:r>
      <w:r w:rsidR="00B2594C">
        <w:rPr>
          <w:lang w:eastAsia="fr-FR"/>
        </w:rPr>
        <w:t xml:space="preserve">résidant en France </w:t>
      </w:r>
      <w:r w:rsidR="00CF186E" w:rsidRPr="004E549B">
        <w:rPr>
          <w:lang w:eastAsia="fr-FR"/>
        </w:rPr>
        <w:t>(métropole et DOM)</w:t>
      </w:r>
      <w:r w:rsidR="00DF5546">
        <w:rPr>
          <w:lang w:eastAsia="fr-FR"/>
        </w:rPr>
        <w:t>.</w:t>
      </w:r>
      <w:r w:rsidR="00CF186E" w:rsidRPr="004E549B">
        <w:rPr>
          <w:lang w:eastAsia="fr-FR"/>
        </w:rPr>
        <w:t xml:space="preserve"> </w:t>
      </w:r>
      <w:r w:rsidR="00DF5546">
        <w:rPr>
          <w:lang w:eastAsia="fr-FR"/>
        </w:rPr>
        <w:t>L’enquête de 2017 est conduite</w:t>
      </w:r>
      <w:r w:rsidR="00CF186E" w:rsidRPr="004E549B">
        <w:rPr>
          <w:lang w:eastAsia="fr-FR"/>
        </w:rPr>
        <w:t xml:space="preserve"> </w:t>
      </w:r>
      <w:r w:rsidR="00DF5546">
        <w:rPr>
          <w:lang w:eastAsia="fr-FR"/>
        </w:rPr>
        <w:t>à partir</w:t>
      </w:r>
      <w:r w:rsidR="00CF186E" w:rsidRPr="004E549B">
        <w:rPr>
          <w:lang w:eastAsia="fr-FR"/>
        </w:rPr>
        <w:t xml:space="preserve"> d’un échantillon représenta</w:t>
      </w:r>
      <w:r w:rsidR="00DF5546">
        <w:rPr>
          <w:lang w:eastAsia="fr-FR"/>
        </w:rPr>
        <w:t xml:space="preserve">tif recruté au travers d’un plan de sondage </w:t>
      </w:r>
      <w:r w:rsidR="00DF5546" w:rsidRPr="00DF5546">
        <w:rPr>
          <w:lang w:eastAsia="fr-FR"/>
        </w:rPr>
        <w:t>aléatoire d'environ 20</w:t>
      </w:r>
      <w:r w:rsidR="004D0323">
        <w:rPr>
          <w:lang w:eastAsia="fr-FR"/>
        </w:rPr>
        <w:t> </w:t>
      </w:r>
      <w:r w:rsidR="00DF5546" w:rsidRPr="00DF5546">
        <w:rPr>
          <w:lang w:eastAsia="fr-FR"/>
        </w:rPr>
        <w:t xml:space="preserve">700 logements en France métropolitaine, et 8 000 </w:t>
      </w:r>
      <w:r w:rsidR="00681460">
        <w:rPr>
          <w:lang w:eastAsia="fr-FR"/>
        </w:rPr>
        <w:t xml:space="preserve">logements </w:t>
      </w:r>
      <w:r w:rsidR="00DF5546" w:rsidRPr="00DF5546">
        <w:rPr>
          <w:lang w:eastAsia="fr-FR"/>
        </w:rPr>
        <w:t>dans les Dom.</w:t>
      </w:r>
      <w:r w:rsidR="00DF5546">
        <w:t xml:space="preserve"> </w:t>
      </w:r>
      <w:r w:rsidR="004E549B" w:rsidRPr="004E549B">
        <w:rPr>
          <w:lang w:eastAsia="fr-FR"/>
        </w:rPr>
        <w:t xml:space="preserve">L’enquête </w:t>
      </w:r>
      <w:r w:rsidR="00CF186E">
        <w:rPr>
          <w:lang w:eastAsia="fr-FR"/>
        </w:rPr>
        <w:t xml:space="preserve">présente un </w:t>
      </w:r>
      <w:r w:rsidR="004E549B" w:rsidRPr="004E549B">
        <w:rPr>
          <w:lang w:eastAsia="fr-FR"/>
        </w:rPr>
        <w:t xml:space="preserve">caractère homogène </w:t>
      </w:r>
      <w:r w:rsidR="00CF186E">
        <w:rPr>
          <w:lang w:eastAsia="fr-FR"/>
        </w:rPr>
        <w:t>puisque la même</w:t>
      </w:r>
      <w:r w:rsidR="004E549B" w:rsidRPr="004E549B">
        <w:rPr>
          <w:lang w:eastAsia="fr-FR"/>
        </w:rPr>
        <w:t xml:space="preserve"> méthodologie </w:t>
      </w:r>
      <w:r w:rsidR="00CF186E">
        <w:rPr>
          <w:lang w:eastAsia="fr-FR"/>
        </w:rPr>
        <w:t>est reconduite</w:t>
      </w:r>
      <w:r w:rsidR="005B616D">
        <w:rPr>
          <w:lang w:eastAsia="fr-FR"/>
        </w:rPr>
        <w:t xml:space="preserve"> dans le temps</w:t>
      </w:r>
      <w:r w:rsidR="004E549B" w:rsidRPr="004E549B">
        <w:rPr>
          <w:lang w:eastAsia="fr-FR"/>
        </w:rPr>
        <w:t>. Pour ce qui concerne les dépenses alimentaires, la collecte d</w:t>
      </w:r>
      <w:r w:rsidR="00CF186E">
        <w:rPr>
          <w:lang w:eastAsia="fr-FR"/>
        </w:rPr>
        <w:t>e données</w:t>
      </w:r>
      <w:r w:rsidR="004E549B" w:rsidRPr="004E549B">
        <w:rPr>
          <w:lang w:eastAsia="fr-FR"/>
        </w:rPr>
        <w:t xml:space="preserve"> porte sur 14 jours</w:t>
      </w:r>
      <w:r w:rsidR="00CF186E">
        <w:rPr>
          <w:lang w:eastAsia="fr-FR"/>
        </w:rPr>
        <w:t xml:space="preserve"> d’enquête</w:t>
      </w:r>
      <w:r w:rsidR="004E549B" w:rsidRPr="004E549B">
        <w:rPr>
          <w:lang w:eastAsia="fr-FR"/>
        </w:rPr>
        <w:t xml:space="preserve"> consécutifs (jusqu’en 2006) puis sur 7 jours consécutifs </w:t>
      </w:r>
      <w:r w:rsidR="00CF186E">
        <w:rPr>
          <w:lang w:eastAsia="fr-FR"/>
        </w:rPr>
        <w:t xml:space="preserve">depuis </w:t>
      </w:r>
      <w:r w:rsidR="004E549B" w:rsidRPr="004E549B">
        <w:rPr>
          <w:lang w:eastAsia="fr-FR"/>
        </w:rPr>
        <w:t>2010</w:t>
      </w:r>
      <w:r w:rsidR="00CF186E">
        <w:rPr>
          <w:lang w:eastAsia="fr-FR"/>
        </w:rPr>
        <w:t>. C</w:t>
      </w:r>
      <w:r w:rsidR="004E549B" w:rsidRPr="004E549B">
        <w:rPr>
          <w:lang w:eastAsia="fr-FR"/>
        </w:rPr>
        <w:t xml:space="preserve">haque membre du ménage est invité à enregistrer ses dépenses à l’aide de carnets de compte. L’étalement de l’enquête sur toute l’année </w:t>
      </w:r>
      <w:r w:rsidR="00CF186E">
        <w:rPr>
          <w:lang w:eastAsia="fr-FR"/>
        </w:rPr>
        <w:t>au travers de</w:t>
      </w:r>
      <w:r w:rsidR="004E549B" w:rsidRPr="004E549B">
        <w:rPr>
          <w:lang w:eastAsia="fr-FR"/>
        </w:rPr>
        <w:t xml:space="preserve"> 8 «</w:t>
      </w:r>
      <w:r w:rsidR="0078093F">
        <w:rPr>
          <w:lang w:eastAsia="fr-FR"/>
        </w:rPr>
        <w:t> </w:t>
      </w:r>
      <w:r w:rsidR="004E549B" w:rsidRPr="004E549B">
        <w:rPr>
          <w:lang w:eastAsia="fr-FR"/>
        </w:rPr>
        <w:t>vagues</w:t>
      </w:r>
      <w:r w:rsidR="0078093F">
        <w:rPr>
          <w:lang w:eastAsia="fr-FR"/>
        </w:rPr>
        <w:t> </w:t>
      </w:r>
      <w:r w:rsidR="004E549B" w:rsidRPr="004E549B">
        <w:rPr>
          <w:lang w:eastAsia="fr-FR"/>
        </w:rPr>
        <w:t xml:space="preserve">» d’enquête permet d’éliminer les variations saisonnières de consommation. </w:t>
      </w:r>
      <w:r w:rsidR="004E549B" w:rsidRPr="00F33FAC">
        <w:rPr>
          <w:lang w:eastAsia="fr-FR"/>
        </w:rPr>
        <w:t>Les dépenses et ressources peuvent être analysées au regard de</w:t>
      </w:r>
      <w:r w:rsidR="00F33FAC">
        <w:rPr>
          <w:lang w:eastAsia="fr-FR"/>
        </w:rPr>
        <w:t xml:space="preserve"> différentes </w:t>
      </w:r>
      <w:r w:rsidR="004E549B" w:rsidRPr="00F33FAC">
        <w:rPr>
          <w:lang w:eastAsia="fr-FR"/>
        </w:rPr>
        <w:t>caractéristiques</w:t>
      </w:r>
      <w:r w:rsidR="00DF5546">
        <w:rPr>
          <w:lang w:eastAsia="fr-FR"/>
        </w:rPr>
        <w:t xml:space="preserve"> soci</w:t>
      </w:r>
      <w:r w:rsidR="005B616D">
        <w:rPr>
          <w:lang w:eastAsia="fr-FR"/>
        </w:rPr>
        <w:t xml:space="preserve">ales et </w:t>
      </w:r>
      <w:r w:rsidR="008F4A66">
        <w:rPr>
          <w:lang w:eastAsia="fr-FR"/>
        </w:rPr>
        <w:t>en termes de</w:t>
      </w:r>
      <w:r w:rsidR="005B616D">
        <w:rPr>
          <w:lang w:eastAsia="fr-FR"/>
        </w:rPr>
        <w:t xml:space="preserve"> lieux de consommation</w:t>
      </w:r>
      <w:r w:rsidR="00DF5546">
        <w:rPr>
          <w:lang w:eastAsia="fr-FR"/>
        </w:rPr>
        <w:t xml:space="preserve"> </w:t>
      </w:r>
      <w:r w:rsidR="00DF5546" w:rsidRPr="00DF5546">
        <w:t>(source</w:t>
      </w:r>
      <w:r w:rsidR="008F4A66">
        <w:t> </w:t>
      </w:r>
      <w:r w:rsidR="00DF5546" w:rsidRPr="00DF5546">
        <w:t xml:space="preserve">: </w:t>
      </w:r>
      <w:hyperlink r:id="rId30" w:history="1">
        <w:r w:rsidR="00DF5546" w:rsidRPr="004F57C6">
          <w:rPr>
            <w:rStyle w:val="Lienhypertexte"/>
            <w:b/>
          </w:rPr>
          <w:t>www.insee.fr</w:t>
        </w:r>
      </w:hyperlink>
      <w:r w:rsidR="00DF5546" w:rsidRPr="00DF5546">
        <w:t>)</w:t>
      </w:r>
      <w:r w:rsidR="00DF5546">
        <w:t xml:space="preserve">. </w:t>
      </w:r>
    </w:p>
    <w:p w14:paraId="14800D24" w14:textId="671AA4AF" w:rsidR="006D3F7F" w:rsidRPr="006D3F7F" w:rsidRDefault="004C5E61" w:rsidP="006D3F7F">
      <w:pPr>
        <w:pStyle w:val="Titre3"/>
      </w:pPr>
      <w:bookmarkStart w:id="92" w:name="_Toc78131568"/>
      <w:r w:rsidRPr="0027378B">
        <w:t>3.</w:t>
      </w:r>
      <w:r w:rsidR="00B9002C">
        <w:t>1</w:t>
      </w:r>
      <w:r w:rsidRPr="0027378B">
        <w:t>.</w:t>
      </w:r>
      <w:r>
        <w:t>2</w:t>
      </w:r>
      <w:r w:rsidRPr="0027378B">
        <w:t xml:space="preserve">. </w:t>
      </w:r>
      <w:r>
        <w:t>Principaux résultats pour les protéines carnées</w:t>
      </w:r>
      <w:bookmarkEnd w:id="92"/>
      <w:r>
        <w:t xml:space="preserve"> </w:t>
      </w:r>
    </w:p>
    <w:p w14:paraId="6B260290" w14:textId="2C11AB68" w:rsidR="00BA7504" w:rsidRDefault="006D3F7F" w:rsidP="00F17F16">
      <w:pPr>
        <w:ind w:left="142"/>
      </w:pPr>
      <w:r w:rsidRPr="007E3A91">
        <w:t>L</w:t>
      </w:r>
      <w:r w:rsidR="008E4225" w:rsidRPr="007E3A91">
        <w:t xml:space="preserve">’alimentation à domicile (hors tabac, alcool et restauration) reste le </w:t>
      </w:r>
      <w:r w:rsidR="00ED3A90" w:rsidRPr="007E3A91">
        <w:t>second</w:t>
      </w:r>
      <w:r w:rsidR="008E4225" w:rsidRPr="007E3A91">
        <w:t xml:space="preserve"> poste de dépenses des</w:t>
      </w:r>
      <w:r w:rsidR="008E4225" w:rsidRPr="007E3A91">
        <w:rPr>
          <w:color w:val="4B4142"/>
        </w:rPr>
        <w:t xml:space="preserve"> </w:t>
      </w:r>
      <w:r w:rsidR="008E4225" w:rsidRPr="007E3A91">
        <w:t>ménages français</w:t>
      </w:r>
      <w:r w:rsidR="00ED3A90" w:rsidRPr="007E3A91">
        <w:t xml:space="preserve"> avec </w:t>
      </w:r>
      <w:r w:rsidR="003476A8" w:rsidRPr="007E3A91">
        <w:t>1</w:t>
      </w:r>
      <w:r w:rsidR="00F46124">
        <w:t>6,1</w:t>
      </w:r>
      <w:r w:rsidR="008F4A66">
        <w:t> </w:t>
      </w:r>
      <w:r w:rsidR="00ED3A90" w:rsidRPr="007E3A91">
        <w:t>%</w:t>
      </w:r>
      <w:r w:rsidR="003476A8" w:rsidRPr="007E3A91">
        <w:t xml:space="preserve"> en 2017</w:t>
      </w:r>
      <w:r w:rsidR="008E4225" w:rsidRPr="007E3A91">
        <w:t xml:space="preserve">, après les transports et avant le logement, </w:t>
      </w:r>
      <w:r w:rsidR="00ED3A90" w:rsidRPr="007E3A91">
        <w:t xml:space="preserve">et enregistre </w:t>
      </w:r>
      <w:r w:rsidR="00F46124">
        <w:t xml:space="preserve">un recul de </w:t>
      </w:r>
      <w:r w:rsidR="004A75E8">
        <w:t>0,3</w:t>
      </w:r>
      <w:r w:rsidR="008F4A66">
        <w:t> </w:t>
      </w:r>
      <w:r w:rsidR="004A75E8">
        <w:t xml:space="preserve">% </w:t>
      </w:r>
      <w:r w:rsidR="008E4225" w:rsidRPr="007E3A91">
        <w:t xml:space="preserve">entre 2011 et 2017. </w:t>
      </w:r>
      <w:r w:rsidR="00C519D4" w:rsidRPr="007E3A91">
        <w:t xml:space="preserve">La </w:t>
      </w:r>
      <w:r w:rsidR="00C519D4">
        <w:t xml:space="preserve">consommation hors domicile </w:t>
      </w:r>
      <w:r w:rsidR="004A75E8">
        <w:t xml:space="preserve">quant à elle, </w:t>
      </w:r>
      <w:r w:rsidR="00C519D4">
        <w:t>au travers du poste budgétaire restauration</w:t>
      </w:r>
      <w:r w:rsidR="00C519D4" w:rsidRPr="007E3A91">
        <w:t xml:space="preserve"> </w:t>
      </w:r>
      <w:r w:rsidR="00C519D4">
        <w:t>(</w:t>
      </w:r>
      <w:r w:rsidR="00C519D4" w:rsidRPr="007E3A91">
        <w:t>boissons incluse</w:t>
      </w:r>
      <w:r w:rsidR="00C519D4">
        <w:t>,</w:t>
      </w:r>
      <w:r w:rsidR="00C519D4" w:rsidRPr="007E3A91">
        <w:t xml:space="preserve"> l’enquête ne permet</w:t>
      </w:r>
      <w:r w:rsidR="00C519D4">
        <w:t>tant</w:t>
      </w:r>
      <w:r w:rsidR="00C519D4" w:rsidRPr="007E3A91">
        <w:t xml:space="preserve"> pas de dissocier l</w:t>
      </w:r>
      <w:r w:rsidR="00C519D4">
        <w:t>’</w:t>
      </w:r>
      <w:r w:rsidR="00C519D4" w:rsidRPr="007E3A91">
        <w:t>alimentaire</w:t>
      </w:r>
      <w:r w:rsidR="00C519D4">
        <w:t>)</w:t>
      </w:r>
      <w:r w:rsidR="00C519D4" w:rsidRPr="007E3A91">
        <w:t xml:space="preserve"> représente en 2017, 5</w:t>
      </w:r>
      <w:r w:rsidR="008F4A66">
        <w:t> </w:t>
      </w:r>
      <w:r w:rsidR="00C519D4" w:rsidRPr="007E3A91">
        <w:t>%</w:t>
      </w:r>
      <w:r w:rsidR="00C519D4">
        <w:t xml:space="preserve"> </w:t>
      </w:r>
      <w:r w:rsidR="00C519D4" w:rsidRPr="007E3A91">
        <w:t>de</w:t>
      </w:r>
      <w:r w:rsidR="00C519D4">
        <w:t xml:space="preserve"> la</w:t>
      </w:r>
      <w:r w:rsidR="00C519D4" w:rsidRPr="007E3A91">
        <w:t xml:space="preserve"> dépense </w:t>
      </w:r>
      <w:r w:rsidR="00C519D4">
        <w:t xml:space="preserve">totale </w:t>
      </w:r>
      <w:r w:rsidR="00C519D4" w:rsidRPr="007E3A91">
        <w:t>des ménages</w:t>
      </w:r>
      <w:r w:rsidR="00C519D4">
        <w:t xml:space="preserve">, en croissance de </w:t>
      </w:r>
      <w:r w:rsidR="006A0456">
        <w:t>9</w:t>
      </w:r>
      <w:r w:rsidR="008F4A66">
        <w:t> </w:t>
      </w:r>
      <w:r w:rsidR="00C519D4">
        <w:t>% par rapport à l’enquête de 201</w:t>
      </w:r>
      <w:r w:rsidR="004A75E8">
        <w:t xml:space="preserve">1 et traduit le phénomène de report qui s’opère de la consommation à domicile vers le hors domicile. </w:t>
      </w:r>
      <w:r w:rsidR="00C519D4">
        <w:t xml:space="preserve">Sur le total alimentaire boissons </w:t>
      </w:r>
      <w:r w:rsidR="00C519D4" w:rsidRPr="002809A3">
        <w:t xml:space="preserve">non alcoolisées inclus, </w:t>
      </w:r>
      <w:r w:rsidR="00B4776D">
        <w:t xml:space="preserve">la restauration commerciale (café, restaurant) </w:t>
      </w:r>
      <w:r w:rsidR="00C519D4" w:rsidRPr="002809A3">
        <w:t xml:space="preserve">représente </w:t>
      </w:r>
      <w:r w:rsidR="002809A3" w:rsidRPr="002809A3">
        <w:t>23,</w:t>
      </w:r>
      <w:r w:rsidR="00926C2F">
        <w:t>2</w:t>
      </w:r>
      <w:r w:rsidR="008F4A66">
        <w:t> </w:t>
      </w:r>
      <w:r w:rsidR="00C519D4" w:rsidRPr="002809A3">
        <w:t>% des dépenses</w:t>
      </w:r>
      <w:r w:rsidR="002809A3" w:rsidRPr="002809A3">
        <w:t xml:space="preserve"> en 2017</w:t>
      </w:r>
      <w:r w:rsidR="008F4A66">
        <w:t xml:space="preserve"> </w:t>
      </w:r>
      <w:r w:rsidR="00B4776D">
        <w:t xml:space="preserve">et </w:t>
      </w:r>
      <w:r w:rsidR="00BA045F">
        <w:t>la restauration collective</w:t>
      </w:r>
      <w:r w:rsidR="00F17451">
        <w:t>, 8,</w:t>
      </w:r>
      <w:r w:rsidR="00926C2F">
        <w:t>1</w:t>
      </w:r>
      <w:r w:rsidR="00ED0346">
        <w:t> </w:t>
      </w:r>
      <w:r w:rsidR="00F17451">
        <w:t>% des dépenses pour un total</w:t>
      </w:r>
      <w:r w:rsidR="003F6DFF">
        <w:t xml:space="preserve"> </w:t>
      </w:r>
      <w:r w:rsidR="00681460">
        <w:t>en</w:t>
      </w:r>
      <w:r w:rsidR="00F17451">
        <w:t xml:space="preserve"> restauration de 3</w:t>
      </w:r>
      <w:r w:rsidR="00150428">
        <w:t>1,3</w:t>
      </w:r>
      <w:r w:rsidR="00ED0346">
        <w:t> </w:t>
      </w:r>
      <w:r w:rsidR="00150428">
        <w:t>%</w:t>
      </w:r>
      <w:r w:rsidR="00F17451">
        <w:t xml:space="preserve"> </w:t>
      </w:r>
      <w:r w:rsidR="002809A3" w:rsidRPr="002809A3">
        <w:t>(</w:t>
      </w:r>
      <w:r w:rsidR="00233B8F">
        <w:fldChar w:fldCharType="begin"/>
      </w:r>
      <w:r w:rsidR="00233B8F">
        <w:instrText xml:space="preserve"> REF _Ref58410210 \h </w:instrText>
      </w:r>
      <w:r w:rsidR="00233B8F">
        <w:fldChar w:fldCharType="separate"/>
      </w:r>
      <w:r w:rsidR="0007597F" w:rsidRPr="005267CA">
        <w:rPr>
          <w:rStyle w:val="figureCar"/>
          <w:rFonts w:eastAsiaTheme="minorHAnsi"/>
          <w:b w:val="0"/>
          <w:bCs w:val="0"/>
          <w:iCs w:val="0"/>
        </w:rPr>
        <w:t xml:space="preserve">Tableau </w:t>
      </w:r>
      <w:r w:rsidR="0007597F">
        <w:rPr>
          <w:rStyle w:val="figureCar"/>
          <w:rFonts w:eastAsiaTheme="minorHAnsi"/>
          <w:b w:val="0"/>
          <w:bCs w:val="0"/>
          <w:iCs w:val="0"/>
          <w:noProof/>
        </w:rPr>
        <w:t>20</w:t>
      </w:r>
      <w:r w:rsidR="00233B8F">
        <w:fldChar w:fldCharType="end"/>
      </w:r>
      <w:r w:rsidR="002809A3" w:rsidRPr="002809A3">
        <w:t>). Ces résultats sont à pondérer puisqu’en</w:t>
      </w:r>
      <w:r w:rsidR="00C519D4" w:rsidRPr="002809A3">
        <w:t xml:space="preserve"> alimentation à domicile, </w:t>
      </w:r>
      <w:r w:rsidR="002809A3" w:rsidRPr="002809A3">
        <w:t>des disparités entre les plus aisés et les plus modestes demeurent même si elles tendent à s’atténuer. En effet, la</w:t>
      </w:r>
      <w:r w:rsidR="00C519D4" w:rsidRPr="002809A3">
        <w:t xml:space="preserve"> comparaison </w:t>
      </w:r>
      <w:r w:rsidR="00D8021B">
        <w:t xml:space="preserve">du poids de la restauration dans les dépenses des ménages </w:t>
      </w:r>
      <w:r w:rsidR="00337AC6">
        <w:t>entre les 20</w:t>
      </w:r>
      <w:r w:rsidR="00ED0346">
        <w:t> </w:t>
      </w:r>
      <w:r w:rsidR="00337AC6">
        <w:t xml:space="preserve">% les plus modestes </w:t>
      </w:r>
      <w:r w:rsidR="00EF2FCB">
        <w:t xml:space="preserve">et </w:t>
      </w:r>
      <w:r w:rsidR="00337AC6">
        <w:t>les 20</w:t>
      </w:r>
      <w:r w:rsidR="00ED0346">
        <w:t> </w:t>
      </w:r>
      <w:r w:rsidR="00337AC6">
        <w:t>%</w:t>
      </w:r>
      <w:r w:rsidR="00EF2FCB">
        <w:t xml:space="preserve"> le</w:t>
      </w:r>
      <w:r w:rsidR="00337AC6">
        <w:t>s plus aisés</w:t>
      </w:r>
      <w:r w:rsidR="002809A3" w:rsidRPr="002809A3">
        <w:t>,</w:t>
      </w:r>
      <w:r w:rsidR="00C519D4" w:rsidRPr="002809A3">
        <w:t xml:space="preserve"> fait état d’un écart d</w:t>
      </w:r>
      <w:r w:rsidR="002809A3" w:rsidRPr="002809A3">
        <w:t>’environ</w:t>
      </w:r>
      <w:r w:rsidR="00C519D4" w:rsidRPr="002809A3">
        <w:t xml:space="preserve"> </w:t>
      </w:r>
      <w:r w:rsidR="002809A3" w:rsidRPr="002809A3">
        <w:t>4</w:t>
      </w:r>
      <w:r w:rsidR="00C519D4" w:rsidRPr="002809A3">
        <w:t xml:space="preserve"> points</w:t>
      </w:r>
      <w:r w:rsidR="00805A7B">
        <w:t xml:space="preserve"> </w:t>
      </w:r>
      <w:r w:rsidR="002809A3" w:rsidRPr="002809A3">
        <w:t>contre 17 points d’écart en 1979</w:t>
      </w:r>
      <w:r w:rsidR="002809A3">
        <w:t xml:space="preserve">. </w:t>
      </w:r>
      <w:r w:rsidR="002809A3" w:rsidRPr="002809A3">
        <w:t>(</w:t>
      </w:r>
      <w:r w:rsidR="00C519D4" w:rsidRPr="002809A3">
        <w:t>Demoly E.</w:t>
      </w:r>
      <w:r w:rsidR="00D15952">
        <w:t xml:space="preserve"> </w:t>
      </w:r>
      <w:r w:rsidR="00C519D4" w:rsidRPr="002809A3">
        <w:t>et al., 2020).</w:t>
      </w:r>
    </w:p>
    <w:tbl>
      <w:tblPr>
        <w:tblW w:w="9690" w:type="dxa"/>
        <w:jc w:val="center"/>
        <w:tblCellMar>
          <w:left w:w="70" w:type="dxa"/>
          <w:right w:w="70" w:type="dxa"/>
        </w:tblCellMar>
        <w:tblLook w:val="04A0" w:firstRow="1" w:lastRow="0" w:firstColumn="1" w:lastColumn="0" w:noHBand="0" w:noVBand="1"/>
      </w:tblPr>
      <w:tblGrid>
        <w:gridCol w:w="3261"/>
        <w:gridCol w:w="1134"/>
        <w:gridCol w:w="961"/>
        <w:gridCol w:w="1259"/>
        <w:gridCol w:w="961"/>
        <w:gridCol w:w="1153"/>
        <w:gridCol w:w="961"/>
      </w:tblGrid>
      <w:tr w:rsidR="009C0650" w:rsidRPr="00055DB8" w14:paraId="6A2B5538" w14:textId="77777777" w:rsidTr="00681460">
        <w:trPr>
          <w:trHeight w:val="228"/>
          <w:jc w:val="center"/>
        </w:trPr>
        <w:tc>
          <w:tcPr>
            <w:tcW w:w="3261" w:type="dxa"/>
            <w:vMerge w:val="restart"/>
            <w:tcBorders>
              <w:top w:val="nil"/>
              <w:left w:val="nil"/>
              <w:right w:val="nil"/>
            </w:tcBorders>
            <w:shd w:val="clear" w:color="auto" w:fill="auto"/>
            <w:vAlign w:val="bottom"/>
            <w:hideMark/>
          </w:tcPr>
          <w:p w14:paraId="7E2CE768" w14:textId="77777777" w:rsidR="009C0650" w:rsidRPr="00055DB8" w:rsidRDefault="009C0650" w:rsidP="00F17F16">
            <w:pPr>
              <w:spacing w:after="0" w:line="240" w:lineRule="auto"/>
              <w:ind w:left="142"/>
              <w:jc w:val="left"/>
              <w:rPr>
                <w:rFonts w:ascii="Times New Roman" w:eastAsia="Times New Roman" w:hAnsi="Times New Roman" w:cs="Times New Roman"/>
                <w:sz w:val="20"/>
                <w:szCs w:val="20"/>
                <w:lang w:eastAsia="fr-FR"/>
              </w:rPr>
            </w:pPr>
          </w:p>
        </w:tc>
        <w:tc>
          <w:tcPr>
            <w:tcW w:w="2095" w:type="dxa"/>
            <w:gridSpan w:val="2"/>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BB68E8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2006</w:t>
            </w:r>
          </w:p>
        </w:tc>
        <w:tc>
          <w:tcPr>
            <w:tcW w:w="2220" w:type="dxa"/>
            <w:gridSpan w:val="2"/>
            <w:tcBorders>
              <w:top w:val="single" w:sz="4" w:space="0" w:color="auto"/>
              <w:left w:val="nil"/>
              <w:bottom w:val="single" w:sz="4" w:space="0" w:color="auto"/>
              <w:right w:val="single" w:sz="4" w:space="0" w:color="auto"/>
            </w:tcBorders>
            <w:shd w:val="clear" w:color="D9D9D9" w:fill="D9D9D9"/>
            <w:noWrap/>
            <w:vAlign w:val="center"/>
            <w:hideMark/>
          </w:tcPr>
          <w:p w14:paraId="45875DD0"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2011</w:t>
            </w:r>
          </w:p>
        </w:tc>
        <w:tc>
          <w:tcPr>
            <w:tcW w:w="2114" w:type="dxa"/>
            <w:gridSpan w:val="2"/>
            <w:tcBorders>
              <w:top w:val="single" w:sz="4" w:space="0" w:color="auto"/>
              <w:left w:val="nil"/>
              <w:bottom w:val="single" w:sz="4" w:space="0" w:color="auto"/>
              <w:right w:val="single" w:sz="4" w:space="0" w:color="auto"/>
            </w:tcBorders>
            <w:shd w:val="clear" w:color="D9D9D9" w:fill="D9D9D9"/>
            <w:noWrap/>
            <w:vAlign w:val="center"/>
            <w:hideMark/>
          </w:tcPr>
          <w:p w14:paraId="7526BCF1"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2017</w:t>
            </w:r>
          </w:p>
        </w:tc>
      </w:tr>
      <w:tr w:rsidR="009C0650" w:rsidRPr="00055DB8" w14:paraId="35EC3745" w14:textId="77777777" w:rsidTr="00681460">
        <w:trPr>
          <w:trHeight w:val="131"/>
          <w:jc w:val="center"/>
        </w:trPr>
        <w:tc>
          <w:tcPr>
            <w:tcW w:w="3261" w:type="dxa"/>
            <w:vMerge/>
            <w:tcBorders>
              <w:left w:val="nil"/>
              <w:bottom w:val="nil"/>
              <w:right w:val="nil"/>
            </w:tcBorders>
            <w:shd w:val="clear" w:color="auto" w:fill="auto"/>
            <w:vAlign w:val="bottom"/>
            <w:hideMark/>
          </w:tcPr>
          <w:p w14:paraId="1B71464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p>
        </w:tc>
        <w:tc>
          <w:tcPr>
            <w:tcW w:w="1134" w:type="dxa"/>
            <w:tcBorders>
              <w:top w:val="nil"/>
              <w:left w:val="single" w:sz="4" w:space="0" w:color="auto"/>
              <w:bottom w:val="single" w:sz="4" w:space="0" w:color="auto"/>
              <w:right w:val="single" w:sz="4" w:space="0" w:color="auto"/>
            </w:tcBorders>
            <w:shd w:val="clear" w:color="000000" w:fill="D9D9D9"/>
            <w:noWrap/>
            <w:vAlign w:val="bottom"/>
            <w:hideMark/>
          </w:tcPr>
          <w:p w14:paraId="63A29C3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Valeur</w:t>
            </w:r>
          </w:p>
        </w:tc>
        <w:tc>
          <w:tcPr>
            <w:tcW w:w="961" w:type="dxa"/>
            <w:tcBorders>
              <w:top w:val="nil"/>
              <w:left w:val="nil"/>
              <w:bottom w:val="single" w:sz="4" w:space="0" w:color="auto"/>
              <w:right w:val="single" w:sz="4" w:space="0" w:color="auto"/>
            </w:tcBorders>
            <w:shd w:val="clear" w:color="000000" w:fill="D9D9D9"/>
            <w:noWrap/>
            <w:vAlign w:val="bottom"/>
            <w:hideMark/>
          </w:tcPr>
          <w:p w14:paraId="7050A6B3"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w:t>
            </w:r>
          </w:p>
        </w:tc>
        <w:tc>
          <w:tcPr>
            <w:tcW w:w="1259" w:type="dxa"/>
            <w:tcBorders>
              <w:top w:val="nil"/>
              <w:left w:val="nil"/>
              <w:bottom w:val="single" w:sz="4" w:space="0" w:color="auto"/>
              <w:right w:val="single" w:sz="4" w:space="0" w:color="auto"/>
            </w:tcBorders>
            <w:shd w:val="clear" w:color="000000" w:fill="D9D9D9"/>
            <w:noWrap/>
            <w:vAlign w:val="bottom"/>
            <w:hideMark/>
          </w:tcPr>
          <w:p w14:paraId="6118195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Valeur</w:t>
            </w:r>
          </w:p>
        </w:tc>
        <w:tc>
          <w:tcPr>
            <w:tcW w:w="961" w:type="dxa"/>
            <w:tcBorders>
              <w:top w:val="nil"/>
              <w:left w:val="nil"/>
              <w:bottom w:val="single" w:sz="4" w:space="0" w:color="auto"/>
              <w:right w:val="single" w:sz="4" w:space="0" w:color="auto"/>
            </w:tcBorders>
            <w:shd w:val="clear" w:color="000000" w:fill="D9D9D9"/>
            <w:noWrap/>
            <w:vAlign w:val="bottom"/>
            <w:hideMark/>
          </w:tcPr>
          <w:p w14:paraId="7491D3D5"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w:t>
            </w:r>
          </w:p>
        </w:tc>
        <w:tc>
          <w:tcPr>
            <w:tcW w:w="1153" w:type="dxa"/>
            <w:tcBorders>
              <w:top w:val="nil"/>
              <w:left w:val="nil"/>
              <w:bottom w:val="single" w:sz="4" w:space="0" w:color="auto"/>
              <w:right w:val="single" w:sz="4" w:space="0" w:color="auto"/>
            </w:tcBorders>
            <w:shd w:val="clear" w:color="000000" w:fill="D9D9D9"/>
            <w:noWrap/>
            <w:vAlign w:val="bottom"/>
            <w:hideMark/>
          </w:tcPr>
          <w:p w14:paraId="1978846C"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Valeur</w:t>
            </w:r>
          </w:p>
        </w:tc>
        <w:tc>
          <w:tcPr>
            <w:tcW w:w="961" w:type="dxa"/>
            <w:tcBorders>
              <w:top w:val="nil"/>
              <w:left w:val="nil"/>
              <w:bottom w:val="single" w:sz="4" w:space="0" w:color="auto"/>
              <w:right w:val="single" w:sz="4" w:space="0" w:color="auto"/>
            </w:tcBorders>
            <w:shd w:val="clear" w:color="000000" w:fill="D9D9D9"/>
            <w:noWrap/>
            <w:vAlign w:val="bottom"/>
            <w:hideMark/>
          </w:tcPr>
          <w:p w14:paraId="3F7CE865" w14:textId="77777777" w:rsidR="009C0650" w:rsidRPr="00055DB8" w:rsidRDefault="009C0650" w:rsidP="00F17F16">
            <w:pPr>
              <w:spacing w:after="0" w:line="240" w:lineRule="auto"/>
              <w:ind w:left="142"/>
              <w:jc w:val="center"/>
              <w:rPr>
                <w:rFonts w:eastAsia="Times New Roman" w:cs="Arial"/>
                <w:b/>
                <w:bCs/>
                <w:color w:val="000000"/>
                <w:sz w:val="20"/>
                <w:szCs w:val="20"/>
                <w:lang w:eastAsia="fr-FR"/>
              </w:rPr>
            </w:pPr>
            <w:r w:rsidRPr="00055DB8">
              <w:rPr>
                <w:rFonts w:eastAsia="Times New Roman" w:cs="Arial"/>
                <w:b/>
                <w:bCs/>
                <w:color w:val="000000"/>
                <w:sz w:val="20"/>
                <w:szCs w:val="20"/>
                <w:lang w:eastAsia="fr-FR"/>
              </w:rPr>
              <w:t>%</w:t>
            </w:r>
          </w:p>
        </w:tc>
      </w:tr>
      <w:tr w:rsidR="00055DB8" w:rsidRPr="00055DB8" w14:paraId="2481BBBE" w14:textId="77777777" w:rsidTr="00681460">
        <w:trPr>
          <w:trHeight w:val="300"/>
          <w:jc w:val="center"/>
        </w:trPr>
        <w:tc>
          <w:tcPr>
            <w:tcW w:w="3261" w:type="dxa"/>
            <w:tcBorders>
              <w:top w:val="single" w:sz="4" w:space="0" w:color="auto"/>
              <w:left w:val="single" w:sz="4" w:space="0" w:color="auto"/>
              <w:bottom w:val="nil"/>
              <w:right w:val="single" w:sz="4" w:space="0" w:color="auto"/>
            </w:tcBorders>
            <w:shd w:val="clear" w:color="auto" w:fill="auto"/>
            <w:vAlign w:val="center"/>
            <w:hideMark/>
          </w:tcPr>
          <w:p w14:paraId="42111DF8" w14:textId="77777777" w:rsidR="00055DB8" w:rsidRPr="00055DB8" w:rsidRDefault="00055DB8" w:rsidP="00681460">
            <w:pPr>
              <w:spacing w:after="0" w:line="240" w:lineRule="auto"/>
              <w:ind w:left="142"/>
              <w:jc w:val="left"/>
              <w:rPr>
                <w:rFonts w:eastAsia="Times New Roman" w:cs="Arial"/>
                <w:b/>
                <w:bCs/>
                <w:color w:val="000000"/>
                <w:sz w:val="20"/>
                <w:szCs w:val="20"/>
                <w:lang w:eastAsia="fr-FR"/>
              </w:rPr>
            </w:pPr>
            <w:r w:rsidRPr="00055DB8">
              <w:rPr>
                <w:rFonts w:eastAsia="Times New Roman" w:cs="Arial"/>
                <w:b/>
                <w:bCs/>
                <w:color w:val="000000"/>
                <w:sz w:val="20"/>
                <w:szCs w:val="20"/>
                <w:lang w:eastAsia="fr-FR"/>
              </w:rPr>
              <w:t>Dépense totale des ménages</w:t>
            </w:r>
          </w:p>
        </w:tc>
        <w:tc>
          <w:tcPr>
            <w:tcW w:w="1134" w:type="dxa"/>
            <w:tcBorders>
              <w:top w:val="nil"/>
              <w:left w:val="nil"/>
              <w:bottom w:val="single" w:sz="4" w:space="0" w:color="auto"/>
              <w:right w:val="single" w:sz="4" w:space="0" w:color="auto"/>
            </w:tcBorders>
            <w:shd w:val="clear" w:color="auto" w:fill="auto"/>
            <w:noWrap/>
            <w:vAlign w:val="center"/>
            <w:hideMark/>
          </w:tcPr>
          <w:p w14:paraId="25B78D02" w14:textId="054F4D86"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27 267</w:t>
            </w:r>
          </w:p>
        </w:tc>
        <w:tc>
          <w:tcPr>
            <w:tcW w:w="961" w:type="dxa"/>
            <w:tcBorders>
              <w:top w:val="nil"/>
              <w:left w:val="nil"/>
              <w:bottom w:val="single" w:sz="4" w:space="0" w:color="auto"/>
              <w:right w:val="single" w:sz="4" w:space="0" w:color="auto"/>
            </w:tcBorders>
            <w:shd w:val="clear" w:color="auto" w:fill="auto"/>
            <w:noWrap/>
            <w:vAlign w:val="center"/>
            <w:hideMark/>
          </w:tcPr>
          <w:p w14:paraId="0DA95E5F"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100%</w:t>
            </w:r>
          </w:p>
        </w:tc>
        <w:tc>
          <w:tcPr>
            <w:tcW w:w="1259" w:type="dxa"/>
            <w:tcBorders>
              <w:top w:val="nil"/>
              <w:left w:val="nil"/>
              <w:bottom w:val="single" w:sz="4" w:space="0" w:color="auto"/>
              <w:right w:val="single" w:sz="4" w:space="0" w:color="auto"/>
            </w:tcBorders>
            <w:shd w:val="clear" w:color="auto" w:fill="auto"/>
            <w:noWrap/>
            <w:vAlign w:val="center"/>
            <w:hideMark/>
          </w:tcPr>
          <w:p w14:paraId="3596116B" w14:textId="4743EEFC"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26 562</w:t>
            </w:r>
          </w:p>
        </w:tc>
        <w:tc>
          <w:tcPr>
            <w:tcW w:w="961" w:type="dxa"/>
            <w:tcBorders>
              <w:top w:val="nil"/>
              <w:left w:val="nil"/>
              <w:bottom w:val="single" w:sz="4" w:space="0" w:color="auto"/>
              <w:right w:val="single" w:sz="4" w:space="0" w:color="auto"/>
            </w:tcBorders>
            <w:shd w:val="clear" w:color="auto" w:fill="auto"/>
            <w:noWrap/>
            <w:vAlign w:val="center"/>
            <w:hideMark/>
          </w:tcPr>
          <w:p w14:paraId="59270478"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100%</w:t>
            </w:r>
          </w:p>
        </w:tc>
        <w:tc>
          <w:tcPr>
            <w:tcW w:w="1153" w:type="dxa"/>
            <w:tcBorders>
              <w:top w:val="nil"/>
              <w:left w:val="nil"/>
              <w:bottom w:val="single" w:sz="4" w:space="0" w:color="auto"/>
              <w:right w:val="single" w:sz="4" w:space="0" w:color="auto"/>
            </w:tcBorders>
            <w:shd w:val="clear" w:color="auto" w:fill="auto"/>
            <w:noWrap/>
            <w:vAlign w:val="center"/>
            <w:hideMark/>
          </w:tcPr>
          <w:p w14:paraId="48E35E30" w14:textId="209D9D01"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27 408</w:t>
            </w:r>
          </w:p>
        </w:tc>
        <w:tc>
          <w:tcPr>
            <w:tcW w:w="961" w:type="dxa"/>
            <w:tcBorders>
              <w:top w:val="nil"/>
              <w:left w:val="nil"/>
              <w:bottom w:val="single" w:sz="4" w:space="0" w:color="auto"/>
              <w:right w:val="single" w:sz="4" w:space="0" w:color="auto"/>
            </w:tcBorders>
            <w:shd w:val="clear" w:color="auto" w:fill="auto"/>
            <w:noWrap/>
            <w:vAlign w:val="center"/>
            <w:hideMark/>
          </w:tcPr>
          <w:p w14:paraId="55A1352C"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100%</w:t>
            </w:r>
          </w:p>
        </w:tc>
      </w:tr>
      <w:tr w:rsidR="00055DB8" w:rsidRPr="00055DB8" w14:paraId="5E081510" w14:textId="77777777" w:rsidTr="00681460">
        <w:trPr>
          <w:trHeight w:val="425"/>
          <w:jc w:val="center"/>
        </w:trPr>
        <w:tc>
          <w:tcPr>
            <w:tcW w:w="32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0C2AF0" w14:textId="684E1B7C" w:rsidR="00055DB8" w:rsidRPr="00055DB8" w:rsidRDefault="00055DB8" w:rsidP="00681460">
            <w:pPr>
              <w:spacing w:after="0" w:line="240" w:lineRule="auto"/>
              <w:ind w:left="142"/>
              <w:jc w:val="left"/>
              <w:rPr>
                <w:rFonts w:eastAsia="Times New Roman" w:cs="Arial"/>
                <w:b/>
                <w:bCs/>
                <w:color w:val="000000"/>
                <w:sz w:val="20"/>
                <w:szCs w:val="20"/>
                <w:lang w:eastAsia="fr-FR"/>
              </w:rPr>
            </w:pPr>
            <w:r w:rsidRPr="00055DB8">
              <w:rPr>
                <w:rFonts w:eastAsia="Times New Roman" w:cs="Arial"/>
                <w:b/>
                <w:bCs/>
                <w:color w:val="000000"/>
                <w:sz w:val="20"/>
                <w:szCs w:val="20"/>
                <w:lang w:eastAsia="fr-FR"/>
              </w:rPr>
              <w:t>Produit</w:t>
            </w:r>
            <w:r w:rsidR="00A25D50">
              <w:rPr>
                <w:rFonts w:eastAsia="Times New Roman" w:cs="Arial"/>
                <w:b/>
                <w:bCs/>
                <w:color w:val="000000"/>
                <w:sz w:val="20"/>
                <w:szCs w:val="20"/>
                <w:lang w:eastAsia="fr-FR"/>
              </w:rPr>
              <w:t>s</w:t>
            </w:r>
            <w:r w:rsidRPr="00055DB8">
              <w:rPr>
                <w:rFonts w:eastAsia="Times New Roman" w:cs="Arial"/>
                <w:b/>
                <w:bCs/>
                <w:color w:val="000000"/>
                <w:sz w:val="20"/>
                <w:szCs w:val="20"/>
                <w:lang w:eastAsia="fr-FR"/>
              </w:rPr>
              <w:t xml:space="preserve"> alimentaire</w:t>
            </w:r>
            <w:r w:rsidR="00A25D50">
              <w:rPr>
                <w:rFonts w:eastAsia="Times New Roman" w:cs="Arial"/>
                <w:b/>
                <w:bCs/>
                <w:color w:val="000000"/>
                <w:sz w:val="20"/>
                <w:szCs w:val="20"/>
                <w:lang w:eastAsia="fr-FR"/>
              </w:rPr>
              <w:t>s</w:t>
            </w:r>
            <w:r w:rsidRPr="00055DB8">
              <w:rPr>
                <w:rFonts w:eastAsia="Times New Roman" w:cs="Arial"/>
                <w:b/>
                <w:bCs/>
                <w:color w:val="000000"/>
                <w:sz w:val="20"/>
                <w:szCs w:val="20"/>
                <w:lang w:eastAsia="fr-FR"/>
              </w:rPr>
              <w:t xml:space="preserve"> et boissons non alcoolisées</w:t>
            </w:r>
          </w:p>
        </w:tc>
        <w:tc>
          <w:tcPr>
            <w:tcW w:w="1134" w:type="dxa"/>
            <w:tcBorders>
              <w:top w:val="nil"/>
              <w:left w:val="nil"/>
              <w:bottom w:val="single" w:sz="4" w:space="0" w:color="auto"/>
              <w:right w:val="single" w:sz="4" w:space="0" w:color="auto"/>
            </w:tcBorders>
            <w:shd w:val="clear" w:color="auto" w:fill="auto"/>
            <w:noWrap/>
            <w:vAlign w:val="center"/>
            <w:hideMark/>
          </w:tcPr>
          <w:p w14:paraId="0DD7F489" w14:textId="4E5DC174"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w:t>
            </w:r>
            <w:r>
              <w:rPr>
                <w:rFonts w:eastAsia="Times New Roman" w:cs="Arial"/>
                <w:color w:val="000000"/>
                <w:sz w:val="20"/>
                <w:szCs w:val="20"/>
                <w:lang w:eastAsia="fr-FR"/>
              </w:rPr>
              <w:t xml:space="preserve"> </w:t>
            </w:r>
            <w:r w:rsidRPr="00055DB8">
              <w:rPr>
                <w:rFonts w:eastAsia="Times New Roman" w:cs="Arial"/>
                <w:color w:val="000000"/>
                <w:sz w:val="20"/>
                <w:szCs w:val="20"/>
                <w:lang w:eastAsia="fr-FR"/>
              </w:rPr>
              <w:t>214</w:t>
            </w:r>
          </w:p>
        </w:tc>
        <w:tc>
          <w:tcPr>
            <w:tcW w:w="961" w:type="dxa"/>
            <w:tcBorders>
              <w:top w:val="nil"/>
              <w:left w:val="nil"/>
              <w:bottom w:val="single" w:sz="4" w:space="0" w:color="auto"/>
              <w:right w:val="single" w:sz="4" w:space="0" w:color="auto"/>
            </w:tcBorders>
            <w:shd w:val="clear" w:color="auto" w:fill="auto"/>
            <w:noWrap/>
            <w:vAlign w:val="center"/>
            <w:hideMark/>
          </w:tcPr>
          <w:p w14:paraId="30CCD9DA"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15,5%</w:t>
            </w:r>
          </w:p>
        </w:tc>
        <w:tc>
          <w:tcPr>
            <w:tcW w:w="1259" w:type="dxa"/>
            <w:tcBorders>
              <w:top w:val="nil"/>
              <w:left w:val="nil"/>
              <w:bottom w:val="single" w:sz="4" w:space="0" w:color="auto"/>
              <w:right w:val="single" w:sz="4" w:space="0" w:color="auto"/>
            </w:tcBorders>
            <w:shd w:val="clear" w:color="auto" w:fill="auto"/>
            <w:noWrap/>
            <w:vAlign w:val="center"/>
            <w:hideMark/>
          </w:tcPr>
          <w:p w14:paraId="3DCE4EDF"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4 361</w:t>
            </w:r>
          </w:p>
        </w:tc>
        <w:tc>
          <w:tcPr>
            <w:tcW w:w="961" w:type="dxa"/>
            <w:tcBorders>
              <w:top w:val="nil"/>
              <w:left w:val="nil"/>
              <w:bottom w:val="single" w:sz="4" w:space="0" w:color="auto"/>
              <w:right w:val="single" w:sz="4" w:space="0" w:color="auto"/>
            </w:tcBorders>
            <w:shd w:val="clear" w:color="auto" w:fill="auto"/>
            <w:noWrap/>
            <w:vAlign w:val="center"/>
            <w:hideMark/>
          </w:tcPr>
          <w:p w14:paraId="2EB49036"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16,4%</w:t>
            </w:r>
          </w:p>
        </w:tc>
        <w:tc>
          <w:tcPr>
            <w:tcW w:w="1153" w:type="dxa"/>
            <w:tcBorders>
              <w:top w:val="nil"/>
              <w:left w:val="nil"/>
              <w:bottom w:val="single" w:sz="4" w:space="0" w:color="auto"/>
              <w:right w:val="single" w:sz="4" w:space="0" w:color="auto"/>
            </w:tcBorders>
            <w:shd w:val="clear" w:color="auto" w:fill="auto"/>
            <w:noWrap/>
            <w:vAlign w:val="center"/>
            <w:hideMark/>
          </w:tcPr>
          <w:p w14:paraId="600D413B"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4 410</w:t>
            </w:r>
          </w:p>
        </w:tc>
        <w:tc>
          <w:tcPr>
            <w:tcW w:w="961" w:type="dxa"/>
            <w:tcBorders>
              <w:top w:val="nil"/>
              <w:left w:val="nil"/>
              <w:bottom w:val="single" w:sz="4" w:space="0" w:color="auto"/>
              <w:right w:val="single" w:sz="4" w:space="0" w:color="auto"/>
            </w:tcBorders>
            <w:shd w:val="clear" w:color="auto" w:fill="auto"/>
            <w:noWrap/>
            <w:vAlign w:val="center"/>
            <w:hideMark/>
          </w:tcPr>
          <w:p w14:paraId="778C5790" w14:textId="77777777" w:rsidR="00055DB8" w:rsidRPr="00055DB8" w:rsidRDefault="00055DB8" w:rsidP="00F17F16">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16,1%</w:t>
            </w:r>
          </w:p>
        </w:tc>
      </w:tr>
      <w:tr w:rsidR="00055DB8" w:rsidRPr="00055DB8" w14:paraId="08FF0778" w14:textId="77777777" w:rsidTr="00681460">
        <w:trPr>
          <w:trHeight w:val="222"/>
          <w:jc w:val="center"/>
        </w:trPr>
        <w:tc>
          <w:tcPr>
            <w:tcW w:w="3261" w:type="dxa"/>
            <w:tcBorders>
              <w:top w:val="nil"/>
              <w:left w:val="single" w:sz="4" w:space="0" w:color="auto"/>
              <w:bottom w:val="single" w:sz="4" w:space="0" w:color="auto"/>
              <w:right w:val="single" w:sz="4" w:space="0" w:color="auto"/>
            </w:tcBorders>
            <w:shd w:val="clear" w:color="D9D9D9" w:fill="D9D9D9"/>
            <w:vAlign w:val="center"/>
            <w:hideMark/>
          </w:tcPr>
          <w:p w14:paraId="771CFA6C" w14:textId="2E2283C2" w:rsidR="00055DB8" w:rsidRPr="00055DB8" w:rsidRDefault="00055DB8" w:rsidP="00681460">
            <w:pPr>
              <w:spacing w:after="0" w:line="240" w:lineRule="auto"/>
              <w:ind w:left="142"/>
              <w:jc w:val="right"/>
              <w:rPr>
                <w:rFonts w:eastAsia="Times New Roman" w:cs="Arial"/>
                <w:bCs/>
                <w:color w:val="000000"/>
                <w:sz w:val="20"/>
                <w:szCs w:val="20"/>
                <w:lang w:eastAsia="fr-FR"/>
              </w:rPr>
            </w:pPr>
            <w:r w:rsidRPr="00055DB8">
              <w:rPr>
                <w:rFonts w:eastAsia="Times New Roman" w:cs="Arial"/>
                <w:bCs/>
                <w:color w:val="000000"/>
                <w:sz w:val="20"/>
                <w:szCs w:val="20"/>
                <w:lang w:eastAsia="fr-FR"/>
              </w:rPr>
              <w:t>dont viande</w:t>
            </w:r>
          </w:p>
        </w:tc>
        <w:tc>
          <w:tcPr>
            <w:tcW w:w="1134" w:type="dxa"/>
            <w:tcBorders>
              <w:top w:val="nil"/>
              <w:left w:val="nil"/>
              <w:bottom w:val="single" w:sz="4" w:space="0" w:color="auto"/>
              <w:right w:val="single" w:sz="4" w:space="0" w:color="auto"/>
            </w:tcBorders>
            <w:shd w:val="clear" w:color="D9D9D9" w:fill="D9D9D9"/>
            <w:noWrap/>
            <w:vAlign w:val="center"/>
            <w:hideMark/>
          </w:tcPr>
          <w:p w14:paraId="2DC00BDA" w14:textId="45109C8D"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1 015</w:t>
            </w:r>
          </w:p>
        </w:tc>
        <w:tc>
          <w:tcPr>
            <w:tcW w:w="961" w:type="dxa"/>
            <w:tcBorders>
              <w:top w:val="nil"/>
              <w:left w:val="nil"/>
              <w:bottom w:val="single" w:sz="4" w:space="0" w:color="auto"/>
              <w:right w:val="single" w:sz="4" w:space="0" w:color="auto"/>
            </w:tcBorders>
            <w:shd w:val="clear" w:color="auto" w:fill="auto"/>
            <w:noWrap/>
            <w:vAlign w:val="center"/>
            <w:hideMark/>
          </w:tcPr>
          <w:p w14:paraId="3B938589"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24,1%</w:t>
            </w:r>
          </w:p>
        </w:tc>
        <w:tc>
          <w:tcPr>
            <w:tcW w:w="1259" w:type="dxa"/>
            <w:tcBorders>
              <w:top w:val="nil"/>
              <w:left w:val="nil"/>
              <w:bottom w:val="single" w:sz="4" w:space="0" w:color="auto"/>
              <w:right w:val="single" w:sz="4" w:space="0" w:color="auto"/>
            </w:tcBorders>
            <w:shd w:val="clear" w:color="D9D9D9" w:fill="D9D9D9"/>
            <w:noWrap/>
            <w:vAlign w:val="center"/>
            <w:hideMark/>
          </w:tcPr>
          <w:p w14:paraId="25769C5B" w14:textId="155A9ABF"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1 012</w:t>
            </w:r>
          </w:p>
        </w:tc>
        <w:tc>
          <w:tcPr>
            <w:tcW w:w="961" w:type="dxa"/>
            <w:tcBorders>
              <w:top w:val="nil"/>
              <w:left w:val="nil"/>
              <w:bottom w:val="single" w:sz="4" w:space="0" w:color="auto"/>
              <w:right w:val="single" w:sz="4" w:space="0" w:color="auto"/>
            </w:tcBorders>
            <w:shd w:val="clear" w:color="auto" w:fill="auto"/>
            <w:noWrap/>
            <w:vAlign w:val="center"/>
            <w:hideMark/>
          </w:tcPr>
          <w:p w14:paraId="525922C1"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23,2%</w:t>
            </w:r>
          </w:p>
        </w:tc>
        <w:tc>
          <w:tcPr>
            <w:tcW w:w="1153" w:type="dxa"/>
            <w:tcBorders>
              <w:top w:val="nil"/>
              <w:left w:val="nil"/>
              <w:bottom w:val="single" w:sz="4" w:space="0" w:color="auto"/>
              <w:right w:val="single" w:sz="4" w:space="0" w:color="auto"/>
            </w:tcBorders>
            <w:shd w:val="clear" w:color="D9D9D9" w:fill="D9D9D9"/>
            <w:noWrap/>
            <w:vAlign w:val="center"/>
            <w:hideMark/>
          </w:tcPr>
          <w:p w14:paraId="40971BD5" w14:textId="3CDF86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957</w:t>
            </w:r>
          </w:p>
        </w:tc>
        <w:tc>
          <w:tcPr>
            <w:tcW w:w="961" w:type="dxa"/>
            <w:tcBorders>
              <w:top w:val="nil"/>
              <w:left w:val="nil"/>
              <w:bottom w:val="single" w:sz="4" w:space="0" w:color="auto"/>
              <w:right w:val="single" w:sz="4" w:space="0" w:color="auto"/>
            </w:tcBorders>
            <w:shd w:val="clear" w:color="auto" w:fill="auto"/>
            <w:noWrap/>
            <w:vAlign w:val="center"/>
            <w:hideMark/>
          </w:tcPr>
          <w:p w14:paraId="00138C6E"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21,7%</w:t>
            </w:r>
          </w:p>
        </w:tc>
      </w:tr>
      <w:tr w:rsidR="00055DB8" w:rsidRPr="00055DB8" w14:paraId="14381E01" w14:textId="77777777" w:rsidTr="00681460">
        <w:trPr>
          <w:trHeight w:val="435"/>
          <w:jc w:val="center"/>
        </w:trPr>
        <w:tc>
          <w:tcPr>
            <w:tcW w:w="3261" w:type="dxa"/>
            <w:tcBorders>
              <w:top w:val="nil"/>
              <w:left w:val="single" w:sz="4" w:space="0" w:color="auto"/>
              <w:bottom w:val="single" w:sz="4" w:space="0" w:color="auto"/>
              <w:right w:val="single" w:sz="4" w:space="0" w:color="auto"/>
            </w:tcBorders>
            <w:shd w:val="clear" w:color="auto" w:fill="auto"/>
            <w:vAlign w:val="center"/>
            <w:hideMark/>
          </w:tcPr>
          <w:p w14:paraId="3ACE4037" w14:textId="77777777" w:rsidR="00055DB8" w:rsidRPr="00055DB8" w:rsidRDefault="00055DB8" w:rsidP="00681460">
            <w:pPr>
              <w:spacing w:after="0" w:line="240" w:lineRule="auto"/>
              <w:ind w:left="142"/>
              <w:jc w:val="left"/>
              <w:rPr>
                <w:rFonts w:eastAsia="Times New Roman" w:cs="Arial"/>
                <w:b/>
                <w:bCs/>
                <w:color w:val="000000"/>
                <w:sz w:val="20"/>
                <w:szCs w:val="20"/>
                <w:lang w:eastAsia="fr-FR"/>
              </w:rPr>
            </w:pPr>
            <w:r w:rsidRPr="00055DB8">
              <w:rPr>
                <w:rFonts w:eastAsia="Times New Roman" w:cs="Arial"/>
                <w:b/>
                <w:bCs/>
                <w:color w:val="000000"/>
                <w:sz w:val="20"/>
                <w:szCs w:val="20"/>
                <w:lang w:eastAsia="fr-FR"/>
              </w:rPr>
              <w:t xml:space="preserve">Restauration </w:t>
            </w:r>
            <w:r w:rsidRPr="00055DB8">
              <w:rPr>
                <w:rFonts w:eastAsia="Times New Roman" w:cs="Arial"/>
                <w:bCs/>
                <w:color w:val="000000"/>
                <w:sz w:val="20"/>
                <w:szCs w:val="20"/>
                <w:lang w:eastAsia="fr-FR"/>
              </w:rPr>
              <w:t>(dont boissons, hors hébergement)</w:t>
            </w:r>
          </w:p>
        </w:tc>
        <w:tc>
          <w:tcPr>
            <w:tcW w:w="1134" w:type="dxa"/>
            <w:tcBorders>
              <w:top w:val="nil"/>
              <w:left w:val="nil"/>
              <w:bottom w:val="single" w:sz="4" w:space="0" w:color="auto"/>
              <w:right w:val="single" w:sz="4" w:space="0" w:color="auto"/>
            </w:tcBorders>
            <w:shd w:val="clear" w:color="auto" w:fill="auto"/>
            <w:noWrap/>
            <w:vAlign w:val="center"/>
            <w:hideMark/>
          </w:tcPr>
          <w:p w14:paraId="15825944" w14:textId="2F0D8D44"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1 192</w:t>
            </w:r>
          </w:p>
        </w:tc>
        <w:tc>
          <w:tcPr>
            <w:tcW w:w="961" w:type="dxa"/>
            <w:tcBorders>
              <w:top w:val="nil"/>
              <w:left w:val="nil"/>
              <w:bottom w:val="single" w:sz="4" w:space="0" w:color="auto"/>
              <w:right w:val="single" w:sz="4" w:space="0" w:color="auto"/>
            </w:tcBorders>
            <w:shd w:val="clear" w:color="auto" w:fill="auto"/>
            <w:noWrap/>
            <w:vAlign w:val="center"/>
            <w:hideMark/>
          </w:tcPr>
          <w:p w14:paraId="44A73A74"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4,4%</w:t>
            </w:r>
          </w:p>
        </w:tc>
        <w:tc>
          <w:tcPr>
            <w:tcW w:w="1259" w:type="dxa"/>
            <w:tcBorders>
              <w:top w:val="nil"/>
              <w:left w:val="nil"/>
              <w:bottom w:val="single" w:sz="4" w:space="0" w:color="auto"/>
              <w:right w:val="single" w:sz="4" w:space="0" w:color="auto"/>
            </w:tcBorders>
            <w:shd w:val="clear" w:color="auto" w:fill="auto"/>
            <w:noWrap/>
            <w:vAlign w:val="center"/>
            <w:hideMark/>
          </w:tcPr>
          <w:p w14:paraId="5E7A492F" w14:textId="187E9089"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1 232</w:t>
            </w:r>
          </w:p>
        </w:tc>
        <w:tc>
          <w:tcPr>
            <w:tcW w:w="961" w:type="dxa"/>
            <w:tcBorders>
              <w:top w:val="nil"/>
              <w:left w:val="nil"/>
              <w:bottom w:val="single" w:sz="4" w:space="0" w:color="auto"/>
              <w:right w:val="single" w:sz="4" w:space="0" w:color="auto"/>
            </w:tcBorders>
            <w:shd w:val="clear" w:color="auto" w:fill="auto"/>
            <w:noWrap/>
            <w:vAlign w:val="center"/>
            <w:hideMark/>
          </w:tcPr>
          <w:p w14:paraId="14567023"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4,6%</w:t>
            </w:r>
          </w:p>
        </w:tc>
        <w:tc>
          <w:tcPr>
            <w:tcW w:w="1153" w:type="dxa"/>
            <w:tcBorders>
              <w:top w:val="nil"/>
              <w:left w:val="nil"/>
              <w:bottom w:val="single" w:sz="4" w:space="0" w:color="auto"/>
              <w:right w:val="single" w:sz="4" w:space="0" w:color="auto"/>
            </w:tcBorders>
            <w:shd w:val="clear" w:color="auto" w:fill="auto"/>
            <w:noWrap/>
            <w:vAlign w:val="center"/>
            <w:hideMark/>
          </w:tcPr>
          <w:p w14:paraId="53189CF2" w14:textId="130EFFD5"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1 382</w:t>
            </w:r>
          </w:p>
        </w:tc>
        <w:tc>
          <w:tcPr>
            <w:tcW w:w="961" w:type="dxa"/>
            <w:tcBorders>
              <w:top w:val="nil"/>
              <w:left w:val="nil"/>
              <w:bottom w:val="single" w:sz="4" w:space="0" w:color="auto"/>
              <w:right w:val="single" w:sz="4" w:space="0" w:color="auto"/>
            </w:tcBorders>
            <w:shd w:val="clear" w:color="auto" w:fill="auto"/>
            <w:noWrap/>
            <w:vAlign w:val="center"/>
            <w:hideMark/>
          </w:tcPr>
          <w:p w14:paraId="7249CC86" w14:textId="77777777" w:rsidR="00055DB8" w:rsidRPr="00055DB8" w:rsidRDefault="00055DB8" w:rsidP="00681460">
            <w:pPr>
              <w:spacing w:after="0" w:line="240" w:lineRule="auto"/>
              <w:ind w:left="142"/>
              <w:jc w:val="center"/>
              <w:rPr>
                <w:rFonts w:eastAsia="Times New Roman" w:cs="Arial"/>
                <w:color w:val="000000"/>
                <w:sz w:val="20"/>
                <w:szCs w:val="20"/>
                <w:lang w:eastAsia="fr-FR"/>
              </w:rPr>
            </w:pPr>
            <w:r w:rsidRPr="00055DB8">
              <w:rPr>
                <w:rFonts w:eastAsia="Times New Roman" w:cs="Arial"/>
                <w:color w:val="000000"/>
                <w:sz w:val="20"/>
                <w:szCs w:val="20"/>
                <w:lang w:eastAsia="fr-FR"/>
              </w:rPr>
              <w:t>5,0%</w:t>
            </w:r>
          </w:p>
        </w:tc>
      </w:tr>
    </w:tbl>
    <w:p w14:paraId="664EAA38" w14:textId="2C45B97A" w:rsidR="005267CA" w:rsidRPr="005267CA" w:rsidRDefault="00695391" w:rsidP="00F17F16">
      <w:pPr>
        <w:pStyle w:val="figure"/>
        <w:ind w:left="142"/>
        <w:rPr>
          <w:rStyle w:val="figureCar"/>
          <w:b/>
          <w:bCs/>
          <w:iCs/>
        </w:rPr>
      </w:pPr>
      <w:bookmarkStart w:id="93" w:name="_Ref58410210"/>
      <w:bookmarkStart w:id="94" w:name="_Toc72143368"/>
      <w:r w:rsidRPr="005267CA">
        <w:rPr>
          <w:rStyle w:val="figureCar"/>
          <w:b/>
          <w:bCs/>
          <w:iCs/>
        </w:rPr>
        <w:t>Tableau</w:t>
      </w:r>
      <w:r w:rsidR="008F4A66" w:rsidRPr="005267CA">
        <w:rPr>
          <w:rStyle w:val="figureCar"/>
          <w:b/>
          <w:bCs/>
          <w:iCs/>
        </w:rPr>
        <w:t xml:space="preserve">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20</w:t>
      </w:r>
      <w:r w:rsidRPr="005267CA">
        <w:rPr>
          <w:rStyle w:val="figureCar"/>
          <w:b/>
          <w:bCs/>
          <w:iCs/>
        </w:rPr>
        <w:fldChar w:fldCharType="end"/>
      </w:r>
      <w:bookmarkEnd w:id="93"/>
      <w:r w:rsidR="00ED3A90" w:rsidRPr="005267CA">
        <w:rPr>
          <w:rStyle w:val="figureCar"/>
          <w:b/>
          <w:bCs/>
          <w:iCs/>
        </w:rPr>
        <w:t xml:space="preserve"> : </w:t>
      </w:r>
      <w:r w:rsidR="008C5201" w:rsidRPr="005267CA">
        <w:rPr>
          <w:rStyle w:val="figureCar"/>
          <w:b/>
          <w:bCs/>
          <w:iCs/>
        </w:rPr>
        <w:t xml:space="preserve">Dépenses moyennes </w:t>
      </w:r>
      <w:r w:rsidR="006B16DA" w:rsidRPr="005267CA">
        <w:rPr>
          <w:rStyle w:val="figureCar"/>
          <w:b/>
          <w:bCs/>
          <w:iCs/>
        </w:rPr>
        <w:t xml:space="preserve">annuelles </w:t>
      </w:r>
      <w:r w:rsidR="008C5201" w:rsidRPr="005267CA">
        <w:rPr>
          <w:rStyle w:val="figureCar"/>
          <w:b/>
          <w:bCs/>
          <w:iCs/>
        </w:rPr>
        <w:t xml:space="preserve">des ménages </w:t>
      </w:r>
      <w:r w:rsidR="006B16DA" w:rsidRPr="005267CA">
        <w:rPr>
          <w:rStyle w:val="figureCar"/>
          <w:b/>
          <w:bCs/>
          <w:iCs/>
        </w:rPr>
        <w:t xml:space="preserve">en </w:t>
      </w:r>
      <w:r w:rsidR="002809A3" w:rsidRPr="005267CA">
        <w:rPr>
          <w:rStyle w:val="figureCar"/>
          <w:b/>
          <w:bCs/>
          <w:iCs/>
        </w:rPr>
        <w:t xml:space="preserve">euro </w:t>
      </w:r>
      <w:r w:rsidR="00F46124" w:rsidRPr="005267CA">
        <w:rPr>
          <w:rStyle w:val="figureCar"/>
          <w:b/>
          <w:bCs/>
          <w:iCs/>
        </w:rPr>
        <w:t>des</w:t>
      </w:r>
      <w:r w:rsidR="00D148BD" w:rsidRPr="005267CA">
        <w:rPr>
          <w:rStyle w:val="figureCar"/>
          <w:b/>
          <w:bCs/>
          <w:iCs/>
        </w:rPr>
        <w:t xml:space="preserve"> produits alimentaires </w:t>
      </w:r>
      <w:r w:rsidR="00F46124" w:rsidRPr="005267CA">
        <w:rPr>
          <w:rStyle w:val="figureCar"/>
          <w:b/>
          <w:bCs/>
          <w:iCs/>
        </w:rPr>
        <w:t xml:space="preserve">(dont boissons non alcoolisées) à domicile et hors domicile sur le total des dépenses et </w:t>
      </w:r>
      <w:r w:rsidR="00D148BD" w:rsidRPr="005267CA">
        <w:rPr>
          <w:rStyle w:val="figureCar"/>
          <w:b/>
          <w:bCs/>
          <w:iCs/>
        </w:rPr>
        <w:t xml:space="preserve">en </w:t>
      </w:r>
      <w:r w:rsidR="00097A21" w:rsidRPr="005267CA">
        <w:rPr>
          <w:rStyle w:val="figureCar"/>
          <w:b/>
          <w:bCs/>
          <w:iCs/>
        </w:rPr>
        <w:t>viande</w:t>
      </w:r>
      <w:r w:rsidR="00D148BD" w:rsidRPr="005267CA">
        <w:rPr>
          <w:rStyle w:val="figureCar"/>
          <w:b/>
          <w:bCs/>
          <w:iCs/>
        </w:rPr>
        <w:t xml:space="preserve"> </w:t>
      </w:r>
      <w:r w:rsidR="00F46124" w:rsidRPr="005267CA">
        <w:rPr>
          <w:rStyle w:val="figureCar"/>
          <w:b/>
          <w:bCs/>
          <w:iCs/>
        </w:rPr>
        <w:t>sur le total produits alimentaires (dont boissons non alcoolisées)</w:t>
      </w:r>
      <w:bookmarkEnd w:id="94"/>
    </w:p>
    <w:p w14:paraId="66D32E43" w14:textId="560A9779" w:rsidR="001874A0" w:rsidRPr="005267CA" w:rsidRDefault="00ED3A90" w:rsidP="00F17F16">
      <w:pPr>
        <w:pStyle w:val="Lgende"/>
        <w:ind w:left="142"/>
      </w:pPr>
      <w:r w:rsidRPr="005267CA">
        <w:t>(</w:t>
      </w:r>
      <w:r w:rsidR="00FB65CD" w:rsidRPr="005267CA">
        <w:t>Source</w:t>
      </w:r>
      <w:r w:rsidRPr="005267CA">
        <w:t xml:space="preserve"> : </w:t>
      </w:r>
      <w:r w:rsidR="00D148BD" w:rsidRPr="005267CA">
        <w:t xml:space="preserve">Ifip d’après </w:t>
      </w:r>
      <w:r w:rsidR="00097A21" w:rsidRPr="005267CA">
        <w:t>INSEE</w:t>
      </w:r>
      <w:r w:rsidRPr="005267CA">
        <w:t>, 20</w:t>
      </w:r>
      <w:r w:rsidR="00D148BD" w:rsidRPr="005267CA">
        <w:t>17</w:t>
      </w:r>
      <w:r w:rsidRPr="005267CA">
        <w:t>).</w:t>
      </w:r>
    </w:p>
    <w:p w14:paraId="040FE81B" w14:textId="3429F2DC" w:rsidR="002809A3" w:rsidRPr="002809A3" w:rsidRDefault="002809A3" w:rsidP="00F17F16">
      <w:pPr>
        <w:ind w:left="142"/>
      </w:pPr>
      <w:r>
        <w:t>E</w:t>
      </w:r>
      <w:r w:rsidRPr="002809A3">
        <w:t>n parallèle</w:t>
      </w:r>
      <w:r>
        <w:t>,</w:t>
      </w:r>
      <w:r w:rsidRPr="002809A3">
        <w:t xml:space="preserve"> l’Institut de </w:t>
      </w:r>
      <w:r w:rsidR="00FD6DD7">
        <w:t>R</w:t>
      </w:r>
      <w:r w:rsidRPr="002809A3">
        <w:t xml:space="preserve">echerches </w:t>
      </w:r>
      <w:r w:rsidR="00FD6DD7">
        <w:t>E</w:t>
      </w:r>
      <w:r w:rsidRPr="002809A3">
        <w:t xml:space="preserve">conomiques et </w:t>
      </w:r>
      <w:r w:rsidR="00FD6DD7">
        <w:t>S</w:t>
      </w:r>
      <w:r w:rsidRPr="002809A3">
        <w:t>ociales (IRES) indique que sur la période 2012-2018, la part d</w:t>
      </w:r>
      <w:r>
        <w:t>u</w:t>
      </w:r>
      <w:r w:rsidRPr="002809A3">
        <w:t xml:space="preserve"> budget consacrée à l’alimentation </w:t>
      </w:r>
      <w:r>
        <w:t xml:space="preserve">par les familles modestes </w:t>
      </w:r>
      <w:r w:rsidRPr="002809A3">
        <w:t xml:space="preserve">a augmenté beaucoup plus vite que l’inflation </w:t>
      </w:r>
      <w:r w:rsidR="00FD6DD7">
        <w:t>et pour celles-ci</w:t>
      </w:r>
      <w:r w:rsidR="00A90E5D">
        <w:t>,</w:t>
      </w:r>
      <w:r w:rsidR="00FD6DD7">
        <w:t xml:space="preserve"> l’alimentation</w:t>
      </w:r>
      <w:r w:rsidRPr="002809A3">
        <w:t xml:space="preserve"> </w:t>
      </w:r>
      <w:r w:rsidR="00FD6DD7">
        <w:t xml:space="preserve">représente </w:t>
      </w:r>
      <w:r w:rsidRPr="002809A3">
        <w:t>le premier poste de dépenses à partir des données produites par les budgets types de l’Union nationale des associations familiales (UNAF)</w:t>
      </w:r>
      <w:r>
        <w:t xml:space="preserve">. Ces aspects de pouvoir d’achat ont leur importance dans </w:t>
      </w:r>
      <w:r>
        <w:lastRenderedPageBreak/>
        <w:t xml:space="preserve">la consommation des produits du porc puisque </w:t>
      </w:r>
      <w:r w:rsidR="00FD6DD7">
        <w:t>celui-ci</w:t>
      </w:r>
      <w:r>
        <w:t xml:space="preserve"> demeure l</w:t>
      </w:r>
      <w:r w:rsidR="00D83B75">
        <w:t>’une des</w:t>
      </w:r>
      <w:r>
        <w:t xml:space="preserve"> protéine</w:t>
      </w:r>
      <w:r w:rsidR="00D83B75">
        <w:t>s</w:t>
      </w:r>
      <w:r>
        <w:t xml:space="preserve"> carnée</w:t>
      </w:r>
      <w:r w:rsidR="00D83B75">
        <w:t>s</w:t>
      </w:r>
      <w:r>
        <w:t xml:space="preserve"> l</w:t>
      </w:r>
      <w:r w:rsidR="00D83B75">
        <w:t>es</w:t>
      </w:r>
      <w:r>
        <w:t xml:space="preserve"> plus économique</w:t>
      </w:r>
      <w:r w:rsidR="00D83B75">
        <w:t>s</w:t>
      </w:r>
      <w:r>
        <w:t>.</w:t>
      </w:r>
    </w:p>
    <w:p w14:paraId="089494FB" w14:textId="40F28D77" w:rsidR="000B75C3" w:rsidRDefault="00A162C3" w:rsidP="00F17F16">
      <w:pPr>
        <w:ind w:left="142"/>
        <w:rPr>
          <w:bCs/>
        </w:rPr>
      </w:pPr>
      <w:r>
        <w:rPr>
          <w:szCs w:val="20"/>
        </w:rPr>
        <w:t>En détail, l</w:t>
      </w:r>
      <w:r w:rsidR="00002CFB">
        <w:rPr>
          <w:szCs w:val="20"/>
        </w:rPr>
        <w:t>es</w:t>
      </w:r>
      <w:r w:rsidR="00C519D4" w:rsidRPr="009B738E">
        <w:rPr>
          <w:szCs w:val="20"/>
        </w:rPr>
        <w:t xml:space="preserve"> viand</w:t>
      </w:r>
      <w:r w:rsidR="00C519D4">
        <w:rPr>
          <w:szCs w:val="20"/>
        </w:rPr>
        <w:t>e</w:t>
      </w:r>
      <w:r w:rsidR="00002CFB">
        <w:rPr>
          <w:szCs w:val="20"/>
        </w:rPr>
        <w:t>s</w:t>
      </w:r>
      <w:r w:rsidR="00C519D4" w:rsidRPr="009B738E">
        <w:rPr>
          <w:szCs w:val="20"/>
        </w:rPr>
        <w:t xml:space="preserve"> </w:t>
      </w:r>
      <w:r w:rsidR="002367A9">
        <w:rPr>
          <w:szCs w:val="20"/>
        </w:rPr>
        <w:t xml:space="preserve">incluant les charcuteries </w:t>
      </w:r>
      <w:r w:rsidR="00C519D4">
        <w:rPr>
          <w:szCs w:val="20"/>
        </w:rPr>
        <w:t>re</w:t>
      </w:r>
      <w:r w:rsidR="00C519D4" w:rsidRPr="009B738E">
        <w:rPr>
          <w:szCs w:val="20"/>
        </w:rPr>
        <w:t>présente</w:t>
      </w:r>
      <w:r w:rsidR="00002CFB">
        <w:rPr>
          <w:szCs w:val="20"/>
        </w:rPr>
        <w:t>nt</w:t>
      </w:r>
      <w:r w:rsidR="00C519D4" w:rsidRPr="009B738E">
        <w:rPr>
          <w:szCs w:val="20"/>
        </w:rPr>
        <w:t xml:space="preserve"> le premier poste de dépenses de consommation alimentaire à hauteur de 2</w:t>
      </w:r>
      <w:r w:rsidR="00C519D4">
        <w:rPr>
          <w:szCs w:val="20"/>
        </w:rPr>
        <w:t>1</w:t>
      </w:r>
      <w:r w:rsidR="00C519D4" w:rsidRPr="009B738E">
        <w:rPr>
          <w:szCs w:val="20"/>
        </w:rPr>
        <w:t>,</w:t>
      </w:r>
      <w:r w:rsidR="00C519D4">
        <w:rPr>
          <w:szCs w:val="20"/>
        </w:rPr>
        <w:t>7</w:t>
      </w:r>
      <w:r w:rsidR="008F4A66">
        <w:rPr>
          <w:szCs w:val="20"/>
        </w:rPr>
        <w:t> </w:t>
      </w:r>
      <w:r w:rsidR="00C519D4" w:rsidRPr="009B738E">
        <w:rPr>
          <w:szCs w:val="20"/>
        </w:rPr>
        <w:t xml:space="preserve">% avec </w:t>
      </w:r>
      <w:r w:rsidR="00C519D4">
        <w:rPr>
          <w:szCs w:val="20"/>
        </w:rPr>
        <w:t xml:space="preserve">des dépenses en </w:t>
      </w:r>
      <w:r w:rsidR="00C519D4" w:rsidRPr="009B738E">
        <w:rPr>
          <w:szCs w:val="20"/>
        </w:rPr>
        <w:t xml:space="preserve">recul </w:t>
      </w:r>
      <w:r w:rsidR="00C519D4">
        <w:rPr>
          <w:szCs w:val="20"/>
        </w:rPr>
        <w:t xml:space="preserve">continu depuis 2006 </w:t>
      </w:r>
      <w:r w:rsidR="0099295B">
        <w:rPr>
          <w:szCs w:val="20"/>
        </w:rPr>
        <w:t>avec</w:t>
      </w:r>
      <w:r w:rsidR="00D83B75">
        <w:rPr>
          <w:szCs w:val="20"/>
        </w:rPr>
        <w:t xml:space="preserve"> </w:t>
      </w:r>
      <w:r w:rsidR="0099295B">
        <w:rPr>
          <w:szCs w:val="20"/>
        </w:rPr>
        <w:t>-</w:t>
      </w:r>
      <w:r w:rsidR="00C519D4">
        <w:rPr>
          <w:szCs w:val="20"/>
        </w:rPr>
        <w:t>5,4</w:t>
      </w:r>
      <w:r w:rsidR="008F4A66">
        <w:rPr>
          <w:szCs w:val="20"/>
        </w:rPr>
        <w:t> </w:t>
      </w:r>
      <w:r w:rsidR="00C519D4">
        <w:rPr>
          <w:szCs w:val="20"/>
        </w:rPr>
        <w:t xml:space="preserve">% </w:t>
      </w:r>
      <w:r w:rsidR="00C519D4" w:rsidRPr="009B738E">
        <w:rPr>
          <w:szCs w:val="20"/>
        </w:rPr>
        <w:t>entre 201</w:t>
      </w:r>
      <w:r w:rsidR="00C519D4">
        <w:rPr>
          <w:szCs w:val="20"/>
        </w:rPr>
        <w:t>1</w:t>
      </w:r>
      <w:r w:rsidR="00C519D4" w:rsidRPr="009B738E">
        <w:rPr>
          <w:szCs w:val="20"/>
        </w:rPr>
        <w:t xml:space="preserve"> et 201</w:t>
      </w:r>
      <w:r w:rsidR="00C519D4">
        <w:rPr>
          <w:szCs w:val="20"/>
        </w:rPr>
        <w:t>7.</w:t>
      </w:r>
      <w:r w:rsidR="00A90E5D">
        <w:rPr>
          <w:szCs w:val="20"/>
        </w:rPr>
        <w:t xml:space="preserve"> </w:t>
      </w:r>
      <w:r w:rsidR="00DF5546" w:rsidRPr="008F4A66">
        <w:rPr>
          <w:bCs/>
        </w:rPr>
        <w:t>Les viandes fraîches ou congelées toutes espèces constituent la part la plus importante avec 55,9</w:t>
      </w:r>
      <w:r w:rsidR="008F4A66" w:rsidRPr="008F4A66">
        <w:rPr>
          <w:bCs/>
        </w:rPr>
        <w:t> </w:t>
      </w:r>
      <w:r w:rsidR="00DF5546" w:rsidRPr="008F4A66">
        <w:rPr>
          <w:bCs/>
        </w:rPr>
        <w:t>% du total viandes</w:t>
      </w:r>
      <w:r w:rsidR="0099295B">
        <w:rPr>
          <w:bCs/>
        </w:rPr>
        <w:t xml:space="preserve"> et charcuteries</w:t>
      </w:r>
      <w:r w:rsidR="00DF5546" w:rsidRPr="008F4A66">
        <w:rPr>
          <w:bCs/>
        </w:rPr>
        <w:t>. Au sein de cette catégorie, le porc</w:t>
      </w:r>
      <w:r w:rsidR="007369D4">
        <w:rPr>
          <w:bCs/>
        </w:rPr>
        <w:t xml:space="preserve"> (</w:t>
      </w:r>
      <w:r w:rsidR="007369D4" w:rsidRPr="008F4A66">
        <w:rPr>
          <w:bCs/>
        </w:rPr>
        <w:t>7,8 %</w:t>
      </w:r>
      <w:r w:rsidR="007369D4">
        <w:rPr>
          <w:bCs/>
        </w:rPr>
        <w:t>)</w:t>
      </w:r>
      <w:r w:rsidR="00DF5546" w:rsidRPr="008F4A66">
        <w:rPr>
          <w:bCs/>
        </w:rPr>
        <w:t xml:space="preserve"> arrive en dépenses, derrière le bœuf (26,6</w:t>
      </w:r>
      <w:r w:rsidR="008F4A66" w:rsidRPr="008F4A66">
        <w:rPr>
          <w:bCs/>
        </w:rPr>
        <w:t> </w:t>
      </w:r>
      <w:r w:rsidR="00DF5546" w:rsidRPr="008F4A66">
        <w:rPr>
          <w:bCs/>
        </w:rPr>
        <w:t>%) et la volaille (16,6</w:t>
      </w:r>
      <w:r w:rsidR="008F4A66" w:rsidRPr="008F4A66">
        <w:rPr>
          <w:bCs/>
        </w:rPr>
        <w:t> </w:t>
      </w:r>
      <w:r w:rsidR="00DF5546" w:rsidRPr="008F4A66">
        <w:rPr>
          <w:bCs/>
        </w:rPr>
        <w:t>%) et devant les autres viandes ovines, caprines et autres</w:t>
      </w:r>
      <w:r w:rsidR="004842C8">
        <w:rPr>
          <w:bCs/>
        </w:rPr>
        <w:t xml:space="preserve"> </w:t>
      </w:r>
      <w:r w:rsidR="004842C8" w:rsidRPr="008F4A66">
        <w:rPr>
          <w:bCs/>
        </w:rPr>
        <w:t>(4,6%)</w:t>
      </w:r>
      <w:r w:rsidR="00DF5546" w:rsidRPr="008F4A66">
        <w:rPr>
          <w:bCs/>
        </w:rPr>
        <w:t>. Les dépenses en porc</w:t>
      </w:r>
      <w:r w:rsidR="000B75C3">
        <w:rPr>
          <w:bCs/>
        </w:rPr>
        <w:t xml:space="preserve"> </w:t>
      </w:r>
      <w:r w:rsidR="000B75C3" w:rsidRPr="008F4A66">
        <w:rPr>
          <w:bCs/>
        </w:rPr>
        <w:t>à un niveau de 75 euros annuels</w:t>
      </w:r>
      <w:r w:rsidR="00DF5546" w:rsidRPr="008F4A66">
        <w:rPr>
          <w:bCs/>
        </w:rPr>
        <w:t xml:space="preserve"> en 2017</w:t>
      </w:r>
      <w:r w:rsidR="000B75C3">
        <w:rPr>
          <w:bCs/>
        </w:rPr>
        <w:t>,</w:t>
      </w:r>
      <w:r w:rsidR="00DF5546" w:rsidRPr="008F4A66">
        <w:rPr>
          <w:bCs/>
        </w:rPr>
        <w:t xml:space="preserve"> reculent plus vite que le total viande avec -</w:t>
      </w:r>
      <w:r w:rsidR="008F4A66" w:rsidRPr="008F4A66">
        <w:rPr>
          <w:bCs/>
        </w:rPr>
        <w:t> </w:t>
      </w:r>
      <w:r w:rsidR="00DF5546" w:rsidRPr="008F4A66">
        <w:rPr>
          <w:bCs/>
        </w:rPr>
        <w:t>6,3</w:t>
      </w:r>
      <w:r w:rsidR="008F4A66" w:rsidRPr="008F4A66">
        <w:rPr>
          <w:bCs/>
        </w:rPr>
        <w:t> </w:t>
      </w:r>
      <w:r w:rsidR="00DF5546" w:rsidRPr="008F4A66">
        <w:rPr>
          <w:bCs/>
        </w:rPr>
        <w:t xml:space="preserve">% entre 2017 et 2011. </w:t>
      </w:r>
    </w:p>
    <w:p w14:paraId="2E05FB62" w14:textId="4A573E76" w:rsidR="00DF5546" w:rsidRPr="00A90E5D" w:rsidRDefault="00DF5546" w:rsidP="00F17F16">
      <w:pPr>
        <w:ind w:left="142"/>
        <w:rPr>
          <w:szCs w:val="20"/>
        </w:rPr>
      </w:pPr>
      <w:r w:rsidRPr="008F4A66">
        <w:rPr>
          <w:bCs/>
        </w:rPr>
        <w:t>La consommation de charcuteries incluant les espèces porc et volaille est de 32,8 % en 2017 en croissance de 0,6</w:t>
      </w:r>
      <w:r w:rsidR="008F4A66" w:rsidRPr="008F4A66">
        <w:rPr>
          <w:bCs/>
        </w:rPr>
        <w:t> </w:t>
      </w:r>
      <w:r w:rsidRPr="008F4A66">
        <w:rPr>
          <w:bCs/>
        </w:rPr>
        <w:t>% par rapport à 2011 (</w:t>
      </w:r>
      <w:r w:rsidR="00681460">
        <w:rPr>
          <w:bCs/>
        </w:rPr>
        <w:fldChar w:fldCharType="begin"/>
      </w:r>
      <w:r w:rsidR="00681460">
        <w:rPr>
          <w:bCs/>
        </w:rPr>
        <w:instrText xml:space="preserve"> REF _Ref77693140 \h </w:instrText>
      </w:r>
      <w:r w:rsidR="00681460">
        <w:rPr>
          <w:bCs/>
        </w:rPr>
      </w:r>
      <w:r w:rsidR="00681460">
        <w:rPr>
          <w:bCs/>
        </w:rPr>
        <w:fldChar w:fldCharType="separate"/>
      </w:r>
      <w:r w:rsidR="00681460" w:rsidRPr="007B3B77">
        <w:t xml:space="preserve">Figure </w:t>
      </w:r>
      <w:r w:rsidR="00681460">
        <w:rPr>
          <w:noProof/>
        </w:rPr>
        <w:t>10</w:t>
      </w:r>
      <w:r w:rsidR="00681460">
        <w:rPr>
          <w:bCs/>
        </w:rPr>
        <w:fldChar w:fldCharType="end"/>
      </w:r>
      <w:r w:rsidRPr="008F4A66">
        <w:rPr>
          <w:bCs/>
        </w:rPr>
        <w:t>).</w:t>
      </w:r>
    </w:p>
    <w:p w14:paraId="1A2FCAC9" w14:textId="29F9DA29" w:rsidR="00DF5546" w:rsidRPr="008F4A66" w:rsidRDefault="00DF5546" w:rsidP="00F17F16">
      <w:pPr>
        <w:ind w:left="142"/>
        <w:rPr>
          <w:bCs/>
        </w:rPr>
      </w:pPr>
      <w:r w:rsidRPr="008F4A66">
        <w:rPr>
          <w:bCs/>
        </w:rPr>
        <w:t>Au total du porc, et si on considère que la part de la charcuterie de volaille et des abats dans le total charcuteries est de l’ordre de 5</w:t>
      </w:r>
      <w:r w:rsidR="008F4A66" w:rsidRPr="008F4A66">
        <w:rPr>
          <w:bCs/>
        </w:rPr>
        <w:t> </w:t>
      </w:r>
      <w:r w:rsidRPr="008F4A66">
        <w:rPr>
          <w:bCs/>
        </w:rPr>
        <w:t>%, la charcuterie de porc représenterait de manière estimée environ 75</w:t>
      </w:r>
      <w:r w:rsidR="008F4A66" w:rsidRPr="008F4A66">
        <w:rPr>
          <w:bCs/>
        </w:rPr>
        <w:t> </w:t>
      </w:r>
      <w:r w:rsidRPr="008F4A66">
        <w:rPr>
          <w:bCs/>
        </w:rPr>
        <w:t>% des dépenses en porc contre 25</w:t>
      </w:r>
      <w:r w:rsidR="008F4A66" w:rsidRPr="008F4A66">
        <w:rPr>
          <w:bCs/>
        </w:rPr>
        <w:t> </w:t>
      </w:r>
      <w:r w:rsidRPr="008F4A66">
        <w:rPr>
          <w:bCs/>
        </w:rPr>
        <w:t>% en viande fraîche ou congelée.</w:t>
      </w:r>
    </w:p>
    <w:p w14:paraId="20225B63" w14:textId="3B05E44B" w:rsidR="00464C81" w:rsidRDefault="00FD6DD7" w:rsidP="00F17F16">
      <w:pPr>
        <w:pStyle w:val="NormalWeb"/>
        <w:shd w:val="clear" w:color="auto" w:fill="FFFFFF"/>
        <w:spacing w:before="0" w:beforeAutospacing="0" w:after="0" w:afterAutospacing="0"/>
        <w:ind w:left="142"/>
        <w:rPr>
          <w:rFonts w:ascii="Arial" w:hAnsi="Arial" w:cs="Arial"/>
          <w:sz w:val="22"/>
          <w:szCs w:val="20"/>
        </w:rPr>
      </w:pPr>
      <w:r>
        <w:rPr>
          <w:noProof/>
        </w:rPr>
        <w:drawing>
          <wp:inline distT="0" distB="0" distL="0" distR="0" wp14:anchorId="23CF2986" wp14:editId="5126FDEF">
            <wp:extent cx="6072505" cy="3588588"/>
            <wp:effectExtent l="0" t="0" r="4445" b="0"/>
            <wp:docPr id="45" name="Graphique 45">
              <a:extLst xmlns:a="http://schemas.openxmlformats.org/drawingml/2006/main">
                <a:ext uri="{FF2B5EF4-FFF2-40B4-BE49-F238E27FC236}">
                  <a16:creationId xmlns:a16="http://schemas.microsoft.com/office/drawing/2014/main" id="{ED240CBE-63B5-4F8C-9226-BFD0DCAE7C0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1522B14F" w14:textId="4425E104" w:rsidR="005267CA" w:rsidRPr="005267CA" w:rsidRDefault="00971C72" w:rsidP="00F17F16">
      <w:pPr>
        <w:pStyle w:val="figure"/>
        <w:ind w:left="142"/>
      </w:pPr>
      <w:bookmarkStart w:id="95" w:name="_Toc69511403"/>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11</w:t>
      </w:r>
      <w:r w:rsidRPr="005267CA">
        <w:rPr>
          <w:rStyle w:val="figureCar"/>
          <w:b/>
          <w:bCs/>
          <w:iCs/>
        </w:rPr>
        <w:fldChar w:fldCharType="end"/>
      </w:r>
      <w:r w:rsidRPr="005267CA">
        <w:rPr>
          <w:rStyle w:val="figureCar"/>
          <w:b/>
          <w:bCs/>
          <w:iCs/>
        </w:rPr>
        <w:t xml:space="preserve"> </w:t>
      </w:r>
      <w:r w:rsidR="00464C81" w:rsidRPr="005267CA">
        <w:rPr>
          <w:rStyle w:val="figureCar"/>
          <w:b/>
          <w:bCs/>
          <w:iCs/>
        </w:rPr>
        <w:t xml:space="preserve">: </w:t>
      </w:r>
      <w:r w:rsidR="00710243" w:rsidRPr="005267CA">
        <w:rPr>
          <w:rStyle w:val="figureCar"/>
          <w:b/>
          <w:bCs/>
          <w:iCs/>
        </w:rPr>
        <w:t>Evolution de la p</w:t>
      </w:r>
      <w:r w:rsidR="00464C81" w:rsidRPr="005267CA">
        <w:rPr>
          <w:rStyle w:val="figureCar"/>
          <w:b/>
          <w:bCs/>
          <w:iCs/>
        </w:rPr>
        <w:t xml:space="preserve">art </w:t>
      </w:r>
      <w:r w:rsidR="00710243" w:rsidRPr="005267CA">
        <w:rPr>
          <w:rStyle w:val="figureCar"/>
          <w:b/>
          <w:bCs/>
          <w:iCs/>
        </w:rPr>
        <w:t xml:space="preserve">budgétaire </w:t>
      </w:r>
      <w:r w:rsidR="00464C81" w:rsidRPr="005267CA">
        <w:rPr>
          <w:rStyle w:val="figureCar"/>
          <w:b/>
          <w:bCs/>
          <w:iCs/>
        </w:rPr>
        <w:t xml:space="preserve">des dépenses moyennes annuelles des ménages en % par type de produits de la viande sur le total des dépenses </w:t>
      </w:r>
      <w:r w:rsidR="00710243" w:rsidRPr="005267CA">
        <w:rPr>
          <w:rStyle w:val="figureCar"/>
          <w:b/>
          <w:bCs/>
          <w:iCs/>
        </w:rPr>
        <w:t xml:space="preserve">entre 2006 et 2017 </w:t>
      </w:r>
      <w:r w:rsidR="006C7D27" w:rsidRPr="005267CA">
        <w:rPr>
          <w:rStyle w:val="figureCar"/>
          <w:b/>
          <w:bCs/>
          <w:iCs/>
        </w:rPr>
        <w:t>à domicile</w:t>
      </w:r>
      <w:bookmarkEnd w:id="95"/>
    </w:p>
    <w:p w14:paraId="26C9083D" w14:textId="07B8AFC7" w:rsidR="00464C81" w:rsidRPr="005267CA" w:rsidRDefault="00203CAE" w:rsidP="00F17F16">
      <w:pPr>
        <w:pStyle w:val="Lgende"/>
        <w:ind w:left="142"/>
      </w:pPr>
      <w:r w:rsidRPr="00203CAE">
        <w:rPr>
          <w:rStyle w:val="figureCar"/>
          <w:i w:val="0"/>
        </w:rPr>
        <w:t>(FRC :</w:t>
      </w:r>
      <w:r>
        <w:rPr>
          <w:rStyle w:val="figureCar"/>
          <w:i w:val="0"/>
        </w:rPr>
        <w:t xml:space="preserve"> frais et congelé)</w:t>
      </w:r>
      <w:r>
        <w:t xml:space="preserve"> </w:t>
      </w:r>
      <w:r w:rsidR="00464C81" w:rsidRPr="005267CA">
        <w:t>(</w:t>
      </w:r>
      <w:r w:rsidR="00FB65CD" w:rsidRPr="005267CA">
        <w:t>Source</w:t>
      </w:r>
      <w:r w:rsidR="00464C81" w:rsidRPr="005267CA">
        <w:t> : Ifip d’après INSEE, 2017).</w:t>
      </w:r>
    </w:p>
    <w:p w14:paraId="3FE4FBB8" w14:textId="41BD4C8F" w:rsidR="00710243" w:rsidRDefault="005B616D" w:rsidP="00F17F16">
      <w:pPr>
        <w:pStyle w:val="Titre3"/>
        <w:tabs>
          <w:tab w:val="clear" w:pos="1440"/>
        </w:tabs>
        <w:ind w:left="142"/>
      </w:pPr>
      <w:bookmarkStart w:id="96" w:name="_Toc78131569"/>
      <w:r w:rsidRPr="0027378B">
        <w:t>3.</w:t>
      </w:r>
      <w:r w:rsidR="00B9002C">
        <w:t>1</w:t>
      </w:r>
      <w:r w:rsidRPr="0027378B">
        <w:t>.</w:t>
      </w:r>
      <w:r>
        <w:t>3</w:t>
      </w:r>
      <w:r w:rsidRPr="0027378B">
        <w:t xml:space="preserve">. </w:t>
      </w:r>
      <w:r>
        <w:t xml:space="preserve">Limites de l’enquête </w:t>
      </w:r>
      <w:r w:rsidR="00D018F1">
        <w:t>BDF</w:t>
      </w:r>
      <w:r w:rsidR="00EF0763">
        <w:t> :</w:t>
      </w:r>
      <w:bookmarkEnd w:id="96"/>
      <w:r w:rsidR="00EF0763">
        <w:t xml:space="preserve"> </w:t>
      </w:r>
    </w:p>
    <w:p w14:paraId="0728128A" w14:textId="6B8EE010" w:rsidR="00E244AF" w:rsidRDefault="00EF0763" w:rsidP="00F17F16">
      <w:pPr>
        <w:ind w:left="142"/>
      </w:pPr>
      <w:r>
        <w:t>U</w:t>
      </w:r>
      <w:r w:rsidR="005B616D">
        <w:t xml:space="preserve">ne étude conduite par FranceAgrimer sur les écarts entre </w:t>
      </w:r>
      <w:r w:rsidR="00B6014F">
        <w:t xml:space="preserve">les </w:t>
      </w:r>
      <w:r w:rsidR="005B616D">
        <w:t xml:space="preserve">comportements </w:t>
      </w:r>
      <w:r>
        <w:t xml:space="preserve">alimentaires </w:t>
      </w:r>
      <w:r w:rsidR="005B616D">
        <w:t>déclarés et réels</w:t>
      </w:r>
      <w:r w:rsidR="00710243">
        <w:t xml:space="preserve"> lors d’enquête</w:t>
      </w:r>
      <w:r w:rsidR="005B616D">
        <w:t>, fournit d</w:t>
      </w:r>
      <w:r w:rsidR="00710243">
        <w:t xml:space="preserve">es </w:t>
      </w:r>
      <w:r w:rsidR="005B616D">
        <w:t xml:space="preserve">éléments </w:t>
      </w:r>
      <w:r w:rsidR="00710243">
        <w:t xml:space="preserve">sur les biais de l’enquête </w:t>
      </w:r>
      <w:r w:rsidR="00D018F1">
        <w:t>BDF</w:t>
      </w:r>
      <w:r w:rsidR="00710243">
        <w:t xml:space="preserve"> tels qu’identifiés par </w:t>
      </w:r>
      <w:r w:rsidR="001450BF">
        <w:t>l’INSEE</w:t>
      </w:r>
      <w:r w:rsidR="00620FDC">
        <w:t xml:space="preserve"> </w:t>
      </w:r>
      <w:r w:rsidR="001450BF">
        <w:t>(</w:t>
      </w:r>
      <w:r w:rsidR="005B616D">
        <w:t>FranceAgrimer, 2020)</w:t>
      </w:r>
      <w:r w:rsidR="00FB42DD">
        <w:t xml:space="preserve"> qui sont de </w:t>
      </w:r>
      <w:r w:rsidR="00104D7C">
        <w:t>plusieurs</w:t>
      </w:r>
      <w:r w:rsidR="00FB42DD">
        <w:t xml:space="preserve"> ordres</w:t>
      </w:r>
      <w:r w:rsidR="00710243">
        <w:t xml:space="preserve"> </w:t>
      </w:r>
      <w:r w:rsidR="005B616D">
        <w:t>:</w:t>
      </w:r>
      <w:r w:rsidR="00710243">
        <w:t xml:space="preserve"> </w:t>
      </w:r>
    </w:p>
    <w:p w14:paraId="48C89916" w14:textId="10760A77" w:rsidR="00104D7C" w:rsidRDefault="004B1E6C" w:rsidP="00104D7C">
      <w:pPr>
        <w:pStyle w:val="Paragraphedeliste"/>
        <w:numPr>
          <w:ilvl w:val="0"/>
          <w:numId w:val="10"/>
        </w:numPr>
      </w:pPr>
      <w:r>
        <w:t>L’existence</w:t>
      </w:r>
      <w:r w:rsidR="00604E08">
        <w:t xml:space="preserve"> d’écarts</w:t>
      </w:r>
      <w:r w:rsidR="00D32833">
        <w:t xml:space="preserve"> entre les estimations des budgets des ménages déclarés et les données de consommation des ménages issues de la comptabilité nationale</w:t>
      </w:r>
      <w:r w:rsidR="008D6BC1">
        <w:t xml:space="preserve"> </w:t>
      </w:r>
      <w:r w:rsidR="00D32833">
        <w:t>:</w:t>
      </w:r>
      <w:r w:rsidR="00604E08">
        <w:t xml:space="preserve"> </w:t>
      </w:r>
      <w:r w:rsidRPr="00A20573">
        <w:rPr>
          <w:u w:val="single"/>
        </w:rPr>
        <w:t>l</w:t>
      </w:r>
      <w:r w:rsidR="001450BF" w:rsidRPr="00A20573">
        <w:rPr>
          <w:u w:val="single"/>
        </w:rPr>
        <w:t>es</w:t>
      </w:r>
      <w:r w:rsidR="00710243" w:rsidRPr="00A20573">
        <w:rPr>
          <w:u w:val="single"/>
        </w:rPr>
        <w:t xml:space="preserve"> </w:t>
      </w:r>
      <w:r w:rsidR="005B616D" w:rsidRPr="00A20573">
        <w:rPr>
          <w:u w:val="single"/>
        </w:rPr>
        <w:t xml:space="preserve">dépenses alimentaires à domicile </w:t>
      </w:r>
      <w:r w:rsidR="00710243" w:rsidRPr="00A20573">
        <w:rPr>
          <w:u w:val="single"/>
        </w:rPr>
        <w:t xml:space="preserve">seraient sous-estimées </w:t>
      </w:r>
      <w:r w:rsidR="005B616D" w:rsidRPr="00A20573">
        <w:rPr>
          <w:u w:val="single"/>
        </w:rPr>
        <w:t>de 15 à 20</w:t>
      </w:r>
      <w:r w:rsidR="001450BF" w:rsidRPr="00A20573">
        <w:rPr>
          <w:u w:val="single"/>
        </w:rPr>
        <w:t> </w:t>
      </w:r>
      <w:r w:rsidR="005B616D" w:rsidRPr="00A20573">
        <w:rPr>
          <w:u w:val="single"/>
        </w:rPr>
        <w:t>%</w:t>
      </w:r>
      <w:r w:rsidR="005B616D" w:rsidRPr="005B616D">
        <w:t>, tandis</w:t>
      </w:r>
      <w:r w:rsidR="00A20573">
        <w:t xml:space="preserve"> que</w:t>
      </w:r>
      <w:r w:rsidR="005B616D" w:rsidRPr="005B616D">
        <w:t xml:space="preserve"> les dépenses </w:t>
      </w:r>
      <w:r w:rsidR="001450BF">
        <w:t>« </w:t>
      </w:r>
      <w:r w:rsidR="00FE4FDA">
        <w:t xml:space="preserve">cafés </w:t>
      </w:r>
      <w:r w:rsidR="005B616D" w:rsidRPr="005B616D">
        <w:t>hôtels</w:t>
      </w:r>
      <w:r w:rsidR="00710243">
        <w:t xml:space="preserve"> </w:t>
      </w:r>
      <w:r w:rsidR="005B616D" w:rsidRPr="005B616D">
        <w:t>restaurants</w:t>
      </w:r>
      <w:r w:rsidR="001450BF">
        <w:t> »</w:t>
      </w:r>
      <w:r w:rsidR="005B616D" w:rsidRPr="005B616D">
        <w:t xml:space="preserve"> </w:t>
      </w:r>
      <w:r w:rsidR="00710243">
        <w:t xml:space="preserve">seraient surestimées </w:t>
      </w:r>
      <w:r w:rsidR="005B616D" w:rsidRPr="005B616D">
        <w:t>d’environ 5</w:t>
      </w:r>
      <w:r w:rsidR="001450BF">
        <w:t> </w:t>
      </w:r>
      <w:r w:rsidR="005B616D" w:rsidRPr="005B616D">
        <w:t>%</w:t>
      </w:r>
      <w:r w:rsidR="007B00A6">
        <w:t xml:space="preserve"> </w:t>
      </w:r>
      <w:r w:rsidR="007B00A6" w:rsidRPr="005B616D">
        <w:t xml:space="preserve">par rapport aux </w:t>
      </w:r>
      <w:r w:rsidR="007B00A6" w:rsidRPr="005B616D">
        <w:lastRenderedPageBreak/>
        <w:t>données de la Comptabilité Nationale</w:t>
      </w:r>
      <w:r w:rsidR="007B00A6">
        <w:t>. Cependant les données agrégées de</w:t>
      </w:r>
      <w:r w:rsidR="00604E08">
        <w:t>s</w:t>
      </w:r>
      <w:r w:rsidR="007B00A6">
        <w:t xml:space="preserve"> dépenses alimentaires s</w:t>
      </w:r>
      <w:r w:rsidR="00604E08">
        <w:t>eraie</w:t>
      </w:r>
      <w:r w:rsidR="007B00A6">
        <w:t xml:space="preserve">nt proches de la réalité </w:t>
      </w:r>
      <w:r w:rsidR="00604E08">
        <w:t>et en ligne avec celles</w:t>
      </w:r>
      <w:r w:rsidR="007B00A6">
        <w:t xml:space="preserve"> </w:t>
      </w:r>
      <w:r w:rsidR="00604E08">
        <w:t xml:space="preserve">des </w:t>
      </w:r>
      <w:r w:rsidR="007B00A6" w:rsidRPr="005B616D">
        <w:t>données de la Comptabilité nationale</w:t>
      </w:r>
      <w:r w:rsidR="007B00A6">
        <w:t xml:space="preserve">. </w:t>
      </w:r>
    </w:p>
    <w:p w14:paraId="36B1454D" w14:textId="60F622D8" w:rsidR="005B616D" w:rsidRDefault="004B1E6C" w:rsidP="00104D7C">
      <w:pPr>
        <w:pStyle w:val="Paragraphedeliste"/>
      </w:pPr>
      <w:r>
        <w:t>L’exi</w:t>
      </w:r>
      <w:r w:rsidR="007B00A6">
        <w:t>s</w:t>
      </w:r>
      <w:r>
        <w:t>tence de s</w:t>
      </w:r>
      <w:r w:rsidR="007B00A6">
        <w:t>ous déclaration</w:t>
      </w:r>
      <w:r w:rsidR="00E1585B">
        <w:t>s</w:t>
      </w:r>
      <w:r w:rsidR="007B00A6">
        <w:t xml:space="preserve"> compte tenu de l’</w:t>
      </w:r>
      <w:r w:rsidR="00FB65CD">
        <w:t>auto</w:t>
      </w:r>
      <w:r w:rsidR="00620FDC">
        <w:t>-</w:t>
      </w:r>
      <w:r w:rsidR="00FB65CD">
        <w:t>déclaration</w:t>
      </w:r>
      <w:r w:rsidR="007B00A6">
        <w:t xml:space="preserve"> par les foyers enquêtés </w:t>
      </w:r>
      <w:r w:rsidR="00E1585B">
        <w:t xml:space="preserve">avec un répondant </w:t>
      </w:r>
      <w:r w:rsidR="007B00A6">
        <w:t xml:space="preserve">qui n’est pas toujours le </w:t>
      </w:r>
      <w:r w:rsidR="00710243" w:rsidRPr="00710243">
        <w:t xml:space="preserve">responsable du ménage, </w:t>
      </w:r>
      <w:r w:rsidR="007B00A6">
        <w:t>d’</w:t>
      </w:r>
      <w:r w:rsidR="00710243" w:rsidRPr="00710243">
        <w:t xml:space="preserve">achats individuels (snacking) </w:t>
      </w:r>
      <w:r w:rsidR="00FD1D44">
        <w:t xml:space="preserve">ou par effet de </w:t>
      </w:r>
      <w:r w:rsidR="00710243" w:rsidRPr="00710243">
        <w:t>lassitude de l’enquêt</w:t>
      </w:r>
      <w:r w:rsidR="007B00A6">
        <w:t>é</w:t>
      </w:r>
      <w:r w:rsidR="005B616D" w:rsidRPr="005B616D">
        <w:t>.</w:t>
      </w:r>
    </w:p>
    <w:p w14:paraId="5B24CC39" w14:textId="3B164825" w:rsidR="000345AE" w:rsidRDefault="000345AE" w:rsidP="00B9002C">
      <w:pPr>
        <w:pStyle w:val="Titre3"/>
        <w:tabs>
          <w:tab w:val="clear" w:pos="1440"/>
        </w:tabs>
      </w:pPr>
      <w:bookmarkStart w:id="97" w:name="_Toc78131570"/>
      <w:r w:rsidRPr="0027378B">
        <w:t>3.</w:t>
      </w:r>
      <w:r w:rsidR="00B9002C">
        <w:t>1</w:t>
      </w:r>
      <w:r w:rsidRPr="0027378B">
        <w:t>.</w:t>
      </w:r>
      <w:r w:rsidR="00B9002C">
        <w:t>4</w:t>
      </w:r>
      <w:r w:rsidR="00A7105E">
        <w:t>.</w:t>
      </w:r>
      <w:r w:rsidRPr="0027378B">
        <w:t xml:space="preserve"> </w:t>
      </w:r>
      <w:r w:rsidR="007B00A6">
        <w:t>C</w:t>
      </w:r>
      <w:r>
        <w:t xml:space="preserve">omparaison </w:t>
      </w:r>
      <w:r w:rsidR="007B00A6">
        <w:t xml:space="preserve">de l’enquête </w:t>
      </w:r>
      <w:r w:rsidR="00D018F1">
        <w:t>BDF</w:t>
      </w:r>
      <w:r w:rsidR="007B00A6">
        <w:t xml:space="preserve"> </w:t>
      </w:r>
      <w:r>
        <w:t>avec les données de la comptabilité nationale</w:t>
      </w:r>
      <w:r w:rsidR="00611CAB">
        <w:t xml:space="preserve"> base 2014</w:t>
      </w:r>
      <w:bookmarkEnd w:id="97"/>
    </w:p>
    <w:p w14:paraId="166EC54E" w14:textId="67F1557A" w:rsidR="004440AD" w:rsidRDefault="007942C7" w:rsidP="00F17F16">
      <w:pPr>
        <w:ind w:left="142"/>
        <w:rPr>
          <w:rFonts w:cs="Arial"/>
        </w:rPr>
      </w:pPr>
      <w:r w:rsidRPr="007942C7">
        <w:rPr>
          <w:rFonts w:cs="Arial"/>
        </w:rPr>
        <w:t xml:space="preserve">Les données de </w:t>
      </w:r>
      <w:r>
        <w:rPr>
          <w:rFonts w:cs="Arial"/>
        </w:rPr>
        <w:t xml:space="preserve">la comptabilité nationale </w:t>
      </w:r>
      <w:r w:rsidR="00611CAB">
        <w:rPr>
          <w:rFonts w:cs="Arial"/>
        </w:rPr>
        <w:t xml:space="preserve">base 2014 </w:t>
      </w:r>
      <w:r>
        <w:rPr>
          <w:rFonts w:cs="Arial"/>
        </w:rPr>
        <w:t xml:space="preserve">fournissent des données plus récentes </w:t>
      </w:r>
      <w:r w:rsidR="00611CAB">
        <w:rPr>
          <w:rFonts w:cs="Arial"/>
        </w:rPr>
        <w:t xml:space="preserve">que l’enquête </w:t>
      </w:r>
      <w:r w:rsidR="00D018F1">
        <w:rPr>
          <w:rFonts w:cs="Arial"/>
        </w:rPr>
        <w:t>BDF</w:t>
      </w:r>
      <w:r w:rsidR="00611CAB">
        <w:rPr>
          <w:rFonts w:cs="Arial"/>
        </w:rPr>
        <w:t xml:space="preserve"> au regard de leur diffusion</w:t>
      </w:r>
      <w:r>
        <w:rPr>
          <w:rFonts w:cs="Arial"/>
        </w:rPr>
        <w:t xml:space="preserve"> annuelle. Il s’agit en conséquence de regarder dans quelle mesure, les données fournies au travers de cette enquête peuvent contribuer à éclairer la consommation de</w:t>
      </w:r>
      <w:r w:rsidR="00611CAB">
        <w:rPr>
          <w:rFonts w:cs="Arial"/>
        </w:rPr>
        <w:t>s produits du porc</w:t>
      </w:r>
      <w:r w:rsidR="00BA7504">
        <w:rPr>
          <w:rFonts w:cs="Arial"/>
        </w:rPr>
        <w:t xml:space="preserve"> e</w:t>
      </w:r>
      <w:r w:rsidR="00611CAB">
        <w:rPr>
          <w:rFonts w:cs="Arial"/>
        </w:rPr>
        <w:t>n</w:t>
      </w:r>
      <w:r w:rsidR="00BA7504">
        <w:rPr>
          <w:rFonts w:cs="Arial"/>
        </w:rPr>
        <w:t xml:space="preserve"> évalu</w:t>
      </w:r>
      <w:r w:rsidR="00611CAB">
        <w:rPr>
          <w:rFonts w:cs="Arial"/>
        </w:rPr>
        <w:t>ant</w:t>
      </w:r>
      <w:r w:rsidR="00BA7504">
        <w:rPr>
          <w:rFonts w:cs="Arial"/>
        </w:rPr>
        <w:t xml:space="preserve"> le</w:t>
      </w:r>
      <w:r w:rsidR="00611CAB">
        <w:rPr>
          <w:rFonts w:cs="Arial"/>
        </w:rPr>
        <w:t>s</w:t>
      </w:r>
      <w:r w:rsidR="00BA7504">
        <w:rPr>
          <w:rFonts w:cs="Arial"/>
        </w:rPr>
        <w:t xml:space="preserve"> différences de construction</w:t>
      </w:r>
      <w:r w:rsidR="00611CAB">
        <w:rPr>
          <w:rFonts w:cs="Arial"/>
        </w:rPr>
        <w:t xml:space="preserve"> avec l’enquête </w:t>
      </w:r>
      <w:r w:rsidR="00D018F1">
        <w:rPr>
          <w:rFonts w:cs="Arial"/>
        </w:rPr>
        <w:t>BDF</w:t>
      </w:r>
      <w:r w:rsidR="00BA7504">
        <w:rPr>
          <w:rFonts w:cs="Arial"/>
        </w:rPr>
        <w:t>.</w:t>
      </w:r>
    </w:p>
    <w:p w14:paraId="7626509B" w14:textId="3D2C8989" w:rsidR="004440AD" w:rsidRDefault="00611CAB" w:rsidP="00F17F16">
      <w:pPr>
        <w:ind w:left="142"/>
        <w:rPr>
          <w:rFonts w:cs="Arial"/>
        </w:rPr>
      </w:pPr>
      <w:r w:rsidRPr="005C6943">
        <w:rPr>
          <w:rFonts w:cs="Arial"/>
        </w:rPr>
        <w:t>Comme mentionné dans le paragraphe méthode</w:t>
      </w:r>
      <w:r w:rsidR="000345AE" w:rsidRPr="005C6943">
        <w:rPr>
          <w:rFonts w:cs="Arial"/>
        </w:rPr>
        <w:t xml:space="preserve"> </w:t>
      </w:r>
      <w:r w:rsidRPr="005C6943">
        <w:rPr>
          <w:rFonts w:cs="Arial"/>
        </w:rPr>
        <w:t>d’enquête, ce</w:t>
      </w:r>
      <w:r w:rsidR="005C6943" w:rsidRPr="005C6943">
        <w:rPr>
          <w:rFonts w:cs="Arial"/>
        </w:rPr>
        <w:t>tte dernière</w:t>
      </w:r>
      <w:r w:rsidRPr="005C6943">
        <w:rPr>
          <w:rFonts w:cs="Arial"/>
        </w:rPr>
        <w:t xml:space="preserve"> </w:t>
      </w:r>
      <w:r w:rsidR="000345AE" w:rsidRPr="005C6943">
        <w:rPr>
          <w:rFonts w:cs="Arial"/>
        </w:rPr>
        <w:t>ne collecte que les dépenses des personnes résidant en France en ménage ordinaire (c'est-à-dire hors collectivités telles que maisons de retraite, foyers, prisons, etc.) tandis que la comptabilité nationale ne distingue pas la consommation des ménages ordinaires de celle des collectivités</w:t>
      </w:r>
      <w:r w:rsidR="00043774">
        <w:rPr>
          <w:rFonts w:cs="Arial"/>
        </w:rPr>
        <w:t xml:space="preserve"> et les prend en compte</w:t>
      </w:r>
      <w:r w:rsidR="000345AE" w:rsidRPr="005C6943">
        <w:rPr>
          <w:rFonts w:cs="Arial"/>
        </w:rPr>
        <w:t xml:space="preserve">. </w:t>
      </w:r>
    </w:p>
    <w:p w14:paraId="70464B31" w14:textId="6336A75E" w:rsidR="004440AD" w:rsidRDefault="007942C7" w:rsidP="00F17F16">
      <w:pPr>
        <w:ind w:left="142"/>
        <w:rPr>
          <w:rFonts w:cs="Arial"/>
        </w:rPr>
      </w:pPr>
      <w:r w:rsidRPr="005C6943">
        <w:rPr>
          <w:rFonts w:cs="Arial"/>
        </w:rPr>
        <w:t>L</w:t>
      </w:r>
      <w:r w:rsidR="000345AE" w:rsidRPr="005C6943">
        <w:rPr>
          <w:rFonts w:cs="Arial"/>
        </w:rPr>
        <w:t xml:space="preserve">'enquête estime </w:t>
      </w:r>
      <w:r w:rsidR="00611CAB" w:rsidRPr="005C6943">
        <w:rPr>
          <w:rFonts w:cs="Arial"/>
        </w:rPr>
        <w:t>l</w:t>
      </w:r>
      <w:r w:rsidR="000345AE" w:rsidRPr="005C6943">
        <w:rPr>
          <w:rFonts w:cs="Arial"/>
        </w:rPr>
        <w:t>es dépenses réalisées à l'étranger lors de séjours touristiques mais ne comptabilise pas les dépenses effectuées en France par des touristes étrangers</w:t>
      </w:r>
      <w:r w:rsidR="00620FDC">
        <w:rPr>
          <w:rFonts w:cs="Arial"/>
        </w:rPr>
        <w:t>,</w:t>
      </w:r>
      <w:r w:rsidR="000345AE" w:rsidRPr="005C6943">
        <w:rPr>
          <w:rFonts w:cs="Arial"/>
        </w:rPr>
        <w:t xml:space="preserve"> </w:t>
      </w:r>
      <w:r w:rsidR="00BA7504" w:rsidRPr="005C6943">
        <w:rPr>
          <w:rFonts w:cs="Arial"/>
        </w:rPr>
        <w:t xml:space="preserve">en revanche les données de </w:t>
      </w:r>
      <w:r w:rsidR="000345AE" w:rsidRPr="005C6943">
        <w:rPr>
          <w:rFonts w:cs="Arial"/>
        </w:rPr>
        <w:t>comptabilité nationale</w:t>
      </w:r>
      <w:r w:rsidR="00BA7504" w:rsidRPr="005C6943">
        <w:rPr>
          <w:rFonts w:cs="Arial"/>
        </w:rPr>
        <w:t>s les intègrent</w:t>
      </w:r>
      <w:r w:rsidR="000345AE" w:rsidRPr="005C6943">
        <w:rPr>
          <w:rFonts w:cs="Arial"/>
        </w:rPr>
        <w:t>.</w:t>
      </w:r>
      <w:r w:rsidR="00D14666" w:rsidRPr="005C6943">
        <w:rPr>
          <w:rFonts w:cs="Arial"/>
        </w:rPr>
        <w:t xml:space="preserve"> </w:t>
      </w:r>
      <w:r w:rsidR="00611CAB" w:rsidRPr="005C6943">
        <w:rPr>
          <w:rFonts w:cs="Arial"/>
        </w:rPr>
        <w:t xml:space="preserve">Si ce point est particulièrement important pour l’espèce bovine, elle a en revanche peu d’impact pour les produits du porc. </w:t>
      </w:r>
    </w:p>
    <w:p w14:paraId="7C7295E9" w14:textId="3BD81E73" w:rsidR="004440AD" w:rsidRPr="00043774" w:rsidRDefault="00043774" w:rsidP="00F17F16">
      <w:pPr>
        <w:ind w:left="142"/>
        <w:rPr>
          <w:rFonts w:cs="Arial"/>
        </w:rPr>
      </w:pPr>
      <w:r>
        <w:rPr>
          <w:rFonts w:cs="Arial"/>
        </w:rPr>
        <w:t>D</w:t>
      </w:r>
      <w:r w:rsidR="003476A8" w:rsidRPr="005C6943">
        <w:rPr>
          <w:rFonts w:cs="Arial"/>
        </w:rPr>
        <w:t xml:space="preserve">es différences entre les niveaux de dépenses estimés dans l'enquête </w:t>
      </w:r>
      <w:r w:rsidR="00D018F1">
        <w:rPr>
          <w:rFonts w:cs="Arial"/>
        </w:rPr>
        <w:t>BDF</w:t>
      </w:r>
      <w:r w:rsidR="00611CAB" w:rsidRPr="005C6943">
        <w:rPr>
          <w:rFonts w:cs="Arial"/>
        </w:rPr>
        <w:t xml:space="preserve"> </w:t>
      </w:r>
      <w:r w:rsidR="003476A8" w:rsidRPr="005C6943">
        <w:rPr>
          <w:rFonts w:cs="Arial"/>
        </w:rPr>
        <w:t>et la comptabilité nationale découlent également d'une sous-estimation de la consommation dans l'enquête due à une sous</w:t>
      </w:r>
      <w:r w:rsidR="00D14666" w:rsidRPr="005C6943">
        <w:rPr>
          <w:rFonts w:cs="Arial"/>
        </w:rPr>
        <w:t xml:space="preserve"> </w:t>
      </w:r>
      <w:r w:rsidR="003476A8" w:rsidRPr="005C6943">
        <w:rPr>
          <w:rFonts w:cs="Arial"/>
        </w:rPr>
        <w:t xml:space="preserve">déclaration et à des difficultés </w:t>
      </w:r>
      <w:r w:rsidR="00620FDC">
        <w:rPr>
          <w:rFonts w:cs="Arial"/>
        </w:rPr>
        <w:t xml:space="preserve">à </w:t>
      </w:r>
      <w:r w:rsidR="003476A8" w:rsidRPr="005C6943">
        <w:rPr>
          <w:rFonts w:cs="Arial"/>
        </w:rPr>
        <w:t>estimer certaines dépenses</w:t>
      </w:r>
      <w:r w:rsidR="004440AD">
        <w:rPr>
          <w:rFonts w:cs="Arial"/>
        </w:rPr>
        <w:t xml:space="preserve"> tel qu’indiqué dans le paragraphe précédent</w:t>
      </w:r>
      <w:r w:rsidR="003476A8" w:rsidRPr="005C6943">
        <w:rPr>
          <w:rFonts w:cs="Arial"/>
        </w:rPr>
        <w:t>.</w:t>
      </w:r>
      <w:r>
        <w:rPr>
          <w:rFonts w:cs="Arial"/>
        </w:rPr>
        <w:t xml:space="preserve"> </w:t>
      </w:r>
      <w:r w:rsidR="003476A8" w:rsidRPr="00043774">
        <w:rPr>
          <w:rFonts w:cs="Arial"/>
        </w:rPr>
        <w:t xml:space="preserve">Ainsi, l’enquête Budget de famille permet avant tout d’étudier </w:t>
      </w:r>
      <w:r w:rsidR="00710243" w:rsidRPr="00043774">
        <w:rPr>
          <w:rFonts w:cs="Arial"/>
        </w:rPr>
        <w:t xml:space="preserve">la structure de la consommation et </w:t>
      </w:r>
      <w:r w:rsidR="003476A8" w:rsidRPr="00043774">
        <w:rPr>
          <w:rFonts w:cs="Arial"/>
        </w:rPr>
        <w:t>les différences de consommation entre catégories de ménages</w:t>
      </w:r>
      <w:r w:rsidR="00710243" w:rsidRPr="00043774">
        <w:rPr>
          <w:rFonts w:cs="Arial"/>
        </w:rPr>
        <w:t>.</w:t>
      </w:r>
    </w:p>
    <w:p w14:paraId="615F499C" w14:textId="06DEB89A" w:rsidR="00BA7504" w:rsidRPr="00611CAB" w:rsidRDefault="00611CAB" w:rsidP="00F17F16">
      <w:pPr>
        <w:pStyle w:val="Titre3"/>
        <w:tabs>
          <w:tab w:val="clear" w:pos="1440"/>
        </w:tabs>
        <w:ind w:left="142"/>
      </w:pPr>
      <w:bookmarkStart w:id="98" w:name="_Toc78131571"/>
      <w:r>
        <w:t>3.</w:t>
      </w:r>
      <w:r w:rsidR="00B9002C">
        <w:t>1</w:t>
      </w:r>
      <w:r>
        <w:t>.</w:t>
      </w:r>
      <w:r w:rsidR="00B9002C">
        <w:t>5.</w:t>
      </w:r>
      <w:r>
        <w:t xml:space="preserve"> </w:t>
      </w:r>
      <w:r w:rsidR="00BA7504">
        <w:t>Principaux résultats d’analyse des comptes nationaux base 2014</w:t>
      </w:r>
      <w:bookmarkEnd w:id="98"/>
      <w:r w:rsidR="00BA7504">
        <w:t xml:space="preserve"> </w:t>
      </w:r>
    </w:p>
    <w:p w14:paraId="2EB4861B" w14:textId="7E0C43F5" w:rsidR="001C005C" w:rsidRDefault="00043774" w:rsidP="00F17F16">
      <w:pPr>
        <w:pStyle w:val="ValrieN2"/>
        <w:tabs>
          <w:tab w:val="left" w:pos="1605"/>
        </w:tabs>
        <w:ind w:left="142"/>
        <w:rPr>
          <w:b w:val="0"/>
        </w:rPr>
      </w:pPr>
      <w:r>
        <w:rPr>
          <w:b w:val="0"/>
        </w:rPr>
        <w:t xml:space="preserve">Cette enquête permet d’analyser la répartition des dépenses en produits carnés sur l’année 2018, année de référence de l’étude. </w:t>
      </w:r>
      <w:r w:rsidR="002C01D9">
        <w:rPr>
          <w:b w:val="0"/>
        </w:rPr>
        <w:t>La ventilation des catégories donne une part de viandes toutes espèces de 48</w:t>
      </w:r>
      <w:r w:rsidR="001450BF">
        <w:rPr>
          <w:b w:val="0"/>
        </w:rPr>
        <w:t> </w:t>
      </w:r>
      <w:r w:rsidR="002C01D9">
        <w:rPr>
          <w:b w:val="0"/>
        </w:rPr>
        <w:t>%, devant la charcuterie (45</w:t>
      </w:r>
      <w:r w:rsidR="001450BF">
        <w:rPr>
          <w:b w:val="0"/>
        </w:rPr>
        <w:t> </w:t>
      </w:r>
      <w:r w:rsidR="002C01D9">
        <w:rPr>
          <w:b w:val="0"/>
        </w:rPr>
        <w:t>%) et les plats préparés à base de viande (7</w:t>
      </w:r>
      <w:r w:rsidR="001450BF">
        <w:rPr>
          <w:b w:val="0"/>
        </w:rPr>
        <w:t> </w:t>
      </w:r>
      <w:r w:rsidR="002C01D9">
        <w:rPr>
          <w:b w:val="0"/>
        </w:rPr>
        <w:t>%). La viande de porc représente 6</w:t>
      </w:r>
      <w:r w:rsidR="001450BF">
        <w:rPr>
          <w:b w:val="0"/>
        </w:rPr>
        <w:t> </w:t>
      </w:r>
      <w:r w:rsidR="002C01D9">
        <w:rPr>
          <w:b w:val="0"/>
        </w:rPr>
        <w:t>%.</w:t>
      </w:r>
    </w:p>
    <w:p w14:paraId="43F788F8" w14:textId="0711FF10" w:rsidR="001C005C" w:rsidRDefault="001C005C" w:rsidP="002E750F">
      <w:pPr>
        <w:pStyle w:val="ValrieN2"/>
        <w:keepNext/>
        <w:tabs>
          <w:tab w:val="left" w:pos="1605"/>
        </w:tabs>
        <w:ind w:left="0"/>
        <w:rPr>
          <w:b w:val="0"/>
        </w:rPr>
      </w:pPr>
      <w:r>
        <w:rPr>
          <w:noProof/>
        </w:rPr>
        <w:lastRenderedPageBreak/>
        <w:drawing>
          <wp:inline distT="0" distB="0" distL="0" distR="0" wp14:anchorId="7D75A2A8" wp14:editId="2AF4FFA3">
            <wp:extent cx="6124575" cy="3105150"/>
            <wp:effectExtent l="0" t="0" r="0" b="0"/>
            <wp:docPr id="46" name="Graphique 46">
              <a:extLst xmlns:a="http://schemas.openxmlformats.org/drawingml/2006/main">
                <a:ext uri="{FF2B5EF4-FFF2-40B4-BE49-F238E27FC236}">
                  <a16:creationId xmlns:a16="http://schemas.microsoft.com/office/drawing/2014/main" id="{E5116F63-C481-442F-99AE-9D4AC416A0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6FBC085C" w14:textId="44DD27B4" w:rsidR="005267CA" w:rsidRPr="005267CA" w:rsidRDefault="00971C72" w:rsidP="002E750F">
      <w:pPr>
        <w:pStyle w:val="figure"/>
      </w:pPr>
      <w:bookmarkStart w:id="99" w:name="_Toc69511404"/>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12</w:t>
      </w:r>
      <w:r w:rsidRPr="005267CA">
        <w:rPr>
          <w:rStyle w:val="figureCar"/>
          <w:b/>
          <w:bCs/>
          <w:iCs/>
        </w:rPr>
        <w:fldChar w:fldCharType="end"/>
      </w:r>
      <w:r w:rsidRPr="005267CA">
        <w:rPr>
          <w:rStyle w:val="figureCar"/>
          <w:b/>
          <w:bCs/>
          <w:iCs/>
        </w:rPr>
        <w:t xml:space="preserve"> </w:t>
      </w:r>
      <w:r w:rsidR="001450BF" w:rsidRPr="005267CA">
        <w:rPr>
          <w:rStyle w:val="figureCar"/>
          <w:b/>
          <w:bCs/>
          <w:iCs/>
        </w:rPr>
        <w:t xml:space="preserve">: </w:t>
      </w:r>
      <w:r w:rsidR="001C005C" w:rsidRPr="005267CA">
        <w:rPr>
          <w:rStyle w:val="figureCar"/>
          <w:b/>
          <w:bCs/>
          <w:iCs/>
        </w:rPr>
        <w:t xml:space="preserve">Répartition en % des dépenses des ménages à domicile </w:t>
      </w:r>
      <w:r w:rsidR="002010CA" w:rsidRPr="005267CA">
        <w:rPr>
          <w:rStyle w:val="figureCar"/>
          <w:b/>
          <w:bCs/>
          <w:iCs/>
        </w:rPr>
        <w:t xml:space="preserve">des catégories </w:t>
      </w:r>
      <w:r w:rsidR="001C005C" w:rsidRPr="005267CA">
        <w:rPr>
          <w:rStyle w:val="figureCar"/>
          <w:b/>
          <w:bCs/>
          <w:iCs/>
        </w:rPr>
        <w:t>viande et produits traiteurs à base de viande entre 1998 et 2018</w:t>
      </w:r>
      <w:bookmarkEnd w:id="99"/>
      <w:r w:rsidR="001C005C" w:rsidRPr="005267CA">
        <w:t xml:space="preserve"> </w:t>
      </w:r>
    </w:p>
    <w:p w14:paraId="03D91C64" w14:textId="156572CD" w:rsidR="001C005C" w:rsidRPr="005267CA" w:rsidRDefault="001C005C" w:rsidP="002E750F">
      <w:pPr>
        <w:pStyle w:val="Lgende"/>
      </w:pPr>
      <w:r w:rsidRPr="005267CA">
        <w:t>(</w:t>
      </w:r>
      <w:r w:rsidR="00FB65CD" w:rsidRPr="005267CA">
        <w:t>Source</w:t>
      </w:r>
      <w:r w:rsidRPr="005267CA">
        <w:t> : Ifip d’après INSEE, 2019)</w:t>
      </w:r>
    </w:p>
    <w:p w14:paraId="73E84FF1" w14:textId="5CF57EB5" w:rsidR="002010CA" w:rsidRDefault="001C005C" w:rsidP="00F17F16">
      <w:pPr>
        <w:pStyle w:val="ValrieN2"/>
        <w:tabs>
          <w:tab w:val="left" w:pos="1605"/>
        </w:tabs>
        <w:ind w:left="142"/>
        <w:rPr>
          <w:b w:val="0"/>
        </w:rPr>
      </w:pPr>
      <w:r>
        <w:rPr>
          <w:b w:val="0"/>
        </w:rPr>
        <w:t xml:space="preserve">L’approche comparative </w:t>
      </w:r>
      <w:r w:rsidR="002C01D9">
        <w:rPr>
          <w:b w:val="0"/>
        </w:rPr>
        <w:t>des données de</w:t>
      </w:r>
      <w:r w:rsidR="002010CA">
        <w:rPr>
          <w:b w:val="0"/>
        </w:rPr>
        <w:t xml:space="preserve"> dépenses à domicile issues de l’enquête BDF de 2017 et </w:t>
      </w:r>
      <w:r w:rsidR="00360E09">
        <w:rPr>
          <w:b w:val="0"/>
        </w:rPr>
        <w:t>celle</w:t>
      </w:r>
      <w:r w:rsidR="002010CA">
        <w:rPr>
          <w:b w:val="0"/>
        </w:rPr>
        <w:t xml:space="preserve"> des compte</w:t>
      </w:r>
      <w:r w:rsidR="00360E09">
        <w:rPr>
          <w:b w:val="0"/>
        </w:rPr>
        <w:t>s</w:t>
      </w:r>
      <w:r w:rsidR="002010CA">
        <w:rPr>
          <w:b w:val="0"/>
        </w:rPr>
        <w:t xml:space="preserve"> nationaux </w:t>
      </w:r>
      <w:r w:rsidR="00360E09">
        <w:rPr>
          <w:b w:val="0"/>
        </w:rPr>
        <w:t xml:space="preserve">de </w:t>
      </w:r>
      <w:r w:rsidR="002010CA">
        <w:rPr>
          <w:b w:val="0"/>
        </w:rPr>
        <w:t>2018</w:t>
      </w:r>
      <w:r w:rsidR="00360E09">
        <w:rPr>
          <w:b w:val="0"/>
        </w:rPr>
        <w:t xml:space="preserve"> fournit</w:t>
      </w:r>
      <w:r w:rsidR="002010CA">
        <w:rPr>
          <w:b w:val="0"/>
        </w:rPr>
        <w:t xml:space="preserve"> des résultats relativement proche</w:t>
      </w:r>
      <w:r w:rsidR="00360E09">
        <w:rPr>
          <w:b w:val="0"/>
        </w:rPr>
        <w:t>s</w:t>
      </w:r>
      <w:r w:rsidR="002010CA">
        <w:rPr>
          <w:b w:val="0"/>
        </w:rPr>
        <w:t xml:space="preserve"> pour les produits bruts </w:t>
      </w:r>
      <w:r w:rsidR="00360E09">
        <w:rPr>
          <w:b w:val="0"/>
        </w:rPr>
        <w:t>que sont les</w:t>
      </w:r>
      <w:r w:rsidR="002010CA">
        <w:rPr>
          <w:b w:val="0"/>
        </w:rPr>
        <w:t xml:space="preserve"> viandes</w:t>
      </w:r>
      <w:r w:rsidR="00360E09">
        <w:rPr>
          <w:b w:val="0"/>
        </w:rPr>
        <w:t xml:space="preserve"> et </w:t>
      </w:r>
      <w:r w:rsidR="00497095">
        <w:rPr>
          <w:b w:val="0"/>
        </w:rPr>
        <w:t>significativement différents</w:t>
      </w:r>
      <w:r w:rsidR="00360E09">
        <w:rPr>
          <w:b w:val="0"/>
        </w:rPr>
        <w:t xml:space="preserve"> pour le total charcuterie et plats à base de viande</w:t>
      </w:r>
      <w:r w:rsidR="002010CA">
        <w:rPr>
          <w:b w:val="0"/>
        </w:rPr>
        <w:t>.</w:t>
      </w:r>
    </w:p>
    <w:tbl>
      <w:tblPr>
        <w:tblW w:w="9493" w:type="dxa"/>
        <w:jc w:val="center"/>
        <w:tblCellMar>
          <w:left w:w="70" w:type="dxa"/>
          <w:right w:w="70" w:type="dxa"/>
        </w:tblCellMar>
        <w:tblLook w:val="04A0" w:firstRow="1" w:lastRow="0" w:firstColumn="1" w:lastColumn="0" w:noHBand="0" w:noVBand="1"/>
      </w:tblPr>
      <w:tblGrid>
        <w:gridCol w:w="4875"/>
        <w:gridCol w:w="1929"/>
        <w:gridCol w:w="2689"/>
      </w:tblGrid>
      <w:tr w:rsidR="001C005C" w:rsidRPr="001C005C" w14:paraId="1227E53C" w14:textId="77777777" w:rsidTr="002010CA">
        <w:trPr>
          <w:trHeight w:val="300"/>
          <w:jc w:val="center"/>
        </w:trPr>
        <w:tc>
          <w:tcPr>
            <w:tcW w:w="48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0E3E6B4" w14:textId="384B5F31" w:rsidR="001C005C" w:rsidRPr="0049303E" w:rsidRDefault="001C005C" w:rsidP="00F17F16">
            <w:pPr>
              <w:keepNext/>
              <w:spacing w:after="0" w:line="240" w:lineRule="auto"/>
              <w:ind w:left="142"/>
              <w:jc w:val="left"/>
              <w:rPr>
                <w:rFonts w:eastAsia="Times New Roman" w:cs="Arial"/>
                <w:b/>
                <w:color w:val="000000"/>
                <w:sz w:val="20"/>
                <w:szCs w:val="20"/>
                <w:lang w:eastAsia="fr-FR"/>
              </w:rPr>
            </w:pPr>
            <w:r w:rsidRPr="0049303E">
              <w:rPr>
                <w:rFonts w:eastAsia="Times New Roman" w:cs="Arial"/>
                <w:b/>
                <w:color w:val="000000"/>
                <w:sz w:val="20"/>
                <w:szCs w:val="20"/>
                <w:lang w:eastAsia="fr-FR"/>
              </w:rPr>
              <w:t xml:space="preserve">Désignation catégorie </w:t>
            </w:r>
          </w:p>
        </w:tc>
        <w:tc>
          <w:tcPr>
            <w:tcW w:w="19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2166295" w14:textId="648A3272" w:rsidR="001C005C" w:rsidRPr="0049303E" w:rsidRDefault="001C005C" w:rsidP="00F17F16">
            <w:pPr>
              <w:keepNext/>
              <w:spacing w:after="0" w:line="240" w:lineRule="auto"/>
              <w:ind w:left="142"/>
              <w:jc w:val="center"/>
              <w:rPr>
                <w:rFonts w:eastAsia="Times New Roman" w:cs="Arial"/>
                <w:b/>
                <w:color w:val="000000"/>
                <w:sz w:val="20"/>
                <w:szCs w:val="20"/>
                <w:lang w:eastAsia="fr-FR"/>
              </w:rPr>
            </w:pPr>
            <w:r w:rsidRPr="0049303E">
              <w:rPr>
                <w:rFonts w:eastAsia="Times New Roman" w:cs="Arial"/>
                <w:b/>
                <w:color w:val="000000"/>
                <w:sz w:val="20"/>
                <w:szCs w:val="20"/>
                <w:lang w:eastAsia="fr-FR"/>
              </w:rPr>
              <w:t>BDF 2017</w:t>
            </w:r>
          </w:p>
        </w:tc>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FD0A3C7" w14:textId="0FA4F05C" w:rsidR="001C005C" w:rsidRPr="0049303E" w:rsidRDefault="001C005C" w:rsidP="00F17F16">
            <w:pPr>
              <w:keepNext/>
              <w:spacing w:after="0" w:line="240" w:lineRule="auto"/>
              <w:ind w:left="142"/>
              <w:jc w:val="center"/>
              <w:rPr>
                <w:rFonts w:eastAsia="Times New Roman" w:cs="Arial"/>
                <w:b/>
                <w:color w:val="000000"/>
                <w:sz w:val="20"/>
                <w:szCs w:val="20"/>
                <w:lang w:eastAsia="fr-FR"/>
              </w:rPr>
            </w:pPr>
            <w:r w:rsidRPr="0049303E">
              <w:rPr>
                <w:rFonts w:eastAsia="Times New Roman" w:cs="Arial"/>
                <w:b/>
                <w:color w:val="000000"/>
                <w:sz w:val="20"/>
                <w:szCs w:val="20"/>
                <w:lang w:eastAsia="fr-FR"/>
              </w:rPr>
              <w:t>Comptes nationaux 2018</w:t>
            </w:r>
          </w:p>
        </w:tc>
      </w:tr>
      <w:tr w:rsidR="001C005C" w:rsidRPr="001C005C" w14:paraId="5E1EF9C9" w14:textId="77777777" w:rsidTr="002010CA">
        <w:trPr>
          <w:trHeight w:val="230"/>
          <w:jc w:val="center"/>
        </w:trPr>
        <w:tc>
          <w:tcPr>
            <w:tcW w:w="48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91DD68" w14:textId="668ED55D"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Viande de bœuf, veau</w:t>
            </w:r>
          </w:p>
        </w:tc>
        <w:tc>
          <w:tcPr>
            <w:tcW w:w="19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9E79182"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27</w:t>
            </w:r>
          </w:p>
        </w:tc>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3C600F2"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20</w:t>
            </w:r>
          </w:p>
        </w:tc>
      </w:tr>
      <w:tr w:rsidR="001C005C" w:rsidRPr="001C005C" w14:paraId="3FC06F26" w14:textId="77777777" w:rsidTr="002010CA">
        <w:trPr>
          <w:trHeight w:val="300"/>
          <w:jc w:val="center"/>
        </w:trPr>
        <w:tc>
          <w:tcPr>
            <w:tcW w:w="48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56184DC" w14:textId="72563693"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Viande de mouton,</w:t>
            </w:r>
          </w:p>
        </w:tc>
        <w:tc>
          <w:tcPr>
            <w:tcW w:w="19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932DAE3" w14:textId="118E8756"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3</w:t>
            </w:r>
          </w:p>
        </w:tc>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F04370A"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3</w:t>
            </w:r>
          </w:p>
        </w:tc>
      </w:tr>
      <w:tr w:rsidR="001C005C" w:rsidRPr="001C005C" w14:paraId="69A173D8" w14:textId="77777777" w:rsidTr="002010CA">
        <w:trPr>
          <w:trHeight w:val="168"/>
          <w:jc w:val="center"/>
        </w:trPr>
        <w:tc>
          <w:tcPr>
            <w:tcW w:w="48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474C997" w14:textId="77777777"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Viande de porc</w:t>
            </w:r>
          </w:p>
        </w:tc>
        <w:tc>
          <w:tcPr>
            <w:tcW w:w="19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6675F5" w14:textId="49C4CE6D"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8</w:t>
            </w:r>
          </w:p>
        </w:tc>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8C7F226"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6</w:t>
            </w:r>
          </w:p>
        </w:tc>
      </w:tr>
      <w:tr w:rsidR="001C005C" w:rsidRPr="001C005C" w14:paraId="33896C6C" w14:textId="77777777" w:rsidTr="002010CA">
        <w:trPr>
          <w:trHeight w:val="300"/>
          <w:jc w:val="center"/>
        </w:trPr>
        <w:tc>
          <w:tcPr>
            <w:tcW w:w="48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1E60FB7" w14:textId="41122E08"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Triperie, lapin, cheval</w:t>
            </w:r>
          </w:p>
        </w:tc>
        <w:tc>
          <w:tcPr>
            <w:tcW w:w="19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1F5CF0D" w14:textId="3BA0432D"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1</w:t>
            </w:r>
          </w:p>
        </w:tc>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E14EB07"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3</w:t>
            </w:r>
          </w:p>
        </w:tc>
      </w:tr>
      <w:tr w:rsidR="001C005C" w:rsidRPr="001C005C" w14:paraId="78E6B0F3" w14:textId="77777777" w:rsidTr="002010CA">
        <w:trPr>
          <w:trHeight w:val="218"/>
          <w:jc w:val="center"/>
        </w:trPr>
        <w:tc>
          <w:tcPr>
            <w:tcW w:w="48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A112EE5" w14:textId="77777777" w:rsidR="001C005C" w:rsidRPr="001450BF" w:rsidRDefault="001C005C" w:rsidP="00F17F16">
            <w:pPr>
              <w:keepNext/>
              <w:spacing w:after="0" w:line="240" w:lineRule="auto"/>
              <w:ind w:left="142"/>
              <w:jc w:val="left"/>
              <w:rPr>
                <w:rFonts w:eastAsia="Times New Roman" w:cs="Arial"/>
                <w:color w:val="000000"/>
                <w:sz w:val="20"/>
                <w:szCs w:val="20"/>
                <w:lang w:eastAsia="fr-FR"/>
              </w:rPr>
            </w:pPr>
            <w:r w:rsidRPr="001450BF">
              <w:rPr>
                <w:rFonts w:eastAsia="Times New Roman" w:cs="Arial"/>
                <w:color w:val="000000"/>
                <w:sz w:val="20"/>
                <w:szCs w:val="20"/>
                <w:lang w:eastAsia="fr-FR"/>
              </w:rPr>
              <w:t>Viande de volaille</w:t>
            </w:r>
          </w:p>
        </w:tc>
        <w:tc>
          <w:tcPr>
            <w:tcW w:w="19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040E1DB" w14:textId="39208936"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17</w:t>
            </w:r>
          </w:p>
        </w:tc>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4256029" w14:textId="77777777"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15</w:t>
            </w:r>
          </w:p>
        </w:tc>
      </w:tr>
      <w:tr w:rsidR="001C005C" w:rsidRPr="001C005C" w14:paraId="2A522D9E" w14:textId="77777777" w:rsidTr="002010CA">
        <w:trPr>
          <w:trHeight w:val="236"/>
          <w:jc w:val="center"/>
        </w:trPr>
        <w:tc>
          <w:tcPr>
            <w:tcW w:w="487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51F52FD" w14:textId="717CB3D6"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Charcuterie et préparation à base de viande</w:t>
            </w:r>
          </w:p>
        </w:tc>
        <w:tc>
          <w:tcPr>
            <w:tcW w:w="19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DBF7F5D" w14:textId="7D5A5B29"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33</w:t>
            </w:r>
          </w:p>
        </w:tc>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685E941" w14:textId="77007D21" w:rsidR="001C005C" w:rsidRPr="001450BF" w:rsidRDefault="00360E09"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noProof/>
                <w:color w:val="000000"/>
                <w:sz w:val="20"/>
                <w:szCs w:val="20"/>
                <w:lang w:eastAsia="fr-FR"/>
              </w:rPr>
              <mc:AlternateContent>
                <mc:Choice Requires="wps">
                  <w:drawing>
                    <wp:anchor distT="0" distB="0" distL="114300" distR="114300" simplePos="0" relativeHeight="251658248" behindDoc="0" locked="0" layoutInCell="1" allowOverlap="1" wp14:anchorId="68CD6321" wp14:editId="0448E6F4">
                      <wp:simplePos x="0" y="0"/>
                      <wp:positionH relativeFrom="column">
                        <wp:posOffset>1093470</wp:posOffset>
                      </wp:positionH>
                      <wp:positionV relativeFrom="paragraph">
                        <wp:posOffset>21590</wp:posOffset>
                      </wp:positionV>
                      <wp:extent cx="387350" cy="258445"/>
                      <wp:effectExtent l="0" t="0" r="12700" b="27305"/>
                      <wp:wrapNone/>
                      <wp:docPr id="51" name="Zone de texte 51"/>
                      <wp:cNvGraphicFramePr/>
                      <a:graphic xmlns:a="http://schemas.openxmlformats.org/drawingml/2006/main">
                        <a:graphicData uri="http://schemas.microsoft.com/office/word/2010/wordprocessingShape">
                          <wps:wsp>
                            <wps:cNvSpPr txBox="1"/>
                            <wps:spPr>
                              <a:xfrm>
                                <a:off x="0" y="0"/>
                                <a:ext cx="387350" cy="258445"/>
                              </a:xfrm>
                              <a:prstGeom prst="rect">
                                <a:avLst/>
                              </a:prstGeom>
                              <a:solidFill>
                                <a:schemeClr val="lt1"/>
                              </a:solidFill>
                              <a:ln w="6350">
                                <a:solidFill>
                                  <a:prstClr val="black"/>
                                </a:solidFill>
                              </a:ln>
                            </wps:spPr>
                            <wps:txbx>
                              <w:txbxContent>
                                <w:p w14:paraId="631E0BA0" w14:textId="32865732" w:rsidR="00741BFF" w:rsidRPr="00360E09" w:rsidRDefault="00741BFF">
                                  <w:pPr>
                                    <w:rPr>
                                      <w:rFonts w:cs="Arial"/>
                                    </w:rPr>
                                  </w:pPr>
                                  <w:r w:rsidRPr="00360E09">
                                    <w:rPr>
                                      <w:rFonts w:cs="Arial"/>
                                    </w:rPr>
                                    <w:t>52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D6321" id="Zone de texte 51" o:spid="_x0000_s1032" type="#_x0000_t202" style="position:absolute;left:0;text-align:left;margin-left:86.1pt;margin-top:1.7pt;width:30.5pt;height:20.3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SmNUQIAAK4EAAAOAAAAZHJzL2Uyb0RvYy54bWysVE1vGjEQvVfqf7B8LwsECEVZIpqIqhJK&#10;IiVVpN6M1xtW9Xpc27Cb/vo8e4HQpKeqF+98+XnmzcxeXLa1ZjvlfEUm54NenzNlJBWVecr594fl&#10;pylnPghTCE1G5fxZeX45//jhorEzNaQN6UI5BhDjZ43N+SYEO8syLzeqFr5HVhk4S3K1CFDdU1Y4&#10;0QC91tmw359kDbnCOpLKe1ivOyefJ/yyVDLclqVXgemcI7eQTpfOdTyz+YWYPTlhN5XcpyH+IYta&#10;VAaPHqGuRRBs66p3UHUlHXkqQ09SnVFZVlKlGlDNoP+mmvuNsCrVAnK8PdLk/x+svNndOVYVOR8P&#10;ODOiRo9+oFOsUCyoNigGO0hqrJ8h9t4iOrRfqEWzD3YPY6y9LV0dv6iKwQ+6n48UA4pJGM+m52dj&#10;eCRcw/F0NBpHlOz1snU+fFVUsyjk3KGDiVixW/nQhR5C4luedFUsK62TEqdGXWnHdgL91iGlCPA/&#10;orRhTc4nMY13CBH6eH+thfy5T+8EAXjaIOdISVd6lEK7bhOPkwMtayqewZajbui8lcsK8Cvhw51w&#10;mDLQgM0JtzhKTciJ9hJnG3K//2aP8Wg+vJw1mNqc+19b4RRn+pvBWHwejEZxzJMyGp8PobhTz/rU&#10;Y7b1FYEodB7ZJTHGB30QS0f1IxZsEV+FSxiJt3MeDuJV6HYJCyrVYpGCMNhWhJW5tzJCR44jrQ/t&#10;o3B239Y4Wjd0mG8xe9PdLjbeNLTYBiqr1PrIc8fqnn4sRRqe/QLHrTvVU9Trb2b+AgAA//8DAFBL&#10;AwQUAAYACAAAACEAmkV3MtsAAAAIAQAADwAAAGRycy9kb3ducmV2LnhtbEyPwU7DMBBE70j8g7VI&#10;3KjTJIIQ4lSAChdOLYizG7u2RbyObDcNf89yguPTjGbfdpvFj2zWMbmAAtarApjGISiHRsDH+8tN&#10;AyxliUqOAbWAb51g019edLJV4Yw7Pe+zYTSCqZUCbM5Ty3karPYyrcKkkbJjiF5mwmi4ivJM437k&#10;ZVHcci8d0gUrJ/1s9fC1P3kB2ydzb4ZGRrttlHPz8nl8M69CXF8tjw/Asl7yXxl+9UkdenI6hBOq&#10;xEbiu7KkqoCqBkZ5WVXEBwF1vQbed/z/A/0PAAAA//8DAFBLAQItABQABgAIAAAAIQC2gziS/gAA&#10;AOEBAAATAAAAAAAAAAAAAAAAAAAAAABbQ29udGVudF9UeXBlc10ueG1sUEsBAi0AFAAGAAgAAAAh&#10;ADj9If/WAAAAlAEAAAsAAAAAAAAAAAAAAAAALwEAAF9yZWxzLy5yZWxzUEsBAi0AFAAGAAgAAAAh&#10;ACEZKY1RAgAArgQAAA4AAAAAAAAAAAAAAAAALgIAAGRycy9lMm9Eb2MueG1sUEsBAi0AFAAGAAgA&#10;AAAhAJpFdzLbAAAACAEAAA8AAAAAAAAAAAAAAAAAqwQAAGRycy9kb3ducmV2LnhtbFBLBQYAAAAA&#10;BAAEAPMAAACzBQAAAAA=&#10;" fillcolor="white [3201]" strokeweight=".5pt">
                      <v:textbox>
                        <w:txbxContent>
                          <w:p w14:paraId="631E0BA0" w14:textId="32865732" w:rsidR="00741BFF" w:rsidRPr="00360E09" w:rsidRDefault="00741BFF">
                            <w:pPr>
                              <w:rPr>
                                <w:rFonts w:cs="Arial"/>
                              </w:rPr>
                            </w:pPr>
                            <w:r w:rsidRPr="00360E09">
                              <w:rPr>
                                <w:rFonts w:cs="Arial"/>
                              </w:rPr>
                              <w:t>52</w:t>
                            </w:r>
                          </w:p>
                        </w:txbxContent>
                      </v:textbox>
                    </v:shape>
                  </w:pict>
                </mc:Fallback>
              </mc:AlternateContent>
            </w:r>
            <w:r w:rsidR="001C005C" w:rsidRPr="001450BF">
              <w:rPr>
                <w:rFonts w:eastAsia="Times New Roman" w:cs="Arial"/>
                <w:color w:val="000000"/>
                <w:sz w:val="20"/>
                <w:szCs w:val="20"/>
                <w:lang w:eastAsia="fr-FR"/>
              </w:rPr>
              <w:t>45</w:t>
            </w:r>
          </w:p>
        </w:tc>
      </w:tr>
      <w:tr w:rsidR="001C005C" w:rsidRPr="001C005C" w14:paraId="4BE3C257" w14:textId="77777777" w:rsidTr="002010CA">
        <w:trPr>
          <w:trHeight w:val="300"/>
          <w:jc w:val="center"/>
        </w:trPr>
        <w:tc>
          <w:tcPr>
            <w:tcW w:w="48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DACD96C" w14:textId="05F148B2" w:rsidR="001C005C" w:rsidRPr="001450BF" w:rsidRDefault="00D62695" w:rsidP="00F17F16">
            <w:pPr>
              <w:keepNext/>
              <w:spacing w:after="0" w:line="240" w:lineRule="auto"/>
              <w:ind w:left="142"/>
              <w:jc w:val="center"/>
              <w:rPr>
                <w:rFonts w:eastAsia="Times New Roman" w:cs="Arial"/>
                <w:color w:val="000000"/>
                <w:sz w:val="20"/>
                <w:szCs w:val="20"/>
                <w:lang w:eastAsia="fr-FR"/>
              </w:rPr>
            </w:pPr>
            <w:r>
              <w:rPr>
                <w:rFonts w:eastAsia="Times New Roman" w:cs="Arial"/>
                <w:color w:val="000000"/>
                <w:sz w:val="20"/>
                <w:szCs w:val="20"/>
                <w:lang w:eastAsia="fr-FR"/>
              </w:rPr>
              <w:t>Dont p</w:t>
            </w:r>
            <w:r w:rsidR="001C005C" w:rsidRPr="001450BF">
              <w:rPr>
                <w:rFonts w:eastAsia="Times New Roman" w:cs="Arial"/>
                <w:color w:val="000000"/>
                <w:sz w:val="20"/>
                <w:szCs w:val="20"/>
                <w:lang w:eastAsia="fr-FR"/>
              </w:rPr>
              <w:t>lats préparés à base de viande</w:t>
            </w:r>
          </w:p>
        </w:tc>
        <w:tc>
          <w:tcPr>
            <w:tcW w:w="19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B1DC199" w14:textId="0E681C7F" w:rsidR="001C005C" w:rsidRPr="001450BF" w:rsidRDefault="001450BF"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noProof/>
                <w:color w:val="000000"/>
                <w:sz w:val="20"/>
                <w:szCs w:val="20"/>
                <w:lang w:eastAsia="fr-FR"/>
              </w:rPr>
              <mc:AlternateContent>
                <mc:Choice Requires="wps">
                  <w:drawing>
                    <wp:anchor distT="0" distB="0" distL="114300" distR="114300" simplePos="0" relativeHeight="251658247" behindDoc="0" locked="0" layoutInCell="1" allowOverlap="1" wp14:anchorId="42701FDF" wp14:editId="3ACB14F9">
                      <wp:simplePos x="0" y="0"/>
                      <wp:positionH relativeFrom="column">
                        <wp:posOffset>768985</wp:posOffset>
                      </wp:positionH>
                      <wp:positionV relativeFrom="paragraph">
                        <wp:posOffset>-142875</wp:posOffset>
                      </wp:positionV>
                      <wp:extent cx="380365" cy="241300"/>
                      <wp:effectExtent l="0" t="0" r="19685" b="25400"/>
                      <wp:wrapNone/>
                      <wp:docPr id="50" name="Zone de texte 50"/>
                      <wp:cNvGraphicFramePr/>
                      <a:graphic xmlns:a="http://schemas.openxmlformats.org/drawingml/2006/main">
                        <a:graphicData uri="http://schemas.microsoft.com/office/word/2010/wordprocessingShape">
                          <wps:wsp>
                            <wps:cNvSpPr txBox="1"/>
                            <wps:spPr>
                              <a:xfrm>
                                <a:off x="0" y="0"/>
                                <a:ext cx="380365" cy="241300"/>
                              </a:xfrm>
                              <a:prstGeom prst="rect">
                                <a:avLst/>
                              </a:prstGeom>
                              <a:solidFill>
                                <a:schemeClr val="lt1"/>
                              </a:solidFill>
                              <a:ln w="6350">
                                <a:solidFill>
                                  <a:prstClr val="black"/>
                                </a:solidFill>
                              </a:ln>
                            </wps:spPr>
                            <wps:txbx>
                              <w:txbxContent>
                                <w:p w14:paraId="6C109B94" w14:textId="22077AF4" w:rsidR="00741BFF" w:rsidRPr="00360E09" w:rsidRDefault="00741BFF">
                                  <w:pPr>
                                    <w:rPr>
                                      <w:rFonts w:cs="Arial"/>
                                    </w:rPr>
                                  </w:pPr>
                                  <w:r w:rsidRPr="00360E09">
                                    <w:rPr>
                                      <w:rFonts w:cs="Arial"/>
                                    </w:rPr>
                                    <w:t>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01FDF" id="Zone de texte 50" o:spid="_x0000_s1033" type="#_x0000_t202" style="position:absolute;left:0;text-align:left;margin-left:60.55pt;margin-top:-11.25pt;width:29.95pt;height:19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rrZUQIAAK4EAAAOAAAAZHJzL2Uyb0RvYy54bWysVMlu2zAQvRfoPxC8N/KeVIgcuAlcFDCS&#10;AE4RoDeaomKhFIclaUvp1/eRXuIkPRW9ULPxcebNjC6vukazrXK+JlPw/lmPM2UklbV5Kvj3h/mn&#10;C858EKYUmowq+LPy/Gr68cNla3M1oDXpUjkGEOPz1hZ8HYLNs8zLtWqEPyOrDJwVuUYEqO4pK51o&#10;gd7obNDrTbKWXGkdSeU9rDc7J58m/KpSMtxVlVeB6YIjt5BOl85VPLPppcifnLDrWu7TEP+QRSNq&#10;g0ePUDciCLZx9TuoppaOPFXhTFKTUVXVUqUaUE2/96aa5VpYlWoBOd4eafL/D1bebu8dq8uCj0GP&#10;EQ169AOdYqViQXVBMdhBUmt9jtilRXTovlCHZh/sHsZYe1e5Jn5RFYMfeM9HigHFJIzDi95wMuZM&#10;wjUY9Ye9hJ69XLbOh6+KGhaFgjt0MBErtgsfkAhCDyHxLU+6Lue11kmJU6OutWNbgX7rkFLEjVdR&#10;2rC24JMhCnuHEKGP91dayJ+xyNcI0LSBMVKyKz1KoVt1icfzAy0rKp/BlqPd0Hkr5zXgF8KHe+Ew&#10;ZSAImxPucFSakBPtJc7W5H7/zR7j0Xx4OWsxtQX3vzbCKc70N4Ox+NwfjeKYJ2U0Ph9Acaee1anH&#10;bJprAlF97KiVSYzxQR/EylHziAWbxVfhEkbi7YKHg3gddruEBZVqNktBGGwrwsIsrYzQkeNI60P3&#10;KJzdtzWO1i0d5lvkb7q7i403Dc02gao6tT7yvGN1Tz+WInVnv8Bx6071FPXym5n+AQAA//8DAFBL&#10;AwQUAAYACAAAACEABWQVY9wAAAAKAQAADwAAAGRycy9kb3ducmV2LnhtbEyPPU/DMBCGdyT+g3WV&#10;2FonkYJCiFMVVFiYKIj5Gru2RWxHtpuGf891gu1e3aP3o9submSziskGL6DcFMCUH4K0Xgv4/HhZ&#10;N8BSRi9xDF4J+FEJtv3tTYetDBf/ruZD1oxMfGpRgMl5ajlPg1EO0yZMytPvFKLDTDJqLiNeyNyN&#10;vCqKe+7QekowOKlno4bvw9kJ2D/pBz00GM2+kdbOy9fpTb8Kcbdado/AslryHwzX+lQdeup0DGcv&#10;ExtJV2VJqIB1VdXArkRT0rojHXUNvO/4/wn9LwAAAP//AwBQSwECLQAUAAYACAAAACEAtoM4kv4A&#10;AADhAQAAEwAAAAAAAAAAAAAAAAAAAAAAW0NvbnRlbnRfVHlwZXNdLnhtbFBLAQItABQABgAIAAAA&#10;IQA4/SH/1gAAAJQBAAALAAAAAAAAAAAAAAAAAC8BAABfcmVscy8ucmVsc1BLAQItABQABgAIAAAA&#10;IQASHrrZUQIAAK4EAAAOAAAAAAAAAAAAAAAAAC4CAABkcnMvZTJvRG9jLnhtbFBLAQItABQABgAI&#10;AAAAIQAFZBVj3AAAAAoBAAAPAAAAAAAAAAAAAAAAAKsEAABkcnMvZG93bnJldi54bWxQSwUGAAAA&#10;AAQABADzAAAAtAUAAAAA&#10;" fillcolor="white [3201]" strokeweight=".5pt">
                      <v:textbox>
                        <w:txbxContent>
                          <w:p w14:paraId="6C109B94" w14:textId="22077AF4" w:rsidR="00741BFF" w:rsidRPr="00360E09" w:rsidRDefault="00741BFF">
                            <w:pPr>
                              <w:rPr>
                                <w:rFonts w:cs="Arial"/>
                              </w:rPr>
                            </w:pPr>
                            <w:r w:rsidRPr="00360E09">
                              <w:rPr>
                                <w:rFonts w:cs="Arial"/>
                              </w:rPr>
                              <w:t>45</w:t>
                            </w:r>
                          </w:p>
                        </w:txbxContent>
                      </v:textbox>
                    </v:shape>
                  </w:pict>
                </mc:Fallback>
              </mc:AlternateContent>
            </w:r>
            <w:r w:rsidR="001C005C" w:rsidRPr="001450BF">
              <w:rPr>
                <w:rFonts w:eastAsia="Times New Roman" w:cs="Arial"/>
                <w:color w:val="000000"/>
                <w:sz w:val="20"/>
                <w:szCs w:val="20"/>
                <w:lang w:eastAsia="fr-FR"/>
              </w:rPr>
              <w:t>12</w:t>
            </w:r>
          </w:p>
        </w:tc>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9901B8" w14:textId="0FDC7B22" w:rsidR="001C005C" w:rsidRPr="001450BF" w:rsidRDefault="001C005C" w:rsidP="00F17F16">
            <w:pPr>
              <w:keepNext/>
              <w:spacing w:after="0" w:line="240" w:lineRule="auto"/>
              <w:ind w:left="142"/>
              <w:jc w:val="center"/>
              <w:rPr>
                <w:rFonts w:eastAsia="Times New Roman" w:cs="Arial"/>
                <w:color w:val="000000"/>
                <w:sz w:val="20"/>
                <w:szCs w:val="20"/>
                <w:lang w:eastAsia="fr-FR"/>
              </w:rPr>
            </w:pPr>
            <w:r w:rsidRPr="001450BF">
              <w:rPr>
                <w:rFonts w:eastAsia="Times New Roman" w:cs="Arial"/>
                <w:color w:val="000000"/>
                <w:sz w:val="20"/>
                <w:szCs w:val="20"/>
                <w:lang w:eastAsia="fr-FR"/>
              </w:rPr>
              <w:t>7</w:t>
            </w:r>
          </w:p>
        </w:tc>
      </w:tr>
    </w:tbl>
    <w:p w14:paraId="456113A7" w14:textId="51B85590" w:rsidR="005267CA" w:rsidRPr="005267CA" w:rsidRDefault="00971C72" w:rsidP="00F17F16">
      <w:pPr>
        <w:pStyle w:val="figure"/>
        <w:spacing w:before="0"/>
        <w:ind w:left="142"/>
      </w:pPr>
      <w:bookmarkStart w:id="100" w:name="_Toc72143369"/>
      <w:r w:rsidRPr="005267CA">
        <w:rPr>
          <w:rStyle w:val="figureCar"/>
          <w:b/>
          <w:bCs/>
          <w:iCs/>
        </w:rPr>
        <w:t xml:space="preserve">Tableau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21</w:t>
      </w:r>
      <w:r w:rsidRPr="005267CA">
        <w:rPr>
          <w:rStyle w:val="figureCar"/>
          <w:b/>
          <w:bCs/>
          <w:iCs/>
        </w:rPr>
        <w:fldChar w:fldCharType="end"/>
      </w:r>
      <w:r w:rsidRPr="005267CA">
        <w:rPr>
          <w:rStyle w:val="figureCar"/>
          <w:b/>
          <w:bCs/>
          <w:iCs/>
        </w:rPr>
        <w:t xml:space="preserve"> </w:t>
      </w:r>
      <w:r w:rsidR="001C005C" w:rsidRPr="005267CA">
        <w:rPr>
          <w:rStyle w:val="figureCar"/>
          <w:b/>
          <w:bCs/>
          <w:iCs/>
        </w:rPr>
        <w:t xml:space="preserve">: Approche comparative de la ventilation </w:t>
      </w:r>
      <w:r w:rsidR="00620FDC">
        <w:rPr>
          <w:rStyle w:val="figureCar"/>
          <w:b/>
          <w:bCs/>
          <w:iCs/>
        </w:rPr>
        <w:t xml:space="preserve">en % </w:t>
      </w:r>
      <w:r w:rsidR="001C005C" w:rsidRPr="005267CA">
        <w:rPr>
          <w:rStyle w:val="figureCar"/>
          <w:b/>
          <w:bCs/>
          <w:iCs/>
        </w:rPr>
        <w:t>de</w:t>
      </w:r>
      <w:r w:rsidR="002010CA" w:rsidRPr="005267CA">
        <w:rPr>
          <w:rStyle w:val="figureCar"/>
          <w:b/>
          <w:bCs/>
          <w:iCs/>
        </w:rPr>
        <w:t xml:space="preserve"> la part</w:t>
      </w:r>
      <w:r w:rsidR="002010CA" w:rsidRPr="005267CA">
        <w:t xml:space="preserve"> </w:t>
      </w:r>
      <w:r w:rsidR="00AD5B70">
        <w:t xml:space="preserve">des dépenses </w:t>
      </w:r>
      <w:r w:rsidR="006B202B">
        <w:t xml:space="preserve">des ménages à domicile </w:t>
      </w:r>
      <w:r w:rsidR="0059173F">
        <w:t>entre les données BDF 2017 et celles des comptes nationaux par type de produit</w:t>
      </w:r>
      <w:bookmarkEnd w:id="100"/>
    </w:p>
    <w:p w14:paraId="3AF4BF70" w14:textId="2DC604A3" w:rsidR="001C005C" w:rsidRPr="005267CA" w:rsidRDefault="001C005C" w:rsidP="00F17F16">
      <w:pPr>
        <w:pStyle w:val="Lgende"/>
        <w:ind w:left="142"/>
      </w:pPr>
      <w:r w:rsidRPr="005267CA">
        <w:t>(</w:t>
      </w:r>
      <w:r w:rsidR="00FB65CD" w:rsidRPr="005267CA">
        <w:t>Source</w:t>
      </w:r>
      <w:r w:rsidRPr="005267CA">
        <w:t> : Ifip d’après INSEE, 2017</w:t>
      </w:r>
      <w:r w:rsidR="002010CA" w:rsidRPr="005267CA">
        <w:t xml:space="preserve"> et 2019</w:t>
      </w:r>
      <w:r w:rsidRPr="005267CA">
        <w:t>).</w:t>
      </w:r>
    </w:p>
    <w:p w14:paraId="4C8AC3D3" w14:textId="791C6AED" w:rsidR="00043774" w:rsidRDefault="00043774" w:rsidP="00F17F16">
      <w:pPr>
        <w:pStyle w:val="ValrieN2"/>
        <w:tabs>
          <w:tab w:val="left" w:pos="1605"/>
        </w:tabs>
        <w:ind w:left="142"/>
        <w:rPr>
          <w:b w:val="0"/>
        </w:rPr>
      </w:pPr>
      <w:r>
        <w:rPr>
          <w:b w:val="0"/>
        </w:rPr>
        <w:t xml:space="preserve">En </w:t>
      </w:r>
      <w:r w:rsidR="00375AD1">
        <w:rPr>
          <w:b w:val="0"/>
        </w:rPr>
        <w:t>termes d’évolution</w:t>
      </w:r>
      <w:r>
        <w:rPr>
          <w:b w:val="0"/>
        </w:rPr>
        <w:t>,</w:t>
      </w:r>
      <w:r w:rsidR="002C01D9">
        <w:rPr>
          <w:b w:val="0"/>
        </w:rPr>
        <w:t xml:space="preserve"> en deux décennies, la </w:t>
      </w:r>
      <w:r w:rsidR="00357533">
        <w:rPr>
          <w:b w:val="0"/>
        </w:rPr>
        <w:t xml:space="preserve">part des dépenses </w:t>
      </w:r>
      <w:r w:rsidR="002C01D9">
        <w:rPr>
          <w:b w:val="0"/>
        </w:rPr>
        <w:t>en</w:t>
      </w:r>
      <w:r w:rsidR="00357533">
        <w:rPr>
          <w:b w:val="0"/>
        </w:rPr>
        <w:t xml:space="preserve"> viande </w:t>
      </w:r>
      <w:r w:rsidR="002C01D9">
        <w:rPr>
          <w:b w:val="0"/>
        </w:rPr>
        <w:t>d</w:t>
      </w:r>
      <w:r w:rsidR="00357533">
        <w:rPr>
          <w:b w:val="0"/>
        </w:rPr>
        <w:t xml:space="preserve">e porc est </w:t>
      </w:r>
      <w:r w:rsidR="002C01D9">
        <w:rPr>
          <w:b w:val="0"/>
        </w:rPr>
        <w:t xml:space="preserve">quasi stable, </w:t>
      </w:r>
      <w:r w:rsidR="00357533">
        <w:rPr>
          <w:b w:val="0"/>
        </w:rPr>
        <w:t xml:space="preserve">et celle consacrée à la volaille </w:t>
      </w:r>
      <w:r w:rsidR="002C01D9">
        <w:rPr>
          <w:b w:val="0"/>
        </w:rPr>
        <w:t xml:space="preserve">gagne </w:t>
      </w:r>
      <w:r w:rsidR="00203CAE">
        <w:rPr>
          <w:b w:val="0"/>
        </w:rPr>
        <w:t>+ </w:t>
      </w:r>
      <w:r w:rsidR="002C01D9">
        <w:rPr>
          <w:b w:val="0"/>
        </w:rPr>
        <w:t>1,3 points</w:t>
      </w:r>
      <w:r w:rsidR="00357533">
        <w:rPr>
          <w:b w:val="0"/>
        </w:rPr>
        <w:t xml:space="preserve">. </w:t>
      </w:r>
      <w:r w:rsidR="002C01D9">
        <w:rPr>
          <w:b w:val="0"/>
        </w:rPr>
        <w:t>Les</w:t>
      </w:r>
      <w:r w:rsidR="00357533">
        <w:rPr>
          <w:b w:val="0"/>
        </w:rPr>
        <w:t xml:space="preserve"> viande</w:t>
      </w:r>
      <w:r w:rsidR="002C01D9">
        <w:rPr>
          <w:b w:val="0"/>
        </w:rPr>
        <w:t>s</w:t>
      </w:r>
      <w:r w:rsidR="00357533">
        <w:rPr>
          <w:b w:val="0"/>
        </w:rPr>
        <w:t xml:space="preserve"> bovine</w:t>
      </w:r>
      <w:r w:rsidR="002C01D9">
        <w:rPr>
          <w:b w:val="0"/>
        </w:rPr>
        <w:t>s</w:t>
      </w:r>
      <w:r w:rsidR="00357533">
        <w:rPr>
          <w:b w:val="0"/>
        </w:rPr>
        <w:t xml:space="preserve"> et d</w:t>
      </w:r>
      <w:r w:rsidR="002C01D9">
        <w:rPr>
          <w:b w:val="0"/>
        </w:rPr>
        <w:t>e</w:t>
      </w:r>
      <w:r w:rsidR="00357533">
        <w:rPr>
          <w:b w:val="0"/>
        </w:rPr>
        <w:t xml:space="preserve"> veau poursui</w:t>
      </w:r>
      <w:r w:rsidR="002C01D9">
        <w:rPr>
          <w:b w:val="0"/>
        </w:rPr>
        <w:t>ven</w:t>
      </w:r>
      <w:r w:rsidR="00357533">
        <w:rPr>
          <w:b w:val="0"/>
        </w:rPr>
        <w:t xml:space="preserve">t </w:t>
      </w:r>
      <w:r w:rsidR="002C01D9">
        <w:rPr>
          <w:b w:val="0"/>
        </w:rPr>
        <w:t>leur</w:t>
      </w:r>
      <w:r w:rsidR="00357533">
        <w:rPr>
          <w:b w:val="0"/>
        </w:rPr>
        <w:t xml:space="preserve"> recul avec</w:t>
      </w:r>
      <w:r w:rsidR="002C01D9">
        <w:rPr>
          <w:b w:val="0"/>
        </w:rPr>
        <w:t xml:space="preserve"> -</w:t>
      </w:r>
      <w:r w:rsidR="00E219D8">
        <w:rPr>
          <w:b w:val="0"/>
        </w:rPr>
        <w:t> </w:t>
      </w:r>
      <w:r w:rsidR="002C01D9">
        <w:rPr>
          <w:b w:val="0"/>
        </w:rPr>
        <w:t>2,6 points. La part de la charcuterie et des plats préparés à base de viande s’intensifie</w:t>
      </w:r>
      <w:r w:rsidR="007F2D0A">
        <w:rPr>
          <w:b w:val="0"/>
        </w:rPr>
        <w:t xml:space="preserve"> (</w:t>
      </w:r>
      <w:r w:rsidR="002C01D9">
        <w:rPr>
          <w:b w:val="0"/>
        </w:rPr>
        <w:t>+</w:t>
      </w:r>
      <w:r w:rsidR="00E219D8">
        <w:rPr>
          <w:b w:val="0"/>
        </w:rPr>
        <w:t> </w:t>
      </w:r>
      <w:r w:rsidR="002C01D9">
        <w:rPr>
          <w:b w:val="0"/>
        </w:rPr>
        <w:t>7 points</w:t>
      </w:r>
      <w:r w:rsidR="007F2D0A">
        <w:rPr>
          <w:b w:val="0"/>
        </w:rPr>
        <w:t>)</w:t>
      </w:r>
      <w:r w:rsidR="002C01D9">
        <w:rPr>
          <w:b w:val="0"/>
        </w:rPr>
        <w:t xml:space="preserve"> en ligne avec la recherche de praticité et de rapidité de préparation </w:t>
      </w:r>
      <w:r w:rsidR="00B100CF">
        <w:rPr>
          <w:b w:val="0"/>
        </w:rPr>
        <w:t>attendues par l</w:t>
      </w:r>
      <w:r w:rsidR="002C01D9">
        <w:rPr>
          <w:b w:val="0"/>
        </w:rPr>
        <w:t xml:space="preserve">es consommateurs. </w:t>
      </w:r>
    </w:p>
    <w:p w14:paraId="48B8B383" w14:textId="320CC0D5" w:rsidR="00A47019" w:rsidRDefault="00A47019" w:rsidP="00A63F35">
      <w:pPr>
        <w:pStyle w:val="Titre2"/>
        <w:numPr>
          <w:ilvl w:val="1"/>
          <w:numId w:val="17"/>
        </w:numPr>
      </w:pPr>
      <w:bookmarkStart w:id="101" w:name="_Toc78131572"/>
      <w:r w:rsidRPr="00554E38">
        <w:t>Données Anses, Enquête Inca</w:t>
      </w:r>
      <w:bookmarkEnd w:id="101"/>
      <w:r w:rsidRPr="00554E38">
        <w:t xml:space="preserve"> </w:t>
      </w:r>
    </w:p>
    <w:p w14:paraId="1954A679" w14:textId="4B75CF5D" w:rsidR="00B9002C" w:rsidRPr="00D54EC4" w:rsidRDefault="00B9002C" w:rsidP="0002537E">
      <w:pPr>
        <w:pStyle w:val="Corpsdetexte"/>
        <w:jc w:val="center"/>
        <w:rPr>
          <w:iCs/>
        </w:rPr>
      </w:pPr>
      <w:r w:rsidRPr="0002537E">
        <w:rPr>
          <w:i/>
          <w:iCs/>
        </w:rPr>
        <w:t>Recommandations nutritionnelles pour la consommation des produits carnés</w:t>
      </w:r>
    </w:p>
    <w:p w14:paraId="5F832348" w14:textId="18321871" w:rsidR="00B9002C" w:rsidRDefault="00B9002C" w:rsidP="00620FDC">
      <w:pPr>
        <w:ind w:left="142"/>
      </w:pPr>
      <w:r>
        <w:t xml:space="preserve">La plupart des études se réfèrent aux seuils nutritionnels de recommandation pour apprécier la consommation des individus ou des ménages dans la consommation. En ce sens, en introduction de ce chapitre, </w:t>
      </w:r>
      <w:r w:rsidRPr="00E95400">
        <w:t>les recommandations nutritionnelles diffusées dans le cadre du Programme national nutrition santé (PNNS)</w:t>
      </w:r>
      <w:r>
        <w:t xml:space="preserve"> sont posées</w:t>
      </w:r>
      <w:r w:rsidRPr="00E95400">
        <w:t xml:space="preserve"> </w:t>
      </w:r>
      <w:r>
        <w:t xml:space="preserve">tenant compte du fait que de nouvelles recommandations nutritionnelles du Programme national nutrition santé (PNNS) ont été publiées par Santé Publique France en janvier 2019, à partir des rapports et avis scientifiques </w:t>
      </w:r>
      <w:r>
        <w:lastRenderedPageBreak/>
        <w:t xml:space="preserve">de l’Anses (2017) et du Haut Conseil de la Santé publique (2017). Les recommandations de limitation de la </w:t>
      </w:r>
      <w:r w:rsidRPr="00E95400">
        <w:t xml:space="preserve">consommation </w:t>
      </w:r>
      <w:r>
        <w:t xml:space="preserve">pour un individu adulte en </w:t>
      </w:r>
      <w:r w:rsidRPr="00E95400">
        <w:t xml:space="preserve">viande </w:t>
      </w:r>
      <w:r>
        <w:t xml:space="preserve">toutes espèces sont de moins de </w:t>
      </w:r>
      <w:r w:rsidRPr="00E95400">
        <w:t>500 g/semaine</w:t>
      </w:r>
      <w:r>
        <w:t xml:space="preserve"> (inclus </w:t>
      </w:r>
      <w:r w:rsidRPr="000805FF">
        <w:t>porc, bœuf, veau, mouton, agneau, abats</w:t>
      </w:r>
      <w:r>
        <w:t xml:space="preserve">, hors </w:t>
      </w:r>
      <w:r w:rsidRPr="00E95400">
        <w:t>volaille</w:t>
      </w:r>
      <w:r>
        <w:t xml:space="preserve">) et celles </w:t>
      </w:r>
      <w:r w:rsidRPr="00E95400">
        <w:t>de charcuterie</w:t>
      </w:r>
      <w:r>
        <w:t>s</w:t>
      </w:r>
      <w:r w:rsidRPr="00E95400">
        <w:t xml:space="preserve"> </w:t>
      </w:r>
      <w:r>
        <w:t xml:space="preserve">fixées </w:t>
      </w:r>
      <w:r w:rsidRPr="00E95400">
        <w:t xml:space="preserve">à </w:t>
      </w:r>
      <w:r>
        <w:t xml:space="preserve">moins de </w:t>
      </w:r>
      <w:r w:rsidRPr="00E95400">
        <w:t>150 g/semaine.</w:t>
      </w:r>
      <w:r>
        <w:t xml:space="preserve"> Il est en revanche recommandé de consommer du poisson deux fois par semaine. </w:t>
      </w:r>
      <w:r w:rsidR="00D915B3">
        <w:t>De même, l</w:t>
      </w:r>
      <w:r>
        <w:t xml:space="preserve">es légumes secs apparaissent comme un nouveau groupe d’aliments recommandés, avec une consommation </w:t>
      </w:r>
      <w:r w:rsidR="00D915B3">
        <w:t>d’</w:t>
      </w:r>
      <w:r>
        <w:t xml:space="preserve">au moins deux fois par semaine, car ils sont naturellement riches en fibres. </w:t>
      </w:r>
    </w:p>
    <w:p w14:paraId="3BB0370C" w14:textId="16D56D03" w:rsidR="00B9002C" w:rsidRPr="00554E38" w:rsidRDefault="00B9002C" w:rsidP="00620FDC">
      <w:pPr>
        <w:ind w:left="142"/>
      </w:pPr>
      <w:r>
        <w:t xml:space="preserve">Un autre point qui est à noter, même s’il ne sera pas développé dans ce rapport, </w:t>
      </w:r>
      <w:r w:rsidR="00620FDC">
        <w:t xml:space="preserve">concerne </w:t>
      </w:r>
      <w:r>
        <w:t>la prise en compte</w:t>
      </w:r>
      <w:r w:rsidR="00620FDC">
        <w:t xml:space="preserve"> de</w:t>
      </w:r>
      <w:r>
        <w:t xml:space="preserve"> la dimension environnementale dans l’élaboration des repères nutritionnels. Il est ainsi conseillé de privilégier les aliments produits selon des modes de production diminuant l’exposition aux contaminants, et de recourir davantage aux circuits courts. Enfin, l’attention est portée sur les produits ultra-transformés, dont il est conseillé de réduire la consommation (objectif d’une baisse de 20</w:t>
      </w:r>
      <w:r w:rsidR="00203CAE">
        <w:t> </w:t>
      </w:r>
      <w:r>
        <w:t>% à échéance 2025 à l’échelle de la population française) au profit des produits bruts. Il est également recommandé de s’aider du Nutri-Score pour choisir entre différents produits, en limitant la consommation de produits moins bien classés (D et E) parmi lesquels s’inscrivent 45</w:t>
      </w:r>
      <w:r w:rsidR="00203CAE">
        <w:t> </w:t>
      </w:r>
      <w:r>
        <w:t xml:space="preserve">% des produits de charcuterie </w:t>
      </w:r>
      <w:r w:rsidRPr="00047290">
        <w:t>(Terra Nova, 2020).</w:t>
      </w:r>
    </w:p>
    <w:p w14:paraId="70CB7324" w14:textId="218764D7" w:rsidR="00A47019" w:rsidRPr="00347D56" w:rsidRDefault="00A47019" w:rsidP="00A47019">
      <w:pPr>
        <w:pStyle w:val="Titre3"/>
      </w:pPr>
      <w:bookmarkStart w:id="102" w:name="_Toc78131573"/>
      <w:r w:rsidRPr="00347D56">
        <w:t>3.</w:t>
      </w:r>
      <w:r w:rsidR="00F17F16">
        <w:t>2</w:t>
      </w:r>
      <w:r w:rsidRPr="00347D56">
        <w:t>.1. Objectifs et méthode de l’enquête</w:t>
      </w:r>
      <w:bookmarkEnd w:id="102"/>
    </w:p>
    <w:p w14:paraId="480D2204" w14:textId="77777777" w:rsidR="00A47019" w:rsidRDefault="00A47019" w:rsidP="00F17F16">
      <w:pPr>
        <w:ind w:left="142"/>
      </w:pPr>
      <w:r w:rsidRPr="00FE56A1">
        <w:t xml:space="preserve">Dans le cadre de </w:t>
      </w:r>
      <w:r>
        <w:t>sa mission d’évaluation des risques et des bénéfices nutritionnels, l’ANSES réalise régulièrement des enquêtes Individuelles Nationales sur la Consommation Alimentaire (INCA). Leurs objectifs sont de mieux</w:t>
      </w:r>
      <w:r w:rsidRPr="00992377">
        <w:t xml:space="preserve"> connaître les consommations alimentaires individuelles </w:t>
      </w:r>
      <w:r>
        <w:t xml:space="preserve">quelles que soient les </w:t>
      </w:r>
      <w:r w:rsidRPr="00992377">
        <w:t>occasions et lieux de consommation</w:t>
      </w:r>
      <w:r>
        <w:t>,</w:t>
      </w:r>
      <w:r w:rsidRPr="00992377">
        <w:t xml:space="preserve"> </w:t>
      </w:r>
      <w:r>
        <w:t>de</w:t>
      </w:r>
      <w:r w:rsidRPr="00992377">
        <w:t xml:space="preserve"> quantifier les apports nutritionnels </w:t>
      </w:r>
      <w:r>
        <w:t xml:space="preserve">et de mieux appréhender </w:t>
      </w:r>
      <w:r w:rsidRPr="00B93806">
        <w:t xml:space="preserve">les </w:t>
      </w:r>
      <w:r>
        <w:t xml:space="preserve">habitudes de consommation en termes de </w:t>
      </w:r>
      <w:r w:rsidRPr="00B93806">
        <w:t>pratiques d’achat, de préparation et de conservation des aliments</w:t>
      </w:r>
      <w:r>
        <w:t>.</w:t>
      </w:r>
    </w:p>
    <w:p w14:paraId="3ADEC9B2" w14:textId="4D72FACE" w:rsidR="00A47019" w:rsidRPr="00F17F16" w:rsidRDefault="00A47019" w:rsidP="00F17F16">
      <w:pPr>
        <w:ind w:left="142"/>
      </w:pPr>
      <w:r>
        <w:t>Les deux précédentes enquêtes ont été conduites en 1998-1999 (INCA1) et 2006-2007 (INCA2). La vague d’enquête objet de l’analyse, a été conduite entre février 2014 et septembre 2015 (I</w:t>
      </w:r>
      <w:r w:rsidR="00CD5DB5">
        <w:t>NCA</w:t>
      </w:r>
      <w:r>
        <w:t>3) avec une rupture par rapport aux enquêtes précédentes en termes de méthode. En effet, le</w:t>
      </w:r>
      <w:r w:rsidRPr="00992377">
        <w:t xml:space="preserve"> carnet de consommation de 7 jours consécutifs</w:t>
      </w:r>
      <w:r>
        <w:t xml:space="preserve"> utilisé dans les enquêtes précédentes a été remplacé par </w:t>
      </w:r>
      <w:r w:rsidRPr="00992377">
        <w:t xml:space="preserve">3 rappels </w:t>
      </w:r>
      <w:r>
        <w:t xml:space="preserve">non consécutifs </w:t>
      </w:r>
      <w:r w:rsidRPr="00992377">
        <w:t xml:space="preserve">de 24h </w:t>
      </w:r>
      <w:r w:rsidRPr="00BD36BC">
        <w:t>(2 jours de semaine et 1 jour de week-end) répartis sur environ 3 semaines</w:t>
      </w:r>
      <w:r w:rsidRPr="00992377">
        <w:t xml:space="preserve"> dans un souci d’harmonisation méthodologique </w:t>
      </w:r>
      <w:r>
        <w:t xml:space="preserve">sur le plan européen et ce </w:t>
      </w:r>
      <w:r w:rsidRPr="00077477">
        <w:t xml:space="preserve">dans le cadre du projet </w:t>
      </w:r>
      <w:r>
        <w:t>« M</w:t>
      </w:r>
      <w:r w:rsidRPr="00077477">
        <w:t>enu</w:t>
      </w:r>
      <w:r>
        <w:t> »</w:t>
      </w:r>
      <w:r w:rsidRPr="00077477">
        <w:t xml:space="preserve"> de l’Autorité européenne de sécurité des aliments (EFSA)</w:t>
      </w:r>
      <w:r w:rsidRPr="00992377">
        <w:t>.</w:t>
      </w:r>
      <w:r>
        <w:t xml:space="preserve"> </w:t>
      </w:r>
      <w:r w:rsidRPr="00F17F16">
        <w:rPr>
          <w:bCs/>
        </w:rPr>
        <w:t>Ce changement de méthode au cours du temps ne permet donc pas de suivre l’évolution des consommations</w:t>
      </w:r>
      <w:r w:rsidRPr="00F17F16">
        <w:t>.</w:t>
      </w:r>
    </w:p>
    <w:p w14:paraId="0FEC8E21" w14:textId="314FC558" w:rsidR="00A47019" w:rsidRPr="00C77D3F" w:rsidRDefault="00A47019" w:rsidP="00F17F16">
      <w:pPr>
        <w:ind w:left="142"/>
        <w:rPr>
          <w:spacing w:val="-2"/>
        </w:rPr>
      </w:pPr>
      <w:r w:rsidRPr="00C77D3F">
        <w:rPr>
          <w:spacing w:val="-2"/>
        </w:rPr>
        <w:t>L’enquête a été conduite sur un échantillon de 5</w:t>
      </w:r>
      <w:r w:rsidR="00203CAE">
        <w:rPr>
          <w:spacing w:val="-2"/>
        </w:rPr>
        <w:t> </w:t>
      </w:r>
      <w:r w:rsidRPr="00C77D3F">
        <w:rPr>
          <w:spacing w:val="-2"/>
        </w:rPr>
        <w:t>855 individus réparti</w:t>
      </w:r>
      <w:r w:rsidR="00203CAE">
        <w:rPr>
          <w:spacing w:val="-2"/>
        </w:rPr>
        <w:t>s</w:t>
      </w:r>
      <w:r w:rsidRPr="00C77D3F">
        <w:rPr>
          <w:spacing w:val="-2"/>
        </w:rPr>
        <w:t xml:space="preserve"> en 2 698 enfants de 0 à 17 ans et 3 157 adultes âgés de 18 à 79 ans. Le recrutement des échantillons adultes a été assuré par stratification (région géographique et taille d’agglomération) et par la méthode des quotas (âge, sexe, profession et catégorie socioprofessionnelle individuelle et taille du ménage). Afin de mesurer la représentativité nationale des personnes interrogées, les principales caractéristiques sociodémographiques de l’échantillon adulte ont par ailleurs été comparées aux données issues du recensement de l’Insee, sans devoir </w:t>
      </w:r>
      <w:r w:rsidR="00D915B3">
        <w:rPr>
          <w:spacing w:val="-2"/>
        </w:rPr>
        <w:t xml:space="preserve">faire </w:t>
      </w:r>
      <w:r w:rsidRPr="00C77D3F">
        <w:rPr>
          <w:spacing w:val="-2"/>
        </w:rPr>
        <w:t>l’objet de redressements statistiques.</w:t>
      </w:r>
    </w:p>
    <w:p w14:paraId="01154103" w14:textId="3703FD46" w:rsidR="00A47019" w:rsidRDefault="00A47019" w:rsidP="00F17F16">
      <w:pPr>
        <w:ind w:left="142"/>
      </w:pPr>
      <w:r>
        <w:t xml:space="preserve">Les </w:t>
      </w:r>
      <w:r w:rsidRPr="001A2BEE">
        <w:t xml:space="preserve">44 </w:t>
      </w:r>
      <w:r>
        <w:t xml:space="preserve">catégories d’aliment de l’enquête ont été </w:t>
      </w:r>
      <w:r w:rsidRPr="001A2BEE">
        <w:t>développée</w:t>
      </w:r>
      <w:r>
        <w:t>s</w:t>
      </w:r>
      <w:r w:rsidRPr="001A2BEE">
        <w:t xml:space="preserve"> à partir de la nomenclature de l’EFSA (FoodEx2)</w:t>
      </w:r>
      <w:r>
        <w:t>. Pour ce qui concerne les produits carnés, les catégories d’intérêt suivantes seront observées avec la limite du regroupement multi</w:t>
      </w:r>
      <w:r w:rsidR="00D915B3">
        <w:t>-</w:t>
      </w:r>
      <w:r>
        <w:t>espèces au sein des catégories, facteur limitant pour l’analyse. Sont concernées les catégories suivantes : « viandes hors volaille », « abats » et « plats à base de viande ». Les « charcuteries » intègrent le porc et la volaille. Seule, la catégorie « volaille » est mono</w:t>
      </w:r>
      <w:r w:rsidR="00D915B3">
        <w:t>-</w:t>
      </w:r>
      <w:r>
        <w:t>espèce. La catégorie très hétérogène « sandwichs, pizzas, tartes, pâtisseries et biscuits salés » sera également traitée afin d’évaluer la montée des produits élaborés de type traiteur dans la consommation des individus.</w:t>
      </w:r>
    </w:p>
    <w:p w14:paraId="276BCC56" w14:textId="4080A003" w:rsidR="00A47019" w:rsidRDefault="00A47019" w:rsidP="00A73BAA">
      <w:pPr>
        <w:pStyle w:val="Titre3"/>
      </w:pPr>
      <w:bookmarkStart w:id="103" w:name="_Toc78131574"/>
      <w:r w:rsidRPr="0027378B">
        <w:lastRenderedPageBreak/>
        <w:t>3.</w:t>
      </w:r>
      <w:r w:rsidR="00F17F16">
        <w:t>2</w:t>
      </w:r>
      <w:r w:rsidRPr="0027378B">
        <w:t>.</w:t>
      </w:r>
      <w:r>
        <w:t>2</w:t>
      </w:r>
      <w:r w:rsidRPr="0027378B">
        <w:t xml:space="preserve">. </w:t>
      </w:r>
      <w:r>
        <w:t>Principaux résultats pour les protéines carnées</w:t>
      </w:r>
      <w:bookmarkEnd w:id="103"/>
    </w:p>
    <w:p w14:paraId="6D8AB437" w14:textId="2A3B7089" w:rsidR="00A47019" w:rsidRPr="00EC4550" w:rsidRDefault="00A47019" w:rsidP="00F17F16">
      <w:pPr>
        <w:ind w:left="142"/>
        <w:rPr>
          <w:rFonts w:cs="Arial"/>
          <w:spacing w:val="-4"/>
        </w:rPr>
      </w:pPr>
      <w:r w:rsidRPr="00EC4550">
        <w:rPr>
          <w:rFonts w:cs="Arial"/>
          <w:spacing w:val="-4"/>
        </w:rPr>
        <w:t>L’observation du taux de consommation moyen fait état d’une grande hétérogénéité selon les typologies de produits carnés (</w:t>
      </w:r>
      <w:r w:rsidR="00A02F5E">
        <w:rPr>
          <w:rFonts w:cs="Arial"/>
          <w:spacing w:val="-4"/>
        </w:rPr>
        <w:fldChar w:fldCharType="begin"/>
      </w:r>
      <w:r w:rsidR="00A02F5E">
        <w:rPr>
          <w:rFonts w:cs="Arial"/>
          <w:spacing w:val="-4"/>
        </w:rPr>
        <w:instrText xml:space="preserve"> REF _Ref70880765 \h </w:instrText>
      </w:r>
      <w:r w:rsidR="00A02F5E">
        <w:rPr>
          <w:rFonts w:cs="Arial"/>
          <w:spacing w:val="-4"/>
        </w:rPr>
      </w:r>
      <w:r w:rsidR="00A02F5E">
        <w:rPr>
          <w:rFonts w:cs="Arial"/>
          <w:spacing w:val="-4"/>
        </w:rPr>
        <w:fldChar w:fldCharType="separate"/>
      </w:r>
      <w:r w:rsidR="0007597F" w:rsidRPr="005267CA">
        <w:rPr>
          <w:rStyle w:val="figureCar"/>
          <w:rFonts w:eastAsiaTheme="minorHAnsi"/>
          <w:b w:val="0"/>
          <w:bCs w:val="0"/>
          <w:iCs w:val="0"/>
        </w:rPr>
        <w:t xml:space="preserve">Tableau </w:t>
      </w:r>
      <w:r w:rsidR="0007597F">
        <w:rPr>
          <w:rStyle w:val="figureCar"/>
          <w:rFonts w:eastAsiaTheme="minorHAnsi"/>
          <w:b w:val="0"/>
          <w:bCs w:val="0"/>
          <w:iCs w:val="0"/>
          <w:noProof/>
        </w:rPr>
        <w:t>22</w:t>
      </w:r>
      <w:r w:rsidR="00A02F5E">
        <w:rPr>
          <w:rFonts w:cs="Arial"/>
          <w:spacing w:val="-4"/>
        </w:rPr>
        <w:fldChar w:fldCharType="end"/>
      </w:r>
      <w:r w:rsidRPr="00EC4550">
        <w:rPr>
          <w:rFonts w:cs="Arial"/>
          <w:spacing w:val="-4"/>
        </w:rPr>
        <w:t>). Avec un taux de consommation chez les adultes de 68,3 % et une consommation individuelle moyenne (CIM) d’environ 69 g par jour, la viande (hors volaille) apparaît comme le produit carné le plus largement consommé. Elle est supérieure à celle des charcuteries de porc et de volaille (taux de consommation de 66,9 % ; CIM 40,9 g/jour) et de la volaille (taux de consommation de 49,1 % ; CIM 52,9 g/jour). Cette protéine peut être considérée comme également consommée au travers de produits élaborés tels que les « sandwiches, pizzas, tartes, pâtisseries salées… » (taux de consommation de 59,7 %). Sur les 3 jours de relevés, les plats préparés et les abats font l’objet d’une consommation moins régulière et recueillent respectivement moins de 19,5 % et 8 % des consommateurs.</w:t>
      </w:r>
    </w:p>
    <w:tbl>
      <w:tblPr>
        <w:tblW w:w="9493" w:type="dxa"/>
        <w:jc w:val="center"/>
        <w:tblCellMar>
          <w:left w:w="70" w:type="dxa"/>
          <w:right w:w="70" w:type="dxa"/>
        </w:tblCellMar>
        <w:tblLook w:val="04A0" w:firstRow="1" w:lastRow="0" w:firstColumn="1" w:lastColumn="0" w:noHBand="0" w:noVBand="1"/>
      </w:tblPr>
      <w:tblGrid>
        <w:gridCol w:w="2689"/>
        <w:gridCol w:w="2372"/>
        <w:gridCol w:w="1455"/>
        <w:gridCol w:w="2977"/>
      </w:tblGrid>
      <w:tr w:rsidR="00A47019" w:rsidRPr="000D2405" w14:paraId="246D789D" w14:textId="77777777" w:rsidTr="00020D87">
        <w:trPr>
          <w:trHeight w:val="675"/>
          <w:jc w:val="center"/>
        </w:trPr>
        <w:tc>
          <w:tcPr>
            <w:tcW w:w="2689"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7D30976D" w14:textId="77777777" w:rsidR="00A47019" w:rsidRPr="000D2405" w:rsidRDefault="00A47019" w:rsidP="002F4A45">
            <w:pPr>
              <w:spacing w:after="0" w:line="240" w:lineRule="auto"/>
              <w:rPr>
                <w:rFonts w:eastAsia="Times New Roman" w:cs="Arial"/>
                <w:b/>
                <w:bCs/>
                <w:i/>
                <w:iCs/>
                <w:color w:val="000000"/>
                <w:sz w:val="18"/>
                <w:szCs w:val="18"/>
                <w:lang w:eastAsia="fr-FR"/>
              </w:rPr>
            </w:pPr>
            <w:r w:rsidRPr="000D2405">
              <w:rPr>
                <w:rFonts w:eastAsia="Times New Roman" w:cs="Arial"/>
                <w:b/>
                <w:bCs/>
                <w:i/>
                <w:iCs/>
                <w:color w:val="000000"/>
                <w:sz w:val="18"/>
                <w:szCs w:val="18"/>
                <w:lang w:eastAsia="fr-FR"/>
              </w:rPr>
              <w:t xml:space="preserve">Catégories de produits </w:t>
            </w:r>
          </w:p>
        </w:tc>
        <w:tc>
          <w:tcPr>
            <w:tcW w:w="2372" w:type="dxa"/>
            <w:tcBorders>
              <w:top w:val="single" w:sz="4" w:space="0" w:color="auto"/>
              <w:left w:val="nil"/>
              <w:bottom w:val="single" w:sz="4" w:space="0" w:color="auto"/>
              <w:right w:val="single" w:sz="4" w:space="0" w:color="auto"/>
            </w:tcBorders>
            <w:shd w:val="clear" w:color="000000" w:fill="D9D9D9"/>
            <w:vAlign w:val="center"/>
            <w:hideMark/>
          </w:tcPr>
          <w:p w14:paraId="4C2E3957" w14:textId="77777777" w:rsidR="00A47019" w:rsidRPr="000D2405" w:rsidRDefault="00A47019" w:rsidP="002F4A45">
            <w:pPr>
              <w:spacing w:after="0" w:line="240" w:lineRule="auto"/>
              <w:jc w:val="center"/>
              <w:rPr>
                <w:rFonts w:eastAsia="Times New Roman" w:cs="Arial"/>
                <w:b/>
                <w:bCs/>
                <w:i/>
                <w:iCs/>
                <w:color w:val="000000"/>
                <w:sz w:val="18"/>
                <w:szCs w:val="18"/>
                <w:lang w:eastAsia="fr-FR"/>
              </w:rPr>
            </w:pPr>
            <w:r w:rsidRPr="000D2405">
              <w:rPr>
                <w:rFonts w:eastAsia="Times New Roman" w:cs="Arial"/>
                <w:b/>
                <w:bCs/>
                <w:i/>
                <w:iCs/>
                <w:color w:val="000000"/>
                <w:sz w:val="18"/>
                <w:szCs w:val="18"/>
                <w:lang w:eastAsia="fr-FR"/>
              </w:rPr>
              <w:t>Taux de consommateurs moyen (%)</w:t>
            </w:r>
            <w:r>
              <w:rPr>
                <w:rStyle w:val="Appelnotedebasdep"/>
                <w:rFonts w:eastAsia="Times New Roman" w:cs="Arial"/>
                <w:b/>
                <w:bCs/>
                <w:i/>
                <w:iCs/>
                <w:color w:val="000000"/>
                <w:sz w:val="18"/>
                <w:szCs w:val="18"/>
                <w:lang w:eastAsia="fr-FR"/>
              </w:rPr>
              <w:footnoteReference w:id="7"/>
            </w:r>
          </w:p>
        </w:tc>
        <w:tc>
          <w:tcPr>
            <w:tcW w:w="1455" w:type="dxa"/>
            <w:tcBorders>
              <w:top w:val="single" w:sz="4" w:space="0" w:color="auto"/>
              <w:left w:val="nil"/>
              <w:bottom w:val="single" w:sz="4" w:space="0" w:color="auto"/>
              <w:right w:val="single" w:sz="4" w:space="0" w:color="auto"/>
            </w:tcBorders>
            <w:shd w:val="clear" w:color="000000" w:fill="D9D9D9"/>
            <w:vAlign w:val="center"/>
            <w:hideMark/>
          </w:tcPr>
          <w:p w14:paraId="245AAB7A" w14:textId="77777777" w:rsidR="00A47019" w:rsidRPr="000D2405" w:rsidRDefault="00A47019" w:rsidP="002F4A45">
            <w:pPr>
              <w:spacing w:after="0" w:line="240" w:lineRule="auto"/>
              <w:jc w:val="center"/>
              <w:rPr>
                <w:rFonts w:eastAsia="Times New Roman" w:cs="Arial"/>
                <w:b/>
                <w:bCs/>
                <w:i/>
                <w:iCs/>
                <w:color w:val="000000"/>
                <w:sz w:val="18"/>
                <w:szCs w:val="18"/>
                <w:lang w:eastAsia="fr-FR"/>
              </w:rPr>
            </w:pPr>
            <w:r w:rsidRPr="000D2405">
              <w:rPr>
                <w:rFonts w:eastAsia="Times New Roman" w:cs="Arial"/>
                <w:b/>
                <w:bCs/>
                <w:i/>
                <w:iCs/>
                <w:color w:val="000000"/>
                <w:sz w:val="18"/>
                <w:szCs w:val="18"/>
                <w:lang w:eastAsia="fr-FR"/>
              </w:rPr>
              <w:t>Consommation moy. en g/jour</w:t>
            </w:r>
            <w:r>
              <w:rPr>
                <w:rStyle w:val="Appelnotedebasdep"/>
                <w:rFonts w:eastAsia="Times New Roman" w:cs="Arial"/>
                <w:b/>
                <w:bCs/>
                <w:i/>
                <w:iCs/>
                <w:color w:val="000000"/>
                <w:sz w:val="18"/>
                <w:szCs w:val="18"/>
                <w:lang w:eastAsia="fr-FR"/>
              </w:rPr>
              <w:footnoteReference w:id="8"/>
            </w:r>
          </w:p>
        </w:tc>
        <w:tc>
          <w:tcPr>
            <w:tcW w:w="2977" w:type="dxa"/>
            <w:tcBorders>
              <w:top w:val="single" w:sz="4" w:space="0" w:color="auto"/>
              <w:left w:val="nil"/>
              <w:bottom w:val="single" w:sz="4" w:space="0" w:color="auto"/>
              <w:right w:val="single" w:sz="4" w:space="0" w:color="auto"/>
            </w:tcBorders>
            <w:shd w:val="clear" w:color="000000" w:fill="D9D9D9"/>
            <w:vAlign w:val="center"/>
            <w:hideMark/>
          </w:tcPr>
          <w:p w14:paraId="45713E3D" w14:textId="16B05364" w:rsidR="00A47019" w:rsidRPr="000D2405" w:rsidRDefault="00A47019" w:rsidP="002F4A45">
            <w:pPr>
              <w:spacing w:after="0" w:line="240" w:lineRule="auto"/>
              <w:jc w:val="center"/>
              <w:rPr>
                <w:rFonts w:eastAsia="Times New Roman" w:cs="Arial"/>
                <w:b/>
                <w:bCs/>
                <w:i/>
                <w:iCs/>
                <w:color w:val="000000"/>
                <w:sz w:val="18"/>
                <w:szCs w:val="18"/>
                <w:lang w:eastAsia="fr-FR"/>
              </w:rPr>
            </w:pPr>
            <w:r w:rsidRPr="000D2405">
              <w:rPr>
                <w:rFonts w:eastAsia="Times New Roman" w:cs="Arial"/>
                <w:b/>
                <w:bCs/>
                <w:i/>
                <w:iCs/>
                <w:color w:val="000000"/>
                <w:sz w:val="18"/>
                <w:szCs w:val="18"/>
                <w:lang w:eastAsia="fr-FR"/>
              </w:rPr>
              <w:t>Contribution aux Apports Energétiques Totaux (AET) en</w:t>
            </w:r>
            <w:r w:rsidR="00020D87">
              <w:rPr>
                <w:rFonts w:eastAsia="Times New Roman" w:cs="Arial"/>
                <w:b/>
                <w:bCs/>
                <w:i/>
                <w:iCs/>
                <w:color w:val="000000"/>
                <w:sz w:val="18"/>
                <w:szCs w:val="18"/>
                <w:lang w:eastAsia="fr-FR"/>
              </w:rPr>
              <w:t xml:space="preserve"> </w:t>
            </w:r>
            <w:r w:rsidRPr="000D2405">
              <w:rPr>
                <w:rFonts w:eastAsia="Times New Roman" w:cs="Arial"/>
                <w:b/>
                <w:bCs/>
                <w:i/>
                <w:iCs/>
                <w:color w:val="000000"/>
                <w:sz w:val="18"/>
                <w:szCs w:val="18"/>
                <w:lang w:eastAsia="fr-FR"/>
              </w:rPr>
              <w:t>%</w:t>
            </w:r>
          </w:p>
        </w:tc>
      </w:tr>
      <w:tr w:rsidR="00A47019" w:rsidRPr="000D2405" w14:paraId="4C76517E" w14:textId="77777777" w:rsidTr="00020D87">
        <w:trPr>
          <w:trHeight w:val="270"/>
          <w:jc w:val="center"/>
        </w:trPr>
        <w:tc>
          <w:tcPr>
            <w:tcW w:w="9493" w:type="dxa"/>
            <w:gridSpan w:val="4"/>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16B8D955" w14:textId="43A329EA"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b/>
                <w:bCs/>
                <w:i/>
                <w:iCs/>
                <w:color w:val="000000"/>
                <w:sz w:val="20"/>
                <w:szCs w:val="20"/>
                <w:lang w:eastAsia="fr-FR"/>
              </w:rPr>
              <w:t>Enfants (0 à 10 an</w:t>
            </w:r>
            <w:r>
              <w:rPr>
                <w:rFonts w:eastAsia="Times New Roman" w:cs="Arial"/>
                <w:b/>
                <w:bCs/>
                <w:i/>
                <w:iCs/>
                <w:color w:val="000000"/>
                <w:sz w:val="20"/>
                <w:szCs w:val="20"/>
                <w:lang w:eastAsia="fr-FR"/>
              </w:rPr>
              <w:t>s)</w:t>
            </w:r>
            <w:r w:rsidR="003B1D11">
              <w:rPr>
                <w:rFonts w:eastAsia="Times New Roman" w:cs="Arial"/>
                <w:b/>
                <w:bCs/>
                <w:i/>
                <w:iCs/>
                <w:color w:val="000000"/>
                <w:sz w:val="20"/>
                <w:szCs w:val="20"/>
                <w:lang w:eastAsia="fr-FR"/>
              </w:rPr>
              <w:t xml:space="preserve"> </w:t>
            </w:r>
            <w:r w:rsidR="003B1D11">
              <w:rPr>
                <w:rFonts w:eastAsia="Times New Roman" w:cs="Arial"/>
                <w:b/>
                <w:bCs/>
                <w:i/>
                <w:iCs/>
                <w:color w:val="000000"/>
                <w:sz w:val="20"/>
                <w:szCs w:val="20"/>
                <w:lang w:eastAsia="fr-FR"/>
              </w:rPr>
              <w:fldChar w:fldCharType="begin"/>
            </w:r>
            <w:r w:rsidR="003B1D11">
              <w:rPr>
                <w:rFonts w:eastAsia="Times New Roman" w:cs="Arial"/>
                <w:b/>
                <w:bCs/>
                <w:i/>
                <w:iCs/>
                <w:color w:val="000000"/>
                <w:sz w:val="20"/>
                <w:szCs w:val="20"/>
                <w:lang w:eastAsia="fr-FR"/>
              </w:rPr>
              <w:instrText xml:space="preserve"> NOTEREF _Ref77701935 \f \h </w:instrText>
            </w:r>
            <w:r w:rsidR="003B1D11">
              <w:rPr>
                <w:rFonts w:eastAsia="Times New Roman" w:cs="Arial"/>
                <w:b/>
                <w:bCs/>
                <w:i/>
                <w:iCs/>
                <w:color w:val="000000"/>
                <w:sz w:val="20"/>
                <w:szCs w:val="20"/>
                <w:lang w:eastAsia="fr-FR"/>
              </w:rPr>
            </w:r>
            <w:r w:rsidR="003B1D11">
              <w:rPr>
                <w:rFonts w:eastAsia="Times New Roman" w:cs="Arial"/>
                <w:b/>
                <w:bCs/>
                <w:i/>
                <w:iCs/>
                <w:color w:val="000000"/>
                <w:sz w:val="20"/>
                <w:szCs w:val="20"/>
                <w:lang w:eastAsia="fr-FR"/>
              </w:rPr>
              <w:fldChar w:fldCharType="separate"/>
            </w:r>
            <w:r w:rsidR="003B1D11" w:rsidRPr="003B1D11">
              <w:rPr>
                <w:rStyle w:val="Appelnotedebasdep"/>
              </w:rPr>
              <w:t>10</w:t>
            </w:r>
            <w:r w:rsidR="003B1D11">
              <w:rPr>
                <w:rFonts w:eastAsia="Times New Roman" w:cs="Arial"/>
                <w:b/>
                <w:bCs/>
                <w:i/>
                <w:iCs/>
                <w:color w:val="000000"/>
                <w:sz w:val="20"/>
                <w:szCs w:val="20"/>
                <w:lang w:eastAsia="fr-FR"/>
              </w:rPr>
              <w:fldChar w:fldCharType="end"/>
            </w:r>
          </w:p>
        </w:tc>
      </w:tr>
      <w:tr w:rsidR="00A47019" w:rsidRPr="000D2405" w14:paraId="7FA29EDA" w14:textId="77777777" w:rsidTr="00020D87">
        <w:trPr>
          <w:trHeight w:val="289"/>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722130C7"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 xml:space="preserve">Viandes (hors volaille) </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59329B"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69,1</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F76F4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34,2</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75B4B7"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3,3</w:t>
            </w:r>
          </w:p>
        </w:tc>
      </w:tr>
      <w:tr w:rsidR="00A47019" w:rsidRPr="000D2405" w14:paraId="4FF22E6F"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1CB51140"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Volaille</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963880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45,8</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A67900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31,0</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20E0C13"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1,6</w:t>
            </w:r>
          </w:p>
        </w:tc>
      </w:tr>
      <w:tr w:rsidR="00A47019" w:rsidRPr="000D2405" w14:paraId="0763B055"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18EC49FE"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Charcuteries</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DF5DCE"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69,5</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1E7B16"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25,3</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64A6E6"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2,9</w:t>
            </w:r>
          </w:p>
        </w:tc>
      </w:tr>
      <w:tr w:rsidR="00A47019" w:rsidRPr="000D2405" w14:paraId="3676E884"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16707124"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Abats</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2B137C2"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2,2</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3B50AD6"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19,5</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36D62E0"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0,1</w:t>
            </w:r>
          </w:p>
        </w:tc>
      </w:tr>
      <w:tr w:rsidR="00A47019" w:rsidRPr="000D2405" w14:paraId="62C6F3A0"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AC2F230"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Plats à base de viandes</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D1D3EE"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26,9</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BC5004"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40,2</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567B59"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1,4</w:t>
            </w:r>
          </w:p>
        </w:tc>
      </w:tr>
      <w:tr w:rsidR="00A47019" w:rsidRPr="000D2405" w14:paraId="6C523A32" w14:textId="77777777" w:rsidTr="00020D87">
        <w:trPr>
          <w:trHeight w:val="294"/>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057D295B"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Sandwichs, pizzas, tartes</w:t>
            </w:r>
            <w:r>
              <w:rPr>
                <w:rFonts w:eastAsia="Times New Roman" w:cs="Arial"/>
                <w:color w:val="000000"/>
                <w:sz w:val="20"/>
                <w:szCs w:val="20"/>
                <w:lang w:eastAsia="fr-FR"/>
              </w:rPr>
              <w:t>…</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DA82E93"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59,4</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80F7ED1"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48,7</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580E15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5,4</w:t>
            </w:r>
          </w:p>
        </w:tc>
      </w:tr>
      <w:tr w:rsidR="00A47019" w:rsidRPr="000D2405" w14:paraId="00D957F9" w14:textId="77777777" w:rsidTr="00020D87">
        <w:trPr>
          <w:trHeight w:val="248"/>
          <w:jc w:val="center"/>
        </w:trPr>
        <w:tc>
          <w:tcPr>
            <w:tcW w:w="9493" w:type="dxa"/>
            <w:gridSpan w:val="4"/>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298F7DC9"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b/>
                <w:bCs/>
                <w:i/>
                <w:iCs/>
                <w:color w:val="000000"/>
                <w:sz w:val="20"/>
                <w:szCs w:val="20"/>
                <w:lang w:eastAsia="fr-FR"/>
              </w:rPr>
              <w:t xml:space="preserve">Enfants (11 à 17 ans) </w:t>
            </w:r>
            <w:bookmarkStart w:id="104" w:name="_Ref77701935"/>
            <w:r>
              <w:rPr>
                <w:rStyle w:val="Appelnotedebasdep"/>
                <w:rFonts w:eastAsia="Times New Roman" w:cs="Arial"/>
                <w:b/>
                <w:bCs/>
                <w:i/>
                <w:iCs/>
                <w:color w:val="000000"/>
                <w:sz w:val="20"/>
                <w:szCs w:val="20"/>
                <w:lang w:eastAsia="fr-FR"/>
              </w:rPr>
              <w:footnoteReference w:id="9"/>
            </w:r>
            <w:bookmarkEnd w:id="104"/>
          </w:p>
        </w:tc>
      </w:tr>
      <w:tr w:rsidR="00A47019" w:rsidRPr="000D2405" w14:paraId="74808C40" w14:textId="77777777" w:rsidTr="00020D87">
        <w:trPr>
          <w:trHeight w:val="252"/>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2D1097AB"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 xml:space="preserve">Viandes (hors volaille) </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097350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70,7</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3DAB5A1"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54,8</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876E6C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4,0</w:t>
            </w:r>
          </w:p>
        </w:tc>
      </w:tr>
      <w:tr w:rsidR="00A47019" w:rsidRPr="000D2405" w14:paraId="07B848A6"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2916E49"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Volaille</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40A3E3"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53,7</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DC0C3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57,1</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CE69A9"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2,6</w:t>
            </w:r>
          </w:p>
        </w:tc>
      </w:tr>
      <w:tr w:rsidR="00A47019" w:rsidRPr="000D2405" w14:paraId="4D0AB29A"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43C7AA06"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Charcuteries</w:t>
            </w:r>
          </w:p>
        </w:tc>
        <w:tc>
          <w:tcPr>
            <w:tcW w:w="2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DD277F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62,2</w:t>
            </w:r>
          </w:p>
        </w:tc>
        <w:tc>
          <w:tcPr>
            <w:tcW w:w="14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E519CD1"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32,8</w:t>
            </w:r>
          </w:p>
        </w:tc>
        <w:tc>
          <w:tcPr>
            <w:tcW w:w="297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BF9E673"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2,7</w:t>
            </w:r>
          </w:p>
        </w:tc>
      </w:tr>
      <w:tr w:rsidR="00A47019" w:rsidRPr="000D2405" w14:paraId="63A5BBA4"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2E729C35"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Abats</w:t>
            </w:r>
          </w:p>
        </w:tc>
        <w:tc>
          <w:tcPr>
            <w:tcW w:w="23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DF640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0E863C"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31,9</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40B67E"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0,1</w:t>
            </w:r>
          </w:p>
        </w:tc>
      </w:tr>
      <w:tr w:rsidR="00A47019" w:rsidRPr="000D2405" w14:paraId="0FA32CDB" w14:textId="77777777" w:rsidTr="00020D87">
        <w:trPr>
          <w:trHeight w:val="300"/>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681C616F"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Plats à base de viandes</w:t>
            </w:r>
          </w:p>
        </w:tc>
        <w:tc>
          <w:tcPr>
            <w:tcW w:w="237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3D2DDE1"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27,4</w:t>
            </w:r>
          </w:p>
        </w:tc>
        <w:tc>
          <w:tcPr>
            <w:tcW w:w="145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B96D28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48,4</w:t>
            </w:r>
          </w:p>
        </w:tc>
        <w:tc>
          <w:tcPr>
            <w:tcW w:w="297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4189F47"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1,2</w:t>
            </w:r>
          </w:p>
        </w:tc>
      </w:tr>
      <w:tr w:rsidR="00A47019" w:rsidRPr="000D2405" w14:paraId="250F3BFB" w14:textId="77777777" w:rsidTr="00020D87">
        <w:trPr>
          <w:trHeight w:val="209"/>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1FC7AAB"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Sandwichs, pizzas, tartes</w:t>
            </w:r>
            <w:r>
              <w:rPr>
                <w:rFonts w:eastAsia="Times New Roman" w:cs="Arial"/>
                <w:color w:val="000000"/>
                <w:sz w:val="20"/>
                <w:szCs w:val="20"/>
                <w:lang w:eastAsia="fr-FR"/>
              </w:rPr>
              <w:t>…</w:t>
            </w:r>
          </w:p>
        </w:tc>
        <w:tc>
          <w:tcPr>
            <w:tcW w:w="23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FAB2E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68,4</w:t>
            </w:r>
          </w:p>
        </w:tc>
        <w:tc>
          <w:tcPr>
            <w:tcW w:w="14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AF593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13,3</w:t>
            </w:r>
          </w:p>
        </w:tc>
        <w:tc>
          <w:tcPr>
            <w:tcW w:w="29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FF3E8B"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9,3</w:t>
            </w:r>
          </w:p>
        </w:tc>
      </w:tr>
      <w:tr w:rsidR="00A47019" w:rsidRPr="00EC4550" w14:paraId="52A0533E" w14:textId="77777777" w:rsidTr="00020D87">
        <w:trPr>
          <w:trHeight w:val="279"/>
          <w:jc w:val="center"/>
        </w:trPr>
        <w:tc>
          <w:tcPr>
            <w:tcW w:w="9493" w:type="dxa"/>
            <w:gridSpan w:val="4"/>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47CCBB9" w14:textId="0EAFC248" w:rsidR="00A47019" w:rsidRPr="00EC4550" w:rsidRDefault="00A47019" w:rsidP="002F4A45">
            <w:pPr>
              <w:spacing w:after="0" w:line="240" w:lineRule="auto"/>
              <w:jc w:val="center"/>
              <w:rPr>
                <w:rFonts w:eastAsia="Times New Roman" w:cs="Arial"/>
                <w:b/>
                <w:bCs/>
                <w:i/>
                <w:iCs/>
                <w:color w:val="000000"/>
                <w:sz w:val="20"/>
                <w:szCs w:val="20"/>
                <w:lang w:eastAsia="fr-FR"/>
              </w:rPr>
            </w:pPr>
            <w:r w:rsidRPr="000D2405">
              <w:rPr>
                <w:rFonts w:eastAsia="Times New Roman" w:cs="Arial"/>
                <w:b/>
                <w:bCs/>
                <w:i/>
                <w:iCs/>
                <w:color w:val="000000"/>
                <w:sz w:val="20"/>
                <w:szCs w:val="20"/>
                <w:lang w:eastAsia="fr-FR"/>
              </w:rPr>
              <w:t>Adultes (18 à 79 ans)</w:t>
            </w:r>
            <w:r w:rsidR="00CD5DB5">
              <w:rPr>
                <w:rFonts w:eastAsia="Times New Roman" w:cs="Arial"/>
                <w:b/>
                <w:bCs/>
                <w:i/>
                <w:iCs/>
                <w:color w:val="000000"/>
                <w:sz w:val="20"/>
                <w:szCs w:val="20"/>
                <w:lang w:eastAsia="fr-FR"/>
              </w:rPr>
              <w:t xml:space="preserve"> </w:t>
            </w:r>
            <w:r w:rsidR="00CD5DB5" w:rsidRPr="000D2405">
              <w:rPr>
                <w:rFonts w:eastAsia="Times New Roman" w:cs="Arial"/>
                <w:b/>
                <w:bCs/>
                <w:i/>
                <w:iCs/>
                <w:color w:val="000000"/>
                <w:sz w:val="20"/>
                <w:szCs w:val="20"/>
                <w:lang w:eastAsia="fr-FR"/>
              </w:rPr>
              <w:t xml:space="preserve">) </w:t>
            </w:r>
            <w:r w:rsidR="003B1D11">
              <w:fldChar w:fldCharType="begin"/>
            </w:r>
            <w:r w:rsidR="003B1D11">
              <w:rPr>
                <w:rFonts w:eastAsia="Times New Roman" w:cs="Arial"/>
                <w:b/>
                <w:bCs/>
                <w:i/>
                <w:iCs/>
                <w:color w:val="000000"/>
                <w:sz w:val="20"/>
                <w:szCs w:val="20"/>
                <w:lang w:eastAsia="fr-FR"/>
              </w:rPr>
              <w:instrText xml:space="preserve"> NOTEREF _Ref77701935 \f \h </w:instrText>
            </w:r>
            <w:r w:rsidR="003B1D11">
              <w:fldChar w:fldCharType="separate"/>
            </w:r>
            <w:r w:rsidR="003B1D11" w:rsidRPr="003B1D11">
              <w:rPr>
                <w:rStyle w:val="Appelnotedebasdep"/>
              </w:rPr>
              <w:t>10</w:t>
            </w:r>
            <w:r w:rsidR="003B1D11">
              <w:fldChar w:fldCharType="end"/>
            </w:r>
          </w:p>
        </w:tc>
      </w:tr>
      <w:tr w:rsidR="00A47019" w:rsidRPr="000D2405" w14:paraId="5CDB5282" w14:textId="77777777" w:rsidTr="00020D87">
        <w:trPr>
          <w:trHeight w:val="274"/>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6BA665F6"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 xml:space="preserve">Viandes (hors volaille) </w:t>
            </w:r>
          </w:p>
        </w:tc>
        <w:tc>
          <w:tcPr>
            <w:tcW w:w="23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A2728B"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68,3</w:t>
            </w:r>
          </w:p>
        </w:tc>
        <w:tc>
          <w:tcPr>
            <w:tcW w:w="14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113928"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69,2</w:t>
            </w:r>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CA7444"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4,2</w:t>
            </w:r>
          </w:p>
        </w:tc>
      </w:tr>
      <w:tr w:rsidR="00A47019" w:rsidRPr="000D2405" w14:paraId="77AB92DA" w14:textId="77777777" w:rsidTr="00020D87">
        <w:trPr>
          <w:trHeight w:val="277"/>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64F91E17"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Volaille</w:t>
            </w:r>
          </w:p>
        </w:tc>
        <w:tc>
          <w:tcPr>
            <w:tcW w:w="237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4044287"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49,1</w:t>
            </w:r>
          </w:p>
        </w:tc>
        <w:tc>
          <w:tcPr>
            <w:tcW w:w="145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2791DA4"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52,9</w:t>
            </w:r>
          </w:p>
        </w:tc>
        <w:tc>
          <w:tcPr>
            <w:tcW w:w="297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B730C4C"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2,2</w:t>
            </w:r>
          </w:p>
        </w:tc>
      </w:tr>
      <w:tr w:rsidR="00A47019" w:rsidRPr="000D2405" w14:paraId="4E85192F" w14:textId="77777777" w:rsidTr="00020D87">
        <w:trPr>
          <w:trHeight w:val="268"/>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C2DADD5"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Charcuteries</w:t>
            </w:r>
          </w:p>
        </w:tc>
        <w:tc>
          <w:tcPr>
            <w:tcW w:w="23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7288F0"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66,9</w:t>
            </w:r>
          </w:p>
        </w:tc>
        <w:tc>
          <w:tcPr>
            <w:tcW w:w="14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FC40BE"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40,9</w:t>
            </w:r>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4CA5E5"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3,3</w:t>
            </w:r>
          </w:p>
        </w:tc>
      </w:tr>
      <w:tr w:rsidR="00A47019" w:rsidRPr="000D2405" w14:paraId="257499B6" w14:textId="77777777" w:rsidTr="00020D87">
        <w:trPr>
          <w:trHeight w:val="272"/>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6323F57E"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Abats</w:t>
            </w:r>
          </w:p>
        </w:tc>
        <w:tc>
          <w:tcPr>
            <w:tcW w:w="237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58DBF4F"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8,0</w:t>
            </w:r>
          </w:p>
        </w:tc>
        <w:tc>
          <w:tcPr>
            <w:tcW w:w="145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9F1200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33,7</w:t>
            </w:r>
          </w:p>
        </w:tc>
        <w:tc>
          <w:tcPr>
            <w:tcW w:w="297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267715C"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0,3</w:t>
            </w:r>
          </w:p>
        </w:tc>
      </w:tr>
      <w:tr w:rsidR="00A47019" w:rsidRPr="000D2405" w14:paraId="6C21AC31" w14:textId="77777777" w:rsidTr="00020D87">
        <w:trPr>
          <w:trHeight w:val="276"/>
          <w:jc w:val="center"/>
        </w:trPr>
        <w:tc>
          <w:tcPr>
            <w:tcW w:w="2689" w:type="dxa"/>
            <w:tcBorders>
              <w:top w:val="single" w:sz="4" w:space="0" w:color="auto"/>
              <w:left w:val="single" w:sz="4" w:space="0" w:color="000000"/>
              <w:bottom w:val="single" w:sz="4" w:space="0" w:color="auto"/>
              <w:right w:val="single" w:sz="4" w:space="0" w:color="auto"/>
            </w:tcBorders>
            <w:shd w:val="clear" w:color="auto" w:fill="auto"/>
            <w:vAlign w:val="center"/>
            <w:hideMark/>
          </w:tcPr>
          <w:p w14:paraId="053992F1"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Plats à base de viandes</w:t>
            </w:r>
          </w:p>
        </w:tc>
        <w:tc>
          <w:tcPr>
            <w:tcW w:w="23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C6E765"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19,5</w:t>
            </w:r>
          </w:p>
        </w:tc>
        <w:tc>
          <w:tcPr>
            <w:tcW w:w="14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A7B7E0"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74,1</w:t>
            </w:r>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45F054"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1,0</w:t>
            </w:r>
          </w:p>
        </w:tc>
      </w:tr>
      <w:tr w:rsidR="00A47019" w:rsidRPr="000D2405" w14:paraId="72378877" w14:textId="77777777" w:rsidTr="00020D87">
        <w:trPr>
          <w:trHeight w:val="299"/>
          <w:jc w:val="center"/>
        </w:trPr>
        <w:tc>
          <w:tcPr>
            <w:tcW w:w="2689" w:type="dxa"/>
            <w:tcBorders>
              <w:top w:val="single" w:sz="4" w:space="0" w:color="auto"/>
              <w:left w:val="single" w:sz="4" w:space="0" w:color="000000"/>
              <w:bottom w:val="single" w:sz="4" w:space="0" w:color="auto"/>
              <w:right w:val="single" w:sz="4" w:space="0" w:color="auto"/>
            </w:tcBorders>
            <w:shd w:val="clear" w:color="D9D9D9" w:fill="D9D9D9"/>
            <w:vAlign w:val="center"/>
            <w:hideMark/>
          </w:tcPr>
          <w:p w14:paraId="62D7C04C" w14:textId="77777777" w:rsidR="00A47019" w:rsidRPr="000D2405" w:rsidRDefault="00A47019" w:rsidP="002F4A45">
            <w:pPr>
              <w:spacing w:after="0" w:line="240" w:lineRule="auto"/>
              <w:rPr>
                <w:rFonts w:eastAsia="Times New Roman" w:cs="Arial"/>
                <w:color w:val="000000"/>
                <w:sz w:val="20"/>
                <w:szCs w:val="20"/>
                <w:lang w:eastAsia="fr-FR"/>
              </w:rPr>
            </w:pPr>
            <w:r w:rsidRPr="000D2405">
              <w:rPr>
                <w:rFonts w:eastAsia="Times New Roman" w:cs="Arial"/>
                <w:color w:val="000000"/>
                <w:sz w:val="20"/>
                <w:szCs w:val="20"/>
                <w:lang w:eastAsia="fr-FR"/>
              </w:rPr>
              <w:t>Sandwichs, pizzas, tartes</w:t>
            </w:r>
            <w:r>
              <w:rPr>
                <w:rFonts w:eastAsia="Times New Roman" w:cs="Arial"/>
                <w:color w:val="000000"/>
                <w:sz w:val="20"/>
                <w:szCs w:val="20"/>
                <w:lang w:eastAsia="fr-FR"/>
              </w:rPr>
              <w:t>…</w:t>
            </w:r>
          </w:p>
        </w:tc>
        <w:tc>
          <w:tcPr>
            <w:tcW w:w="237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9F8FE0D"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59,7</w:t>
            </w:r>
          </w:p>
        </w:tc>
        <w:tc>
          <w:tcPr>
            <w:tcW w:w="145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036F56A"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101,8</w:t>
            </w:r>
          </w:p>
        </w:tc>
        <w:tc>
          <w:tcPr>
            <w:tcW w:w="297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771C24B" w14:textId="77777777" w:rsidR="00A47019" w:rsidRPr="000D2405" w:rsidRDefault="00A47019" w:rsidP="002F4A45">
            <w:pPr>
              <w:spacing w:after="0" w:line="240" w:lineRule="auto"/>
              <w:jc w:val="center"/>
              <w:rPr>
                <w:rFonts w:eastAsia="Times New Roman" w:cs="Arial"/>
                <w:color w:val="000000"/>
                <w:sz w:val="20"/>
                <w:szCs w:val="20"/>
                <w:lang w:eastAsia="fr-FR"/>
              </w:rPr>
            </w:pPr>
            <w:r w:rsidRPr="000D2405">
              <w:rPr>
                <w:rFonts w:eastAsia="Times New Roman" w:cs="Arial"/>
                <w:color w:val="000000"/>
                <w:sz w:val="20"/>
                <w:szCs w:val="20"/>
                <w:lang w:eastAsia="fr-FR"/>
              </w:rPr>
              <w:t>7,3</w:t>
            </w:r>
          </w:p>
        </w:tc>
      </w:tr>
    </w:tbl>
    <w:p w14:paraId="577B3989" w14:textId="437F8A1E" w:rsidR="00A47019" w:rsidRPr="005267CA" w:rsidRDefault="00A47019" w:rsidP="00A47019">
      <w:pPr>
        <w:pStyle w:val="figure"/>
        <w:rPr>
          <w:rStyle w:val="figureCar"/>
          <w:b/>
          <w:bCs/>
          <w:iCs/>
        </w:rPr>
      </w:pPr>
      <w:bookmarkStart w:id="105" w:name="_Ref70880765"/>
      <w:bookmarkStart w:id="106" w:name="_Toc72143370"/>
      <w:r w:rsidRPr="005267CA">
        <w:rPr>
          <w:rStyle w:val="figureCar"/>
          <w:b/>
          <w:bCs/>
          <w:iCs/>
        </w:rPr>
        <w:t xml:space="preserve">Tableau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22</w:t>
      </w:r>
      <w:r w:rsidRPr="005267CA">
        <w:rPr>
          <w:rStyle w:val="figureCar"/>
          <w:b/>
          <w:bCs/>
          <w:iCs/>
        </w:rPr>
        <w:fldChar w:fldCharType="end"/>
      </w:r>
      <w:bookmarkEnd w:id="105"/>
      <w:r w:rsidRPr="005267CA">
        <w:rPr>
          <w:rStyle w:val="figureCar"/>
          <w:b/>
          <w:bCs/>
          <w:iCs/>
        </w:rPr>
        <w:t> : Taux de consommateurs moyen, consommations moyennes par jour et contributions moyennes des groupes d’aliments aux Apports Energétiques Totaux (AET) par tranche d’âge</w:t>
      </w:r>
      <w:bookmarkEnd w:id="106"/>
    </w:p>
    <w:p w14:paraId="2D5B23CC" w14:textId="77777777" w:rsidR="00A47019" w:rsidRPr="005267CA" w:rsidRDefault="00A47019" w:rsidP="00A47019">
      <w:pPr>
        <w:pStyle w:val="Lgende"/>
      </w:pPr>
      <w:r w:rsidRPr="005267CA">
        <w:t>(Source : ANSES, 2017).</w:t>
      </w:r>
    </w:p>
    <w:p w14:paraId="1C791996" w14:textId="07BD0D71" w:rsidR="00A47019" w:rsidRPr="00020D87" w:rsidRDefault="00A47019" w:rsidP="00F17F16">
      <w:pPr>
        <w:ind w:left="142"/>
        <w:rPr>
          <w:spacing w:val="-4"/>
        </w:rPr>
      </w:pPr>
      <w:r w:rsidRPr="00020D87">
        <w:rPr>
          <w:spacing w:val="-4"/>
        </w:rPr>
        <w:t xml:space="preserve">Concernant les enfants, le niveau de consommation en viande (hors volaille) est légèrement supérieur à celui des adultes pour la tranche des 11 à 17 ans (taux de consommation 70,7 % ; CIM 54,8 g/jour) de même qu’en volaille (taux de consommation 53,7 % ; CIM 57,1 g/jour). Les valeurs en charcuterie, en revanche sont assez proches de celle des adultes (taux de consommation de 62,2 % ; CIM 32,8g /jour). En termes de structure, la consommation des produits carnés se distribue sur la tranche des 11 à 17 ans par ordre décroissant de la manière suivante : les viandes de boucherie (bœuf, porc, agneau, veau et cheval), la volaille, les charcuteries et les abats. En termes </w:t>
      </w:r>
      <w:r w:rsidRPr="00020D87">
        <w:rPr>
          <w:spacing w:val="-4"/>
        </w:rPr>
        <w:lastRenderedPageBreak/>
        <w:t>de quantités, chez l’adulte, les produits carnés au travers des catégories viandes, volaille, charcuterie et abats confondues représentent 11 % des apports caloriques alors que la contribution de ces protéines lors de la précédente enquête INCA2 conduite en 2006- 2007 donnait un taux de 11,5 %. La contribution de la charcuterie entre les 2 vagues d’enquête est restée relativement stable avec 4,2 % pour l’enquête INCA3 et 4,1 % pour l’enquête INCA2.</w:t>
      </w:r>
    </w:p>
    <w:p w14:paraId="6CD7461D" w14:textId="77777777" w:rsidR="00A47019" w:rsidRDefault="00A47019" w:rsidP="00F17F16">
      <w:pPr>
        <w:ind w:left="142"/>
        <w:rPr>
          <w:rFonts w:cs="Arial"/>
        </w:rPr>
      </w:pPr>
      <w:r>
        <w:rPr>
          <w:rFonts w:cs="Arial"/>
        </w:rPr>
        <w:t>Comparativement aux préconisations de l’ANSES, l</w:t>
      </w:r>
      <w:r w:rsidRPr="0054231A">
        <w:rPr>
          <w:rFonts w:cs="Arial"/>
        </w:rPr>
        <w:t xml:space="preserve">a moyenne de consommation de viandes </w:t>
      </w:r>
      <w:r>
        <w:rPr>
          <w:rFonts w:cs="Arial"/>
        </w:rPr>
        <w:t xml:space="preserve">de boucherie </w:t>
      </w:r>
      <w:r w:rsidRPr="0054231A">
        <w:rPr>
          <w:rFonts w:cs="Arial"/>
        </w:rPr>
        <w:t>(hors volaille)</w:t>
      </w:r>
      <w:r>
        <w:rPr>
          <w:rFonts w:cs="Arial"/>
        </w:rPr>
        <w:t xml:space="preserve">, </w:t>
      </w:r>
      <w:r w:rsidRPr="0054231A">
        <w:rPr>
          <w:rFonts w:cs="Arial"/>
        </w:rPr>
        <w:t>sans prendre en compte les plats à base de viande, est de 484 g par semaine</w:t>
      </w:r>
      <w:r>
        <w:rPr>
          <w:rFonts w:cs="Arial"/>
        </w:rPr>
        <w:t xml:space="preserve">. </w:t>
      </w:r>
      <w:r w:rsidRPr="0054231A">
        <w:rPr>
          <w:rFonts w:cs="Arial"/>
        </w:rPr>
        <w:t xml:space="preserve">En charcuterie, la moyenne de consommation en charcuterie est de </w:t>
      </w:r>
      <w:r>
        <w:rPr>
          <w:rFonts w:cs="Arial"/>
        </w:rPr>
        <w:t xml:space="preserve">286 g par semaine. Dans les deux cas, le niveau de consommation se positionne au-dessus des recommandations nutritionnelles. </w:t>
      </w:r>
      <w:r w:rsidRPr="00E96996">
        <w:rPr>
          <w:rFonts w:cs="Arial"/>
        </w:rPr>
        <w:t xml:space="preserve">Ces éléments sont à pondérer </w:t>
      </w:r>
      <w:r>
        <w:rPr>
          <w:rFonts w:cs="Arial"/>
        </w:rPr>
        <w:t>car</w:t>
      </w:r>
      <w:r w:rsidRPr="00E96996">
        <w:rPr>
          <w:rFonts w:cs="Arial"/>
        </w:rPr>
        <w:t xml:space="preserve"> il faudrait s’attacher à </w:t>
      </w:r>
      <w:r>
        <w:rPr>
          <w:rFonts w:cs="Arial"/>
        </w:rPr>
        <w:t>regarder</w:t>
      </w:r>
      <w:r w:rsidRPr="00E96996">
        <w:rPr>
          <w:rFonts w:cs="Arial"/>
        </w:rPr>
        <w:t xml:space="preserve"> la dispersion des niveaux de consommations entre petits et gros mangeurs.</w:t>
      </w:r>
    </w:p>
    <w:p w14:paraId="19A9B056" w14:textId="44E0EA0A" w:rsidR="00A47019" w:rsidRDefault="00A47019" w:rsidP="00F17F16">
      <w:pPr>
        <w:ind w:left="142"/>
        <w:rPr>
          <w:rFonts w:cs="Arial"/>
        </w:rPr>
      </w:pPr>
      <w:r>
        <w:rPr>
          <w:rFonts w:cs="Arial"/>
        </w:rPr>
        <w:t>Par ailleurs,</w:t>
      </w:r>
      <w:r w:rsidRPr="0054231A">
        <w:rPr>
          <w:rFonts w:cs="Arial"/>
        </w:rPr>
        <w:t xml:space="preserve"> l’étude point</w:t>
      </w:r>
      <w:r>
        <w:rPr>
          <w:rFonts w:cs="Arial"/>
        </w:rPr>
        <w:t>e</w:t>
      </w:r>
      <w:r w:rsidRPr="0054231A">
        <w:rPr>
          <w:rFonts w:cs="Arial"/>
        </w:rPr>
        <w:t xml:space="preserve"> </w:t>
      </w:r>
      <w:r w:rsidRPr="00B54501">
        <w:rPr>
          <w:rFonts w:cs="Arial"/>
        </w:rPr>
        <w:t>les différences sexuelles</w:t>
      </w:r>
      <w:r>
        <w:rPr>
          <w:rFonts w:cs="Arial"/>
        </w:rPr>
        <w:t xml:space="preserve"> ou régionales</w:t>
      </w:r>
      <w:r w:rsidRPr="00B54501">
        <w:rPr>
          <w:rFonts w:cs="Arial"/>
        </w:rPr>
        <w:t xml:space="preserve"> </w:t>
      </w:r>
      <w:r>
        <w:rPr>
          <w:rFonts w:cs="Arial"/>
        </w:rPr>
        <w:t>qui</w:t>
      </w:r>
      <w:r w:rsidRPr="00B54501">
        <w:rPr>
          <w:rFonts w:cs="Arial"/>
        </w:rPr>
        <w:t xml:space="preserve"> portent sur </w:t>
      </w:r>
      <w:r>
        <w:rPr>
          <w:rFonts w:cs="Arial"/>
        </w:rPr>
        <w:t xml:space="preserve">la part de consommateur et </w:t>
      </w:r>
      <w:r w:rsidRPr="00B54501">
        <w:rPr>
          <w:rFonts w:cs="Arial"/>
        </w:rPr>
        <w:t xml:space="preserve">le volume de consommation des différents types de </w:t>
      </w:r>
      <w:r>
        <w:rPr>
          <w:rFonts w:cs="Arial"/>
        </w:rPr>
        <w:t>produits carnés</w:t>
      </w:r>
      <w:r w:rsidRPr="00B54501">
        <w:rPr>
          <w:rFonts w:cs="Arial"/>
        </w:rPr>
        <w:t xml:space="preserve">. </w:t>
      </w:r>
      <w:r w:rsidRPr="002B717A">
        <w:rPr>
          <w:rFonts w:cs="Arial"/>
        </w:rPr>
        <w:t>Les hommes sont plus nombreux que les femmes à consommer de la charcuterie (71</w:t>
      </w:r>
      <w:r>
        <w:rPr>
          <w:rFonts w:cs="Arial"/>
        </w:rPr>
        <w:t> </w:t>
      </w:r>
      <w:r w:rsidRPr="002B717A">
        <w:rPr>
          <w:rFonts w:cs="Arial"/>
        </w:rPr>
        <w:t>% vs 63</w:t>
      </w:r>
      <w:r>
        <w:rPr>
          <w:rFonts w:cs="Arial"/>
        </w:rPr>
        <w:t> </w:t>
      </w:r>
      <w:r w:rsidRPr="002B717A">
        <w:rPr>
          <w:rFonts w:cs="Arial"/>
        </w:rPr>
        <w:t>%)</w:t>
      </w:r>
      <w:r>
        <w:t xml:space="preserve"> </w:t>
      </w:r>
      <w:r>
        <w:rPr>
          <w:rFonts w:cs="Arial"/>
        </w:rPr>
        <w:t xml:space="preserve">avec des </w:t>
      </w:r>
      <w:r w:rsidRPr="002B717A">
        <w:rPr>
          <w:rFonts w:cs="Arial"/>
        </w:rPr>
        <w:t xml:space="preserve">consommations moyennes journalières </w:t>
      </w:r>
      <w:r>
        <w:rPr>
          <w:rFonts w:cs="Arial"/>
        </w:rPr>
        <w:t xml:space="preserve">qui </w:t>
      </w:r>
      <w:r w:rsidRPr="002B717A">
        <w:rPr>
          <w:rFonts w:cs="Arial"/>
        </w:rPr>
        <w:t xml:space="preserve">varient de </w:t>
      </w:r>
      <w:r>
        <w:rPr>
          <w:rFonts w:cs="Arial"/>
        </w:rPr>
        <w:t>manière</w:t>
      </w:r>
      <w:r w:rsidRPr="002B717A">
        <w:rPr>
          <w:rFonts w:cs="Arial"/>
        </w:rPr>
        <w:t xml:space="preserve"> plus marquée</w:t>
      </w:r>
      <w:r>
        <w:rPr>
          <w:rFonts w:cs="Arial"/>
        </w:rPr>
        <w:t>, l</w:t>
      </w:r>
      <w:r w:rsidRPr="002B717A">
        <w:rPr>
          <w:rFonts w:cs="Arial"/>
        </w:rPr>
        <w:t>a ration journalière des hommes étant plus élevée que celle des femmes (respectivement 3177</w:t>
      </w:r>
      <w:r>
        <w:rPr>
          <w:rFonts w:cs="Arial"/>
        </w:rPr>
        <w:t> </w:t>
      </w:r>
      <w:r w:rsidRPr="002B717A">
        <w:rPr>
          <w:rFonts w:cs="Arial"/>
        </w:rPr>
        <w:t>g/j et 2720</w:t>
      </w:r>
      <w:r>
        <w:rPr>
          <w:rFonts w:cs="Arial"/>
        </w:rPr>
        <w:t> </w:t>
      </w:r>
      <w:r w:rsidRPr="002B717A">
        <w:rPr>
          <w:rFonts w:cs="Arial"/>
        </w:rPr>
        <w:t>g/j, soit environ 450</w:t>
      </w:r>
      <w:r>
        <w:rPr>
          <w:rFonts w:cs="Arial"/>
        </w:rPr>
        <w:t> </w:t>
      </w:r>
      <w:r w:rsidRPr="002B717A">
        <w:rPr>
          <w:rFonts w:cs="Arial"/>
        </w:rPr>
        <w:t>g d’écart)</w:t>
      </w:r>
      <w:r>
        <w:rPr>
          <w:rFonts w:cs="Arial"/>
        </w:rPr>
        <w:t xml:space="preserve">. Ainsi, la consommation de viandes de charcuterie </w:t>
      </w:r>
      <w:r w:rsidRPr="00B54501">
        <w:rPr>
          <w:rFonts w:cs="Arial"/>
        </w:rPr>
        <w:t xml:space="preserve">est </w:t>
      </w:r>
      <w:r>
        <w:rPr>
          <w:rFonts w:cs="Arial"/>
        </w:rPr>
        <w:t xml:space="preserve">beaucoup </w:t>
      </w:r>
      <w:r w:rsidRPr="00B54501">
        <w:rPr>
          <w:rFonts w:cs="Arial"/>
        </w:rPr>
        <w:t>plus importante chez les</w:t>
      </w:r>
      <w:r w:rsidR="003B1D11">
        <w:rPr>
          <w:rFonts w:cs="Arial"/>
        </w:rPr>
        <w:t xml:space="preserve"> </w:t>
      </w:r>
      <w:r w:rsidRPr="00B54501">
        <w:rPr>
          <w:rFonts w:cs="Arial"/>
        </w:rPr>
        <w:t>hommes</w:t>
      </w:r>
      <w:r w:rsidR="003B1D11">
        <w:rPr>
          <w:rFonts w:cs="Arial"/>
        </w:rPr>
        <w:t xml:space="preserve"> </w:t>
      </w:r>
      <w:r>
        <w:rPr>
          <w:rFonts w:cs="Arial"/>
        </w:rPr>
        <w:t xml:space="preserve">(CIM viandes 61,2g /jour ; CIM charcuterie 34,2 g/jour) </w:t>
      </w:r>
      <w:r w:rsidRPr="00B54501">
        <w:rPr>
          <w:rFonts w:cs="Arial"/>
        </w:rPr>
        <w:t>que chez les</w:t>
      </w:r>
      <w:r w:rsidR="003B1D11">
        <w:rPr>
          <w:rFonts w:cs="Arial"/>
        </w:rPr>
        <w:t xml:space="preserve"> </w:t>
      </w:r>
      <w:r w:rsidRPr="00B54501">
        <w:rPr>
          <w:rFonts w:cs="Arial"/>
        </w:rPr>
        <w:t>femmes</w:t>
      </w:r>
      <w:r>
        <w:rPr>
          <w:rFonts w:cs="Arial"/>
        </w:rPr>
        <w:t xml:space="preserve"> (CIM viandes 34,1 g/jour ; CIM charcuterie 20,9 g/jour). </w:t>
      </w:r>
      <w:r w:rsidRPr="00B54501">
        <w:rPr>
          <w:rFonts w:cs="Arial"/>
        </w:rPr>
        <w:t>Cependant,</w:t>
      </w:r>
      <w:r>
        <w:rPr>
          <w:rFonts w:cs="Arial"/>
        </w:rPr>
        <w:t xml:space="preserve"> l</w:t>
      </w:r>
      <w:r w:rsidRPr="00B54501">
        <w:rPr>
          <w:rFonts w:cs="Arial"/>
        </w:rPr>
        <w:t>a structure proportionnelle de la consommation de produits carnés est quasi identique pour les deux sexes</w:t>
      </w:r>
      <w:r>
        <w:rPr>
          <w:rFonts w:cs="Arial"/>
        </w:rPr>
        <w:t>. Concernant les</w:t>
      </w:r>
      <w:r w:rsidRPr="0054231A">
        <w:rPr>
          <w:rFonts w:cs="Arial"/>
        </w:rPr>
        <w:t xml:space="preserve"> différences régionales</w:t>
      </w:r>
      <w:r>
        <w:rPr>
          <w:rFonts w:cs="Arial"/>
        </w:rPr>
        <w:t>, l</w:t>
      </w:r>
      <w:r w:rsidRPr="0054231A">
        <w:rPr>
          <w:rFonts w:cs="Arial"/>
        </w:rPr>
        <w:t xml:space="preserve">e taux de consommateurs et la quantité de charcuterie consommée est plus faible en Ile-de-France </w:t>
      </w:r>
      <w:r w:rsidRPr="001245DF">
        <w:rPr>
          <w:rFonts w:cs="Arial"/>
        </w:rPr>
        <w:t>(52</w:t>
      </w:r>
      <w:r>
        <w:rPr>
          <w:rFonts w:cs="Arial"/>
        </w:rPr>
        <w:t> </w:t>
      </w:r>
      <w:r w:rsidRPr="001245DF">
        <w:rPr>
          <w:rFonts w:cs="Arial"/>
        </w:rPr>
        <w:t>% vs 72</w:t>
      </w:r>
      <w:r>
        <w:rPr>
          <w:rFonts w:cs="Arial"/>
        </w:rPr>
        <w:t> </w:t>
      </w:r>
      <w:r w:rsidRPr="001245DF">
        <w:rPr>
          <w:rFonts w:cs="Arial"/>
        </w:rPr>
        <w:t>% au Nord-Ouest, 71</w:t>
      </w:r>
      <w:r>
        <w:rPr>
          <w:rFonts w:cs="Arial"/>
        </w:rPr>
        <w:t> </w:t>
      </w:r>
      <w:r w:rsidRPr="001245DF">
        <w:rPr>
          <w:rFonts w:cs="Arial"/>
        </w:rPr>
        <w:t>% au Sud-Est et 78</w:t>
      </w:r>
      <w:r>
        <w:rPr>
          <w:rFonts w:cs="Arial"/>
        </w:rPr>
        <w:t> </w:t>
      </w:r>
      <w:r w:rsidRPr="001245DF">
        <w:rPr>
          <w:rFonts w:cs="Arial"/>
        </w:rPr>
        <w:t>% au Sud-Ouest) et la charcuterie y est consommée en moindre quantité (17</w:t>
      </w:r>
      <w:r w:rsidR="00B21A12">
        <w:rPr>
          <w:rFonts w:cs="Arial"/>
        </w:rPr>
        <w:t> </w:t>
      </w:r>
      <w:r w:rsidRPr="001245DF">
        <w:rPr>
          <w:rFonts w:cs="Arial"/>
        </w:rPr>
        <w:t>g/j vs 33</w:t>
      </w:r>
      <w:r w:rsidR="00B21A12">
        <w:rPr>
          <w:rFonts w:cs="Arial"/>
        </w:rPr>
        <w:t> </w:t>
      </w:r>
      <w:r w:rsidRPr="001245DF">
        <w:rPr>
          <w:rFonts w:cs="Arial"/>
        </w:rPr>
        <w:t>g/j, 31</w:t>
      </w:r>
      <w:r w:rsidR="00B21A12">
        <w:rPr>
          <w:rFonts w:cs="Arial"/>
        </w:rPr>
        <w:t> </w:t>
      </w:r>
      <w:r w:rsidRPr="001245DF">
        <w:rPr>
          <w:rFonts w:cs="Arial"/>
        </w:rPr>
        <w:t>g/j et 30 g/j respectivement).</w:t>
      </w:r>
    </w:p>
    <w:p w14:paraId="1DDE9901" w14:textId="77777777" w:rsidR="00A47019" w:rsidRPr="0054231A" w:rsidRDefault="00A47019" w:rsidP="00F17F16">
      <w:pPr>
        <w:ind w:left="142"/>
        <w:rPr>
          <w:rFonts w:cs="Arial"/>
        </w:rPr>
      </w:pPr>
      <w:r>
        <w:rPr>
          <w:rFonts w:cs="Arial"/>
        </w:rPr>
        <w:t>Enfin, selon l’étude, les</w:t>
      </w:r>
      <w:r w:rsidRPr="002A2099">
        <w:rPr>
          <w:rFonts w:cs="Arial"/>
        </w:rPr>
        <w:t xml:space="preserve"> produits </w:t>
      </w:r>
      <w:r>
        <w:rPr>
          <w:rFonts w:cs="Arial"/>
        </w:rPr>
        <w:t>animaux</w:t>
      </w:r>
      <w:r w:rsidRPr="002A2099">
        <w:rPr>
          <w:rFonts w:cs="Arial"/>
        </w:rPr>
        <w:t xml:space="preserve"> </w:t>
      </w:r>
      <w:r>
        <w:rPr>
          <w:rFonts w:cs="Arial"/>
        </w:rPr>
        <w:t xml:space="preserve">(viandes et poissons) </w:t>
      </w:r>
      <w:r w:rsidRPr="002A2099">
        <w:rPr>
          <w:rFonts w:cs="Arial"/>
        </w:rPr>
        <w:t>sont</w:t>
      </w:r>
      <w:r>
        <w:rPr>
          <w:rFonts w:cs="Arial"/>
        </w:rPr>
        <w:t xml:space="preserve"> </w:t>
      </w:r>
      <w:r w:rsidRPr="002A2099">
        <w:rPr>
          <w:rFonts w:cs="Arial"/>
        </w:rPr>
        <w:t xml:space="preserve">autoconsommés de </w:t>
      </w:r>
      <w:r>
        <w:rPr>
          <w:rFonts w:cs="Arial"/>
        </w:rPr>
        <w:t>manière</w:t>
      </w:r>
      <w:r w:rsidRPr="002A2099">
        <w:rPr>
          <w:rFonts w:cs="Arial"/>
        </w:rPr>
        <w:t xml:space="preserve"> plus occasionnelle et dans des proportions plus limitées. </w:t>
      </w:r>
      <w:r>
        <w:rPr>
          <w:rFonts w:cs="Arial"/>
        </w:rPr>
        <w:t>Seule la</w:t>
      </w:r>
      <w:r w:rsidRPr="002A2099">
        <w:rPr>
          <w:rFonts w:cs="Arial"/>
        </w:rPr>
        <w:t xml:space="preserve"> catégorie «</w:t>
      </w:r>
      <w:r>
        <w:rPr>
          <w:rFonts w:cs="Arial"/>
        </w:rPr>
        <w:t> </w:t>
      </w:r>
      <w:r w:rsidRPr="002A2099">
        <w:rPr>
          <w:rFonts w:cs="Arial"/>
        </w:rPr>
        <w:t>volaille</w:t>
      </w:r>
      <w:r>
        <w:rPr>
          <w:rFonts w:cs="Arial"/>
        </w:rPr>
        <w:t> </w:t>
      </w:r>
      <w:r w:rsidRPr="002A2099">
        <w:rPr>
          <w:rFonts w:cs="Arial"/>
        </w:rPr>
        <w:t>» ressort comme la plus autoconsommée avec près de 19</w:t>
      </w:r>
      <w:r>
        <w:rPr>
          <w:rFonts w:cs="Arial"/>
        </w:rPr>
        <w:t> </w:t>
      </w:r>
      <w:r w:rsidRPr="002A2099">
        <w:rPr>
          <w:rFonts w:cs="Arial"/>
        </w:rPr>
        <w:t>% d’auto</w:t>
      </w:r>
      <w:r>
        <w:rPr>
          <w:rFonts w:cs="Arial"/>
        </w:rPr>
        <w:t>-</w:t>
      </w:r>
      <w:r w:rsidRPr="002A2099">
        <w:rPr>
          <w:rFonts w:cs="Arial"/>
        </w:rPr>
        <w:t>consommateurs.</w:t>
      </w:r>
    </w:p>
    <w:p w14:paraId="7FA072F5" w14:textId="53FA8F65" w:rsidR="00A47019" w:rsidRDefault="00A47019" w:rsidP="00A73BAA">
      <w:pPr>
        <w:pStyle w:val="Titre3"/>
      </w:pPr>
      <w:bookmarkStart w:id="107" w:name="_Toc78131575"/>
      <w:r w:rsidRPr="0027378B">
        <w:t>3.</w:t>
      </w:r>
      <w:r w:rsidR="00F17F16">
        <w:t>2</w:t>
      </w:r>
      <w:r w:rsidRPr="0027378B">
        <w:t>.</w:t>
      </w:r>
      <w:r>
        <w:t>3</w:t>
      </w:r>
      <w:r w:rsidRPr="0027378B">
        <w:t xml:space="preserve">. </w:t>
      </w:r>
      <w:r>
        <w:t>Poids relatif de la consommation Hors Domicile</w:t>
      </w:r>
      <w:bookmarkEnd w:id="107"/>
      <w:r>
        <w:t xml:space="preserve"> </w:t>
      </w:r>
    </w:p>
    <w:p w14:paraId="496718AA" w14:textId="6CE13541" w:rsidR="00A47019" w:rsidRPr="00075805" w:rsidRDefault="00A47019" w:rsidP="00020D87">
      <w:pPr>
        <w:keepNext/>
        <w:ind w:left="142"/>
        <w:rPr>
          <w:rFonts w:cs="Arial"/>
        </w:rPr>
      </w:pPr>
      <w:r w:rsidRPr="00075805">
        <w:rPr>
          <w:rFonts w:cs="Arial"/>
        </w:rPr>
        <w:t xml:space="preserve">En moyenne, </w:t>
      </w:r>
      <w:r w:rsidR="00020D87">
        <w:rPr>
          <w:rFonts w:cs="Arial"/>
        </w:rPr>
        <w:t>1/5</w:t>
      </w:r>
      <w:r w:rsidRPr="00075805">
        <w:rPr>
          <w:rFonts w:cs="Arial"/>
        </w:rPr>
        <w:t xml:space="preserve"> des consommations est réalisé en dehors du domicile avec chez les enfants comme les adultes, certains groupes d’aliments préférentiellement consommés hors domicile.</w:t>
      </w:r>
    </w:p>
    <w:tbl>
      <w:tblPr>
        <w:tblW w:w="9135" w:type="dxa"/>
        <w:jc w:val="center"/>
        <w:tblCellMar>
          <w:left w:w="70" w:type="dxa"/>
          <w:right w:w="70" w:type="dxa"/>
        </w:tblCellMar>
        <w:tblLook w:val="04A0" w:firstRow="1" w:lastRow="0" w:firstColumn="1" w:lastColumn="0" w:noHBand="0" w:noVBand="1"/>
      </w:tblPr>
      <w:tblGrid>
        <w:gridCol w:w="3641"/>
        <w:gridCol w:w="1094"/>
        <w:gridCol w:w="1563"/>
        <w:gridCol w:w="1263"/>
        <w:gridCol w:w="1574"/>
      </w:tblGrid>
      <w:tr w:rsidR="00A47019" w:rsidRPr="00020D87" w14:paraId="179207B9" w14:textId="77777777" w:rsidTr="00621489">
        <w:trPr>
          <w:trHeight w:val="250"/>
          <w:jc w:val="center"/>
        </w:trPr>
        <w:tc>
          <w:tcPr>
            <w:tcW w:w="3823" w:type="dxa"/>
            <w:tcBorders>
              <w:top w:val="single" w:sz="4" w:space="0" w:color="auto"/>
              <w:left w:val="single" w:sz="4" w:space="0" w:color="auto"/>
              <w:bottom w:val="single" w:sz="4" w:space="0" w:color="000000"/>
              <w:right w:val="single" w:sz="4" w:space="0" w:color="auto"/>
            </w:tcBorders>
            <w:shd w:val="clear" w:color="000000" w:fill="BFBFBF"/>
            <w:vAlign w:val="center"/>
            <w:hideMark/>
          </w:tcPr>
          <w:p w14:paraId="132A0EBF"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Groupe d’aliments</w:t>
            </w:r>
          </w:p>
        </w:tc>
        <w:tc>
          <w:tcPr>
            <w:tcW w:w="897" w:type="dxa"/>
            <w:tcBorders>
              <w:top w:val="single" w:sz="4" w:space="0" w:color="000000"/>
              <w:left w:val="single" w:sz="4" w:space="0" w:color="000000"/>
              <w:bottom w:val="single" w:sz="4" w:space="0" w:color="auto"/>
              <w:right w:val="single" w:sz="4" w:space="0" w:color="000000"/>
            </w:tcBorders>
            <w:shd w:val="clear" w:color="000000" w:fill="BFBFBF"/>
            <w:vAlign w:val="center"/>
            <w:hideMark/>
          </w:tcPr>
          <w:p w14:paraId="4F8478D2"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A domicile</w:t>
            </w:r>
          </w:p>
        </w:tc>
        <w:tc>
          <w:tcPr>
            <w:tcW w:w="1578" w:type="dxa"/>
            <w:tcBorders>
              <w:top w:val="single" w:sz="4" w:space="0" w:color="000000"/>
              <w:left w:val="single" w:sz="4" w:space="0" w:color="000000"/>
              <w:bottom w:val="single" w:sz="4" w:space="0" w:color="auto"/>
              <w:right w:val="single" w:sz="4" w:space="0" w:color="000000"/>
            </w:tcBorders>
            <w:shd w:val="clear" w:color="000000" w:fill="BFBFBF"/>
            <w:vAlign w:val="center"/>
            <w:hideMark/>
          </w:tcPr>
          <w:p w14:paraId="281BFC6A"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Hors domicile</w:t>
            </w:r>
          </w:p>
        </w:tc>
        <w:tc>
          <w:tcPr>
            <w:tcW w:w="1263" w:type="dxa"/>
            <w:tcBorders>
              <w:top w:val="single" w:sz="4" w:space="0" w:color="000000"/>
              <w:left w:val="single" w:sz="4" w:space="0" w:color="000000"/>
              <w:bottom w:val="single" w:sz="4" w:space="0" w:color="auto"/>
              <w:right w:val="single" w:sz="4" w:space="0" w:color="000000"/>
            </w:tcBorders>
            <w:shd w:val="clear" w:color="000000" w:fill="BFBFBF"/>
            <w:vAlign w:val="center"/>
            <w:hideMark/>
          </w:tcPr>
          <w:p w14:paraId="54AF261B"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A domicile</w:t>
            </w:r>
          </w:p>
        </w:tc>
        <w:tc>
          <w:tcPr>
            <w:tcW w:w="1574"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5E55AB1B" w14:textId="77777777" w:rsidR="00A47019" w:rsidRPr="00020D87" w:rsidRDefault="00A47019" w:rsidP="00020D87">
            <w:pPr>
              <w:keepNext/>
              <w:spacing w:after="0" w:line="240" w:lineRule="auto"/>
              <w:ind w:left="142"/>
              <w:jc w:val="center"/>
              <w:rPr>
                <w:rFonts w:eastAsia="Times New Roman" w:cs="Arial"/>
                <w:b/>
                <w:bCs/>
                <w:color w:val="000000"/>
                <w:sz w:val="20"/>
                <w:szCs w:val="20"/>
                <w:lang w:eastAsia="fr-FR"/>
              </w:rPr>
            </w:pPr>
            <w:r w:rsidRPr="00020D87">
              <w:rPr>
                <w:rFonts w:eastAsia="Times New Roman" w:cs="Arial"/>
                <w:b/>
                <w:bCs/>
                <w:color w:val="000000"/>
                <w:sz w:val="20"/>
                <w:szCs w:val="20"/>
                <w:lang w:eastAsia="fr-FR"/>
              </w:rPr>
              <w:t>Hors domicile</w:t>
            </w:r>
          </w:p>
        </w:tc>
      </w:tr>
      <w:tr w:rsidR="00A47019" w:rsidRPr="00EC4550" w14:paraId="25EB625A" w14:textId="77777777" w:rsidTr="00621489">
        <w:trPr>
          <w:trHeight w:val="226"/>
          <w:jc w:val="center"/>
        </w:trPr>
        <w:tc>
          <w:tcPr>
            <w:tcW w:w="3823" w:type="dxa"/>
            <w:tcBorders>
              <w:top w:val="single" w:sz="4" w:space="0" w:color="000000"/>
              <w:left w:val="single" w:sz="4" w:space="0" w:color="auto"/>
              <w:bottom w:val="single" w:sz="4" w:space="0" w:color="auto"/>
              <w:right w:val="single" w:sz="4" w:space="0" w:color="auto"/>
            </w:tcBorders>
            <w:shd w:val="clear" w:color="000000" w:fill="BFBFBF"/>
            <w:vAlign w:val="center"/>
            <w:hideMark/>
          </w:tcPr>
          <w:p w14:paraId="583F00AC" w14:textId="77777777" w:rsidR="00A47019" w:rsidRPr="00EC4550" w:rsidRDefault="00A47019" w:rsidP="00020D87">
            <w:pPr>
              <w:keepNext/>
              <w:spacing w:after="0" w:line="240" w:lineRule="auto"/>
              <w:ind w:left="142"/>
              <w:jc w:val="center"/>
              <w:rPr>
                <w:rFonts w:eastAsia="Times New Roman" w:cs="Arial"/>
                <w:b/>
                <w:bCs/>
                <w:color w:val="000000"/>
                <w:sz w:val="20"/>
                <w:szCs w:val="20"/>
                <w:lang w:eastAsia="fr-FR"/>
              </w:rPr>
            </w:pPr>
            <w:r w:rsidRPr="00EC4550">
              <w:rPr>
                <w:rFonts w:eastAsia="Times New Roman" w:cs="Arial"/>
                <w:b/>
                <w:bCs/>
                <w:color w:val="000000"/>
                <w:sz w:val="20"/>
                <w:szCs w:val="20"/>
                <w:lang w:eastAsia="fr-FR"/>
              </w:rPr>
              <w:t> </w:t>
            </w:r>
          </w:p>
        </w:tc>
        <w:tc>
          <w:tcPr>
            <w:tcW w:w="2475" w:type="dxa"/>
            <w:gridSpan w:val="2"/>
            <w:tcBorders>
              <w:top w:val="single" w:sz="4" w:space="0" w:color="auto"/>
              <w:left w:val="single" w:sz="4" w:space="0" w:color="000000"/>
              <w:bottom w:val="single" w:sz="4" w:space="0" w:color="auto"/>
              <w:right w:val="single" w:sz="4" w:space="0" w:color="000000"/>
            </w:tcBorders>
            <w:shd w:val="clear" w:color="000000" w:fill="BFBFBF"/>
            <w:noWrap/>
            <w:vAlign w:val="center"/>
            <w:hideMark/>
          </w:tcPr>
          <w:p w14:paraId="0409B6BB" w14:textId="77777777" w:rsidR="00A47019" w:rsidRPr="00EC4550" w:rsidRDefault="00A47019" w:rsidP="00020D87">
            <w:pPr>
              <w:keepNext/>
              <w:spacing w:after="0" w:line="240" w:lineRule="auto"/>
              <w:ind w:left="142"/>
              <w:jc w:val="center"/>
              <w:rPr>
                <w:rFonts w:eastAsia="Times New Roman" w:cs="Arial"/>
                <w:b/>
                <w:bCs/>
                <w:i/>
                <w:iCs/>
                <w:color w:val="000000"/>
                <w:sz w:val="20"/>
                <w:szCs w:val="20"/>
                <w:lang w:eastAsia="fr-FR"/>
              </w:rPr>
            </w:pPr>
            <w:r w:rsidRPr="00EC4550">
              <w:rPr>
                <w:rFonts w:eastAsia="Times New Roman" w:cs="Arial"/>
                <w:b/>
                <w:bCs/>
                <w:i/>
                <w:iCs/>
                <w:color w:val="000000"/>
                <w:sz w:val="20"/>
                <w:szCs w:val="20"/>
                <w:lang w:eastAsia="fr-FR"/>
              </w:rPr>
              <w:t>Adultes (18 à 79 ans)</w:t>
            </w:r>
          </w:p>
        </w:tc>
        <w:tc>
          <w:tcPr>
            <w:tcW w:w="2837" w:type="dxa"/>
            <w:gridSpan w:val="2"/>
            <w:tcBorders>
              <w:top w:val="single" w:sz="4" w:space="0" w:color="auto"/>
              <w:left w:val="single" w:sz="4" w:space="0" w:color="auto"/>
              <w:bottom w:val="single" w:sz="4" w:space="0" w:color="auto"/>
              <w:right w:val="single" w:sz="4" w:space="0" w:color="000000"/>
            </w:tcBorders>
            <w:shd w:val="clear" w:color="000000" w:fill="BFBFBF"/>
            <w:noWrap/>
            <w:vAlign w:val="center"/>
            <w:hideMark/>
          </w:tcPr>
          <w:p w14:paraId="03B3DB29" w14:textId="77777777" w:rsidR="00A47019" w:rsidRPr="00EC4550" w:rsidRDefault="00A47019" w:rsidP="00020D87">
            <w:pPr>
              <w:keepNext/>
              <w:spacing w:after="0" w:line="240" w:lineRule="auto"/>
              <w:ind w:left="142"/>
              <w:jc w:val="center"/>
              <w:rPr>
                <w:rFonts w:eastAsia="Times New Roman" w:cs="Arial"/>
                <w:b/>
                <w:bCs/>
                <w:i/>
                <w:iCs/>
                <w:color w:val="000000"/>
                <w:sz w:val="20"/>
                <w:szCs w:val="20"/>
                <w:lang w:eastAsia="fr-FR"/>
              </w:rPr>
            </w:pPr>
            <w:r w:rsidRPr="00EC4550">
              <w:rPr>
                <w:rFonts w:eastAsia="Times New Roman" w:cs="Arial"/>
                <w:b/>
                <w:bCs/>
                <w:i/>
                <w:iCs/>
                <w:color w:val="000000"/>
                <w:sz w:val="20"/>
                <w:szCs w:val="20"/>
                <w:lang w:eastAsia="fr-FR"/>
              </w:rPr>
              <w:t>Enfants (0 à 17 ans)</w:t>
            </w:r>
          </w:p>
        </w:tc>
      </w:tr>
      <w:tr w:rsidR="00A47019" w:rsidRPr="00EC4550" w14:paraId="55BA062C" w14:textId="77777777" w:rsidTr="00621489">
        <w:trPr>
          <w:trHeight w:val="330"/>
          <w:jc w:val="center"/>
        </w:trPr>
        <w:tc>
          <w:tcPr>
            <w:tcW w:w="382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228E1D9"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Viandes (hors volailles)</w:t>
            </w:r>
          </w:p>
        </w:tc>
        <w:tc>
          <w:tcPr>
            <w:tcW w:w="89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56D22CB"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76,4</w:t>
            </w:r>
          </w:p>
        </w:tc>
        <w:tc>
          <w:tcPr>
            <w:tcW w:w="157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6DC7ADF"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23,6</w:t>
            </w:r>
          </w:p>
        </w:tc>
        <w:tc>
          <w:tcPr>
            <w:tcW w:w="126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3628E89"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71,6</w:t>
            </w:r>
          </w:p>
        </w:tc>
        <w:tc>
          <w:tcPr>
            <w:tcW w:w="157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702E939"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28,4</w:t>
            </w:r>
          </w:p>
        </w:tc>
      </w:tr>
      <w:tr w:rsidR="00A47019" w:rsidRPr="00EC4550" w14:paraId="041C59DD" w14:textId="77777777" w:rsidTr="00621489">
        <w:trPr>
          <w:trHeight w:val="223"/>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5C8BB759"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Volailles</w:t>
            </w:r>
          </w:p>
        </w:tc>
        <w:tc>
          <w:tcPr>
            <w:tcW w:w="897" w:type="dxa"/>
            <w:tcBorders>
              <w:top w:val="nil"/>
              <w:left w:val="nil"/>
              <w:bottom w:val="single" w:sz="4" w:space="0" w:color="auto"/>
              <w:right w:val="single" w:sz="4" w:space="0" w:color="auto"/>
            </w:tcBorders>
            <w:shd w:val="clear" w:color="auto" w:fill="auto"/>
            <w:vAlign w:val="center"/>
            <w:hideMark/>
          </w:tcPr>
          <w:p w14:paraId="7705CAB6"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72,5</w:t>
            </w:r>
          </w:p>
        </w:tc>
        <w:tc>
          <w:tcPr>
            <w:tcW w:w="1578" w:type="dxa"/>
            <w:tcBorders>
              <w:top w:val="nil"/>
              <w:left w:val="nil"/>
              <w:bottom w:val="single" w:sz="4" w:space="0" w:color="auto"/>
              <w:right w:val="single" w:sz="4" w:space="0" w:color="auto"/>
            </w:tcBorders>
            <w:shd w:val="clear" w:color="auto" w:fill="auto"/>
            <w:vAlign w:val="center"/>
            <w:hideMark/>
          </w:tcPr>
          <w:p w14:paraId="343EB236"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27,5</w:t>
            </w:r>
          </w:p>
        </w:tc>
        <w:tc>
          <w:tcPr>
            <w:tcW w:w="1263" w:type="dxa"/>
            <w:tcBorders>
              <w:top w:val="nil"/>
              <w:left w:val="nil"/>
              <w:bottom w:val="single" w:sz="4" w:space="0" w:color="auto"/>
              <w:right w:val="single" w:sz="4" w:space="0" w:color="auto"/>
            </w:tcBorders>
            <w:shd w:val="clear" w:color="auto" w:fill="auto"/>
            <w:vAlign w:val="center"/>
            <w:hideMark/>
          </w:tcPr>
          <w:p w14:paraId="64479277"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66,6</w:t>
            </w:r>
          </w:p>
        </w:tc>
        <w:tc>
          <w:tcPr>
            <w:tcW w:w="1574" w:type="dxa"/>
            <w:tcBorders>
              <w:top w:val="nil"/>
              <w:left w:val="nil"/>
              <w:bottom w:val="single" w:sz="4" w:space="0" w:color="auto"/>
              <w:right w:val="single" w:sz="4" w:space="0" w:color="auto"/>
            </w:tcBorders>
            <w:shd w:val="clear" w:color="auto" w:fill="auto"/>
            <w:vAlign w:val="center"/>
            <w:hideMark/>
          </w:tcPr>
          <w:p w14:paraId="28CAB8B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33,4</w:t>
            </w:r>
          </w:p>
        </w:tc>
      </w:tr>
      <w:tr w:rsidR="00A47019" w:rsidRPr="00EC4550" w14:paraId="355F8945" w14:textId="77777777" w:rsidTr="00621489">
        <w:trPr>
          <w:trHeight w:val="254"/>
          <w:jc w:val="center"/>
        </w:trPr>
        <w:tc>
          <w:tcPr>
            <w:tcW w:w="382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EB0148E"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Charcuteries</w:t>
            </w:r>
          </w:p>
        </w:tc>
        <w:tc>
          <w:tcPr>
            <w:tcW w:w="89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41157F0"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78,7</w:t>
            </w:r>
          </w:p>
        </w:tc>
        <w:tc>
          <w:tcPr>
            <w:tcW w:w="157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8676F8D"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21,3</w:t>
            </w:r>
          </w:p>
        </w:tc>
        <w:tc>
          <w:tcPr>
            <w:tcW w:w="126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32F342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76,3</w:t>
            </w:r>
          </w:p>
        </w:tc>
        <w:tc>
          <w:tcPr>
            <w:tcW w:w="157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4EFFA3A"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23,7</w:t>
            </w:r>
          </w:p>
        </w:tc>
      </w:tr>
      <w:tr w:rsidR="00A47019" w:rsidRPr="00EC4550" w14:paraId="37100958" w14:textId="77777777" w:rsidTr="00621489">
        <w:trPr>
          <w:trHeight w:val="273"/>
          <w:jc w:val="center"/>
        </w:trPr>
        <w:tc>
          <w:tcPr>
            <w:tcW w:w="3823" w:type="dxa"/>
            <w:tcBorders>
              <w:top w:val="nil"/>
              <w:left w:val="single" w:sz="4" w:space="0" w:color="auto"/>
              <w:bottom w:val="single" w:sz="4" w:space="0" w:color="auto"/>
              <w:right w:val="single" w:sz="4" w:space="0" w:color="auto"/>
            </w:tcBorders>
            <w:shd w:val="clear" w:color="auto" w:fill="auto"/>
            <w:vAlign w:val="center"/>
            <w:hideMark/>
          </w:tcPr>
          <w:p w14:paraId="2D21DBD5"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Abats</w:t>
            </w:r>
          </w:p>
        </w:tc>
        <w:tc>
          <w:tcPr>
            <w:tcW w:w="897" w:type="dxa"/>
            <w:tcBorders>
              <w:top w:val="nil"/>
              <w:left w:val="nil"/>
              <w:bottom w:val="single" w:sz="4" w:space="0" w:color="auto"/>
              <w:right w:val="single" w:sz="4" w:space="0" w:color="auto"/>
            </w:tcBorders>
            <w:shd w:val="clear" w:color="auto" w:fill="auto"/>
            <w:vAlign w:val="center"/>
            <w:hideMark/>
          </w:tcPr>
          <w:p w14:paraId="06FB43F6"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78</w:t>
            </w:r>
          </w:p>
        </w:tc>
        <w:tc>
          <w:tcPr>
            <w:tcW w:w="1578" w:type="dxa"/>
            <w:tcBorders>
              <w:top w:val="nil"/>
              <w:left w:val="nil"/>
              <w:bottom w:val="single" w:sz="4" w:space="0" w:color="auto"/>
              <w:right w:val="single" w:sz="4" w:space="0" w:color="auto"/>
            </w:tcBorders>
            <w:shd w:val="clear" w:color="auto" w:fill="auto"/>
            <w:vAlign w:val="center"/>
            <w:hideMark/>
          </w:tcPr>
          <w:p w14:paraId="706AF614"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22</w:t>
            </w:r>
          </w:p>
        </w:tc>
        <w:tc>
          <w:tcPr>
            <w:tcW w:w="1263" w:type="dxa"/>
            <w:tcBorders>
              <w:top w:val="nil"/>
              <w:left w:val="nil"/>
              <w:bottom w:val="single" w:sz="4" w:space="0" w:color="auto"/>
              <w:right w:val="single" w:sz="4" w:space="0" w:color="auto"/>
            </w:tcBorders>
            <w:shd w:val="clear" w:color="auto" w:fill="auto"/>
            <w:vAlign w:val="center"/>
            <w:hideMark/>
          </w:tcPr>
          <w:p w14:paraId="526F4291"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68,1</w:t>
            </w:r>
          </w:p>
        </w:tc>
        <w:tc>
          <w:tcPr>
            <w:tcW w:w="1574" w:type="dxa"/>
            <w:tcBorders>
              <w:top w:val="nil"/>
              <w:left w:val="nil"/>
              <w:bottom w:val="single" w:sz="4" w:space="0" w:color="auto"/>
              <w:right w:val="single" w:sz="4" w:space="0" w:color="auto"/>
            </w:tcBorders>
            <w:shd w:val="clear" w:color="auto" w:fill="auto"/>
            <w:vAlign w:val="center"/>
            <w:hideMark/>
          </w:tcPr>
          <w:p w14:paraId="1159A4B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31,9</w:t>
            </w:r>
          </w:p>
        </w:tc>
      </w:tr>
      <w:tr w:rsidR="00A47019" w:rsidRPr="00EC4550" w14:paraId="19694B37" w14:textId="77777777" w:rsidTr="00621489">
        <w:trPr>
          <w:trHeight w:val="276"/>
          <w:jc w:val="center"/>
        </w:trPr>
        <w:tc>
          <w:tcPr>
            <w:tcW w:w="382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D435626"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Plats à base de viandes</w:t>
            </w:r>
          </w:p>
        </w:tc>
        <w:tc>
          <w:tcPr>
            <w:tcW w:w="89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B4CE033"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75,2</w:t>
            </w:r>
          </w:p>
        </w:tc>
        <w:tc>
          <w:tcPr>
            <w:tcW w:w="157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F41C9AF"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24,8</w:t>
            </w:r>
          </w:p>
        </w:tc>
        <w:tc>
          <w:tcPr>
            <w:tcW w:w="126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9E33184"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65,8</w:t>
            </w:r>
          </w:p>
        </w:tc>
        <w:tc>
          <w:tcPr>
            <w:tcW w:w="157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BEF610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34,2</w:t>
            </w:r>
          </w:p>
        </w:tc>
      </w:tr>
      <w:tr w:rsidR="00A47019" w:rsidRPr="00EC4550" w14:paraId="4D009F35" w14:textId="77777777" w:rsidTr="00621489">
        <w:trPr>
          <w:trHeight w:val="171"/>
          <w:jc w:val="center"/>
        </w:trPr>
        <w:tc>
          <w:tcPr>
            <w:tcW w:w="3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774D60" w14:textId="77777777" w:rsidR="00A47019" w:rsidRPr="00EC4550" w:rsidRDefault="00A47019" w:rsidP="00020D87">
            <w:pPr>
              <w:keepNext/>
              <w:spacing w:after="0" w:line="240" w:lineRule="auto"/>
              <w:ind w:left="142"/>
              <w:rPr>
                <w:rFonts w:eastAsia="Times New Roman" w:cs="Arial"/>
                <w:color w:val="000000"/>
                <w:sz w:val="20"/>
                <w:szCs w:val="20"/>
                <w:lang w:eastAsia="fr-FR"/>
              </w:rPr>
            </w:pPr>
            <w:r w:rsidRPr="00EC4550">
              <w:rPr>
                <w:rFonts w:eastAsia="Times New Roman" w:cs="Arial"/>
                <w:color w:val="000000"/>
                <w:sz w:val="20"/>
                <w:szCs w:val="20"/>
                <w:lang w:eastAsia="fr-FR"/>
              </w:rPr>
              <w:t>Sandwichs, pizzas, tartes, pâtisseries</w:t>
            </w:r>
          </w:p>
        </w:tc>
        <w:tc>
          <w:tcPr>
            <w:tcW w:w="89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E05842"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59,5</w:t>
            </w:r>
          </w:p>
        </w:tc>
        <w:tc>
          <w:tcPr>
            <w:tcW w:w="157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A6A388"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40,5</w:t>
            </w:r>
          </w:p>
        </w:tc>
        <w:tc>
          <w:tcPr>
            <w:tcW w:w="12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DC8428"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sz w:val="20"/>
                <w:szCs w:val="20"/>
                <w:lang w:eastAsia="fr-FR"/>
              </w:rPr>
              <w:t>69</w:t>
            </w:r>
          </w:p>
        </w:tc>
        <w:tc>
          <w:tcPr>
            <w:tcW w:w="157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C6ADA6" w14:textId="77777777" w:rsidR="00A47019" w:rsidRPr="00EC4550" w:rsidRDefault="00A47019" w:rsidP="00020D87">
            <w:pPr>
              <w:keepNext/>
              <w:spacing w:after="0" w:line="240" w:lineRule="auto"/>
              <w:ind w:left="142"/>
              <w:jc w:val="right"/>
              <w:rPr>
                <w:rFonts w:eastAsia="Times New Roman" w:cs="Arial"/>
                <w:color w:val="000000"/>
                <w:sz w:val="20"/>
                <w:szCs w:val="20"/>
                <w:lang w:eastAsia="fr-FR"/>
              </w:rPr>
            </w:pPr>
            <w:r w:rsidRPr="00EC4550">
              <w:rPr>
                <w:rFonts w:eastAsia="Times New Roman" w:cs="Arial"/>
                <w:color w:val="000000"/>
                <w:w w:val="95"/>
                <w:sz w:val="20"/>
                <w:szCs w:val="20"/>
                <w:lang w:eastAsia="fr-FR"/>
              </w:rPr>
              <w:t>31</w:t>
            </w:r>
          </w:p>
        </w:tc>
      </w:tr>
    </w:tbl>
    <w:p w14:paraId="2BE88F4B" w14:textId="372DD478" w:rsidR="00A47019" w:rsidRPr="005267CA" w:rsidRDefault="00A47019" w:rsidP="00020D87">
      <w:pPr>
        <w:pStyle w:val="figure"/>
        <w:ind w:left="142"/>
        <w:rPr>
          <w:rStyle w:val="LgendeCar"/>
          <w:bCs/>
          <w:i w:val="0"/>
          <w:iCs/>
        </w:rPr>
      </w:pPr>
      <w:bookmarkStart w:id="108" w:name="_Toc72143371"/>
      <w:r w:rsidRPr="005267CA">
        <w:rPr>
          <w:rStyle w:val="figureCar"/>
          <w:b/>
          <w:bCs/>
          <w:iCs/>
        </w:rPr>
        <w:t xml:space="preserve">Tableau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23</w:t>
      </w:r>
      <w:r w:rsidRPr="005267CA">
        <w:rPr>
          <w:rStyle w:val="figureCar"/>
          <w:b/>
          <w:bCs/>
          <w:iCs/>
        </w:rPr>
        <w:fldChar w:fldCharType="end"/>
      </w:r>
      <w:r w:rsidRPr="005267CA">
        <w:rPr>
          <w:rStyle w:val="figureCar"/>
          <w:b/>
          <w:bCs/>
          <w:iCs/>
        </w:rPr>
        <w:t xml:space="preserve"> : Répartition moyenne (% et IC à 95%) des consommations journalières individuelles selon le lieu de consommation par groupe d’aliments1, pour les adultes de 18 à 79 ans</w:t>
      </w:r>
      <w:bookmarkEnd w:id="108"/>
      <w:r w:rsidRPr="005267CA">
        <w:rPr>
          <w:rStyle w:val="LgendeCar"/>
          <w:bCs/>
          <w:i w:val="0"/>
          <w:iCs/>
        </w:rPr>
        <w:t xml:space="preserve"> </w:t>
      </w:r>
    </w:p>
    <w:p w14:paraId="13CDFE53" w14:textId="77777777" w:rsidR="00A47019" w:rsidRPr="005267CA" w:rsidRDefault="00A47019" w:rsidP="00020D87">
      <w:pPr>
        <w:pStyle w:val="Lgende"/>
        <w:ind w:left="142"/>
      </w:pPr>
      <w:r w:rsidRPr="005267CA">
        <w:rPr>
          <w:rStyle w:val="LgendeCar"/>
          <w:bCs/>
          <w:i/>
          <w:iCs/>
        </w:rPr>
        <w:t>(Source : ANSES, 2017).</w:t>
      </w:r>
    </w:p>
    <w:p w14:paraId="60A273F7" w14:textId="77777777" w:rsidR="00A47019" w:rsidRPr="0031586D" w:rsidRDefault="00A47019" w:rsidP="00F17F16">
      <w:pPr>
        <w:ind w:left="142"/>
      </w:pPr>
      <w:r>
        <w:t>Les consommations hors domicile concernent plus particulièrement les aliments de restauration rapide avec les catégories (</w:t>
      </w:r>
      <w:r>
        <w:rPr>
          <w:color w:val="000000"/>
        </w:rPr>
        <w:t>s</w:t>
      </w:r>
      <w:r w:rsidRPr="00E21F6B">
        <w:rPr>
          <w:color w:val="000000"/>
        </w:rPr>
        <w:t>andwichs, pizzas, tartes, pâtisseries et biscuits salés</w:t>
      </w:r>
      <w:r>
        <w:rPr>
          <w:color w:val="000000"/>
        </w:rPr>
        <w:t>) avec 40,5 % chez les adultes et 31 % chez les enfants</w:t>
      </w:r>
      <w:r>
        <w:t>, mais également les volailles avec 27,5 % chez adultes et 33,4 % chez les enfants. La charcuterie et les viandes hors volaille se positionnent plutôt dans la moyenne.</w:t>
      </w:r>
    </w:p>
    <w:p w14:paraId="5347C550" w14:textId="57F6A656" w:rsidR="00A47019" w:rsidRDefault="00A47019" w:rsidP="00A73BAA">
      <w:pPr>
        <w:pStyle w:val="Titre3"/>
      </w:pPr>
      <w:bookmarkStart w:id="109" w:name="_Toc78131576"/>
      <w:r w:rsidRPr="0027378B">
        <w:lastRenderedPageBreak/>
        <w:t>3.</w:t>
      </w:r>
      <w:r w:rsidR="00F17F16">
        <w:t>2</w:t>
      </w:r>
      <w:r w:rsidRPr="0027378B">
        <w:t>.</w:t>
      </w:r>
      <w:r>
        <w:t>4</w:t>
      </w:r>
      <w:r w:rsidRPr="0027378B">
        <w:t xml:space="preserve">. </w:t>
      </w:r>
      <w:r>
        <w:t>Discussion autour des limites de l’étude</w:t>
      </w:r>
      <w:bookmarkEnd w:id="109"/>
    </w:p>
    <w:p w14:paraId="03696E33" w14:textId="4AD01DBA" w:rsidR="00A47019" w:rsidRDefault="00A47019" w:rsidP="00A73BAA">
      <w:r w:rsidRPr="00127364">
        <w:t>L</w:t>
      </w:r>
      <w:r>
        <w:t>’</w:t>
      </w:r>
      <w:r w:rsidRPr="00127364">
        <w:t>enquêt</w:t>
      </w:r>
      <w:r>
        <w:t>e</w:t>
      </w:r>
      <w:r w:rsidRPr="00127364">
        <w:t xml:space="preserve"> INCA </w:t>
      </w:r>
      <w:r>
        <w:t>est</w:t>
      </w:r>
      <w:r w:rsidRPr="00127364">
        <w:t xml:space="preserve"> </w:t>
      </w:r>
      <w:r>
        <w:t>l’une des</w:t>
      </w:r>
      <w:r w:rsidRPr="00127364">
        <w:t xml:space="preserve"> </w:t>
      </w:r>
      <w:r>
        <w:t>études</w:t>
      </w:r>
      <w:r w:rsidRPr="00127364">
        <w:t xml:space="preserve"> l</w:t>
      </w:r>
      <w:r>
        <w:t>es</w:t>
      </w:r>
      <w:r w:rsidRPr="00127364">
        <w:t xml:space="preserve"> plus complète</w:t>
      </w:r>
      <w:r>
        <w:t>s</w:t>
      </w:r>
      <w:r w:rsidRPr="00127364">
        <w:t xml:space="preserve"> sur la consommation</w:t>
      </w:r>
      <w:r>
        <w:t xml:space="preserve"> puisqu’elle</w:t>
      </w:r>
      <w:r w:rsidRPr="00127364">
        <w:t xml:space="preserve"> couvre l’ensemble des prises alimentaires.</w:t>
      </w:r>
      <w:r>
        <w:t xml:space="preserve"> </w:t>
      </w:r>
      <w:r w:rsidRPr="00127364">
        <w:t>L’ANSES dans son évaluation de l’enquête</w:t>
      </w:r>
      <w:r>
        <w:t>,</w:t>
      </w:r>
      <w:r w:rsidRPr="00127364">
        <w:t xml:space="preserve"> fait état d’un certain nombre de limites</w:t>
      </w:r>
      <w:r>
        <w:t xml:space="preserve"> dans la conduite de celle-ci. Elles peuvent avoir des implications dans le traitement qui en est fait pour cette étude. Aussi ce sont ces limites qui sont mises en avant et discutées ci-après </w:t>
      </w:r>
    </w:p>
    <w:p w14:paraId="7EB54FB9" w14:textId="2B22BDF0" w:rsidR="00A47019" w:rsidRPr="002B40C3" w:rsidRDefault="00A47019" w:rsidP="00F17F16">
      <w:pPr>
        <w:pStyle w:val="Corpsdetexte"/>
        <w:numPr>
          <w:ilvl w:val="0"/>
          <w:numId w:val="7"/>
        </w:numPr>
        <w:spacing w:before="0"/>
        <w:ind w:hanging="219"/>
        <w:rPr>
          <w:rFonts w:eastAsiaTheme="minorHAnsi"/>
          <w:color w:val="000000" w:themeColor="text1"/>
          <w:szCs w:val="22"/>
          <w:lang w:eastAsia="en-US"/>
        </w:rPr>
      </w:pPr>
      <w:r>
        <w:t xml:space="preserve">En termes de représentativité, la </w:t>
      </w:r>
      <w:r w:rsidRPr="0035107D">
        <w:t xml:space="preserve">taille de l’échantillon </w:t>
      </w:r>
      <w:r>
        <w:t>de</w:t>
      </w:r>
      <w:r w:rsidRPr="0035107D">
        <w:t xml:space="preserve"> certain</w:t>
      </w:r>
      <w:r>
        <w:t>e</w:t>
      </w:r>
      <w:r w:rsidRPr="0035107D">
        <w:t>s sous-populations spécifiques (végétariens, végétaliens, femmes enceintes, allaitantes, personnes allergiques) est trop faible</w:t>
      </w:r>
      <w:r>
        <w:t xml:space="preserve"> (moins de 1</w:t>
      </w:r>
      <w:r w:rsidR="004F359E">
        <w:t> </w:t>
      </w:r>
      <w:r>
        <w:t>%)</w:t>
      </w:r>
      <w:r w:rsidRPr="0035107D">
        <w:t xml:space="preserve"> pour évaluer leur consommation</w:t>
      </w:r>
      <w:r>
        <w:t>. Dans le même temps, la</w:t>
      </w:r>
      <w:r w:rsidRPr="002B40C3">
        <w:t xml:space="preserve"> collecte de données sur une période de 3 jours plus ramassée, tend à privilégier l</w:t>
      </w:r>
      <w:r>
        <w:t>a survenue de</w:t>
      </w:r>
      <w:r w:rsidRPr="002B40C3">
        <w:t xml:space="preserve"> périodes « sans » et donc la surestimation du nombre de </w:t>
      </w:r>
      <w:r>
        <w:t xml:space="preserve">régimes particuliers parmi lesquels, les </w:t>
      </w:r>
      <w:r w:rsidRPr="002B40C3">
        <w:t xml:space="preserve">végétariens ou </w:t>
      </w:r>
      <w:r>
        <w:t xml:space="preserve">les </w:t>
      </w:r>
      <w:r w:rsidRPr="002B40C3">
        <w:t>végétaliens</w:t>
      </w:r>
      <w:r>
        <w:t>.</w:t>
      </w:r>
      <w:r>
        <w:rPr>
          <w:color w:val="4B4142"/>
          <w:shd w:val="clear" w:color="auto" w:fill="FFFFFF"/>
        </w:rPr>
        <w:t xml:space="preserve"> </w:t>
      </w:r>
    </w:p>
    <w:p w14:paraId="0CC06B10" w14:textId="77777777" w:rsidR="00A47019" w:rsidRPr="002B40C3" w:rsidRDefault="00A47019" w:rsidP="00F17F16">
      <w:pPr>
        <w:pStyle w:val="Corpsdetexte"/>
        <w:numPr>
          <w:ilvl w:val="0"/>
          <w:numId w:val="7"/>
        </w:numPr>
        <w:spacing w:before="0"/>
        <w:ind w:hanging="219"/>
        <w:rPr>
          <w:rFonts w:eastAsiaTheme="minorHAnsi"/>
          <w:color w:val="000000" w:themeColor="text1"/>
          <w:szCs w:val="22"/>
          <w:lang w:eastAsia="en-US"/>
        </w:rPr>
      </w:pPr>
      <w:r>
        <w:rPr>
          <w:color w:val="000000" w:themeColor="text1"/>
          <w:shd w:val="clear" w:color="auto" w:fill="FFFFFF"/>
        </w:rPr>
        <w:t xml:space="preserve">La </w:t>
      </w:r>
      <w:r w:rsidRPr="00127364">
        <w:rPr>
          <w:color w:val="000000" w:themeColor="text1"/>
          <w:shd w:val="clear" w:color="auto" w:fill="FFFFFF"/>
        </w:rPr>
        <w:t>« non-consommation »</w:t>
      </w:r>
      <w:r>
        <w:rPr>
          <w:color w:val="000000" w:themeColor="text1"/>
          <w:shd w:val="clear" w:color="auto" w:fill="FFFFFF"/>
        </w:rPr>
        <w:t xml:space="preserve"> de certains aliments sur cette durée de 3 jours peut conduire à la sous-estimation de catégories de produits dont fait partie la charcuterie dans le sens où elle est portée par une grande variété de produits. C’est sans doute le cas également dans une moindre mesure pour la catégorie des « plats à base de viande ».</w:t>
      </w:r>
    </w:p>
    <w:p w14:paraId="4CD80C38" w14:textId="77777777" w:rsidR="00A47019" w:rsidRPr="00127364" w:rsidRDefault="00A47019" w:rsidP="00F17F16">
      <w:pPr>
        <w:pStyle w:val="Corpsdetexte"/>
        <w:numPr>
          <w:ilvl w:val="0"/>
          <w:numId w:val="7"/>
        </w:numPr>
        <w:spacing w:before="0"/>
        <w:ind w:hanging="219"/>
        <w:rPr>
          <w:rFonts w:eastAsiaTheme="minorHAnsi"/>
          <w:color w:val="000000" w:themeColor="text1"/>
          <w:szCs w:val="22"/>
          <w:lang w:eastAsia="en-US"/>
        </w:rPr>
      </w:pPr>
      <w:r w:rsidRPr="00127364">
        <w:rPr>
          <w:color w:val="000000" w:themeColor="text1"/>
          <w:shd w:val="clear" w:color="auto" w:fill="FFFFFF"/>
        </w:rPr>
        <w:t>La discontinuité</w:t>
      </w:r>
      <w:r>
        <w:rPr>
          <w:color w:val="000000" w:themeColor="text1"/>
          <w:shd w:val="clear" w:color="auto" w:fill="FFFFFF"/>
        </w:rPr>
        <w:t xml:space="preserve"> de méthode</w:t>
      </w:r>
      <w:r w:rsidRPr="00127364">
        <w:rPr>
          <w:color w:val="000000" w:themeColor="text1"/>
          <w:shd w:val="clear" w:color="auto" w:fill="FFFFFF"/>
        </w:rPr>
        <w:t xml:space="preserve"> d’ores et déjà évoquée plus haut, entre les études INCA 1, 2 et 3</w:t>
      </w:r>
      <w:r>
        <w:rPr>
          <w:color w:val="000000" w:themeColor="text1"/>
          <w:shd w:val="clear" w:color="auto" w:fill="FFFFFF"/>
        </w:rPr>
        <w:t xml:space="preserve"> ne permet pas d</w:t>
      </w:r>
      <w:r w:rsidRPr="00127364">
        <w:rPr>
          <w:color w:val="000000" w:themeColor="text1"/>
          <w:shd w:val="clear" w:color="auto" w:fill="FFFFFF"/>
        </w:rPr>
        <w:t>’apprécier les évolutions des consommations alimentaires et des apports énergétiques et nutritionnels</w:t>
      </w:r>
      <w:r>
        <w:rPr>
          <w:color w:val="000000" w:themeColor="text1"/>
          <w:shd w:val="clear" w:color="auto" w:fill="FFFFFF"/>
        </w:rPr>
        <w:t>.</w:t>
      </w:r>
    </w:p>
    <w:p w14:paraId="17599E28" w14:textId="77777777" w:rsidR="00A47019" w:rsidRDefault="00A47019" w:rsidP="005878BA">
      <w:pPr>
        <w:pStyle w:val="Corpsdetexte"/>
        <w:numPr>
          <w:ilvl w:val="0"/>
          <w:numId w:val="7"/>
        </w:numPr>
        <w:spacing w:before="0" w:after="240"/>
        <w:ind w:left="363" w:hanging="221"/>
      </w:pPr>
      <w:r w:rsidRPr="00127364">
        <w:t>Les estimations des consommations alimentaires sont obtenues à partir de déclarations des</w:t>
      </w:r>
      <w:r w:rsidRPr="0035107D">
        <w:rPr>
          <w:rFonts w:eastAsiaTheme="minorHAnsi"/>
          <w:color w:val="000000" w:themeColor="text1"/>
          <w:szCs w:val="22"/>
          <w:lang w:eastAsia="en-US"/>
        </w:rPr>
        <w:t xml:space="preserve"> participants, d’où un biais possible </w:t>
      </w:r>
      <w:r>
        <w:rPr>
          <w:rFonts w:eastAsiaTheme="minorHAnsi"/>
          <w:color w:val="000000" w:themeColor="text1"/>
          <w:szCs w:val="22"/>
          <w:lang w:eastAsia="en-US"/>
        </w:rPr>
        <w:t>lié à l’</w:t>
      </w:r>
      <w:r w:rsidRPr="0035107D">
        <w:rPr>
          <w:rFonts w:eastAsiaTheme="minorHAnsi"/>
          <w:color w:val="000000" w:themeColor="text1"/>
          <w:szCs w:val="22"/>
          <w:lang w:eastAsia="en-US"/>
        </w:rPr>
        <w:t xml:space="preserve">erreur de mesure ou </w:t>
      </w:r>
      <w:r>
        <w:rPr>
          <w:rFonts w:eastAsiaTheme="minorHAnsi"/>
          <w:color w:val="000000" w:themeColor="text1"/>
          <w:szCs w:val="22"/>
          <w:lang w:eastAsia="en-US"/>
        </w:rPr>
        <w:t xml:space="preserve">de désirabilité </w:t>
      </w:r>
      <w:r w:rsidRPr="0035107D">
        <w:rPr>
          <w:rFonts w:eastAsiaTheme="minorHAnsi"/>
          <w:color w:val="000000" w:themeColor="text1"/>
          <w:szCs w:val="22"/>
          <w:lang w:eastAsia="en-US"/>
        </w:rPr>
        <w:t>sociale</w:t>
      </w:r>
      <w:r>
        <w:t xml:space="preserve"> (ou l’envie de se conformer à une norme en vigueur), à la réactivité (ou la modification d’un comportement sachant qu’il est analysé), à l’entrée de données ou à la variabilité des apports d’un jour à l’autre</w:t>
      </w:r>
      <w:r>
        <w:rPr>
          <w:rFonts w:eastAsiaTheme="minorHAnsi"/>
          <w:color w:val="000000" w:themeColor="text1"/>
          <w:szCs w:val="22"/>
          <w:lang w:eastAsia="en-US"/>
        </w:rPr>
        <w:t xml:space="preserve">. </w:t>
      </w:r>
      <w:r>
        <w:t xml:space="preserve">Enfin, </w:t>
      </w:r>
      <w:r w:rsidRPr="0035107D">
        <w:t>cette étude ne couvre que la métropole (hors DOM TOM</w:t>
      </w:r>
      <w:r>
        <w:t>).</w:t>
      </w:r>
    </w:p>
    <w:p w14:paraId="0916DB30" w14:textId="2983E467" w:rsidR="007942C7" w:rsidRPr="008150C6" w:rsidRDefault="007F2D0A" w:rsidP="00A63F35">
      <w:pPr>
        <w:pStyle w:val="Titre2"/>
        <w:numPr>
          <w:ilvl w:val="0"/>
          <w:numId w:val="0"/>
        </w:numPr>
        <w:ind w:left="1080"/>
      </w:pPr>
      <w:bookmarkStart w:id="110" w:name="_Toc78131577"/>
      <w:r>
        <w:t xml:space="preserve">3.3. </w:t>
      </w:r>
      <w:r w:rsidR="007942C7" w:rsidRPr="008150C6">
        <w:t>Enquête CCAF / Credoc</w:t>
      </w:r>
      <w:bookmarkEnd w:id="110"/>
    </w:p>
    <w:p w14:paraId="4EDC92EB" w14:textId="4B7A258A" w:rsidR="007942C7" w:rsidRPr="00F050C5" w:rsidRDefault="007942C7" w:rsidP="007942C7">
      <w:pPr>
        <w:pStyle w:val="Titre3"/>
        <w:rPr>
          <w:color w:val="000000" w:themeColor="text1"/>
        </w:rPr>
      </w:pPr>
      <w:bookmarkStart w:id="111" w:name="_Toc78131578"/>
      <w:r w:rsidRPr="00F050C5">
        <w:rPr>
          <w:color w:val="000000" w:themeColor="text1"/>
        </w:rPr>
        <w:t>3.</w:t>
      </w:r>
      <w:r w:rsidR="0070169D" w:rsidRPr="00F050C5">
        <w:rPr>
          <w:color w:val="000000" w:themeColor="text1"/>
        </w:rPr>
        <w:t>3</w:t>
      </w:r>
      <w:r w:rsidRPr="00F050C5">
        <w:rPr>
          <w:color w:val="000000" w:themeColor="text1"/>
        </w:rPr>
        <w:t>.1. Objectifs et méthode de l’enquête</w:t>
      </w:r>
      <w:bookmarkEnd w:id="111"/>
      <w:r w:rsidRPr="00F050C5">
        <w:rPr>
          <w:color w:val="000000" w:themeColor="text1"/>
        </w:rPr>
        <w:t xml:space="preserve"> </w:t>
      </w:r>
    </w:p>
    <w:p w14:paraId="259E2F25" w14:textId="438813CA" w:rsidR="004241D8" w:rsidRPr="00BF0683" w:rsidRDefault="00F8068C" w:rsidP="00A73BAA">
      <w:pPr>
        <w:rPr>
          <w:rFonts w:cs="Arial"/>
          <w:spacing w:val="-2"/>
        </w:rPr>
      </w:pPr>
      <w:r w:rsidRPr="00BF0683">
        <w:rPr>
          <w:rFonts w:cs="Arial"/>
          <w:spacing w:val="-2"/>
        </w:rPr>
        <w:t>Les enquêtes Comportement et Consommation Alimentaires en France (CCAF) sont conduites périodiquement afin d’analyser les</w:t>
      </w:r>
      <w:r w:rsidR="00BA7504" w:rsidRPr="00BF0683">
        <w:rPr>
          <w:rFonts w:cs="Arial"/>
          <w:spacing w:val="-2"/>
        </w:rPr>
        <w:t xml:space="preserve"> niveaux et les</w:t>
      </w:r>
      <w:r w:rsidRPr="00BF0683">
        <w:rPr>
          <w:rFonts w:cs="Arial"/>
          <w:spacing w:val="-2"/>
        </w:rPr>
        <w:t xml:space="preserve"> évolutions de consommation alimentaires. Les produits carnés soient </w:t>
      </w:r>
      <w:r w:rsidR="00BA7504" w:rsidRPr="00BF0683">
        <w:rPr>
          <w:rFonts w:cs="Arial"/>
          <w:spacing w:val="-2"/>
        </w:rPr>
        <w:t xml:space="preserve">les </w:t>
      </w:r>
      <w:r w:rsidRPr="00BF0683">
        <w:rPr>
          <w:rFonts w:cs="Arial"/>
          <w:spacing w:val="-2"/>
        </w:rPr>
        <w:t>viande</w:t>
      </w:r>
      <w:r w:rsidR="00BA7504" w:rsidRPr="00BF0683">
        <w:rPr>
          <w:rFonts w:cs="Arial"/>
          <w:spacing w:val="-2"/>
        </w:rPr>
        <w:t>s</w:t>
      </w:r>
      <w:r w:rsidRPr="00BF0683">
        <w:rPr>
          <w:rFonts w:cs="Arial"/>
          <w:spacing w:val="-2"/>
        </w:rPr>
        <w:t xml:space="preserve"> et charcuteries de porc et de volaille font </w:t>
      </w:r>
      <w:r w:rsidR="00BA7504" w:rsidRPr="00BF0683">
        <w:rPr>
          <w:rFonts w:cs="Arial"/>
          <w:spacing w:val="-2"/>
        </w:rPr>
        <w:t>dans ce cadre</w:t>
      </w:r>
      <w:r w:rsidRPr="00BF0683">
        <w:rPr>
          <w:rFonts w:cs="Arial"/>
          <w:spacing w:val="-2"/>
        </w:rPr>
        <w:t>, l’objet d’un</w:t>
      </w:r>
      <w:r w:rsidR="00BA7504" w:rsidRPr="00BF0683">
        <w:rPr>
          <w:rFonts w:cs="Arial"/>
          <w:spacing w:val="-2"/>
        </w:rPr>
        <w:t>e étude</w:t>
      </w:r>
      <w:r w:rsidRPr="00BF0683">
        <w:rPr>
          <w:rFonts w:cs="Arial"/>
          <w:spacing w:val="-2"/>
        </w:rPr>
        <w:t xml:space="preserve"> spécifique et </w:t>
      </w:r>
      <w:r w:rsidR="00BA7504" w:rsidRPr="00BF0683">
        <w:rPr>
          <w:rFonts w:cs="Arial"/>
          <w:spacing w:val="-2"/>
        </w:rPr>
        <w:t xml:space="preserve">le volet consacré à </w:t>
      </w:r>
      <w:r w:rsidRPr="00BF0683">
        <w:rPr>
          <w:rFonts w:cs="Arial"/>
          <w:spacing w:val="-2"/>
        </w:rPr>
        <w:t xml:space="preserve">l’espèce porc est </w:t>
      </w:r>
      <w:r w:rsidR="00BA7504" w:rsidRPr="00BF0683">
        <w:rPr>
          <w:rFonts w:cs="Arial"/>
          <w:spacing w:val="-2"/>
        </w:rPr>
        <w:t xml:space="preserve">en particulier </w:t>
      </w:r>
      <w:r w:rsidRPr="00BF0683">
        <w:rPr>
          <w:rFonts w:cs="Arial"/>
          <w:spacing w:val="-2"/>
        </w:rPr>
        <w:t>financé par INAPORC.</w:t>
      </w:r>
      <w:r w:rsidR="00BA7504" w:rsidRPr="00BF0683">
        <w:rPr>
          <w:rFonts w:cs="Arial"/>
          <w:spacing w:val="-2"/>
        </w:rPr>
        <w:t xml:space="preserve"> </w:t>
      </w:r>
      <w:r w:rsidR="0010060D" w:rsidRPr="00BF0683">
        <w:rPr>
          <w:rFonts w:cs="Arial"/>
          <w:spacing w:val="-2"/>
        </w:rPr>
        <w:t xml:space="preserve">Aussi, l’ensemble des données relatives à la méthode ont été collectées directement auprès du Credoc. </w:t>
      </w:r>
    </w:p>
    <w:p w14:paraId="65F0F865" w14:textId="7FC7E986" w:rsidR="0010060D" w:rsidRDefault="00F41B10" w:rsidP="00A73BAA">
      <w:pPr>
        <w:rPr>
          <w:rFonts w:cs="Arial"/>
        </w:rPr>
      </w:pPr>
      <w:r>
        <w:rPr>
          <w:rFonts w:cs="Arial"/>
        </w:rPr>
        <w:t xml:space="preserve">Les enquêtes </w:t>
      </w:r>
      <w:r w:rsidR="0010060D">
        <w:rPr>
          <w:rFonts w:cs="Arial"/>
        </w:rPr>
        <w:t xml:space="preserve">qui ont lieu tous les 3 ans, </w:t>
      </w:r>
      <w:r w:rsidR="004241D8">
        <w:rPr>
          <w:rFonts w:cs="Arial"/>
        </w:rPr>
        <w:t xml:space="preserve">sont </w:t>
      </w:r>
      <w:r>
        <w:rPr>
          <w:rFonts w:cs="Arial"/>
        </w:rPr>
        <w:t>menées avec des méthodes analogues de recueil de données auprès d’un échantillon représentatif de la population française (adultes et enfants).</w:t>
      </w:r>
      <w:r w:rsidR="004241D8">
        <w:rPr>
          <w:rFonts w:cs="Arial"/>
        </w:rPr>
        <w:t xml:space="preserve"> </w:t>
      </w:r>
      <w:r w:rsidR="004241D8" w:rsidRPr="004241D8">
        <w:rPr>
          <w:rFonts w:cs="Arial"/>
        </w:rPr>
        <w:t>La vague 201</w:t>
      </w:r>
      <w:r w:rsidR="004241D8">
        <w:rPr>
          <w:rFonts w:cs="Arial"/>
        </w:rPr>
        <w:t>9</w:t>
      </w:r>
      <w:r w:rsidR="004241D8" w:rsidRPr="004241D8">
        <w:rPr>
          <w:rFonts w:cs="Arial"/>
        </w:rPr>
        <w:t xml:space="preserve"> de </w:t>
      </w:r>
      <w:r w:rsidR="004241D8">
        <w:rPr>
          <w:rFonts w:cs="Arial"/>
        </w:rPr>
        <w:t>l’enquête</w:t>
      </w:r>
      <w:r w:rsidR="004241D8" w:rsidRPr="004241D8">
        <w:rPr>
          <w:rFonts w:cs="Arial"/>
        </w:rPr>
        <w:t xml:space="preserve"> s’est déroulée </w:t>
      </w:r>
      <w:r w:rsidR="0010060D">
        <w:rPr>
          <w:rFonts w:cs="Arial"/>
        </w:rPr>
        <w:t xml:space="preserve">sur une période de 10 mois, </w:t>
      </w:r>
      <w:r w:rsidR="004241D8" w:rsidRPr="004241D8">
        <w:rPr>
          <w:rFonts w:cs="Arial"/>
        </w:rPr>
        <w:t>d'octobre 201</w:t>
      </w:r>
      <w:r w:rsidR="004241D8">
        <w:rPr>
          <w:rFonts w:cs="Arial"/>
        </w:rPr>
        <w:t>8</w:t>
      </w:r>
      <w:r w:rsidR="004241D8" w:rsidRPr="004241D8">
        <w:rPr>
          <w:rFonts w:cs="Arial"/>
        </w:rPr>
        <w:t xml:space="preserve"> à </w:t>
      </w:r>
      <w:r w:rsidR="0010060D">
        <w:rPr>
          <w:rFonts w:cs="Arial"/>
        </w:rPr>
        <w:t>août</w:t>
      </w:r>
      <w:r w:rsidR="004241D8" w:rsidRPr="004241D8">
        <w:rPr>
          <w:rFonts w:cs="Arial"/>
        </w:rPr>
        <w:t xml:space="preserve"> 201</w:t>
      </w:r>
      <w:r w:rsidR="004241D8">
        <w:rPr>
          <w:rFonts w:cs="Arial"/>
        </w:rPr>
        <w:t>9</w:t>
      </w:r>
      <w:r w:rsidR="00BA49CA" w:rsidRPr="00BA49CA">
        <w:rPr>
          <w:rFonts w:eastAsiaTheme="minorEastAsia" w:cs="Arial"/>
          <w:color w:val="002060"/>
          <w:sz w:val="28"/>
          <w:szCs w:val="28"/>
          <w:lang w:eastAsia="fr-FR"/>
        </w:rPr>
        <w:t xml:space="preserve"> </w:t>
      </w:r>
      <w:r w:rsidR="00BA49CA" w:rsidRPr="00BA49CA">
        <w:rPr>
          <w:rFonts w:cs="Arial"/>
        </w:rPr>
        <w:t>au travers de 4 vagues (1/4 de l’échantillon interrogé) afin de tenir</w:t>
      </w:r>
      <w:r w:rsidR="00BA49CA">
        <w:rPr>
          <w:rFonts w:cs="Arial"/>
        </w:rPr>
        <w:t xml:space="preserve"> </w:t>
      </w:r>
      <w:r w:rsidR="00BA49CA" w:rsidRPr="00BA49CA">
        <w:rPr>
          <w:rFonts w:cs="Arial"/>
        </w:rPr>
        <w:t xml:space="preserve">compte des effets de saisonnalité. </w:t>
      </w:r>
      <w:r w:rsidR="0010060D">
        <w:rPr>
          <w:rFonts w:cs="Arial"/>
        </w:rPr>
        <w:t>C</w:t>
      </w:r>
      <w:r w:rsidR="00BA49CA">
        <w:rPr>
          <w:rFonts w:cs="Arial"/>
        </w:rPr>
        <w:t>ependant et contrairement</w:t>
      </w:r>
      <w:r w:rsidR="0010060D">
        <w:rPr>
          <w:rFonts w:cs="Arial"/>
        </w:rPr>
        <w:t xml:space="preserve"> aux années précédentes, l’enquête a vu la phase terrain prolongée d’un mois sur la période estivale. Au regard du caractère saisonnier de la consommation de la viande de porc et de la saucisserie, ce point est à souligner.</w:t>
      </w:r>
    </w:p>
    <w:p w14:paraId="60A42000" w14:textId="0DC7F209" w:rsidR="0010060D" w:rsidRPr="004F359E" w:rsidRDefault="0010060D" w:rsidP="00A73BAA">
      <w:pPr>
        <w:rPr>
          <w:rFonts w:cs="Arial"/>
          <w:spacing w:val="-2"/>
        </w:rPr>
      </w:pPr>
      <w:r w:rsidRPr="004F359E">
        <w:rPr>
          <w:rFonts w:cs="Arial"/>
          <w:spacing w:val="-2"/>
        </w:rPr>
        <w:t xml:space="preserve">L’enquête </w:t>
      </w:r>
      <w:r w:rsidR="00F41B10" w:rsidRPr="004F359E">
        <w:rPr>
          <w:rFonts w:cs="Arial"/>
          <w:spacing w:val="-2"/>
        </w:rPr>
        <w:t>inclu</w:t>
      </w:r>
      <w:r w:rsidR="00D83B75">
        <w:rPr>
          <w:rFonts w:cs="Arial"/>
          <w:spacing w:val="-2"/>
        </w:rPr>
        <w:t>t</w:t>
      </w:r>
      <w:r w:rsidR="00F41B10" w:rsidRPr="004F359E">
        <w:rPr>
          <w:rFonts w:cs="Arial"/>
          <w:spacing w:val="-2"/>
        </w:rPr>
        <w:t xml:space="preserve"> un échantillon de </w:t>
      </w:r>
      <w:r w:rsidR="007E7EA7" w:rsidRPr="004F359E">
        <w:rPr>
          <w:rFonts w:cs="Arial"/>
          <w:spacing w:val="-2"/>
        </w:rPr>
        <w:t>1</w:t>
      </w:r>
      <w:r w:rsidR="004F359E" w:rsidRPr="004F359E">
        <w:rPr>
          <w:rFonts w:cs="Arial"/>
          <w:spacing w:val="-2"/>
        </w:rPr>
        <w:t> </w:t>
      </w:r>
      <w:r w:rsidR="007E7EA7" w:rsidRPr="004F359E">
        <w:rPr>
          <w:rFonts w:cs="Arial"/>
          <w:spacing w:val="-2"/>
        </w:rPr>
        <w:t>845</w:t>
      </w:r>
      <w:r w:rsidR="00F41B10" w:rsidRPr="004F359E">
        <w:rPr>
          <w:rFonts w:cs="Arial"/>
          <w:spacing w:val="-2"/>
        </w:rPr>
        <w:t xml:space="preserve"> adultes (</w:t>
      </w:r>
      <w:r w:rsidR="00483214" w:rsidRPr="004F359E">
        <w:rPr>
          <w:rFonts w:cs="Arial"/>
          <w:spacing w:val="-2"/>
        </w:rPr>
        <w:t xml:space="preserve">18 </w:t>
      </w:r>
      <w:r w:rsidR="00F41B10" w:rsidRPr="004F359E">
        <w:rPr>
          <w:rFonts w:cs="Arial"/>
          <w:spacing w:val="-2"/>
        </w:rPr>
        <w:t xml:space="preserve">ans et plus) et </w:t>
      </w:r>
      <w:r w:rsidR="007E7EA7" w:rsidRPr="004F359E">
        <w:rPr>
          <w:rFonts w:cs="Arial"/>
          <w:spacing w:val="-2"/>
        </w:rPr>
        <w:t>1</w:t>
      </w:r>
      <w:r w:rsidR="004F359E" w:rsidRPr="004F359E">
        <w:rPr>
          <w:rFonts w:cs="Arial"/>
          <w:spacing w:val="-2"/>
        </w:rPr>
        <w:t> </w:t>
      </w:r>
      <w:r w:rsidR="007E7EA7" w:rsidRPr="004F359E">
        <w:rPr>
          <w:rFonts w:cs="Arial"/>
          <w:spacing w:val="-2"/>
        </w:rPr>
        <w:t>102</w:t>
      </w:r>
      <w:r w:rsidR="00F41B10" w:rsidRPr="004F359E">
        <w:rPr>
          <w:rFonts w:cs="Arial"/>
          <w:spacing w:val="-2"/>
        </w:rPr>
        <w:t xml:space="preserve"> enfants et adolescents. </w:t>
      </w:r>
      <w:r w:rsidRPr="004F359E">
        <w:rPr>
          <w:rFonts w:cs="Arial"/>
          <w:spacing w:val="-2"/>
        </w:rPr>
        <w:t>Le pourcentage de sous-déclarants de l’enquête 2019 s’élève à 31,9</w:t>
      </w:r>
      <w:r w:rsidR="00790130" w:rsidRPr="004F359E">
        <w:rPr>
          <w:rFonts w:cs="Arial"/>
          <w:spacing w:val="-2"/>
        </w:rPr>
        <w:t> </w:t>
      </w:r>
      <w:r w:rsidRPr="004F359E">
        <w:rPr>
          <w:rFonts w:cs="Arial"/>
          <w:spacing w:val="-2"/>
        </w:rPr>
        <w:t xml:space="preserve">%. Cette sous-population est identifiée grâce à l’équation de Schofield qui admet un rapport entre l'énergie apportée par l'alimentation et le métabolisme de base (qui dépend du sexe, de l'âge, du poids et de la taille) inférieur à 1,05. Ceux-ci </w:t>
      </w:r>
      <w:r w:rsidR="00882459" w:rsidRPr="004F359E">
        <w:rPr>
          <w:rFonts w:cs="Arial"/>
          <w:spacing w:val="-2"/>
        </w:rPr>
        <w:t>ont été exclus des analyses</w:t>
      </w:r>
      <w:r w:rsidRPr="004F359E">
        <w:rPr>
          <w:rFonts w:cs="Arial"/>
          <w:spacing w:val="-2"/>
        </w:rPr>
        <w:t xml:space="preserve"> sans avoir d’impact sur la représentativité de l’échantillon. Par ailleurs, afin d’éviter les effets de grappe, la méthode de recrutement a évolué </w:t>
      </w:r>
      <w:r w:rsidRPr="004F359E">
        <w:rPr>
          <w:rFonts w:cs="Arial"/>
          <w:spacing w:val="-2"/>
        </w:rPr>
        <w:lastRenderedPageBreak/>
        <w:t>passant dans l’enquête 2019, d’un seul individu interrogé par ménage contre tous les individus d’un ménage pour ce qui concerne les enquêtes des années précédentes.</w:t>
      </w:r>
    </w:p>
    <w:p w14:paraId="75D210D8" w14:textId="1078D389" w:rsidR="00882459" w:rsidRDefault="00C25F29" w:rsidP="00A73BAA">
      <w:pPr>
        <w:spacing w:after="0"/>
        <w:rPr>
          <w:rFonts w:cs="Arial"/>
        </w:rPr>
      </w:pPr>
      <w:r>
        <w:rPr>
          <w:rFonts w:cs="Arial"/>
        </w:rPr>
        <w:t>Les apports alimentaires sont évalués à partir d’un carnet alimentaire de 7 jours pour tous les membres des foyers interrogés</w:t>
      </w:r>
      <w:r w:rsidR="00BA49CA">
        <w:rPr>
          <w:rFonts w:cs="Arial"/>
        </w:rPr>
        <w:t xml:space="preserve"> et couvre l’ensemble des </w:t>
      </w:r>
      <w:r w:rsidR="00971C72">
        <w:rPr>
          <w:rFonts w:cs="Arial"/>
        </w:rPr>
        <w:t>pri</w:t>
      </w:r>
      <w:r w:rsidR="00D83B75">
        <w:rPr>
          <w:rFonts w:cs="Arial"/>
        </w:rPr>
        <w:t>ses</w:t>
      </w:r>
      <w:r w:rsidR="00BA49CA">
        <w:rPr>
          <w:rFonts w:cs="Arial"/>
        </w:rPr>
        <w:t xml:space="preserve"> alimentaires</w:t>
      </w:r>
      <w:r w:rsidR="00D83B75">
        <w:rPr>
          <w:rFonts w:cs="Arial"/>
        </w:rPr>
        <w:t>,</w:t>
      </w:r>
      <w:r w:rsidR="00BA49CA">
        <w:rPr>
          <w:rFonts w:cs="Arial"/>
        </w:rPr>
        <w:t xml:space="preserve"> qu’elles s’effectuent</w:t>
      </w:r>
      <w:r w:rsidR="00BA49CA" w:rsidRPr="00BA49CA">
        <w:rPr>
          <w:rFonts w:cs="Arial"/>
        </w:rPr>
        <w:t xml:space="preserve"> à domicile et hors domicile, au cours de tous les repas 3 et entre les repas</w:t>
      </w:r>
      <w:r>
        <w:rPr>
          <w:rFonts w:cs="Arial"/>
        </w:rPr>
        <w:t>. L’évaluation des portions est effectuée à partir du référentiel visuel SUVIMAX.</w:t>
      </w:r>
    </w:p>
    <w:p w14:paraId="442F00B9" w14:textId="3FCB503D" w:rsidR="00C62C21" w:rsidRDefault="00C62C21" w:rsidP="00A73BAA">
      <w:pPr>
        <w:spacing w:after="0"/>
        <w:rPr>
          <w:rFonts w:cs="Arial"/>
        </w:rPr>
      </w:pPr>
      <w:r>
        <w:rPr>
          <w:rFonts w:cs="Arial"/>
        </w:rPr>
        <w:t xml:space="preserve">L’étude suit de manière distincte les catégories de produits suivantes, soient : </w:t>
      </w:r>
    </w:p>
    <w:p w14:paraId="1E301B4A" w14:textId="3A00F402" w:rsidR="00C62C21" w:rsidRDefault="00C62C21" w:rsidP="00F17F16">
      <w:pPr>
        <w:pStyle w:val="Paragraphedeliste"/>
        <w:numPr>
          <w:ilvl w:val="0"/>
          <w:numId w:val="0"/>
        </w:numPr>
        <w:spacing w:before="0"/>
        <w:ind w:left="361" w:firstLine="347"/>
      </w:pPr>
      <w:r w:rsidRPr="00C62C21">
        <w:t xml:space="preserve">Les produits </w:t>
      </w:r>
      <w:r>
        <w:t xml:space="preserve">carnés bruts : </w:t>
      </w:r>
      <w:r>
        <w:tab/>
      </w:r>
    </w:p>
    <w:p w14:paraId="0900E01E" w14:textId="75ED2971" w:rsidR="00C62C21" w:rsidRDefault="00C62C21" w:rsidP="00AA28BC">
      <w:pPr>
        <w:pStyle w:val="Paragraphedeliste"/>
        <w:numPr>
          <w:ilvl w:val="1"/>
          <w:numId w:val="7"/>
        </w:numPr>
        <w:spacing w:after="120"/>
        <w:ind w:left="1077" w:hanging="357"/>
        <w:contextualSpacing w:val="0"/>
      </w:pPr>
      <w:r w:rsidRPr="00C62C21">
        <w:t>Abats</w:t>
      </w:r>
      <w:r>
        <w:t> qui ne proviennent pas d’un plat cuisiné (fait maison ou tout prêt) : f</w:t>
      </w:r>
      <w:r w:rsidRPr="00C62C21">
        <w:t>oie, rognons, cervelle, cœur, gésier, langue</w:t>
      </w:r>
      <w:r w:rsidR="005878BA">
        <w:t>,</w:t>
      </w:r>
    </w:p>
    <w:p w14:paraId="24E213CE" w14:textId="22CD3451" w:rsidR="00C62C21" w:rsidRDefault="00C62C21" w:rsidP="00AA28BC">
      <w:pPr>
        <w:pStyle w:val="Paragraphedeliste"/>
        <w:numPr>
          <w:ilvl w:val="1"/>
          <w:numId w:val="7"/>
        </w:numPr>
        <w:spacing w:after="120"/>
        <w:ind w:left="1077" w:hanging="357"/>
        <w:contextualSpacing w:val="0"/>
      </w:pPr>
      <w:r w:rsidRPr="00C62C21">
        <w:t>Charcuterie</w:t>
      </w:r>
      <w:r w:rsidR="00695755">
        <w:t>s</w:t>
      </w:r>
      <w:r>
        <w:t> : p</w:t>
      </w:r>
      <w:r w:rsidRPr="00C62C21">
        <w:t>âté, saucisson, jambon, boudin, saucisse, andouille, lardons</w:t>
      </w:r>
      <w:r w:rsidR="00E35786">
        <w:t xml:space="preserve"> ; </w:t>
      </w:r>
      <w:r w:rsidR="00695755">
        <w:t>le</w:t>
      </w:r>
      <w:r w:rsidR="00E35786">
        <w:t xml:space="preserve"> retraitement </w:t>
      </w:r>
      <w:r w:rsidR="00695755">
        <w:t xml:space="preserve">ne peut pas être effectué pour scinder </w:t>
      </w:r>
      <w:r w:rsidR="00E35786">
        <w:t xml:space="preserve">la charcuterie de porc de la </w:t>
      </w:r>
      <w:r w:rsidR="00695755">
        <w:t xml:space="preserve">charcuterie </w:t>
      </w:r>
      <w:r w:rsidR="00E35786">
        <w:t>volaille</w:t>
      </w:r>
      <w:r w:rsidR="00695755">
        <w:t xml:space="preserve"> mais un point par famille de produit sera effectué</w:t>
      </w:r>
      <w:r w:rsidR="00483D07">
        <w:t xml:space="preserve"> pour le porc</w:t>
      </w:r>
      <w:r w:rsidR="00E35786">
        <w:t>,</w:t>
      </w:r>
    </w:p>
    <w:p w14:paraId="66BDC764" w14:textId="42FE7675" w:rsidR="00C62C21" w:rsidRDefault="00C62C21" w:rsidP="00AA28BC">
      <w:pPr>
        <w:pStyle w:val="Paragraphedeliste"/>
        <w:numPr>
          <w:ilvl w:val="1"/>
          <w:numId w:val="7"/>
        </w:numPr>
        <w:spacing w:after="120"/>
        <w:ind w:left="1077" w:hanging="357"/>
        <w:contextualSpacing w:val="0"/>
      </w:pPr>
      <w:r w:rsidRPr="00C62C21">
        <w:t>Viande de boucherie</w:t>
      </w:r>
      <w:r>
        <w:t xml:space="preserve"> : toutes </w:t>
      </w:r>
      <w:r w:rsidR="00A73BAA">
        <w:t xml:space="preserve">les </w:t>
      </w:r>
      <w:r>
        <w:t xml:space="preserve">espèces </w:t>
      </w:r>
      <w:r w:rsidR="00882459">
        <w:t xml:space="preserve">dont </w:t>
      </w:r>
      <w:r w:rsidR="00A73BAA">
        <w:t xml:space="preserve">le </w:t>
      </w:r>
      <w:r w:rsidR="00882459">
        <w:t>porc et à l’exclusion de</w:t>
      </w:r>
      <w:r>
        <w:t>s</w:t>
      </w:r>
      <w:r w:rsidRPr="00C62C21">
        <w:t xml:space="preserve"> volailles et </w:t>
      </w:r>
      <w:r w:rsidR="00A73BAA">
        <w:t xml:space="preserve">des </w:t>
      </w:r>
      <w:r w:rsidRPr="00C62C21">
        <w:t>gibiers</w:t>
      </w:r>
      <w:r w:rsidR="00882459">
        <w:t>,</w:t>
      </w:r>
    </w:p>
    <w:p w14:paraId="0EA34409" w14:textId="0CD24D75" w:rsidR="00C62C21" w:rsidRDefault="00C62C21" w:rsidP="00AA28BC">
      <w:pPr>
        <w:pStyle w:val="Paragraphedeliste"/>
        <w:numPr>
          <w:ilvl w:val="1"/>
          <w:numId w:val="7"/>
        </w:numPr>
        <w:spacing w:after="120"/>
        <w:ind w:left="1077" w:hanging="357"/>
      </w:pPr>
      <w:r w:rsidRPr="00C62C21">
        <w:t>Volailles gibiers</w:t>
      </w:r>
      <w:r>
        <w:t> : p</w:t>
      </w:r>
      <w:r w:rsidRPr="00C62C21">
        <w:t>oulet, dinde, lapin, canard, etc.</w:t>
      </w:r>
    </w:p>
    <w:p w14:paraId="7AF24A1B" w14:textId="04789B68" w:rsidR="00C62C21" w:rsidRDefault="00C62C21" w:rsidP="00A73BAA">
      <w:r>
        <w:t xml:space="preserve">Afin d’illustrer la catégorie « produits bruts » : </w:t>
      </w:r>
      <w:r w:rsidRPr="00C62C21">
        <w:t xml:space="preserve">le steak haché, le bifteck, l’escalope de volaille </w:t>
      </w:r>
      <w:r w:rsidR="00A73BAA">
        <w:t xml:space="preserve">et </w:t>
      </w:r>
      <w:r w:rsidRPr="00C62C21">
        <w:t>le jambon blanc</w:t>
      </w:r>
      <w:r>
        <w:t xml:space="preserve"> en font partie.</w:t>
      </w:r>
    </w:p>
    <w:p w14:paraId="3A9DB9CA" w14:textId="27740E22" w:rsidR="00C62C21" w:rsidRPr="004558AC" w:rsidRDefault="00C62C21" w:rsidP="00AA28BC">
      <w:pPr>
        <w:pStyle w:val="Paragraphedeliste"/>
        <w:numPr>
          <w:ilvl w:val="0"/>
          <w:numId w:val="7"/>
        </w:numPr>
        <w:spacing w:before="0" w:after="120"/>
        <w:ind w:left="357" w:hanging="357"/>
        <w:contextualSpacing w:val="0"/>
        <w:rPr>
          <w:iCs/>
        </w:rPr>
      </w:pPr>
      <w:r>
        <w:t xml:space="preserve">Les </w:t>
      </w:r>
      <w:r w:rsidRPr="00C62C21">
        <w:t>plats contenant des produits carnés (plus de 50</w:t>
      </w:r>
      <w:r w:rsidR="00790130">
        <w:t> </w:t>
      </w:r>
      <w:r w:rsidRPr="00C62C21">
        <w:t>% dans la recette)</w:t>
      </w:r>
      <w:r>
        <w:t xml:space="preserve"> tels que </w:t>
      </w:r>
      <w:r w:rsidRPr="00C62C21">
        <w:rPr>
          <w:iCs/>
        </w:rPr>
        <w:t>l</w:t>
      </w:r>
      <w:r w:rsidR="004558AC">
        <w:rPr>
          <w:iCs/>
        </w:rPr>
        <w:t>a choucroute</w:t>
      </w:r>
      <w:r w:rsidRPr="00C62C21">
        <w:rPr>
          <w:iCs/>
        </w:rPr>
        <w:t>,</w:t>
      </w:r>
      <w:r w:rsidR="004558AC">
        <w:rPr>
          <w:iCs/>
        </w:rPr>
        <w:t xml:space="preserve"> le sauté de porc, les raviolis de porc, la palette de porc à la diable, le porc au caramel</w:t>
      </w:r>
      <w:r w:rsidR="00A73BAA">
        <w:rPr>
          <w:iCs/>
        </w:rPr>
        <w:t xml:space="preserve"> et</w:t>
      </w:r>
      <w:r w:rsidR="004558AC">
        <w:rPr>
          <w:iCs/>
        </w:rPr>
        <w:t xml:space="preserve"> le cassoulet </w:t>
      </w:r>
      <w:r w:rsidRPr="004558AC">
        <w:rPr>
          <w:iCs/>
        </w:rPr>
        <w:t>sont des plats contenant plus de 50</w:t>
      </w:r>
      <w:r w:rsidR="00EB74F8">
        <w:rPr>
          <w:iCs/>
        </w:rPr>
        <w:t> </w:t>
      </w:r>
      <w:r w:rsidRPr="004558AC">
        <w:rPr>
          <w:iCs/>
        </w:rPr>
        <w:t>% de produits carnés dans la recette,</w:t>
      </w:r>
    </w:p>
    <w:p w14:paraId="1F9D05C0" w14:textId="6078845A" w:rsidR="00C62C21" w:rsidRPr="00C62C21" w:rsidRDefault="00C62C21" w:rsidP="00AA28BC">
      <w:pPr>
        <w:pStyle w:val="Paragraphedeliste"/>
        <w:numPr>
          <w:ilvl w:val="0"/>
          <w:numId w:val="7"/>
        </w:numPr>
        <w:spacing w:after="120"/>
        <w:ind w:left="357" w:hanging="357"/>
        <w:contextualSpacing w:val="0"/>
      </w:pPr>
      <w:r>
        <w:t>Les p</w:t>
      </w:r>
      <w:r w:rsidRPr="00C62C21">
        <w:t>lats contenant des produits carnés « ingrédients »</w:t>
      </w:r>
      <w:r w:rsidRPr="00C62C21">
        <w:rPr>
          <w:iCs/>
        </w:rPr>
        <w:t xml:space="preserve"> (en contenant moins de 50</w:t>
      </w:r>
      <w:r w:rsidR="00790130">
        <w:rPr>
          <w:iCs/>
        </w:rPr>
        <w:t> </w:t>
      </w:r>
      <w:r w:rsidRPr="00C62C21">
        <w:rPr>
          <w:iCs/>
        </w:rPr>
        <w:t>% dans la recette)</w:t>
      </w:r>
      <w:r w:rsidR="004558AC">
        <w:rPr>
          <w:iCs/>
        </w:rPr>
        <w:t xml:space="preserve"> tels que</w:t>
      </w:r>
      <w:r w:rsidRPr="00C62C21">
        <w:rPr>
          <w:iCs/>
        </w:rPr>
        <w:t xml:space="preserve"> la courgette farcie, le croque-monsieur, la crêpe au jambon, la pizza au jambon, les pâtes à la carbonara, les quiches (contenant des lardons), le sandwich jambon</w:t>
      </w:r>
      <w:r>
        <w:rPr>
          <w:iCs/>
        </w:rPr>
        <w:t xml:space="preserve"> </w:t>
      </w:r>
      <w:r w:rsidRPr="00C62C21">
        <w:rPr>
          <w:iCs/>
        </w:rPr>
        <w:t>beurre…sont des plats contenant un produit carné « ingrédient »</w:t>
      </w:r>
      <w:r w:rsidR="0010060D">
        <w:rPr>
          <w:iCs/>
        </w:rPr>
        <w:t xml:space="preserve">. </w:t>
      </w:r>
    </w:p>
    <w:p w14:paraId="6E101EA2" w14:textId="147AE17D" w:rsidR="00471CC5" w:rsidRDefault="00882459" w:rsidP="00A73BAA">
      <w:pPr>
        <w:rPr>
          <w:lang w:eastAsia="ar-SA"/>
        </w:rPr>
      </w:pPr>
      <w:r w:rsidRPr="00882459">
        <w:rPr>
          <w:lang w:eastAsia="ar-SA"/>
        </w:rPr>
        <w:t xml:space="preserve">Le détail </w:t>
      </w:r>
      <w:r w:rsidR="00DD7CC9">
        <w:rPr>
          <w:lang w:eastAsia="ar-SA"/>
        </w:rPr>
        <w:t xml:space="preserve">des principaux produits déclarés </w:t>
      </w:r>
      <w:r w:rsidR="000C0584">
        <w:rPr>
          <w:lang w:eastAsia="ar-SA"/>
        </w:rPr>
        <w:t xml:space="preserve">par ordre d’occurrence </w:t>
      </w:r>
      <w:r w:rsidR="00DD7CC9">
        <w:rPr>
          <w:lang w:eastAsia="ar-SA"/>
        </w:rPr>
        <w:t>par les individus enquêtés p</w:t>
      </w:r>
      <w:r w:rsidR="000C0584">
        <w:rPr>
          <w:lang w:eastAsia="ar-SA"/>
        </w:rPr>
        <w:t xml:space="preserve">our </w:t>
      </w:r>
      <w:r w:rsidR="00DD7CC9">
        <w:rPr>
          <w:lang w:eastAsia="ar-SA"/>
        </w:rPr>
        <w:t xml:space="preserve">l’espèce porc </w:t>
      </w:r>
      <w:r w:rsidR="000C0584">
        <w:rPr>
          <w:lang w:eastAsia="ar-SA"/>
        </w:rPr>
        <w:t>tel que</w:t>
      </w:r>
      <w:r w:rsidR="00DD7CC9">
        <w:rPr>
          <w:lang w:eastAsia="ar-SA"/>
        </w:rPr>
        <w:t xml:space="preserve"> </w:t>
      </w:r>
      <w:r w:rsidRPr="00882459">
        <w:rPr>
          <w:lang w:eastAsia="ar-SA"/>
        </w:rPr>
        <w:t>communiqué par le Credoc</w:t>
      </w:r>
      <w:r w:rsidR="00DD7CC9">
        <w:rPr>
          <w:lang w:eastAsia="ar-SA"/>
        </w:rPr>
        <w:t>,</w:t>
      </w:r>
      <w:r w:rsidRPr="00882459">
        <w:rPr>
          <w:lang w:eastAsia="ar-SA"/>
        </w:rPr>
        <w:t xml:space="preserve"> figure en Annexe 3. </w:t>
      </w:r>
      <w:r w:rsidR="006E0144">
        <w:rPr>
          <w:lang w:eastAsia="ar-SA"/>
        </w:rPr>
        <w:t>L</w:t>
      </w:r>
      <w:r w:rsidR="000C0584">
        <w:rPr>
          <w:lang w:eastAsia="ar-SA"/>
        </w:rPr>
        <w:t>es grammages consommés en viande de porc et de charcuterie sont consolidés à partir de la</w:t>
      </w:r>
      <w:r w:rsidR="006E0144">
        <w:rPr>
          <w:lang w:eastAsia="ar-SA"/>
        </w:rPr>
        <w:t xml:space="preserve"> distribution de la proportion de viande dans les produits carnés par grande catégorie </w:t>
      </w:r>
      <w:r w:rsidR="000C0584">
        <w:rPr>
          <w:lang w:eastAsia="ar-SA"/>
        </w:rPr>
        <w:t>(</w:t>
      </w:r>
      <w:r w:rsidR="006E0144">
        <w:rPr>
          <w:lang w:eastAsia="ar-SA"/>
        </w:rPr>
        <w:t>Annexe 4</w:t>
      </w:r>
      <w:r w:rsidR="000C0584">
        <w:rPr>
          <w:lang w:eastAsia="ar-SA"/>
        </w:rPr>
        <w:t>)</w:t>
      </w:r>
      <w:r w:rsidR="006E0144">
        <w:rPr>
          <w:lang w:eastAsia="ar-SA"/>
        </w:rPr>
        <w:t>.</w:t>
      </w:r>
    </w:p>
    <w:tbl>
      <w:tblPr>
        <w:tblW w:w="7938" w:type="dxa"/>
        <w:jc w:val="center"/>
        <w:tblCellMar>
          <w:left w:w="70" w:type="dxa"/>
          <w:right w:w="70" w:type="dxa"/>
        </w:tblCellMar>
        <w:tblLook w:val="04A0" w:firstRow="1" w:lastRow="0" w:firstColumn="1" w:lastColumn="0" w:noHBand="0" w:noVBand="1"/>
      </w:tblPr>
      <w:tblGrid>
        <w:gridCol w:w="4253"/>
        <w:gridCol w:w="3685"/>
      </w:tblGrid>
      <w:tr w:rsidR="00471CC5" w:rsidRPr="009920CF" w14:paraId="5F98C5AC" w14:textId="77777777" w:rsidTr="00EE2A71">
        <w:trPr>
          <w:trHeight w:val="300"/>
          <w:jc w:val="center"/>
        </w:trPr>
        <w:tc>
          <w:tcPr>
            <w:tcW w:w="42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0A317"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 Domicile</w:t>
            </w:r>
          </w:p>
        </w:tc>
        <w:tc>
          <w:tcPr>
            <w:tcW w:w="3685" w:type="dxa"/>
            <w:tcBorders>
              <w:top w:val="single" w:sz="4" w:space="0" w:color="auto"/>
              <w:left w:val="nil"/>
              <w:bottom w:val="single" w:sz="4" w:space="0" w:color="auto"/>
              <w:right w:val="single" w:sz="4" w:space="0" w:color="auto"/>
            </w:tcBorders>
            <w:shd w:val="clear" w:color="auto" w:fill="auto"/>
            <w:vAlign w:val="center"/>
            <w:hideMark/>
          </w:tcPr>
          <w:p w14:paraId="355D83DF"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Hors Domicile</w:t>
            </w:r>
          </w:p>
        </w:tc>
      </w:tr>
      <w:tr w:rsidR="00471CC5" w:rsidRPr="009920CF" w14:paraId="3C5D1AD8" w14:textId="77777777" w:rsidTr="00EE2A71">
        <w:trPr>
          <w:trHeight w:val="390"/>
          <w:jc w:val="center"/>
        </w:trPr>
        <w:tc>
          <w:tcPr>
            <w:tcW w:w="425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2E43227"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Chez vous</w:t>
            </w:r>
          </w:p>
        </w:tc>
        <w:tc>
          <w:tcPr>
            <w:tcW w:w="36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764AD68"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 la cantine, au restaurant d'entreprise</w:t>
            </w:r>
          </w:p>
        </w:tc>
      </w:tr>
      <w:tr w:rsidR="00471CC5" w:rsidRPr="009920CF" w14:paraId="054C8E11" w14:textId="77777777" w:rsidTr="00EE2A71">
        <w:trPr>
          <w:trHeight w:val="315"/>
          <w:jc w:val="center"/>
        </w:trPr>
        <w:tc>
          <w:tcPr>
            <w:tcW w:w="4253" w:type="dxa"/>
            <w:tcBorders>
              <w:top w:val="nil"/>
              <w:left w:val="single" w:sz="4" w:space="0" w:color="auto"/>
              <w:bottom w:val="single" w:sz="4" w:space="0" w:color="auto"/>
              <w:right w:val="single" w:sz="4" w:space="0" w:color="auto"/>
            </w:tcBorders>
            <w:shd w:val="clear" w:color="auto" w:fill="auto"/>
            <w:vAlign w:val="center"/>
            <w:hideMark/>
          </w:tcPr>
          <w:p w14:paraId="5ADB9372"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Chez des amis</w:t>
            </w:r>
          </w:p>
        </w:tc>
        <w:tc>
          <w:tcPr>
            <w:tcW w:w="3685" w:type="dxa"/>
            <w:tcBorders>
              <w:top w:val="nil"/>
              <w:left w:val="nil"/>
              <w:bottom w:val="single" w:sz="4" w:space="0" w:color="auto"/>
              <w:right w:val="single" w:sz="4" w:space="0" w:color="auto"/>
            </w:tcBorders>
            <w:shd w:val="clear" w:color="auto" w:fill="auto"/>
            <w:vAlign w:val="center"/>
            <w:hideMark/>
          </w:tcPr>
          <w:p w14:paraId="34B455CE"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Au fast food, à la sandwicherie</w:t>
            </w:r>
          </w:p>
        </w:tc>
      </w:tr>
      <w:tr w:rsidR="00471CC5" w:rsidRPr="009920CF" w14:paraId="0F1DD48E" w14:textId="77777777" w:rsidTr="00EE2A71">
        <w:trPr>
          <w:trHeight w:val="318"/>
          <w:jc w:val="center"/>
        </w:trPr>
        <w:tc>
          <w:tcPr>
            <w:tcW w:w="425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4F2C790"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 xml:space="preserve">Sur le lieu de travail ou à l'école (hors cantine) </w:t>
            </w:r>
          </w:p>
        </w:tc>
        <w:tc>
          <w:tcPr>
            <w:tcW w:w="36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0DED1A7"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Au restaurant, à la cafétéria</w:t>
            </w:r>
          </w:p>
        </w:tc>
      </w:tr>
      <w:tr w:rsidR="00471CC5" w:rsidRPr="009920CF" w14:paraId="1A7B4234" w14:textId="77777777" w:rsidTr="00EE2A71">
        <w:trPr>
          <w:trHeight w:val="315"/>
          <w:jc w:val="center"/>
        </w:trPr>
        <w:tc>
          <w:tcPr>
            <w:tcW w:w="4253" w:type="dxa"/>
            <w:tcBorders>
              <w:top w:val="nil"/>
              <w:left w:val="single" w:sz="4" w:space="0" w:color="auto"/>
              <w:bottom w:val="single" w:sz="4" w:space="0" w:color="auto"/>
              <w:right w:val="single" w:sz="4" w:space="0" w:color="auto"/>
            </w:tcBorders>
            <w:shd w:val="clear" w:color="auto" w:fill="auto"/>
            <w:vAlign w:val="center"/>
            <w:hideMark/>
          </w:tcPr>
          <w:p w14:paraId="066FF9BF"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 </w:t>
            </w:r>
          </w:p>
        </w:tc>
        <w:tc>
          <w:tcPr>
            <w:tcW w:w="3685" w:type="dxa"/>
            <w:tcBorders>
              <w:top w:val="nil"/>
              <w:left w:val="nil"/>
              <w:bottom w:val="single" w:sz="4" w:space="0" w:color="auto"/>
              <w:right w:val="single" w:sz="4" w:space="0" w:color="auto"/>
            </w:tcBorders>
            <w:shd w:val="clear" w:color="auto" w:fill="auto"/>
            <w:vAlign w:val="center"/>
            <w:hideMark/>
          </w:tcPr>
          <w:p w14:paraId="10CCC3AB"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Au café-bistrot</w:t>
            </w:r>
          </w:p>
        </w:tc>
      </w:tr>
      <w:tr w:rsidR="00471CC5" w:rsidRPr="009920CF" w14:paraId="6ADE4875" w14:textId="77777777" w:rsidTr="00EE2A71">
        <w:trPr>
          <w:trHeight w:val="300"/>
          <w:jc w:val="center"/>
        </w:trPr>
        <w:tc>
          <w:tcPr>
            <w:tcW w:w="425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5A77885"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 </w:t>
            </w:r>
          </w:p>
        </w:tc>
        <w:tc>
          <w:tcPr>
            <w:tcW w:w="368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4C73F91"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Dans les transports</w:t>
            </w:r>
          </w:p>
        </w:tc>
      </w:tr>
      <w:tr w:rsidR="00471CC5" w:rsidRPr="009920CF" w14:paraId="5481B1A8" w14:textId="77777777" w:rsidTr="00EE2A71">
        <w:trPr>
          <w:trHeight w:val="300"/>
          <w:jc w:val="center"/>
        </w:trPr>
        <w:tc>
          <w:tcPr>
            <w:tcW w:w="4253" w:type="dxa"/>
            <w:tcBorders>
              <w:top w:val="nil"/>
              <w:left w:val="single" w:sz="4" w:space="0" w:color="auto"/>
              <w:bottom w:val="single" w:sz="4" w:space="0" w:color="auto"/>
              <w:right w:val="single" w:sz="4" w:space="0" w:color="auto"/>
            </w:tcBorders>
            <w:shd w:val="clear" w:color="auto" w:fill="auto"/>
            <w:vAlign w:val="center"/>
            <w:hideMark/>
          </w:tcPr>
          <w:p w14:paraId="6C8EA5D7"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 </w:t>
            </w:r>
          </w:p>
        </w:tc>
        <w:tc>
          <w:tcPr>
            <w:tcW w:w="3685" w:type="dxa"/>
            <w:tcBorders>
              <w:top w:val="nil"/>
              <w:left w:val="nil"/>
              <w:bottom w:val="single" w:sz="4" w:space="0" w:color="auto"/>
              <w:right w:val="single" w:sz="4" w:space="0" w:color="auto"/>
            </w:tcBorders>
            <w:shd w:val="clear" w:color="auto" w:fill="auto"/>
            <w:vAlign w:val="center"/>
            <w:hideMark/>
          </w:tcPr>
          <w:p w14:paraId="377D1454" w14:textId="77777777" w:rsidR="00471CC5" w:rsidRPr="009920CF" w:rsidRDefault="00471CC5" w:rsidP="00EE2A71">
            <w:pPr>
              <w:keepNext/>
              <w:spacing w:after="0" w:line="240" w:lineRule="auto"/>
              <w:jc w:val="center"/>
              <w:rPr>
                <w:rFonts w:eastAsia="Times New Roman" w:cs="Arial"/>
                <w:color w:val="000000"/>
                <w:sz w:val="20"/>
                <w:szCs w:val="20"/>
                <w:lang w:eastAsia="fr-FR"/>
              </w:rPr>
            </w:pPr>
            <w:r w:rsidRPr="009920CF">
              <w:rPr>
                <w:rFonts w:eastAsia="Times New Roman" w:cs="Arial"/>
                <w:color w:val="000000"/>
                <w:sz w:val="20"/>
                <w:szCs w:val="20"/>
                <w:lang w:eastAsia="fr-FR"/>
              </w:rPr>
              <w:t>Dans la rue, aire d'autoroute</w:t>
            </w:r>
          </w:p>
        </w:tc>
      </w:tr>
    </w:tbl>
    <w:p w14:paraId="39442920" w14:textId="77777777" w:rsidR="00A73BAA" w:rsidRDefault="00695391" w:rsidP="00A73BAA">
      <w:pPr>
        <w:pStyle w:val="figure"/>
        <w:spacing w:before="0"/>
        <w:rPr>
          <w:rStyle w:val="figureCar"/>
          <w:b/>
          <w:bCs/>
          <w:iCs/>
        </w:rPr>
      </w:pPr>
      <w:bookmarkStart w:id="112" w:name="_Toc72143372"/>
      <w:r w:rsidRPr="005267CA">
        <w:rPr>
          <w:rStyle w:val="figureCar"/>
          <w:b/>
          <w:bCs/>
          <w:iCs/>
        </w:rPr>
        <w:t>Tableau</w:t>
      </w:r>
      <w:r w:rsidR="007F3E26" w:rsidRPr="005267CA">
        <w:rPr>
          <w:rStyle w:val="figureCar"/>
          <w:b/>
          <w:bCs/>
          <w:iCs/>
        </w:rPr>
        <w:t xml:space="preserve"> </w:t>
      </w:r>
      <w:r w:rsidRPr="005267CA">
        <w:rPr>
          <w:rStyle w:val="figureCar"/>
          <w:b/>
          <w:bCs/>
          <w:iCs/>
        </w:rPr>
        <w:fldChar w:fldCharType="begin"/>
      </w:r>
      <w:r w:rsidRPr="005267CA">
        <w:rPr>
          <w:rStyle w:val="figureCar"/>
          <w:b/>
          <w:bCs/>
          <w:iCs/>
        </w:rPr>
        <w:instrText xml:space="preserve"> SEQ Tableau \* ARABIC </w:instrText>
      </w:r>
      <w:r w:rsidRPr="005267CA">
        <w:rPr>
          <w:rStyle w:val="figureCar"/>
          <w:b/>
          <w:bCs/>
          <w:iCs/>
        </w:rPr>
        <w:fldChar w:fldCharType="separate"/>
      </w:r>
      <w:r w:rsidR="0007597F">
        <w:rPr>
          <w:rStyle w:val="figureCar"/>
          <w:b/>
          <w:bCs/>
          <w:iCs/>
          <w:noProof/>
        </w:rPr>
        <w:t>24</w:t>
      </w:r>
      <w:r w:rsidRPr="005267CA">
        <w:rPr>
          <w:rStyle w:val="figureCar"/>
          <w:b/>
          <w:bCs/>
          <w:iCs/>
        </w:rPr>
        <w:fldChar w:fldCharType="end"/>
      </w:r>
      <w:r w:rsidR="002E750F">
        <w:rPr>
          <w:rStyle w:val="figureCar"/>
          <w:b/>
          <w:bCs/>
          <w:iCs/>
        </w:rPr>
        <w:t xml:space="preserve"> </w:t>
      </w:r>
      <w:r w:rsidR="007F3E26" w:rsidRPr="005267CA">
        <w:rPr>
          <w:rStyle w:val="figureCar"/>
          <w:b/>
          <w:bCs/>
          <w:iCs/>
        </w:rPr>
        <w:t xml:space="preserve">: </w:t>
      </w:r>
      <w:r w:rsidR="00471CC5" w:rsidRPr="005267CA">
        <w:rPr>
          <w:rStyle w:val="figureCar"/>
          <w:b/>
          <w:bCs/>
          <w:iCs/>
        </w:rPr>
        <w:t xml:space="preserve">Ventilation des prises de repas entre </w:t>
      </w:r>
      <w:r w:rsidR="00A73BAA">
        <w:rPr>
          <w:rStyle w:val="figureCar"/>
          <w:b/>
          <w:bCs/>
          <w:iCs/>
        </w:rPr>
        <w:t xml:space="preserve">les consommations </w:t>
      </w:r>
    </w:p>
    <w:p w14:paraId="480CA051" w14:textId="7760D279" w:rsidR="005267CA" w:rsidRPr="005267CA" w:rsidRDefault="00471CC5" w:rsidP="00A73BAA">
      <w:pPr>
        <w:pStyle w:val="figure"/>
        <w:spacing w:before="0"/>
      </w:pPr>
      <w:r w:rsidRPr="005267CA">
        <w:rPr>
          <w:rStyle w:val="figureCar"/>
          <w:b/>
          <w:bCs/>
          <w:iCs/>
        </w:rPr>
        <w:t>à domicile et hors domicile</w:t>
      </w:r>
      <w:bookmarkEnd w:id="112"/>
    </w:p>
    <w:p w14:paraId="4B80E867" w14:textId="58775C59" w:rsidR="00471CC5" w:rsidRDefault="00471CC5" w:rsidP="00EE2A71">
      <w:pPr>
        <w:pStyle w:val="Lgende"/>
      </w:pPr>
      <w:r w:rsidRPr="005267CA">
        <w:t>(</w:t>
      </w:r>
      <w:r w:rsidR="00DB1330" w:rsidRPr="005267CA">
        <w:t>Source</w:t>
      </w:r>
      <w:r w:rsidRPr="005267CA">
        <w:t> : Credoc, 2020).</w:t>
      </w:r>
    </w:p>
    <w:p w14:paraId="761EADDA" w14:textId="49292810" w:rsidR="00A73BAA" w:rsidRPr="00A73BAA" w:rsidRDefault="00A73BAA" w:rsidP="00A73BAA">
      <w:pPr>
        <w:rPr>
          <w:lang w:eastAsia="fr-FR"/>
        </w:rPr>
      </w:pPr>
      <w:r>
        <w:rPr>
          <w:lang w:eastAsia="ar-SA"/>
        </w:rPr>
        <w:t>Concernant les lieux de consommation, l’enquête scinde les circuits entre le à domicile et le hors domicile en tenant compte de la pratique de plus en plus répandue de la gamelle préparée à la maison et consommée à l’extérieur en particulier sur le lieu de travail.</w:t>
      </w:r>
    </w:p>
    <w:p w14:paraId="7807FE29" w14:textId="193C8DFC" w:rsidR="0070169D" w:rsidRPr="00A73BAA" w:rsidRDefault="0070169D" w:rsidP="0070169D">
      <w:pPr>
        <w:pStyle w:val="Titre3"/>
        <w:rPr>
          <w:color w:val="000000" w:themeColor="text1"/>
        </w:rPr>
      </w:pPr>
      <w:bookmarkStart w:id="113" w:name="_Toc78131579"/>
      <w:r w:rsidRPr="00A73BAA">
        <w:rPr>
          <w:color w:val="000000" w:themeColor="text1"/>
        </w:rPr>
        <w:lastRenderedPageBreak/>
        <w:t>3.3.2. Résultats de l’enquête</w:t>
      </w:r>
      <w:r w:rsidR="00B45D2D" w:rsidRPr="00A73BAA">
        <w:rPr>
          <w:color w:val="000000" w:themeColor="text1"/>
        </w:rPr>
        <w:t> :</w:t>
      </w:r>
      <w:bookmarkEnd w:id="113"/>
      <w:r w:rsidR="00B45D2D" w:rsidRPr="00A73BAA">
        <w:rPr>
          <w:color w:val="000000" w:themeColor="text1"/>
        </w:rPr>
        <w:t xml:space="preserve"> </w:t>
      </w:r>
    </w:p>
    <w:p w14:paraId="429EE7B5" w14:textId="59E43C2A" w:rsidR="000C0584" w:rsidRDefault="000C0584" w:rsidP="007F3E26">
      <w:r>
        <w:t xml:space="preserve">Les indicateurs que sont le taux de consommateurs et les quantités consommées </w:t>
      </w:r>
      <w:r w:rsidR="00146C8C">
        <w:t xml:space="preserve">journalières </w:t>
      </w:r>
      <w:r>
        <w:t xml:space="preserve">seront étudiés pour chacune des catégories produits (viande de porc, saucisserie, charcuterie et plats préparés) en analysant de manière différentiée les enfants et les adultes. Au-delà des moyennes, un focus sera </w:t>
      </w:r>
      <w:r w:rsidR="00807E3C">
        <w:t>réalisé pour caractériser les</w:t>
      </w:r>
      <w:r>
        <w:t xml:space="preserve"> gros mangeurs des petits mangeurs prenant </w:t>
      </w:r>
      <w:r w:rsidR="00807E3C">
        <w:t>compte tenu de l’importance croissante du flexitarisme pour les produits du porc</w:t>
      </w:r>
      <w:r>
        <w:t>. Sur le plan de la distribution, une lecture de la dispersion de la consommation par circuit entre l</w:t>
      </w:r>
      <w:r w:rsidR="00807E3C">
        <w:t xml:space="preserve">a consommation </w:t>
      </w:r>
      <w:r>
        <w:t xml:space="preserve">à domicile et </w:t>
      </w:r>
      <w:r w:rsidR="00807E3C">
        <w:t xml:space="preserve">celle </w:t>
      </w:r>
      <w:r>
        <w:t>hors domicile sera effectué</w:t>
      </w:r>
      <w:r w:rsidR="00CB2868">
        <w:t>e</w:t>
      </w:r>
      <w:r>
        <w:t>.</w:t>
      </w:r>
      <w:r w:rsidR="00F86B51">
        <w:t xml:space="preserve"> Les enquêtes CCAF des années 2010, 2013 et 2016 feront également l’objet de l’étude au titre du suivi des évolutions du marché, tenant compte par ailleurs de résultats relativement atypiques pour ce qui concerne l’année 2019. Ceux-ci feront l’objet d’une analyse plus précise dans le paragraphe consacré aux limites de l’</w:t>
      </w:r>
      <w:r w:rsidR="00B80F10">
        <w:t>enquête CCAF</w:t>
      </w:r>
      <w:r w:rsidR="00F86B51">
        <w:t>.</w:t>
      </w:r>
    </w:p>
    <w:p w14:paraId="66CE2B7D" w14:textId="2044E730" w:rsidR="000C0584" w:rsidRDefault="000C0584" w:rsidP="007F3E26">
      <w:pPr>
        <w:pStyle w:val="Titre4"/>
      </w:pPr>
      <w:bookmarkStart w:id="114" w:name="_Toc78131580"/>
      <w:r>
        <w:t>3</w:t>
      </w:r>
      <w:r w:rsidRPr="00D00A7D">
        <w:t>.</w:t>
      </w:r>
      <w:r>
        <w:t>3</w:t>
      </w:r>
      <w:r w:rsidRPr="00D00A7D">
        <w:t>.</w:t>
      </w:r>
      <w:r>
        <w:t>2</w:t>
      </w:r>
      <w:r w:rsidRPr="00D00A7D">
        <w:t>.</w:t>
      </w:r>
      <w:r>
        <w:t>1</w:t>
      </w:r>
      <w:r w:rsidRPr="00D00A7D">
        <w:t xml:space="preserve">. </w:t>
      </w:r>
      <w:r>
        <w:t>Consommation de viande de porc</w:t>
      </w:r>
      <w:bookmarkEnd w:id="114"/>
    </w:p>
    <w:p w14:paraId="17BDC2EF" w14:textId="4847BDF4" w:rsidR="006D67B2" w:rsidRDefault="000F7E3A" w:rsidP="007F3E26">
      <w:r w:rsidRPr="000F7E3A">
        <w:t xml:space="preserve">Entre </w:t>
      </w:r>
      <w:r>
        <w:t xml:space="preserve">2010 et 2019, la baisse de consommation de viande toutes espèces confondues </w:t>
      </w:r>
      <w:r w:rsidR="00146C8C">
        <w:t xml:space="preserve">chez les enfants est de </w:t>
      </w:r>
      <w:r w:rsidR="00F86B51">
        <w:t>12,7</w:t>
      </w:r>
      <w:r w:rsidR="007F3E26">
        <w:t> </w:t>
      </w:r>
      <w:r w:rsidR="00F86B51">
        <w:t>%, passant de 50,9</w:t>
      </w:r>
      <w:r w:rsidR="007F3E26">
        <w:t> </w:t>
      </w:r>
      <w:r w:rsidR="00F86B51">
        <w:t>g/jour à 44,4</w:t>
      </w:r>
      <w:r w:rsidR="007F3E26">
        <w:t> </w:t>
      </w:r>
      <w:r w:rsidR="00F86B51">
        <w:t>g/jour</w:t>
      </w:r>
      <w:r w:rsidR="0041071F">
        <w:t>, majoritairement sous la forme de produits bruts</w:t>
      </w:r>
      <w:r w:rsidR="00F86B51">
        <w:t xml:space="preserve">. </w:t>
      </w:r>
      <w:r w:rsidR="009C3CBA">
        <w:t xml:space="preserve">La part de consommateurs se maintient avec un taux de consommateurs qui résiste plutôt bien puisque la part de </w:t>
      </w:r>
      <w:r w:rsidR="00EB74F8">
        <w:t>non-consommateurs</w:t>
      </w:r>
      <w:r w:rsidR="009C3CBA">
        <w:t xml:space="preserve"> est d</w:t>
      </w:r>
      <w:r w:rsidR="00222976">
        <w:t xml:space="preserve">’environ </w:t>
      </w:r>
      <w:r w:rsidR="009C3CBA">
        <w:t>4</w:t>
      </w:r>
      <w:r w:rsidR="007F3E26">
        <w:t> </w:t>
      </w:r>
      <w:r w:rsidR="009C3CBA">
        <w:t>% en 2013 contre 5,4</w:t>
      </w:r>
      <w:r w:rsidR="007F3E26">
        <w:t> </w:t>
      </w:r>
      <w:r w:rsidR="009C3CBA">
        <w:t>% en 2019, soit +</w:t>
      </w:r>
      <w:r w:rsidR="007F3E26">
        <w:t> </w:t>
      </w:r>
      <w:r w:rsidR="009C3CBA">
        <w:t>1,4</w:t>
      </w:r>
      <w:r w:rsidR="007F3E26">
        <w:t> </w:t>
      </w:r>
      <w:r w:rsidR="009C3CBA">
        <w:t>% en 6 ans. L</w:t>
      </w:r>
      <w:r w:rsidR="00F86B51">
        <w:t>e</w:t>
      </w:r>
      <w:r w:rsidR="009C3CBA">
        <w:t xml:space="preserve"> recul</w:t>
      </w:r>
      <w:r w:rsidR="00F86B51">
        <w:t xml:space="preserve"> </w:t>
      </w:r>
      <w:r w:rsidR="009C3CBA">
        <w:t xml:space="preserve">en grammage </w:t>
      </w:r>
      <w:r w:rsidR="00F86B51">
        <w:t>est porté par la viande de bœuf (-</w:t>
      </w:r>
      <w:r w:rsidR="007F3E26">
        <w:t> </w:t>
      </w:r>
      <w:r w:rsidR="00F86B51">
        <w:t>12,9</w:t>
      </w:r>
      <w:r w:rsidR="007F3E26">
        <w:t> </w:t>
      </w:r>
      <w:r w:rsidR="00F86B51">
        <w:t xml:space="preserve">%) </w:t>
      </w:r>
      <w:r w:rsidR="00B70073">
        <w:t xml:space="preserve">19/10 </w:t>
      </w:r>
      <w:r w:rsidR="00F86B51">
        <w:t xml:space="preserve">alors que le porc verrait sa consommation </w:t>
      </w:r>
      <w:r w:rsidR="00B80F10">
        <w:t>cro</w:t>
      </w:r>
      <w:r w:rsidR="00B70073">
        <w:t>î</w:t>
      </w:r>
      <w:r w:rsidR="00B80F10">
        <w:t>tre de 10,5</w:t>
      </w:r>
      <w:r w:rsidR="007F3E26">
        <w:t> </w:t>
      </w:r>
      <w:r w:rsidR="00B80F10">
        <w:t xml:space="preserve">% </w:t>
      </w:r>
      <w:r w:rsidR="000805FF">
        <w:t xml:space="preserve">19/10 </w:t>
      </w:r>
      <w:r w:rsidR="00B80F10">
        <w:t>avec en 2019</w:t>
      </w:r>
      <w:r w:rsidR="00B70073">
        <w:t>,</w:t>
      </w:r>
      <w:r w:rsidR="00B80F10">
        <w:t xml:space="preserve"> 7,4</w:t>
      </w:r>
      <w:r w:rsidR="007F3E26">
        <w:t> </w:t>
      </w:r>
      <w:r w:rsidR="00B80F10">
        <w:t>g consommés en moyenne par jour soit 51,8</w:t>
      </w:r>
      <w:r w:rsidR="007F3E26">
        <w:t> </w:t>
      </w:r>
      <w:r w:rsidR="00B80F10">
        <w:t>g par semaine et 17</w:t>
      </w:r>
      <w:r w:rsidR="007F3E26">
        <w:t> </w:t>
      </w:r>
      <w:r w:rsidR="00B80F10">
        <w:t xml:space="preserve">% des viandes de boucherie. </w:t>
      </w:r>
      <w:r w:rsidR="00222976">
        <w:t>Sur le plan des grammages, la</w:t>
      </w:r>
      <w:r w:rsidR="00B80F10">
        <w:t xml:space="preserve"> </w:t>
      </w:r>
      <w:r w:rsidR="00B70073">
        <w:t xml:space="preserve">viande de </w:t>
      </w:r>
      <w:r w:rsidR="00B80F10">
        <w:t>volaille</w:t>
      </w:r>
      <w:r w:rsidR="00B70073">
        <w:t xml:space="preserve"> quant à elle, </w:t>
      </w:r>
      <w:r w:rsidR="000805FF">
        <w:t>augmenterait</w:t>
      </w:r>
      <w:r w:rsidR="00B70073">
        <w:t xml:space="preserve"> de 2,4</w:t>
      </w:r>
      <w:r w:rsidR="007F3E26">
        <w:t> </w:t>
      </w:r>
      <w:r w:rsidR="00B70073">
        <w:t>%</w:t>
      </w:r>
      <w:r w:rsidR="000D4929">
        <w:t xml:space="preserve"> 19/10 pour se positionner à </w:t>
      </w:r>
      <w:r w:rsidR="000805FF">
        <w:t>29,5</w:t>
      </w:r>
      <w:r w:rsidR="007F3E26">
        <w:t> </w:t>
      </w:r>
      <w:r w:rsidR="000D4929">
        <w:t xml:space="preserve">g/jour soit </w:t>
      </w:r>
      <w:r w:rsidR="000805FF">
        <w:t>206,5</w:t>
      </w:r>
      <w:r w:rsidR="007F3E26">
        <w:t> </w:t>
      </w:r>
      <w:r w:rsidR="000D4929">
        <w:t>g/semaine en 2019</w:t>
      </w:r>
      <w:r w:rsidR="00B70073">
        <w:t>.</w:t>
      </w:r>
      <w:r w:rsidR="000D4929">
        <w:t xml:space="preserve"> </w:t>
      </w:r>
      <w:r w:rsidR="00222976">
        <w:t xml:space="preserve">Concernant le taux de consommateurs en porc, la part de </w:t>
      </w:r>
      <w:r w:rsidR="00EB74F8">
        <w:t>non-consommateurs</w:t>
      </w:r>
      <w:r w:rsidR="00222976">
        <w:t xml:space="preserve"> se stabilise depuis plusieurs années à un </w:t>
      </w:r>
      <w:r w:rsidR="003D3FB1">
        <w:t xml:space="preserve">niveau </w:t>
      </w:r>
      <w:r w:rsidR="00222976">
        <w:t xml:space="preserve">important </w:t>
      </w:r>
      <w:r w:rsidR="003D3FB1">
        <w:t>(</w:t>
      </w:r>
      <w:r w:rsidR="00222976">
        <w:t>57,1</w:t>
      </w:r>
      <w:r w:rsidR="007F3E26">
        <w:t> </w:t>
      </w:r>
      <w:r w:rsidR="00222976">
        <w:t>%</w:t>
      </w:r>
      <w:r w:rsidR="003D3FB1">
        <w:t>)</w:t>
      </w:r>
      <w:r w:rsidR="00222976">
        <w:t xml:space="preserve"> </w:t>
      </w:r>
      <w:r w:rsidR="002B41DB">
        <w:t>(</w:t>
      </w:r>
      <w:r w:rsidR="008A5838" w:rsidRPr="00EB74F8">
        <w:fldChar w:fldCharType="begin"/>
      </w:r>
      <w:r w:rsidR="008A5838" w:rsidRPr="00EB74F8">
        <w:instrText xml:space="preserve"> REF _Ref58418085 \h </w:instrText>
      </w:r>
      <w:r w:rsidR="00EB74F8" w:rsidRPr="00EB74F8">
        <w:instrText xml:space="preserve"> \* MERGEFORMAT </w:instrText>
      </w:r>
      <w:r w:rsidR="008A5838" w:rsidRPr="00EB74F8">
        <w:fldChar w:fldCharType="separate"/>
      </w:r>
      <w:r w:rsidR="0007597F" w:rsidRPr="00EB74F8">
        <w:rPr>
          <w:rStyle w:val="figureCar"/>
          <w:rFonts w:eastAsiaTheme="minorHAnsi"/>
          <w:b w:val="0"/>
          <w:bCs w:val="0"/>
          <w:iCs w:val="0"/>
          <w:sz w:val="22"/>
          <w:szCs w:val="22"/>
        </w:rPr>
        <w:t xml:space="preserve">Figure </w:t>
      </w:r>
      <w:r w:rsidR="0007597F" w:rsidRPr="00EB74F8">
        <w:rPr>
          <w:rStyle w:val="figureCar"/>
          <w:rFonts w:eastAsiaTheme="minorHAnsi"/>
          <w:b w:val="0"/>
          <w:bCs w:val="0"/>
          <w:iCs w:val="0"/>
          <w:noProof/>
          <w:sz w:val="22"/>
          <w:szCs w:val="22"/>
        </w:rPr>
        <w:t>13</w:t>
      </w:r>
      <w:r w:rsidR="008A5838" w:rsidRPr="00EB74F8">
        <w:fldChar w:fldCharType="end"/>
      </w:r>
      <w:r w:rsidR="002B41DB">
        <w:t>).</w:t>
      </w:r>
    </w:p>
    <w:p w14:paraId="54689880" w14:textId="691C51A6" w:rsidR="000C0584" w:rsidRPr="00146C8C" w:rsidRDefault="002B41DB" w:rsidP="00714C99">
      <w:pPr>
        <w:jc w:val="center"/>
        <w:rPr>
          <w:rFonts w:cs="Arial"/>
        </w:rPr>
      </w:pPr>
      <w:r>
        <w:rPr>
          <w:noProof/>
        </w:rPr>
        <w:drawing>
          <wp:inline distT="0" distB="0" distL="0" distR="0" wp14:anchorId="56C82FED" wp14:editId="7D60A0D8">
            <wp:extent cx="5171846" cy="1528445"/>
            <wp:effectExtent l="0" t="0" r="0" b="0"/>
            <wp:docPr id="89" name="Graphique 89">
              <a:extLst xmlns:a="http://schemas.openxmlformats.org/drawingml/2006/main">
                <a:ext uri="{FF2B5EF4-FFF2-40B4-BE49-F238E27FC236}">
                  <a16:creationId xmlns:a16="http://schemas.microsoft.com/office/drawing/2014/main" id="{6541F107-B2CD-47FB-B487-593C90B66C6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09055319" w14:textId="4ECA931F" w:rsidR="000D4929" w:rsidRDefault="002B41DB" w:rsidP="000D4929">
      <w:pPr>
        <w:jc w:val="center"/>
        <w:rPr>
          <w:rFonts w:cs="Arial"/>
        </w:rPr>
      </w:pPr>
      <w:r>
        <w:rPr>
          <w:noProof/>
        </w:rPr>
        <w:drawing>
          <wp:inline distT="0" distB="0" distL="0" distR="0" wp14:anchorId="23D7EEC9" wp14:editId="624AA76B">
            <wp:extent cx="5113020" cy="1792224"/>
            <wp:effectExtent l="0" t="0" r="0" b="0"/>
            <wp:docPr id="90" name="Graphique 90">
              <a:extLst xmlns:a="http://schemas.openxmlformats.org/drawingml/2006/main">
                <a:ext uri="{FF2B5EF4-FFF2-40B4-BE49-F238E27FC236}">
                  <a16:creationId xmlns:a16="http://schemas.microsoft.com/office/drawing/2014/main" id="{3D85A6A3-8253-4A75-B864-06D3CA2622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3F0F1DEA" w14:textId="791CC81D" w:rsidR="005267CA" w:rsidRPr="005267CA" w:rsidRDefault="008A5838" w:rsidP="005267CA">
      <w:pPr>
        <w:pStyle w:val="figure"/>
        <w:rPr>
          <w:rStyle w:val="figureCar"/>
          <w:b/>
          <w:bCs/>
          <w:iCs/>
        </w:rPr>
      </w:pPr>
      <w:bookmarkStart w:id="115" w:name="_Ref58418085"/>
      <w:bookmarkStart w:id="116" w:name="_Toc69511405"/>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13</w:t>
      </w:r>
      <w:r w:rsidRPr="005267CA">
        <w:rPr>
          <w:rStyle w:val="figureCar"/>
          <w:b/>
          <w:bCs/>
          <w:iCs/>
        </w:rPr>
        <w:fldChar w:fldCharType="end"/>
      </w:r>
      <w:bookmarkEnd w:id="115"/>
      <w:r w:rsidRPr="005267CA">
        <w:rPr>
          <w:rStyle w:val="figureCar"/>
          <w:b/>
          <w:bCs/>
          <w:iCs/>
        </w:rPr>
        <w:t xml:space="preserve"> </w:t>
      </w:r>
      <w:r w:rsidR="007F3E26" w:rsidRPr="005267CA">
        <w:rPr>
          <w:rStyle w:val="figureCar"/>
          <w:b/>
          <w:bCs/>
          <w:iCs/>
        </w:rPr>
        <w:t xml:space="preserve"> : </w:t>
      </w:r>
      <w:r w:rsidR="000F7E3A" w:rsidRPr="005267CA">
        <w:rPr>
          <w:rStyle w:val="figureCar"/>
          <w:b/>
          <w:bCs/>
          <w:iCs/>
        </w:rPr>
        <w:t xml:space="preserve">Quantités consommées </w:t>
      </w:r>
      <w:r w:rsidR="00281142" w:rsidRPr="005267CA">
        <w:rPr>
          <w:rStyle w:val="figureCar"/>
          <w:b/>
          <w:bCs/>
          <w:iCs/>
        </w:rPr>
        <w:t xml:space="preserve">en viande de porc </w:t>
      </w:r>
      <w:r w:rsidR="000F7E3A" w:rsidRPr="005267CA">
        <w:rPr>
          <w:rStyle w:val="figureCar"/>
          <w:b/>
          <w:bCs/>
          <w:iCs/>
        </w:rPr>
        <w:t xml:space="preserve">en g/jour </w:t>
      </w:r>
      <w:r w:rsidR="00591356">
        <w:rPr>
          <w:rStyle w:val="figureCar"/>
          <w:b/>
          <w:bCs/>
          <w:iCs/>
        </w:rPr>
        <w:t xml:space="preserve">selon </w:t>
      </w:r>
      <w:r w:rsidR="00281142" w:rsidRPr="005267CA">
        <w:rPr>
          <w:rStyle w:val="figureCar"/>
          <w:b/>
          <w:bCs/>
          <w:iCs/>
        </w:rPr>
        <w:t xml:space="preserve">les vagues d’enquête </w:t>
      </w:r>
      <w:r w:rsidR="00591356">
        <w:rPr>
          <w:rStyle w:val="figureCar"/>
          <w:b/>
          <w:bCs/>
          <w:iCs/>
        </w:rPr>
        <w:t xml:space="preserve">de 2010, 2013, 2016 et 2019 </w:t>
      </w:r>
      <w:r w:rsidR="000F7E3A" w:rsidRPr="005267CA">
        <w:rPr>
          <w:rStyle w:val="figureCar"/>
          <w:b/>
          <w:bCs/>
          <w:iCs/>
        </w:rPr>
        <w:t>a/ chez les enfants et b/ chez les adultes</w:t>
      </w:r>
      <w:bookmarkEnd w:id="116"/>
    </w:p>
    <w:p w14:paraId="6E0CF84E" w14:textId="484600C4" w:rsidR="000F7E3A" w:rsidRPr="005267CA" w:rsidRDefault="000F7E3A" w:rsidP="005267CA">
      <w:pPr>
        <w:pStyle w:val="Lgende"/>
      </w:pPr>
      <w:r w:rsidRPr="005267CA">
        <w:t>(</w:t>
      </w:r>
      <w:r w:rsidR="00DB1330" w:rsidRPr="005267CA">
        <w:t>Source</w:t>
      </w:r>
      <w:r w:rsidRPr="005267CA">
        <w:t> : Ifip d’après Credoc, 2020).</w:t>
      </w:r>
    </w:p>
    <w:p w14:paraId="28DF4832" w14:textId="3CE0C91E" w:rsidR="00222976" w:rsidRDefault="00222976" w:rsidP="009C6018">
      <w:r>
        <w:t>Ces résultats assez éloignés de la réalité du marché</w:t>
      </w:r>
      <w:r w:rsidR="009E78A7">
        <w:t xml:space="preserve"> et</w:t>
      </w:r>
      <w:r>
        <w:t xml:space="preserve"> laissent supposer une confusion entre les espèces volaille et porc. A titre d’exemple, la liste des recettes les plus citées dans les </w:t>
      </w:r>
      <w:r>
        <w:lastRenderedPageBreak/>
        <w:t xml:space="preserve">déclarations, fait état de « sauté », préparation pour laquelle l’origine (porc ou volaille) n’est pas aisée à différentier pour un consommateur même si l’espèce est réglementairement précisée sur l’emballage. </w:t>
      </w:r>
    </w:p>
    <w:p w14:paraId="171D10E1" w14:textId="6036023C" w:rsidR="000C0584" w:rsidRDefault="000D4929" w:rsidP="009C6018">
      <w:r>
        <w:t xml:space="preserve">Chez les adultes, la déconsommation </w:t>
      </w:r>
      <w:r w:rsidR="000805FF">
        <w:t xml:space="preserve">des viandes de boucherie </w:t>
      </w:r>
      <w:r>
        <w:t>s’observe comme chez les enfants</w:t>
      </w:r>
      <w:r w:rsidR="00A22449">
        <w:t xml:space="preserve">, avec un recul de </w:t>
      </w:r>
      <w:r w:rsidR="000805FF">
        <w:t>22,3</w:t>
      </w:r>
      <w:r w:rsidR="009C6018">
        <w:t> </w:t>
      </w:r>
      <w:r w:rsidR="000805FF">
        <w:t>% entre 201</w:t>
      </w:r>
      <w:r w:rsidR="00D83B75">
        <w:t>0</w:t>
      </w:r>
      <w:r w:rsidR="000805FF">
        <w:t xml:space="preserve"> et 201</w:t>
      </w:r>
      <w:r w:rsidR="00D83B75">
        <w:t>9</w:t>
      </w:r>
      <w:r w:rsidR="000805FF">
        <w:t xml:space="preserve"> soit une consommation en 2019 de 53,7</w:t>
      </w:r>
      <w:r w:rsidR="009C6018">
        <w:t> </w:t>
      </w:r>
      <w:r w:rsidR="000805FF">
        <w:t>g/jour contre 69,1</w:t>
      </w:r>
      <w:r w:rsidR="009C6018">
        <w:t> </w:t>
      </w:r>
      <w:r w:rsidR="000805FF">
        <w:t>g/j. Comparativement aux préconisations du PNNS, abats inclus</w:t>
      </w:r>
      <w:r w:rsidR="008207D9">
        <w:t>,</w:t>
      </w:r>
      <w:r w:rsidR="000805FF">
        <w:t xml:space="preserve"> la moyenne de consommation chez les adultes se positionne à </w:t>
      </w:r>
      <w:r w:rsidR="008207D9">
        <w:t>378</w:t>
      </w:r>
      <w:r w:rsidR="009C6018">
        <w:t> </w:t>
      </w:r>
      <w:r w:rsidR="000805FF">
        <w:t>g/semaine</w:t>
      </w:r>
      <w:r w:rsidR="008207D9">
        <w:t xml:space="preserve"> soit en dessous du seuil de consommation des 500</w:t>
      </w:r>
      <w:r w:rsidR="009C6018">
        <w:t> </w:t>
      </w:r>
      <w:r w:rsidR="00E83380">
        <w:t>g/semaine.</w:t>
      </w:r>
      <w:r w:rsidR="008207D9">
        <w:t xml:space="preserve"> L</w:t>
      </w:r>
      <w:r w:rsidR="00FE1FBC">
        <w:t>’évolution de la</w:t>
      </w:r>
      <w:r w:rsidR="008207D9">
        <w:t xml:space="preserve"> part de non</w:t>
      </w:r>
      <w:r w:rsidR="00C631D8">
        <w:t>-</w:t>
      </w:r>
      <w:r w:rsidR="008207D9">
        <w:t>consommateurs en viande de boucherie est</w:t>
      </w:r>
      <w:r w:rsidR="00FE1FBC">
        <w:t xml:space="preserve"> plus marquée avec un passage de 4</w:t>
      </w:r>
      <w:r w:rsidR="009C6018">
        <w:t> </w:t>
      </w:r>
      <w:r w:rsidR="00FE1FBC">
        <w:t>% en 2013 à plus du double en 2019 soit 8,7</w:t>
      </w:r>
      <w:r w:rsidR="009C6018">
        <w:t> </w:t>
      </w:r>
      <w:r w:rsidR="00FE1FBC">
        <w:t>%. Il est en particulier de 10,1</w:t>
      </w:r>
      <w:r w:rsidR="009C6018">
        <w:t> </w:t>
      </w:r>
      <w:r w:rsidR="00FE1FBC">
        <w:t xml:space="preserve">% chez les femmes en 2019, illustrant directement la montée du flexitarisme. Au-delà de la baisse du taux de consommation, la diminution des grammages consommés concerne le bœuf avant tout avec </w:t>
      </w:r>
      <w:r w:rsidR="00281142">
        <w:t>-</w:t>
      </w:r>
      <w:r w:rsidR="009C6018">
        <w:t> </w:t>
      </w:r>
      <w:r w:rsidR="00281142">
        <w:t>18,3</w:t>
      </w:r>
      <w:r w:rsidR="009C6018">
        <w:t> </w:t>
      </w:r>
      <w:r w:rsidR="00281142">
        <w:t xml:space="preserve">% 19/10 alors que le porc reculerait </w:t>
      </w:r>
      <w:r w:rsidR="00222976">
        <w:t>moins fortement avec -</w:t>
      </w:r>
      <w:r w:rsidR="009C6018">
        <w:t> </w:t>
      </w:r>
      <w:r w:rsidR="00281142">
        <w:t>11,1</w:t>
      </w:r>
      <w:r w:rsidR="009C6018">
        <w:t> </w:t>
      </w:r>
      <w:r w:rsidR="00281142">
        <w:t>% 19</w:t>
      </w:r>
      <w:r w:rsidR="003C011B">
        <w:t>/</w:t>
      </w:r>
      <w:r w:rsidR="00281142">
        <w:t>10 soit environ</w:t>
      </w:r>
      <w:r w:rsidR="00222976">
        <w:t xml:space="preserve"> -</w:t>
      </w:r>
      <w:r w:rsidR="009C6018">
        <w:t> </w:t>
      </w:r>
      <w:r w:rsidR="00281142">
        <w:t>1,2</w:t>
      </w:r>
      <w:r w:rsidR="009C6018">
        <w:t> </w:t>
      </w:r>
      <w:r w:rsidR="00281142">
        <w:t>% par an et s’établit en 2019 à 11,2</w:t>
      </w:r>
      <w:r w:rsidR="00591356">
        <w:t> </w:t>
      </w:r>
      <w:r w:rsidR="00281142">
        <w:t xml:space="preserve">g/jour </w:t>
      </w:r>
      <w:r w:rsidR="00222976">
        <w:t>(</w:t>
      </w:r>
      <w:r w:rsidR="00281142">
        <w:t>78,4g/semaine</w:t>
      </w:r>
      <w:r w:rsidR="00222976">
        <w:t>)</w:t>
      </w:r>
      <w:r w:rsidR="00281142">
        <w:t xml:space="preserve">. </w:t>
      </w:r>
      <w:r w:rsidR="00222976">
        <w:t>La part de non</w:t>
      </w:r>
      <w:r w:rsidR="00C631D8">
        <w:t>-</w:t>
      </w:r>
      <w:r w:rsidR="00222976">
        <w:t>consommateurs</w:t>
      </w:r>
      <w:r w:rsidR="00D83B75">
        <w:t xml:space="preserve"> sur la durée de l’enquête</w:t>
      </w:r>
      <w:r w:rsidR="00222976">
        <w:t xml:space="preserve"> s’établit à 55</w:t>
      </w:r>
      <w:r w:rsidR="009C6018">
        <w:t> </w:t>
      </w:r>
      <w:r w:rsidR="00222976">
        <w:t xml:space="preserve">%, un taux élevé mais stable comparativement aux données des enquêtes précédentes. </w:t>
      </w:r>
    </w:p>
    <w:p w14:paraId="032EA2AF" w14:textId="09D05A7B" w:rsidR="00176D64" w:rsidRDefault="00176D64" w:rsidP="009C6018">
      <w:r>
        <w:t xml:space="preserve">En ce qui concerne la part de porc </w:t>
      </w:r>
      <w:r w:rsidRPr="00176D64">
        <w:t>ingrédient, en croissance de 4,8</w:t>
      </w:r>
      <w:r w:rsidR="009C6018">
        <w:t> </w:t>
      </w:r>
      <w:r w:rsidRPr="00176D64">
        <w:t>% chez les enfants et de 1,7</w:t>
      </w:r>
      <w:r w:rsidR="009C6018">
        <w:t> </w:t>
      </w:r>
      <w:r w:rsidRPr="00176D64">
        <w:t>% chez les adultes</w:t>
      </w:r>
      <w:r w:rsidR="00637AA4">
        <w:t>,</w:t>
      </w:r>
      <w:r w:rsidR="00E232E9">
        <w:t xml:space="preserve"> elle</w:t>
      </w:r>
      <w:r w:rsidRPr="00176D64">
        <w:t xml:space="preserve"> ne représente respectivement que </w:t>
      </w:r>
      <w:r w:rsidRPr="00176D64">
        <w:rPr>
          <w:bCs/>
        </w:rPr>
        <w:t>4</w:t>
      </w:r>
      <w:r w:rsidR="009C6018">
        <w:rPr>
          <w:bCs/>
        </w:rPr>
        <w:t> </w:t>
      </w:r>
      <w:r w:rsidRPr="00176D64">
        <w:rPr>
          <w:bCs/>
        </w:rPr>
        <w:t xml:space="preserve">% </w:t>
      </w:r>
      <w:r w:rsidRPr="00176D64">
        <w:t xml:space="preserve">et </w:t>
      </w:r>
      <w:r w:rsidRPr="00176D64">
        <w:rPr>
          <w:bCs/>
        </w:rPr>
        <w:t>5</w:t>
      </w:r>
      <w:r w:rsidR="009C6018">
        <w:rPr>
          <w:bCs/>
        </w:rPr>
        <w:t> </w:t>
      </w:r>
      <w:r w:rsidRPr="00176D64">
        <w:rPr>
          <w:bCs/>
        </w:rPr>
        <w:t>%</w:t>
      </w:r>
      <w:r w:rsidRPr="00176D64">
        <w:t xml:space="preserve"> du total porc frais consommé</w:t>
      </w:r>
      <w:r>
        <w:t xml:space="preserve"> en 2019. C</w:t>
      </w:r>
      <w:r w:rsidRPr="00176D64">
        <w:t>hez les enfants comme chez les adultes, plus des ¾ de la croissance 2019 par rapport à 2016 s</w:t>
      </w:r>
      <w:r>
        <w:t>eraien</w:t>
      </w:r>
      <w:r w:rsidRPr="00176D64">
        <w:t>t générés par la consommation de porc brut.</w:t>
      </w:r>
    </w:p>
    <w:p w14:paraId="40E9CD1D" w14:textId="4235A17D" w:rsidR="00A84DF0" w:rsidRDefault="000C0584" w:rsidP="009C6018">
      <w:pPr>
        <w:pStyle w:val="Titre4"/>
      </w:pPr>
      <w:bookmarkStart w:id="117" w:name="_Toc78131581"/>
      <w:r>
        <w:t>3</w:t>
      </w:r>
      <w:r w:rsidRPr="00D00A7D">
        <w:t>.</w:t>
      </w:r>
      <w:r>
        <w:t>3</w:t>
      </w:r>
      <w:r w:rsidRPr="00D00A7D">
        <w:t>.</w:t>
      </w:r>
      <w:r>
        <w:t>2</w:t>
      </w:r>
      <w:r w:rsidRPr="00D00A7D">
        <w:t>.</w:t>
      </w:r>
      <w:r>
        <w:t>2</w:t>
      </w:r>
      <w:r w:rsidRPr="00D00A7D">
        <w:t xml:space="preserve">. </w:t>
      </w:r>
      <w:r>
        <w:t xml:space="preserve">Consommation de </w:t>
      </w:r>
      <w:r w:rsidR="0008759C">
        <w:t>charcuterie</w:t>
      </w:r>
      <w:r w:rsidR="00695755">
        <w:t>s</w:t>
      </w:r>
      <w:r w:rsidR="00AF033C">
        <w:t xml:space="preserve"> hors saucisserie</w:t>
      </w:r>
      <w:bookmarkEnd w:id="117"/>
    </w:p>
    <w:p w14:paraId="165EE6E4" w14:textId="3309A0CD" w:rsidR="00AF033C" w:rsidRDefault="00551B18" w:rsidP="00D335D7">
      <w:pPr>
        <w:rPr>
          <w:rFonts w:cs="Arial"/>
        </w:rPr>
      </w:pPr>
      <w:r w:rsidRPr="00321536">
        <w:rPr>
          <w:rFonts w:cs="Arial"/>
        </w:rPr>
        <w:t>En 201</w:t>
      </w:r>
      <w:r w:rsidR="00483D07">
        <w:rPr>
          <w:rFonts w:cs="Arial"/>
        </w:rPr>
        <w:t>9</w:t>
      </w:r>
      <w:r w:rsidRPr="00321536">
        <w:rPr>
          <w:rFonts w:cs="Arial"/>
        </w:rPr>
        <w:t xml:space="preserve">, la population </w:t>
      </w:r>
      <w:r w:rsidR="00483D07">
        <w:rPr>
          <w:rFonts w:cs="Arial"/>
        </w:rPr>
        <w:t>enfants</w:t>
      </w:r>
      <w:r w:rsidRPr="00321536">
        <w:rPr>
          <w:rFonts w:cs="Arial"/>
        </w:rPr>
        <w:t xml:space="preserve"> consomme en moyenne </w:t>
      </w:r>
      <w:r>
        <w:rPr>
          <w:rFonts w:cs="Arial"/>
        </w:rPr>
        <w:t>1</w:t>
      </w:r>
      <w:r w:rsidR="005972A1">
        <w:rPr>
          <w:rFonts w:cs="Arial"/>
        </w:rPr>
        <w:t>20</w:t>
      </w:r>
      <w:r w:rsidR="009C6018">
        <w:rPr>
          <w:rFonts w:cs="Arial"/>
        </w:rPr>
        <w:t> </w:t>
      </w:r>
      <w:r w:rsidRPr="00321536">
        <w:rPr>
          <w:rFonts w:cs="Arial"/>
        </w:rPr>
        <w:t>g/semaine (</w:t>
      </w:r>
      <w:r w:rsidR="00483D07">
        <w:rPr>
          <w:rFonts w:cs="Arial"/>
        </w:rPr>
        <w:t>1</w:t>
      </w:r>
      <w:r>
        <w:rPr>
          <w:rFonts w:cs="Arial"/>
        </w:rPr>
        <w:t>7,</w:t>
      </w:r>
      <w:r w:rsidR="005972A1">
        <w:rPr>
          <w:rFonts w:cs="Arial"/>
        </w:rPr>
        <w:t>1</w:t>
      </w:r>
      <w:r w:rsidR="009C6018">
        <w:rPr>
          <w:rFonts w:cs="Arial"/>
        </w:rPr>
        <w:t> </w:t>
      </w:r>
      <w:r w:rsidRPr="00321536">
        <w:rPr>
          <w:rFonts w:cs="Arial"/>
        </w:rPr>
        <w:t>g/jour) de</w:t>
      </w:r>
      <w:r>
        <w:rPr>
          <w:rFonts w:cs="Arial"/>
        </w:rPr>
        <w:t xml:space="preserve"> charcuteries hors saucisserie dont</w:t>
      </w:r>
      <w:r w:rsidR="00483D07">
        <w:rPr>
          <w:rFonts w:cs="Arial"/>
        </w:rPr>
        <w:t xml:space="preserve"> 5</w:t>
      </w:r>
      <w:r w:rsidR="009C6018">
        <w:rPr>
          <w:rFonts w:cs="Arial"/>
        </w:rPr>
        <w:t> </w:t>
      </w:r>
      <w:r w:rsidR="00483D07">
        <w:rPr>
          <w:rFonts w:cs="Arial"/>
        </w:rPr>
        <w:t>%</w:t>
      </w:r>
      <w:r>
        <w:rPr>
          <w:rFonts w:cs="Arial"/>
        </w:rPr>
        <w:t xml:space="preserve"> de </w:t>
      </w:r>
      <w:r w:rsidR="00483D07">
        <w:rPr>
          <w:rFonts w:cs="Arial"/>
        </w:rPr>
        <w:t xml:space="preserve">jambon </w:t>
      </w:r>
      <w:r>
        <w:rPr>
          <w:rFonts w:cs="Arial"/>
        </w:rPr>
        <w:t>de volaille</w:t>
      </w:r>
      <w:r w:rsidR="00483D07">
        <w:rPr>
          <w:rFonts w:cs="Arial"/>
        </w:rPr>
        <w:t xml:space="preserve"> (6,3</w:t>
      </w:r>
      <w:r w:rsidR="009C6018">
        <w:rPr>
          <w:rFonts w:cs="Arial"/>
        </w:rPr>
        <w:t> </w:t>
      </w:r>
      <w:r w:rsidR="00483D07">
        <w:rPr>
          <w:rFonts w:cs="Arial"/>
        </w:rPr>
        <w:t>g/semaine)</w:t>
      </w:r>
      <w:r w:rsidRPr="00321536">
        <w:rPr>
          <w:rFonts w:cs="Arial"/>
        </w:rPr>
        <w:t>. L</w:t>
      </w:r>
      <w:r>
        <w:rPr>
          <w:rFonts w:cs="Arial"/>
        </w:rPr>
        <w:t>e total charcuterie</w:t>
      </w:r>
      <w:r w:rsidR="00483D07">
        <w:rPr>
          <w:rFonts w:cs="Arial"/>
        </w:rPr>
        <w:t>s aurait progressé de 18,9</w:t>
      </w:r>
      <w:r w:rsidR="009C6018">
        <w:rPr>
          <w:rFonts w:cs="Arial"/>
        </w:rPr>
        <w:t> </w:t>
      </w:r>
      <w:r w:rsidR="00483D07">
        <w:rPr>
          <w:rFonts w:cs="Arial"/>
        </w:rPr>
        <w:t>% entre 2016 et 2019 revenant à un niveau supérieur à celui de 2013.</w:t>
      </w:r>
      <w:r w:rsidRPr="00AF033C">
        <w:rPr>
          <w:noProof/>
        </w:rPr>
        <w:t xml:space="preserve"> </w:t>
      </w:r>
      <w:r w:rsidR="00BE5ACF">
        <w:rPr>
          <w:rFonts w:cs="Arial"/>
        </w:rPr>
        <w:t xml:space="preserve">Pendant la durée de l’enquête, </w:t>
      </w:r>
      <w:r w:rsidR="002A1EF4">
        <w:rPr>
          <w:rFonts w:cs="Arial"/>
        </w:rPr>
        <w:t>91,5</w:t>
      </w:r>
      <w:r w:rsidR="009C6018">
        <w:rPr>
          <w:rFonts w:cs="Arial"/>
        </w:rPr>
        <w:t> </w:t>
      </w:r>
      <w:r w:rsidR="00BE5ACF">
        <w:rPr>
          <w:rFonts w:cs="Arial"/>
        </w:rPr>
        <w:t>% des enfants</w:t>
      </w:r>
      <w:r w:rsidR="00483D07">
        <w:rPr>
          <w:rFonts w:cs="Arial"/>
        </w:rPr>
        <w:t xml:space="preserve"> </w:t>
      </w:r>
      <w:r w:rsidR="009C6018">
        <w:rPr>
          <w:rFonts w:cs="Arial"/>
        </w:rPr>
        <w:t>n’</w:t>
      </w:r>
      <w:r w:rsidR="00BE5ACF">
        <w:rPr>
          <w:rFonts w:cs="Arial"/>
        </w:rPr>
        <w:t>ont pas consommé de charcuterie</w:t>
      </w:r>
      <w:r w:rsidR="002A1EF4">
        <w:rPr>
          <w:rFonts w:cs="Arial"/>
        </w:rPr>
        <w:t xml:space="preserve"> soit</w:t>
      </w:r>
      <w:r w:rsidR="00BE5ACF">
        <w:rPr>
          <w:rFonts w:cs="Arial"/>
        </w:rPr>
        <w:t xml:space="preserve"> un </w:t>
      </w:r>
      <w:r w:rsidR="00673AB1">
        <w:rPr>
          <w:rFonts w:cs="Arial"/>
        </w:rPr>
        <w:t xml:space="preserve">taux en </w:t>
      </w:r>
      <w:r w:rsidR="002A1EF4">
        <w:rPr>
          <w:rFonts w:cs="Arial"/>
        </w:rPr>
        <w:t>hausse</w:t>
      </w:r>
      <w:r w:rsidR="00673AB1">
        <w:rPr>
          <w:rFonts w:cs="Arial"/>
        </w:rPr>
        <w:t xml:space="preserve"> par rapport à celui de 2013 (</w:t>
      </w:r>
      <w:r w:rsidR="002A1EF4">
        <w:rPr>
          <w:rFonts w:cs="Arial"/>
        </w:rPr>
        <w:t>9</w:t>
      </w:r>
      <w:r w:rsidR="00673AB1">
        <w:rPr>
          <w:rFonts w:cs="Arial"/>
        </w:rPr>
        <w:t>0</w:t>
      </w:r>
      <w:r w:rsidR="009C6018">
        <w:rPr>
          <w:rFonts w:cs="Arial"/>
        </w:rPr>
        <w:t> </w:t>
      </w:r>
      <w:r w:rsidR="00673AB1">
        <w:rPr>
          <w:rFonts w:cs="Arial"/>
        </w:rPr>
        <w:t>%)</w:t>
      </w:r>
      <w:r w:rsidR="00BE5ACF">
        <w:rPr>
          <w:rFonts w:cs="Arial"/>
        </w:rPr>
        <w:t xml:space="preserve"> pour des produits </w:t>
      </w:r>
      <w:r w:rsidR="002A1EF4">
        <w:rPr>
          <w:rFonts w:cs="Arial"/>
        </w:rPr>
        <w:t xml:space="preserve">très </w:t>
      </w:r>
      <w:r w:rsidR="00BE5ACF">
        <w:rPr>
          <w:rFonts w:cs="Arial"/>
        </w:rPr>
        <w:t>adaptés à cette cible</w:t>
      </w:r>
      <w:r w:rsidR="00673AB1">
        <w:rPr>
          <w:rFonts w:cs="Arial"/>
        </w:rPr>
        <w:t xml:space="preserve">. </w:t>
      </w:r>
      <w:r w:rsidR="00483D07">
        <w:rPr>
          <w:rFonts w:cs="Arial"/>
        </w:rPr>
        <w:t xml:space="preserve">Le </w:t>
      </w:r>
      <w:r w:rsidR="00483D07" w:rsidRPr="00483D07">
        <w:rPr>
          <w:rFonts w:cs="Arial"/>
        </w:rPr>
        <w:t xml:space="preserve">gain de consommation </w:t>
      </w:r>
      <w:r w:rsidR="00673AB1">
        <w:rPr>
          <w:rFonts w:cs="Arial"/>
        </w:rPr>
        <w:t xml:space="preserve">en grammage entre 2019 et 2016, </w:t>
      </w:r>
      <w:r w:rsidR="00483D07">
        <w:rPr>
          <w:rFonts w:cs="Arial"/>
        </w:rPr>
        <w:t xml:space="preserve">se réalise au travers du </w:t>
      </w:r>
      <w:r w:rsidR="00483D07" w:rsidRPr="00483D07">
        <w:rPr>
          <w:rFonts w:cs="Arial"/>
        </w:rPr>
        <w:t>jambon cuit (+</w:t>
      </w:r>
      <w:r w:rsidR="009C6018">
        <w:rPr>
          <w:rFonts w:cs="Arial"/>
        </w:rPr>
        <w:t> </w:t>
      </w:r>
      <w:r w:rsidR="00483D07" w:rsidRPr="00483D07">
        <w:rPr>
          <w:rFonts w:cs="Arial"/>
        </w:rPr>
        <w:t>9,3</w:t>
      </w:r>
      <w:r w:rsidR="009C6018">
        <w:rPr>
          <w:rFonts w:cs="Arial"/>
        </w:rPr>
        <w:t> </w:t>
      </w:r>
      <w:r w:rsidR="00483D07" w:rsidRPr="00483D07">
        <w:rPr>
          <w:rFonts w:cs="Arial"/>
        </w:rPr>
        <w:t>%)</w:t>
      </w:r>
      <w:r w:rsidR="00BE5ACF">
        <w:rPr>
          <w:rFonts w:cs="Arial"/>
        </w:rPr>
        <w:t xml:space="preserve"> premier produit consommé (55</w:t>
      </w:r>
      <w:r w:rsidR="009C6018">
        <w:rPr>
          <w:rFonts w:cs="Arial"/>
        </w:rPr>
        <w:t> </w:t>
      </w:r>
      <w:r w:rsidR="00BE5ACF">
        <w:rPr>
          <w:rFonts w:cs="Arial"/>
        </w:rPr>
        <w:t>% des volumes)</w:t>
      </w:r>
      <w:r w:rsidR="00673AB1">
        <w:rPr>
          <w:rFonts w:cs="Arial"/>
        </w:rPr>
        <w:t>,</w:t>
      </w:r>
      <w:r w:rsidR="00BE5ACF">
        <w:rPr>
          <w:rFonts w:cs="Arial"/>
        </w:rPr>
        <w:t xml:space="preserve"> suivi </w:t>
      </w:r>
      <w:r w:rsidR="00673AB1">
        <w:rPr>
          <w:rFonts w:cs="Arial"/>
        </w:rPr>
        <w:t xml:space="preserve">de la catégorie jambon sec et saucisson </w:t>
      </w:r>
      <w:r w:rsidR="00483D07" w:rsidRPr="00483D07">
        <w:rPr>
          <w:rFonts w:cs="Arial"/>
        </w:rPr>
        <w:t>sec</w:t>
      </w:r>
      <w:r w:rsidR="00673AB1">
        <w:rPr>
          <w:rFonts w:cs="Arial"/>
        </w:rPr>
        <w:t xml:space="preserve"> (+</w:t>
      </w:r>
      <w:r w:rsidR="009C6018">
        <w:rPr>
          <w:rFonts w:cs="Arial"/>
        </w:rPr>
        <w:t> </w:t>
      </w:r>
      <w:r w:rsidR="00673AB1">
        <w:rPr>
          <w:rFonts w:cs="Arial"/>
        </w:rPr>
        <w:t>53</w:t>
      </w:r>
      <w:r w:rsidR="009C6018">
        <w:rPr>
          <w:rFonts w:cs="Arial"/>
        </w:rPr>
        <w:t> </w:t>
      </w:r>
      <w:r w:rsidR="00673AB1">
        <w:rPr>
          <w:rFonts w:cs="Arial"/>
        </w:rPr>
        <w:t>%)</w:t>
      </w:r>
      <w:r w:rsidR="00BE5ACF">
        <w:rPr>
          <w:rFonts w:cs="Arial"/>
        </w:rPr>
        <w:t xml:space="preserve"> pour 25</w:t>
      </w:r>
      <w:r w:rsidR="009C6018">
        <w:rPr>
          <w:rFonts w:cs="Arial"/>
        </w:rPr>
        <w:t> </w:t>
      </w:r>
      <w:r w:rsidR="00BE5ACF">
        <w:rPr>
          <w:rFonts w:cs="Arial"/>
        </w:rPr>
        <w:t>% des volumes</w:t>
      </w:r>
      <w:r w:rsidR="00483D07">
        <w:rPr>
          <w:rFonts w:cs="Arial"/>
        </w:rPr>
        <w:t xml:space="preserve">. </w:t>
      </w:r>
      <w:r w:rsidR="00673AB1">
        <w:rPr>
          <w:rFonts w:cs="Arial"/>
        </w:rPr>
        <w:t xml:space="preserve">La part de charcuteries sous forme d’ingrédients est </w:t>
      </w:r>
      <w:r w:rsidR="005972A1">
        <w:rPr>
          <w:rFonts w:cs="Arial"/>
        </w:rPr>
        <w:t xml:space="preserve">en 2019 </w:t>
      </w:r>
      <w:r w:rsidR="00673AB1">
        <w:rPr>
          <w:rFonts w:cs="Arial"/>
        </w:rPr>
        <w:t xml:space="preserve">de </w:t>
      </w:r>
      <w:r w:rsidR="005972A1">
        <w:rPr>
          <w:rFonts w:cs="Arial"/>
        </w:rPr>
        <w:t>2</w:t>
      </w:r>
      <w:r w:rsidR="00E77671">
        <w:rPr>
          <w:rFonts w:cs="Arial"/>
        </w:rPr>
        <w:t>5</w:t>
      </w:r>
      <w:r w:rsidR="009C6018">
        <w:rPr>
          <w:rFonts w:cs="Arial"/>
        </w:rPr>
        <w:t> </w:t>
      </w:r>
      <w:r w:rsidR="005972A1">
        <w:rPr>
          <w:rFonts w:cs="Arial"/>
        </w:rPr>
        <w:t xml:space="preserve">% sur le total charcuteries </w:t>
      </w:r>
      <w:r w:rsidR="002A1EF4">
        <w:rPr>
          <w:rFonts w:cs="Arial"/>
        </w:rPr>
        <w:t>(</w:t>
      </w:r>
      <w:r w:rsidR="005972A1">
        <w:rPr>
          <w:rFonts w:cs="Arial"/>
        </w:rPr>
        <w:t>saucisserie inclus</w:t>
      </w:r>
      <w:r w:rsidR="002A1EF4">
        <w:rPr>
          <w:rFonts w:cs="Arial"/>
        </w:rPr>
        <w:t>)</w:t>
      </w:r>
      <w:r w:rsidR="005972A1">
        <w:rPr>
          <w:rFonts w:cs="Arial"/>
        </w:rPr>
        <w:t xml:space="preserve"> et stable par rapport aux données de 2013.</w:t>
      </w:r>
    </w:p>
    <w:p w14:paraId="6DAAD41A" w14:textId="76A326E5" w:rsidR="00AF033C" w:rsidRDefault="00F57CB6" w:rsidP="00FF228F">
      <w:pPr>
        <w:rPr>
          <w:rFonts w:cs="Arial"/>
        </w:rPr>
      </w:pPr>
      <w:r>
        <w:rPr>
          <w:noProof/>
        </w:rPr>
        <w:drawing>
          <wp:inline distT="0" distB="0" distL="0" distR="0" wp14:anchorId="0D4360F1" wp14:editId="7DFFC779">
            <wp:extent cx="6211570" cy="1935892"/>
            <wp:effectExtent l="0" t="0" r="0" b="7620"/>
            <wp:docPr id="83" name="Graphique 83">
              <a:extLst xmlns:a="http://schemas.openxmlformats.org/drawingml/2006/main">
                <a:ext uri="{FF2B5EF4-FFF2-40B4-BE49-F238E27FC236}">
                  <a16:creationId xmlns:a16="http://schemas.microsoft.com/office/drawing/2014/main" id="{45F3FE30-8806-4E95-8BE3-FCCA511AB10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41A9C8B" w14:textId="354F72E1" w:rsidR="005267CA" w:rsidRPr="005267CA" w:rsidRDefault="009C6018" w:rsidP="005267CA">
      <w:pPr>
        <w:pStyle w:val="figure"/>
      </w:pPr>
      <w:bookmarkStart w:id="118" w:name="_Toc69511406"/>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14</w:t>
      </w:r>
      <w:r w:rsidRPr="005267CA">
        <w:rPr>
          <w:rStyle w:val="figureCar"/>
          <w:b/>
          <w:bCs/>
          <w:iCs/>
        </w:rPr>
        <w:fldChar w:fldCharType="end"/>
      </w:r>
      <w:r w:rsidRPr="005267CA">
        <w:rPr>
          <w:rStyle w:val="figureCar"/>
          <w:b/>
          <w:bCs/>
          <w:iCs/>
        </w:rPr>
        <w:t xml:space="preserve"> </w:t>
      </w:r>
      <w:r w:rsidR="00AF033C" w:rsidRPr="005267CA">
        <w:rPr>
          <w:rStyle w:val="figureCar"/>
          <w:b/>
          <w:bCs/>
          <w:iCs/>
        </w:rPr>
        <w:t>:</w:t>
      </w:r>
      <w:r w:rsidR="00AF033C" w:rsidRPr="005267CA">
        <w:t xml:space="preserve"> Quantités consommées en </w:t>
      </w:r>
      <w:r w:rsidR="00F57CB6" w:rsidRPr="005267CA">
        <w:t xml:space="preserve">charcuterie hors </w:t>
      </w:r>
      <w:r w:rsidR="00AF033C" w:rsidRPr="005267CA">
        <w:t xml:space="preserve">saucisserie en g/jour </w:t>
      </w:r>
      <w:r w:rsidR="00591356">
        <w:t xml:space="preserve">selon les différentes </w:t>
      </w:r>
      <w:r w:rsidR="00AF033C" w:rsidRPr="005267CA">
        <w:t xml:space="preserve">vagues d’enquête </w:t>
      </w:r>
      <w:r w:rsidR="00591356">
        <w:t xml:space="preserve">de 2013, 2016 et 2019 </w:t>
      </w:r>
      <w:r w:rsidR="00AF033C" w:rsidRPr="005267CA">
        <w:t xml:space="preserve">chez les </w:t>
      </w:r>
      <w:r w:rsidR="00F57CB6" w:rsidRPr="005267CA">
        <w:t>enfants</w:t>
      </w:r>
      <w:r w:rsidR="00AF033C" w:rsidRPr="005267CA">
        <w:t xml:space="preserve"> </w:t>
      </w:r>
      <w:r w:rsidR="005972A1" w:rsidRPr="005267CA">
        <w:t>de 3 à 17 ans</w:t>
      </w:r>
      <w:bookmarkEnd w:id="118"/>
    </w:p>
    <w:p w14:paraId="069C9D39" w14:textId="2DC80A87" w:rsidR="005972A1" w:rsidRPr="005267CA" w:rsidRDefault="00AF033C" w:rsidP="005267CA">
      <w:pPr>
        <w:pStyle w:val="Lgende"/>
      </w:pPr>
      <w:r w:rsidRPr="005267CA">
        <w:t>(</w:t>
      </w:r>
      <w:r w:rsidR="00DB1330" w:rsidRPr="005267CA">
        <w:t>Source</w:t>
      </w:r>
      <w:r w:rsidRPr="005267CA">
        <w:t> : Ifip d’après Credoc, 2020).</w:t>
      </w:r>
    </w:p>
    <w:p w14:paraId="2AFF33B6" w14:textId="01AD035F" w:rsidR="00714C99" w:rsidRDefault="004D7F48" w:rsidP="002A1EF4">
      <w:pPr>
        <w:rPr>
          <w:rFonts w:cs="Arial"/>
        </w:rPr>
      </w:pPr>
      <w:r>
        <w:rPr>
          <w:rFonts w:cs="Arial"/>
        </w:rPr>
        <w:t xml:space="preserve">Avec </w:t>
      </w:r>
      <w:r w:rsidR="00D335D7" w:rsidRPr="00321536">
        <w:rPr>
          <w:rFonts w:cs="Arial"/>
        </w:rPr>
        <w:t xml:space="preserve">en moyenne </w:t>
      </w:r>
      <w:r w:rsidR="00AF033C">
        <w:rPr>
          <w:rFonts w:cs="Arial"/>
        </w:rPr>
        <w:t>194</w:t>
      </w:r>
      <w:r w:rsidR="009C6018">
        <w:rPr>
          <w:rFonts w:cs="Arial"/>
        </w:rPr>
        <w:t> </w:t>
      </w:r>
      <w:r w:rsidR="00D335D7" w:rsidRPr="00321536">
        <w:rPr>
          <w:rFonts w:cs="Arial"/>
        </w:rPr>
        <w:t>g/semaine (</w:t>
      </w:r>
      <w:r w:rsidR="00AF033C">
        <w:rPr>
          <w:rFonts w:cs="Arial"/>
        </w:rPr>
        <w:t>27,7</w:t>
      </w:r>
      <w:r w:rsidR="009C6018">
        <w:rPr>
          <w:rFonts w:cs="Arial"/>
        </w:rPr>
        <w:t> </w:t>
      </w:r>
      <w:r w:rsidR="00D335D7" w:rsidRPr="00321536">
        <w:rPr>
          <w:rFonts w:cs="Arial"/>
        </w:rPr>
        <w:t>g/jour) de</w:t>
      </w:r>
      <w:r w:rsidR="00695755">
        <w:rPr>
          <w:rFonts w:cs="Arial"/>
        </w:rPr>
        <w:t xml:space="preserve"> charcuteries </w:t>
      </w:r>
      <w:r>
        <w:rPr>
          <w:rFonts w:cs="Arial"/>
        </w:rPr>
        <w:t xml:space="preserve">hors saucisserie </w:t>
      </w:r>
      <w:r w:rsidR="00BE5ACF">
        <w:rPr>
          <w:rFonts w:cs="Arial"/>
        </w:rPr>
        <w:t xml:space="preserve">consommées </w:t>
      </w:r>
      <w:r w:rsidR="005972A1">
        <w:rPr>
          <w:rFonts w:cs="Arial"/>
        </w:rPr>
        <w:t>en 2019</w:t>
      </w:r>
      <w:r>
        <w:rPr>
          <w:rFonts w:cs="Arial"/>
        </w:rPr>
        <w:t>,</w:t>
      </w:r>
      <w:r w:rsidR="005972A1">
        <w:rPr>
          <w:rFonts w:cs="Arial"/>
        </w:rPr>
        <w:t xml:space="preserve"> </w:t>
      </w:r>
      <w:r>
        <w:rPr>
          <w:rFonts w:cs="Arial"/>
        </w:rPr>
        <w:t xml:space="preserve">les adultes quant à eux, </w:t>
      </w:r>
      <w:r w:rsidR="00E77671">
        <w:rPr>
          <w:rFonts w:cs="Arial"/>
        </w:rPr>
        <w:t>auraien</w:t>
      </w:r>
      <w:r>
        <w:rPr>
          <w:rFonts w:cs="Arial"/>
        </w:rPr>
        <w:t xml:space="preserve">t une consommation </w:t>
      </w:r>
      <w:r w:rsidR="005972A1">
        <w:rPr>
          <w:rFonts w:cs="Arial"/>
        </w:rPr>
        <w:t>en hausse de 4,9</w:t>
      </w:r>
      <w:r w:rsidR="009C6018">
        <w:rPr>
          <w:rFonts w:cs="Arial"/>
        </w:rPr>
        <w:t> </w:t>
      </w:r>
      <w:r w:rsidR="005972A1">
        <w:rPr>
          <w:rFonts w:cs="Arial"/>
        </w:rPr>
        <w:t>% par rapport à 2013, soit en 6 ans</w:t>
      </w:r>
      <w:r w:rsidR="00D335D7" w:rsidRPr="00321536">
        <w:rPr>
          <w:rFonts w:cs="Arial"/>
        </w:rPr>
        <w:t xml:space="preserve">. </w:t>
      </w:r>
      <w:r>
        <w:rPr>
          <w:rFonts w:cs="Arial"/>
        </w:rPr>
        <w:t xml:space="preserve">La part jambon de volaille </w:t>
      </w:r>
      <w:r w:rsidR="00BE5ACF">
        <w:rPr>
          <w:rFonts w:cs="Arial"/>
        </w:rPr>
        <w:t xml:space="preserve">dont on sait qu’elle se développe, </w:t>
      </w:r>
      <w:r>
        <w:rPr>
          <w:rFonts w:cs="Arial"/>
        </w:rPr>
        <w:t>ne représente que 3,6</w:t>
      </w:r>
      <w:r w:rsidR="009C6018">
        <w:rPr>
          <w:rFonts w:cs="Arial"/>
        </w:rPr>
        <w:t> </w:t>
      </w:r>
      <w:r>
        <w:rPr>
          <w:rFonts w:cs="Arial"/>
        </w:rPr>
        <w:t>% et la charcuterie ingrédients</w:t>
      </w:r>
      <w:r w:rsidR="00B87E21">
        <w:rPr>
          <w:rFonts w:cs="Arial"/>
        </w:rPr>
        <w:t xml:space="preserve"> est stable à</w:t>
      </w:r>
      <w:r>
        <w:rPr>
          <w:rFonts w:cs="Arial"/>
        </w:rPr>
        <w:t xml:space="preserve"> 23</w:t>
      </w:r>
      <w:r w:rsidR="009C6018">
        <w:rPr>
          <w:rFonts w:cs="Arial"/>
        </w:rPr>
        <w:t> </w:t>
      </w:r>
      <w:r>
        <w:rPr>
          <w:rFonts w:cs="Arial"/>
        </w:rPr>
        <w:t xml:space="preserve">%. La </w:t>
      </w:r>
      <w:r w:rsidR="00BE5ACF">
        <w:rPr>
          <w:rFonts w:cs="Arial"/>
        </w:rPr>
        <w:t xml:space="preserve">catégorie ne recrute pas puisque le </w:t>
      </w:r>
      <w:r w:rsidR="00BE5ACF">
        <w:rPr>
          <w:rFonts w:cs="Arial"/>
        </w:rPr>
        <w:lastRenderedPageBreak/>
        <w:t>taux de</w:t>
      </w:r>
      <w:r>
        <w:rPr>
          <w:rFonts w:cs="Arial"/>
        </w:rPr>
        <w:t xml:space="preserve"> consommateurs</w:t>
      </w:r>
      <w:r w:rsidR="00B87E21">
        <w:rPr>
          <w:rFonts w:cs="Arial"/>
        </w:rPr>
        <w:t xml:space="preserve"> varie p</w:t>
      </w:r>
      <w:r w:rsidR="002A1EF4">
        <w:rPr>
          <w:rFonts w:cs="Arial"/>
        </w:rPr>
        <w:t>eu (</w:t>
      </w:r>
      <w:r w:rsidR="0087192A">
        <w:rPr>
          <w:rFonts w:cs="Arial"/>
        </w:rPr>
        <w:t>89</w:t>
      </w:r>
      <w:r w:rsidR="009C6018">
        <w:rPr>
          <w:rFonts w:cs="Arial"/>
        </w:rPr>
        <w:t> </w:t>
      </w:r>
      <w:r w:rsidR="00BE5ACF">
        <w:rPr>
          <w:rFonts w:cs="Arial"/>
        </w:rPr>
        <w:t>%</w:t>
      </w:r>
      <w:r w:rsidR="002A1EF4">
        <w:rPr>
          <w:rFonts w:cs="Arial"/>
        </w:rPr>
        <w:t>)</w:t>
      </w:r>
      <w:r w:rsidR="00BE5ACF">
        <w:rPr>
          <w:rFonts w:cs="Arial"/>
        </w:rPr>
        <w:t xml:space="preserve">. Sur le plan des typologies de produits, la configuration est relativement différente </w:t>
      </w:r>
      <w:r w:rsidR="002A1EF4">
        <w:rPr>
          <w:rFonts w:cs="Arial"/>
        </w:rPr>
        <w:t>de</w:t>
      </w:r>
      <w:r w:rsidR="00BE5ACF">
        <w:rPr>
          <w:rFonts w:cs="Arial"/>
        </w:rPr>
        <w:t xml:space="preserve"> celle des enfants puisque </w:t>
      </w:r>
      <w:r w:rsidR="0087192A">
        <w:rPr>
          <w:rFonts w:cs="Arial"/>
        </w:rPr>
        <w:t xml:space="preserve">la </w:t>
      </w:r>
      <w:r w:rsidR="002A1EF4">
        <w:rPr>
          <w:rFonts w:cs="Arial"/>
        </w:rPr>
        <w:t>consomm</w:t>
      </w:r>
      <w:r w:rsidR="0087192A">
        <w:rPr>
          <w:rFonts w:cs="Arial"/>
        </w:rPr>
        <w:t xml:space="preserve">ation </w:t>
      </w:r>
      <w:r w:rsidR="002A1EF4">
        <w:rPr>
          <w:rFonts w:cs="Arial"/>
        </w:rPr>
        <w:t>du jambon cuit</w:t>
      </w:r>
      <w:r w:rsidR="0087192A">
        <w:rPr>
          <w:rFonts w:cs="Arial"/>
        </w:rPr>
        <w:t>, soit le tiers des volumes (35</w:t>
      </w:r>
      <w:r w:rsidR="009C6018">
        <w:rPr>
          <w:rFonts w:cs="Arial"/>
        </w:rPr>
        <w:t> </w:t>
      </w:r>
      <w:r w:rsidR="0087192A">
        <w:rPr>
          <w:rFonts w:cs="Arial"/>
        </w:rPr>
        <w:t>%) est en recul</w:t>
      </w:r>
      <w:r w:rsidR="002A1EF4">
        <w:rPr>
          <w:rFonts w:cs="Arial"/>
        </w:rPr>
        <w:t xml:space="preserve"> </w:t>
      </w:r>
      <w:r w:rsidR="0087192A">
        <w:rPr>
          <w:rFonts w:cs="Arial"/>
        </w:rPr>
        <w:t>continu</w:t>
      </w:r>
      <w:r w:rsidR="00BE5ACF">
        <w:rPr>
          <w:rFonts w:cs="Arial"/>
        </w:rPr>
        <w:t xml:space="preserve"> </w:t>
      </w:r>
      <w:r w:rsidR="002A1EF4">
        <w:rPr>
          <w:rFonts w:cs="Arial"/>
        </w:rPr>
        <w:t>(</w:t>
      </w:r>
      <w:r w:rsidR="00BE5ACF">
        <w:rPr>
          <w:rFonts w:cs="Arial"/>
        </w:rPr>
        <w:t>-</w:t>
      </w:r>
      <w:r w:rsidR="009C6018">
        <w:rPr>
          <w:rFonts w:cs="Arial"/>
        </w:rPr>
        <w:t> </w:t>
      </w:r>
      <w:r w:rsidR="00BE5ACF">
        <w:rPr>
          <w:rFonts w:cs="Arial"/>
        </w:rPr>
        <w:t>19</w:t>
      </w:r>
      <w:r w:rsidR="009C6018">
        <w:rPr>
          <w:rFonts w:cs="Arial"/>
        </w:rPr>
        <w:t> </w:t>
      </w:r>
      <w:r w:rsidR="00BE5ACF">
        <w:rPr>
          <w:rFonts w:cs="Arial"/>
        </w:rPr>
        <w:t>% 19</w:t>
      </w:r>
      <w:r w:rsidR="0087192A">
        <w:rPr>
          <w:rFonts w:cs="Arial"/>
        </w:rPr>
        <w:t>/</w:t>
      </w:r>
      <w:r w:rsidR="00BE5ACF">
        <w:rPr>
          <w:rFonts w:cs="Arial"/>
        </w:rPr>
        <w:t>13</w:t>
      </w:r>
      <w:r w:rsidR="002A1EF4">
        <w:rPr>
          <w:rFonts w:cs="Arial"/>
        </w:rPr>
        <w:t>). L</w:t>
      </w:r>
      <w:r w:rsidR="0087192A">
        <w:rPr>
          <w:rFonts w:cs="Arial"/>
        </w:rPr>
        <w:t>a fréquence des consommateurs de jambon cuit chute avec une moyenne de 1,</w:t>
      </w:r>
      <w:r w:rsidR="00C97988">
        <w:rPr>
          <w:rFonts w:cs="Arial"/>
        </w:rPr>
        <w:t>3</w:t>
      </w:r>
      <w:r w:rsidR="0087192A">
        <w:rPr>
          <w:rFonts w:cs="Arial"/>
        </w:rPr>
        <w:t xml:space="preserve"> fois par semaine en 2019 contre 1,7 fois en 2013.</w:t>
      </w:r>
    </w:p>
    <w:p w14:paraId="3D33BF97" w14:textId="1CD5DF40" w:rsidR="005267CA" w:rsidRPr="005267CA" w:rsidRDefault="009C6018" w:rsidP="005267CA">
      <w:pPr>
        <w:spacing w:after="0" w:line="240" w:lineRule="auto"/>
        <w:rPr>
          <w:sz w:val="16"/>
          <w:szCs w:val="16"/>
        </w:rPr>
      </w:pPr>
      <w:r>
        <w:rPr>
          <w:noProof/>
        </w:rPr>
        <w:drawing>
          <wp:inline distT="0" distB="0" distL="0" distR="0" wp14:anchorId="2592E603" wp14:editId="1428093E">
            <wp:extent cx="5759450" cy="1626800"/>
            <wp:effectExtent l="0" t="0" r="0" b="0"/>
            <wp:docPr id="82" name="Graphique 82">
              <a:extLst xmlns:a="http://schemas.openxmlformats.org/drawingml/2006/main">
                <a:ext uri="{FF2B5EF4-FFF2-40B4-BE49-F238E27FC236}">
                  <a16:creationId xmlns:a16="http://schemas.microsoft.com/office/drawing/2014/main" id="{0B476DA2-EA02-43CE-9514-537FD6D61AA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4B04FC00" w14:textId="10885B66" w:rsidR="00C97988" w:rsidRPr="00591356" w:rsidRDefault="009C6018" w:rsidP="00591356">
      <w:pPr>
        <w:pStyle w:val="figure"/>
        <w:rPr>
          <w:rFonts w:eastAsiaTheme="minorHAnsi"/>
          <w:b w:val="0"/>
          <w:iCs w:val="0"/>
          <w:lang w:eastAsia="en-US"/>
        </w:rPr>
      </w:pPr>
      <w:bookmarkStart w:id="119" w:name="_Toc69511407"/>
      <w:r w:rsidRPr="005267CA">
        <w:rPr>
          <w:rStyle w:val="figureCar"/>
          <w:rFonts w:eastAsiaTheme="minorHAnsi"/>
          <w:b/>
          <w:bCs/>
          <w:iCs/>
        </w:rPr>
        <w:t xml:space="preserve">Figure </w:t>
      </w:r>
      <w:r w:rsidRPr="005267CA">
        <w:rPr>
          <w:rStyle w:val="figureCar"/>
          <w:rFonts w:eastAsiaTheme="minorHAnsi"/>
          <w:b/>
          <w:bCs/>
          <w:iCs/>
        </w:rPr>
        <w:fldChar w:fldCharType="begin"/>
      </w:r>
      <w:r w:rsidRPr="005267CA">
        <w:rPr>
          <w:rStyle w:val="figureCar"/>
          <w:rFonts w:eastAsiaTheme="minorHAnsi"/>
          <w:b/>
          <w:bCs/>
          <w:iCs/>
        </w:rPr>
        <w:instrText xml:space="preserve"> SEQ Figure \* ARABIC </w:instrText>
      </w:r>
      <w:r w:rsidRPr="005267CA">
        <w:rPr>
          <w:rStyle w:val="figureCar"/>
          <w:rFonts w:eastAsiaTheme="minorHAnsi"/>
          <w:b/>
          <w:bCs/>
          <w:iCs/>
        </w:rPr>
        <w:fldChar w:fldCharType="separate"/>
      </w:r>
      <w:r w:rsidR="0007597F">
        <w:rPr>
          <w:rStyle w:val="figureCar"/>
          <w:rFonts w:eastAsiaTheme="minorHAnsi"/>
          <w:b/>
          <w:bCs/>
          <w:iCs/>
          <w:noProof/>
        </w:rPr>
        <w:t>15</w:t>
      </w:r>
      <w:r w:rsidRPr="005267CA">
        <w:rPr>
          <w:rStyle w:val="figureCar"/>
          <w:rFonts w:eastAsiaTheme="minorHAnsi"/>
          <w:b/>
          <w:bCs/>
          <w:iCs/>
        </w:rPr>
        <w:fldChar w:fldCharType="end"/>
      </w:r>
      <w:r w:rsidRPr="005267CA">
        <w:rPr>
          <w:rStyle w:val="figureCar"/>
          <w:rFonts w:eastAsiaTheme="minorHAnsi"/>
          <w:b/>
          <w:bCs/>
          <w:iCs/>
        </w:rPr>
        <w:t xml:space="preserve"> </w:t>
      </w:r>
      <w:r w:rsidR="00D335D7" w:rsidRPr="005267CA">
        <w:rPr>
          <w:rStyle w:val="figureCar"/>
          <w:rFonts w:eastAsiaTheme="minorHAnsi"/>
          <w:b/>
          <w:bCs/>
          <w:iCs/>
        </w:rPr>
        <w:t xml:space="preserve">: Quantités consommées </w:t>
      </w:r>
      <w:r w:rsidR="00714C99" w:rsidRPr="005267CA">
        <w:rPr>
          <w:rStyle w:val="figureCar"/>
          <w:rFonts w:eastAsiaTheme="minorHAnsi"/>
          <w:b/>
          <w:bCs/>
          <w:iCs/>
        </w:rPr>
        <w:t>charcuterie hors</w:t>
      </w:r>
      <w:r w:rsidR="00D335D7" w:rsidRPr="005267CA">
        <w:rPr>
          <w:rStyle w:val="figureCar"/>
          <w:rFonts w:eastAsiaTheme="minorHAnsi"/>
          <w:b/>
          <w:bCs/>
          <w:iCs/>
        </w:rPr>
        <w:t xml:space="preserve"> saucisserie en g/jour et évolution des quantités consommées </w:t>
      </w:r>
      <w:r w:rsidR="00591356">
        <w:rPr>
          <w:rStyle w:val="figureCar"/>
          <w:rFonts w:eastAsiaTheme="minorHAnsi"/>
          <w:b/>
          <w:bCs/>
          <w:iCs/>
        </w:rPr>
        <w:t>selon</w:t>
      </w:r>
      <w:r w:rsidR="00D335D7" w:rsidRPr="005267CA">
        <w:rPr>
          <w:rStyle w:val="figureCar"/>
          <w:rFonts w:eastAsiaTheme="minorHAnsi"/>
          <w:b/>
          <w:bCs/>
          <w:iCs/>
        </w:rPr>
        <w:t xml:space="preserve"> les </w:t>
      </w:r>
      <w:r w:rsidR="00591356">
        <w:rPr>
          <w:rStyle w:val="figureCar"/>
          <w:rFonts w:eastAsiaTheme="minorHAnsi"/>
          <w:b/>
          <w:bCs/>
          <w:iCs/>
        </w:rPr>
        <w:t xml:space="preserve">différentes </w:t>
      </w:r>
      <w:r w:rsidR="00D335D7" w:rsidRPr="005267CA">
        <w:rPr>
          <w:rStyle w:val="figureCar"/>
          <w:rFonts w:eastAsiaTheme="minorHAnsi"/>
          <w:b/>
          <w:bCs/>
          <w:iCs/>
        </w:rPr>
        <w:t>vagues d’enquête</w:t>
      </w:r>
      <w:r w:rsidR="00591356">
        <w:rPr>
          <w:rStyle w:val="figureCar"/>
          <w:rFonts w:eastAsiaTheme="minorHAnsi"/>
          <w:b/>
          <w:bCs/>
          <w:iCs/>
        </w:rPr>
        <w:t xml:space="preserve"> de 2013, 2016 et 2019 </w:t>
      </w:r>
      <w:r w:rsidR="00D335D7" w:rsidRPr="005267CA">
        <w:rPr>
          <w:rStyle w:val="figureCar"/>
          <w:rFonts w:eastAsiaTheme="minorHAnsi"/>
          <w:b/>
          <w:bCs/>
          <w:iCs/>
        </w:rPr>
        <w:t xml:space="preserve">chez les adultes </w:t>
      </w:r>
      <w:r w:rsidR="005972A1" w:rsidRPr="005267CA">
        <w:rPr>
          <w:rStyle w:val="figureCar"/>
          <w:rFonts w:eastAsiaTheme="minorHAnsi"/>
          <w:b/>
          <w:bCs/>
          <w:iCs/>
        </w:rPr>
        <w:t>(18 à 79 ans)</w:t>
      </w:r>
      <w:bookmarkEnd w:id="119"/>
      <w:r w:rsidR="00591356">
        <w:rPr>
          <w:rStyle w:val="figureCar"/>
          <w:rFonts w:eastAsiaTheme="minorHAnsi"/>
          <w:b/>
          <w:bCs/>
          <w:iCs/>
        </w:rPr>
        <w:t xml:space="preserve"> </w:t>
      </w:r>
      <w:r w:rsidR="00D335D7" w:rsidRPr="00591356">
        <w:rPr>
          <w:rFonts w:eastAsiaTheme="minorHAnsi"/>
          <w:b w:val="0"/>
          <w:i/>
          <w:lang w:eastAsia="en-US"/>
        </w:rPr>
        <w:t>(</w:t>
      </w:r>
      <w:r w:rsidR="00A13465" w:rsidRPr="00591356">
        <w:rPr>
          <w:rFonts w:eastAsiaTheme="minorHAnsi"/>
          <w:b w:val="0"/>
          <w:i/>
          <w:lang w:eastAsia="en-US"/>
        </w:rPr>
        <w:t>Source</w:t>
      </w:r>
      <w:r w:rsidR="00D335D7" w:rsidRPr="00591356">
        <w:rPr>
          <w:rFonts w:eastAsiaTheme="minorHAnsi"/>
          <w:b w:val="0"/>
          <w:i/>
          <w:lang w:eastAsia="en-US"/>
        </w:rPr>
        <w:t> : Ifip d’après Credoc, 2020).</w:t>
      </w:r>
    </w:p>
    <w:p w14:paraId="2106A8FC" w14:textId="1929E824" w:rsidR="00714C99" w:rsidRPr="003D3FB1" w:rsidRDefault="00714C99" w:rsidP="00714C99">
      <w:pPr>
        <w:rPr>
          <w:rFonts w:cs="Arial"/>
        </w:rPr>
      </w:pPr>
      <w:r>
        <w:rPr>
          <w:rFonts w:cs="Arial"/>
        </w:rPr>
        <w:t>Seconde catégorie les jambons crus et secs avec 58</w:t>
      </w:r>
      <w:r w:rsidR="009C6018">
        <w:rPr>
          <w:rFonts w:cs="Arial"/>
        </w:rPr>
        <w:t> </w:t>
      </w:r>
      <w:r>
        <w:rPr>
          <w:rFonts w:cs="Arial"/>
        </w:rPr>
        <w:t>g/semaine (8,3</w:t>
      </w:r>
      <w:r w:rsidR="009C6018">
        <w:rPr>
          <w:rFonts w:cs="Arial"/>
        </w:rPr>
        <w:t> </w:t>
      </w:r>
      <w:r>
        <w:rPr>
          <w:rFonts w:cs="Arial"/>
        </w:rPr>
        <w:t>%) sont en forte progression (50</w:t>
      </w:r>
      <w:r w:rsidR="009C6018">
        <w:rPr>
          <w:rFonts w:cs="Arial"/>
        </w:rPr>
        <w:t> </w:t>
      </w:r>
      <w:r>
        <w:rPr>
          <w:rFonts w:cs="Arial"/>
        </w:rPr>
        <w:t>%) par rapport à 2013 et leur consommation moyenne augmente, passant de 0,8 à 1 fois par semaine. Les pâtés, rillettes représentent 31</w:t>
      </w:r>
      <w:r w:rsidR="00591356">
        <w:rPr>
          <w:rFonts w:cs="Arial"/>
        </w:rPr>
        <w:t> </w:t>
      </w:r>
      <w:r>
        <w:rPr>
          <w:rFonts w:cs="Arial"/>
        </w:rPr>
        <w:t>g/semaine et les lardons 19</w:t>
      </w:r>
      <w:r w:rsidR="009C6018">
        <w:rPr>
          <w:rFonts w:cs="Arial"/>
        </w:rPr>
        <w:t> </w:t>
      </w:r>
      <w:r>
        <w:rPr>
          <w:rFonts w:cs="Arial"/>
        </w:rPr>
        <w:t>g/semaine.</w:t>
      </w:r>
      <w:r w:rsidR="003D3FB1">
        <w:rPr>
          <w:rFonts w:cs="Arial"/>
        </w:rPr>
        <w:t xml:space="preserve"> </w:t>
      </w:r>
    </w:p>
    <w:p w14:paraId="085DCD22" w14:textId="00B6E5BC" w:rsidR="00C97988" w:rsidRPr="00E75DB8" w:rsidRDefault="00E75DB8" w:rsidP="009C6018">
      <w:pPr>
        <w:pStyle w:val="Titre4"/>
      </w:pPr>
      <w:bookmarkStart w:id="120" w:name="_Toc78131582"/>
      <w:r>
        <w:t>3</w:t>
      </w:r>
      <w:r w:rsidRPr="00D00A7D">
        <w:t>.</w:t>
      </w:r>
      <w:r>
        <w:t>3</w:t>
      </w:r>
      <w:r w:rsidRPr="00D00A7D">
        <w:t>.</w:t>
      </w:r>
      <w:r>
        <w:t>2</w:t>
      </w:r>
      <w:r w:rsidRPr="00D00A7D">
        <w:t>.</w:t>
      </w:r>
      <w:r>
        <w:t>3</w:t>
      </w:r>
      <w:r w:rsidRPr="00D00A7D">
        <w:t xml:space="preserve">. </w:t>
      </w:r>
      <w:r>
        <w:t>Consommation de produits de saucisserie</w:t>
      </w:r>
      <w:bookmarkEnd w:id="120"/>
    </w:p>
    <w:p w14:paraId="6116FAD2" w14:textId="101EB2E1" w:rsidR="00714C99" w:rsidRDefault="00D335D7" w:rsidP="00E75DB8">
      <w:pPr>
        <w:rPr>
          <w:rFonts w:cs="Arial"/>
        </w:rPr>
      </w:pPr>
      <w:r w:rsidRPr="006E3555">
        <w:rPr>
          <w:rFonts w:cs="Arial"/>
        </w:rPr>
        <w:t xml:space="preserve">La saucisserie </w:t>
      </w:r>
      <w:r w:rsidR="002E026B">
        <w:rPr>
          <w:rFonts w:cs="Arial"/>
        </w:rPr>
        <w:t>qui regroupe les produits de gros hachage et</w:t>
      </w:r>
      <w:r w:rsidRPr="006E3555">
        <w:rPr>
          <w:rFonts w:cs="Arial"/>
        </w:rPr>
        <w:t xml:space="preserve"> </w:t>
      </w:r>
      <w:r w:rsidR="002E026B">
        <w:rPr>
          <w:rFonts w:cs="Arial"/>
        </w:rPr>
        <w:t xml:space="preserve">la saucisserie fraîche </w:t>
      </w:r>
      <w:r w:rsidR="00D672A2">
        <w:rPr>
          <w:rFonts w:cs="Arial"/>
        </w:rPr>
        <w:t>représente</w:t>
      </w:r>
      <w:r w:rsidR="00BD0235">
        <w:rPr>
          <w:rFonts w:cs="Arial"/>
        </w:rPr>
        <w:t>rait</w:t>
      </w:r>
      <w:r w:rsidR="00D672A2">
        <w:rPr>
          <w:rFonts w:cs="Arial"/>
        </w:rPr>
        <w:t xml:space="preserve"> </w:t>
      </w:r>
      <w:r w:rsidR="002E026B">
        <w:rPr>
          <w:rFonts w:cs="Arial"/>
        </w:rPr>
        <w:t xml:space="preserve">désormais </w:t>
      </w:r>
      <w:r w:rsidR="00613418">
        <w:rPr>
          <w:rFonts w:cs="Arial"/>
        </w:rPr>
        <w:t xml:space="preserve">en volumes </w:t>
      </w:r>
      <w:r w:rsidR="002E026B">
        <w:rPr>
          <w:rFonts w:cs="Arial"/>
        </w:rPr>
        <w:t xml:space="preserve">environ un tiers </w:t>
      </w:r>
      <w:r w:rsidR="00BD0235">
        <w:rPr>
          <w:rFonts w:cs="Arial"/>
        </w:rPr>
        <w:t xml:space="preserve">du total charcuterie (saucisserie inclue) </w:t>
      </w:r>
      <w:r w:rsidR="002E026B">
        <w:rPr>
          <w:rFonts w:cs="Arial"/>
        </w:rPr>
        <w:t xml:space="preserve">avec </w:t>
      </w:r>
      <w:r w:rsidR="00D672A2">
        <w:rPr>
          <w:rFonts w:cs="Arial"/>
        </w:rPr>
        <w:t xml:space="preserve">respectivement </w:t>
      </w:r>
      <w:r w:rsidR="002E026B">
        <w:rPr>
          <w:rFonts w:cs="Arial"/>
        </w:rPr>
        <w:t>chez l</w:t>
      </w:r>
      <w:r w:rsidR="002E026B" w:rsidRPr="006E3555">
        <w:rPr>
          <w:rFonts w:cs="Arial"/>
        </w:rPr>
        <w:t xml:space="preserve">es enfants </w:t>
      </w:r>
      <w:r w:rsidR="002E026B">
        <w:rPr>
          <w:rFonts w:cs="Arial"/>
        </w:rPr>
        <w:t>et l</w:t>
      </w:r>
      <w:r w:rsidR="002E026B" w:rsidRPr="006E3555">
        <w:rPr>
          <w:rFonts w:cs="Arial"/>
        </w:rPr>
        <w:t>es adultes</w:t>
      </w:r>
      <w:r w:rsidR="00613418">
        <w:rPr>
          <w:rFonts w:cs="Arial"/>
        </w:rPr>
        <w:t>,</w:t>
      </w:r>
      <w:r w:rsidR="002E026B">
        <w:rPr>
          <w:rFonts w:cs="Arial"/>
        </w:rPr>
        <w:t xml:space="preserve"> </w:t>
      </w:r>
      <w:r w:rsidR="00714C99">
        <w:rPr>
          <w:rFonts w:cs="Arial"/>
        </w:rPr>
        <w:t>39</w:t>
      </w:r>
      <w:r w:rsidR="009C6018">
        <w:rPr>
          <w:rFonts w:cs="Arial"/>
        </w:rPr>
        <w:t> </w:t>
      </w:r>
      <w:r w:rsidR="00D672A2">
        <w:rPr>
          <w:rFonts w:cs="Arial"/>
        </w:rPr>
        <w:t xml:space="preserve">% et </w:t>
      </w:r>
      <w:r w:rsidR="00714C99">
        <w:rPr>
          <w:rFonts w:cs="Arial"/>
        </w:rPr>
        <w:t>31</w:t>
      </w:r>
      <w:r w:rsidR="009C6018">
        <w:rPr>
          <w:rFonts w:cs="Arial"/>
        </w:rPr>
        <w:t> </w:t>
      </w:r>
      <w:r w:rsidR="00D672A2">
        <w:rPr>
          <w:rFonts w:cs="Arial"/>
        </w:rPr>
        <w:t>%</w:t>
      </w:r>
      <w:r w:rsidR="00BD0235">
        <w:rPr>
          <w:rFonts w:cs="Arial"/>
        </w:rPr>
        <w:t>.</w:t>
      </w:r>
    </w:p>
    <w:p w14:paraId="084AD0A4" w14:textId="0695AF1D" w:rsidR="00714C99" w:rsidRDefault="00714C99" w:rsidP="009C6018">
      <w:pPr>
        <w:keepNext/>
        <w:rPr>
          <w:rFonts w:cs="Arial"/>
        </w:rPr>
      </w:pPr>
      <w:r>
        <w:rPr>
          <w:rFonts w:eastAsia="Times New Roman" w:cs="Arial"/>
          <w:i/>
          <w:iCs/>
          <w:noProof/>
          <w:lang w:eastAsia="fr-FR"/>
        </w:rPr>
        <w:drawing>
          <wp:anchor distT="0" distB="0" distL="114300" distR="114300" simplePos="0" relativeHeight="251658244" behindDoc="0" locked="0" layoutInCell="1" allowOverlap="1" wp14:anchorId="3F71F744" wp14:editId="0F4D68D8">
            <wp:simplePos x="0" y="0"/>
            <wp:positionH relativeFrom="margin">
              <wp:align>left</wp:align>
            </wp:positionH>
            <wp:positionV relativeFrom="paragraph">
              <wp:posOffset>15326</wp:posOffset>
            </wp:positionV>
            <wp:extent cx="5781675" cy="1638935"/>
            <wp:effectExtent l="0" t="0" r="0" b="0"/>
            <wp:wrapNone/>
            <wp:docPr id="75" name="Graphique 7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p>
    <w:p w14:paraId="6F963890" w14:textId="1257DE75" w:rsidR="00714C99" w:rsidRDefault="00714C99" w:rsidP="009C6018">
      <w:pPr>
        <w:keepNext/>
        <w:rPr>
          <w:rFonts w:cs="Arial"/>
        </w:rPr>
      </w:pPr>
    </w:p>
    <w:p w14:paraId="652053A1" w14:textId="47CFF824" w:rsidR="00714C99" w:rsidRDefault="00714C99" w:rsidP="009C6018">
      <w:pPr>
        <w:keepNext/>
        <w:rPr>
          <w:rFonts w:cs="Arial"/>
        </w:rPr>
      </w:pPr>
    </w:p>
    <w:p w14:paraId="27E74730" w14:textId="6EA2B275" w:rsidR="00714C99" w:rsidRDefault="00714C99" w:rsidP="009C6018">
      <w:pPr>
        <w:keepNext/>
        <w:rPr>
          <w:rFonts w:cs="Arial"/>
        </w:rPr>
      </w:pPr>
    </w:p>
    <w:p w14:paraId="72A53148" w14:textId="46607DE2" w:rsidR="00714C99" w:rsidRDefault="00714C99" w:rsidP="009C6018">
      <w:pPr>
        <w:keepNext/>
        <w:rPr>
          <w:rFonts w:cs="Arial"/>
        </w:rPr>
      </w:pPr>
    </w:p>
    <w:p w14:paraId="7ECA2223" w14:textId="2B8C8D28" w:rsidR="00714C99" w:rsidRDefault="00714C99" w:rsidP="009C6018">
      <w:pPr>
        <w:keepNext/>
        <w:rPr>
          <w:rFonts w:cs="Arial"/>
        </w:rPr>
      </w:pPr>
    </w:p>
    <w:p w14:paraId="2BF50324" w14:textId="7FD3CB25" w:rsidR="00C76745" w:rsidRDefault="00714C99" w:rsidP="009C6018">
      <w:pPr>
        <w:keepNext/>
        <w:jc w:val="center"/>
        <w:rPr>
          <w:rFonts w:cs="Arial"/>
        </w:rPr>
      </w:pPr>
      <w:r>
        <w:rPr>
          <w:noProof/>
        </w:rPr>
        <w:drawing>
          <wp:inline distT="0" distB="0" distL="0" distR="0" wp14:anchorId="134FC6B6" wp14:editId="171030BF">
            <wp:extent cx="5715000" cy="1475105"/>
            <wp:effectExtent l="0" t="0" r="0" b="0"/>
            <wp:docPr id="84" name="Graphique 84">
              <a:extLst xmlns:a="http://schemas.openxmlformats.org/drawingml/2006/main">
                <a:ext uri="{FF2B5EF4-FFF2-40B4-BE49-F238E27FC236}">
                  <a16:creationId xmlns:a16="http://schemas.microsoft.com/office/drawing/2014/main" id="{E22057B1-EAD9-4E8B-8008-22F732910A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7252985D" w14:textId="0C4ACCD3" w:rsidR="005267CA" w:rsidRPr="005267CA" w:rsidRDefault="009C6018" w:rsidP="005267CA">
      <w:pPr>
        <w:pStyle w:val="figure"/>
      </w:pPr>
      <w:bookmarkStart w:id="121" w:name="_Ref58418622"/>
      <w:bookmarkStart w:id="122" w:name="_Toc69511408"/>
      <w:r w:rsidRPr="005267CA">
        <w:rPr>
          <w:rStyle w:val="figureCar"/>
          <w:b/>
          <w:bCs/>
          <w:iCs/>
        </w:rPr>
        <w:t xml:space="preserve">Figure </w:t>
      </w:r>
      <w:r w:rsidRPr="005267CA">
        <w:rPr>
          <w:rStyle w:val="figureCar"/>
          <w:b/>
          <w:bCs/>
          <w:iCs/>
        </w:rPr>
        <w:fldChar w:fldCharType="begin"/>
      </w:r>
      <w:r w:rsidRPr="005267CA">
        <w:rPr>
          <w:rStyle w:val="figureCar"/>
          <w:b/>
          <w:bCs/>
          <w:iCs/>
        </w:rPr>
        <w:instrText xml:space="preserve"> SEQ Figure \* ARABIC </w:instrText>
      </w:r>
      <w:r w:rsidRPr="005267CA">
        <w:rPr>
          <w:rStyle w:val="figureCar"/>
          <w:b/>
          <w:bCs/>
          <w:iCs/>
        </w:rPr>
        <w:fldChar w:fldCharType="separate"/>
      </w:r>
      <w:r w:rsidR="0007597F">
        <w:rPr>
          <w:rStyle w:val="figureCar"/>
          <w:b/>
          <w:bCs/>
          <w:iCs/>
          <w:noProof/>
        </w:rPr>
        <w:t>16</w:t>
      </w:r>
      <w:r w:rsidRPr="005267CA">
        <w:rPr>
          <w:rStyle w:val="figureCar"/>
          <w:b/>
          <w:bCs/>
          <w:iCs/>
        </w:rPr>
        <w:fldChar w:fldCharType="end"/>
      </w:r>
      <w:bookmarkEnd w:id="121"/>
      <w:r w:rsidRPr="005267CA">
        <w:rPr>
          <w:rStyle w:val="figureCar"/>
          <w:b/>
          <w:bCs/>
          <w:iCs/>
        </w:rPr>
        <w:t xml:space="preserve"> </w:t>
      </w:r>
      <w:r w:rsidR="00714C99" w:rsidRPr="005267CA">
        <w:rPr>
          <w:rStyle w:val="figureCar"/>
          <w:b/>
          <w:bCs/>
          <w:iCs/>
        </w:rPr>
        <w:t>:</w:t>
      </w:r>
      <w:r w:rsidR="00714C99" w:rsidRPr="005267CA">
        <w:t xml:space="preserve"> Quantités consommées en saucisserie en g/jour et évolution des quantités consommées entre les vagues d’enquête</w:t>
      </w:r>
      <w:r w:rsidR="00591356">
        <w:t xml:space="preserve"> </w:t>
      </w:r>
      <w:r w:rsidR="00591356">
        <w:rPr>
          <w:rStyle w:val="figureCar"/>
          <w:rFonts w:eastAsiaTheme="minorHAnsi"/>
          <w:b/>
          <w:bCs/>
          <w:iCs/>
        </w:rPr>
        <w:t xml:space="preserve">de 2013, 2016 et 2019 </w:t>
      </w:r>
      <w:r w:rsidR="00714C99" w:rsidRPr="005267CA">
        <w:t>chez a/ les enfants et b/ les adultes</w:t>
      </w:r>
      <w:bookmarkEnd w:id="122"/>
    </w:p>
    <w:p w14:paraId="734C6028" w14:textId="115A3F31" w:rsidR="003D3FB1" w:rsidRPr="005267CA" w:rsidRDefault="00714C99" w:rsidP="005267CA">
      <w:pPr>
        <w:pStyle w:val="Lgende"/>
      </w:pPr>
      <w:r w:rsidRPr="005267CA">
        <w:t>(</w:t>
      </w:r>
      <w:r w:rsidR="00A13465" w:rsidRPr="005267CA">
        <w:t>Source</w:t>
      </w:r>
      <w:r w:rsidRPr="005267CA">
        <w:t> : Ifip d’après Credoc, 2020).</w:t>
      </w:r>
    </w:p>
    <w:p w14:paraId="28F6A1B0" w14:textId="5C0B9410" w:rsidR="00613418" w:rsidRPr="00613418" w:rsidRDefault="006959A2" w:rsidP="003D3FB1">
      <w:pPr>
        <w:rPr>
          <w:rFonts w:cs="Arial"/>
        </w:rPr>
      </w:pPr>
      <w:r>
        <w:rPr>
          <w:rFonts w:cs="Arial"/>
        </w:rPr>
        <w:t>Alors que les produits traditionnels à gros hachage voient le</w:t>
      </w:r>
      <w:r w:rsidR="003D3FB1">
        <w:rPr>
          <w:rFonts w:cs="Arial"/>
        </w:rPr>
        <w:t>urs</w:t>
      </w:r>
      <w:r>
        <w:rPr>
          <w:rFonts w:cs="Arial"/>
        </w:rPr>
        <w:t xml:space="preserve"> volumes s’éroder, les saucisses fraîches </w:t>
      </w:r>
      <w:r w:rsidR="003D3FB1">
        <w:rPr>
          <w:rFonts w:cs="Arial"/>
        </w:rPr>
        <w:t>s</w:t>
      </w:r>
      <w:r w:rsidR="00613418">
        <w:rPr>
          <w:rFonts w:cs="Arial"/>
        </w:rPr>
        <w:t>eraient</w:t>
      </w:r>
      <w:r w:rsidR="003D3FB1">
        <w:rPr>
          <w:rFonts w:cs="Arial"/>
        </w:rPr>
        <w:t xml:space="preserve"> </w:t>
      </w:r>
      <w:r>
        <w:rPr>
          <w:rFonts w:cs="Arial"/>
        </w:rPr>
        <w:t>en</w:t>
      </w:r>
      <w:r w:rsidRPr="006E3555">
        <w:rPr>
          <w:rFonts w:cs="Arial"/>
        </w:rPr>
        <w:t xml:space="preserve"> augmentat</w:t>
      </w:r>
      <w:r>
        <w:rPr>
          <w:rFonts w:cs="Arial"/>
        </w:rPr>
        <w:t>i</w:t>
      </w:r>
      <w:r w:rsidRPr="006E3555">
        <w:rPr>
          <w:rFonts w:cs="Arial"/>
        </w:rPr>
        <w:t>on</w:t>
      </w:r>
      <w:r>
        <w:rPr>
          <w:rFonts w:cs="Arial"/>
        </w:rPr>
        <w:t xml:space="preserve"> (+</w:t>
      </w:r>
      <w:r w:rsidR="009D0BC8">
        <w:rPr>
          <w:rFonts w:cs="Arial"/>
        </w:rPr>
        <w:t xml:space="preserve"> </w:t>
      </w:r>
      <w:r>
        <w:rPr>
          <w:rFonts w:cs="Arial"/>
        </w:rPr>
        <w:t>17,8</w:t>
      </w:r>
      <w:r w:rsidR="009D0BC8">
        <w:rPr>
          <w:rFonts w:cs="Arial"/>
        </w:rPr>
        <w:t xml:space="preserve"> </w:t>
      </w:r>
      <w:r>
        <w:rPr>
          <w:rFonts w:cs="Arial"/>
        </w:rPr>
        <w:t>%) chez les enfants et (+</w:t>
      </w:r>
      <w:r w:rsidR="009C6018">
        <w:rPr>
          <w:rFonts w:cs="Arial"/>
        </w:rPr>
        <w:t> </w:t>
      </w:r>
      <w:r>
        <w:rPr>
          <w:rFonts w:cs="Arial"/>
        </w:rPr>
        <w:t>23</w:t>
      </w:r>
      <w:r w:rsidR="009C6018">
        <w:rPr>
          <w:rFonts w:cs="Arial"/>
        </w:rPr>
        <w:t> </w:t>
      </w:r>
      <w:r>
        <w:rPr>
          <w:rFonts w:cs="Arial"/>
        </w:rPr>
        <w:t>%) chez les adulte</w:t>
      </w:r>
      <w:r w:rsidR="00613418">
        <w:rPr>
          <w:rFonts w:cs="Arial"/>
        </w:rPr>
        <w:t xml:space="preserve">s 19/13. Cependant les évolutions sont à pondérer au regard de l’allongement de la vague terrain </w:t>
      </w:r>
      <w:r w:rsidR="00520B46">
        <w:rPr>
          <w:rFonts w:cs="Arial"/>
        </w:rPr>
        <w:t>sur la</w:t>
      </w:r>
      <w:r w:rsidR="00613418">
        <w:rPr>
          <w:rFonts w:cs="Arial"/>
        </w:rPr>
        <w:t xml:space="preserve"> période estivale</w:t>
      </w:r>
      <w:r w:rsidR="00520B46">
        <w:rPr>
          <w:rFonts w:cs="Arial"/>
        </w:rPr>
        <w:t xml:space="preserve"> assorti d’une</w:t>
      </w:r>
      <w:r w:rsidR="00613418">
        <w:rPr>
          <w:rFonts w:cs="Arial"/>
        </w:rPr>
        <w:t xml:space="preserve"> forte consommation sur cette catégorie</w:t>
      </w:r>
      <w:r w:rsidR="00393050">
        <w:rPr>
          <w:rFonts w:cs="Arial"/>
        </w:rPr>
        <w:t xml:space="preserve"> (</w:t>
      </w:r>
      <w:r w:rsidR="009C6018" w:rsidRPr="00591356">
        <w:rPr>
          <w:rFonts w:cs="Arial"/>
        </w:rPr>
        <w:fldChar w:fldCharType="begin"/>
      </w:r>
      <w:r w:rsidR="009C6018" w:rsidRPr="00591356">
        <w:rPr>
          <w:rFonts w:cs="Arial"/>
        </w:rPr>
        <w:instrText xml:space="preserve"> REF _Ref58418622 \h </w:instrText>
      </w:r>
      <w:r w:rsidR="00591356" w:rsidRPr="00591356">
        <w:rPr>
          <w:rFonts w:cs="Arial"/>
        </w:rPr>
        <w:instrText xml:space="preserve"> \* MERGEFORMAT </w:instrText>
      </w:r>
      <w:r w:rsidR="009C6018" w:rsidRPr="00591356">
        <w:rPr>
          <w:rFonts w:cs="Arial"/>
        </w:rPr>
      </w:r>
      <w:r w:rsidR="009C6018" w:rsidRPr="00591356">
        <w:rPr>
          <w:rFonts w:cs="Arial"/>
        </w:rPr>
        <w:fldChar w:fldCharType="separate"/>
      </w:r>
      <w:r w:rsidR="0007597F" w:rsidRPr="00591356">
        <w:rPr>
          <w:rStyle w:val="figureCar"/>
          <w:rFonts w:eastAsiaTheme="minorHAnsi"/>
          <w:b w:val="0"/>
          <w:bCs w:val="0"/>
          <w:iCs w:val="0"/>
          <w:sz w:val="22"/>
          <w:szCs w:val="22"/>
        </w:rPr>
        <w:t xml:space="preserve">Figure </w:t>
      </w:r>
      <w:r w:rsidR="0007597F" w:rsidRPr="00591356">
        <w:rPr>
          <w:rStyle w:val="figureCar"/>
          <w:rFonts w:eastAsiaTheme="minorHAnsi"/>
          <w:b w:val="0"/>
          <w:bCs w:val="0"/>
          <w:iCs w:val="0"/>
          <w:noProof/>
          <w:sz w:val="22"/>
          <w:szCs w:val="22"/>
        </w:rPr>
        <w:t>16</w:t>
      </w:r>
      <w:r w:rsidR="009C6018" w:rsidRPr="00591356">
        <w:rPr>
          <w:rFonts w:cs="Arial"/>
        </w:rPr>
        <w:fldChar w:fldCharType="end"/>
      </w:r>
      <w:r w:rsidR="00393050">
        <w:rPr>
          <w:rFonts w:cs="Arial"/>
        </w:rPr>
        <w:t>).</w:t>
      </w:r>
      <w:r w:rsidR="00613418">
        <w:rPr>
          <w:rFonts w:cs="Arial"/>
        </w:rPr>
        <w:t xml:space="preserve"> Sur la période </w:t>
      </w:r>
      <w:r w:rsidR="00613418">
        <w:rPr>
          <w:rFonts w:cs="Arial"/>
        </w:rPr>
        <w:lastRenderedPageBreak/>
        <w:t>d’enquête</w:t>
      </w:r>
      <w:r w:rsidR="00F03E5B">
        <w:rPr>
          <w:rFonts w:cs="Arial"/>
        </w:rPr>
        <w:t>, chez les adultes,</w:t>
      </w:r>
      <w:r w:rsidR="00613418">
        <w:rPr>
          <w:rFonts w:cs="Arial"/>
        </w:rPr>
        <w:t xml:space="preserve"> le taux de consommateur </w:t>
      </w:r>
      <w:r w:rsidR="00F03E5B">
        <w:rPr>
          <w:rFonts w:cs="Arial"/>
        </w:rPr>
        <w:t>et</w:t>
      </w:r>
      <w:r w:rsidR="00613418">
        <w:rPr>
          <w:rFonts w:cs="Arial"/>
        </w:rPr>
        <w:t xml:space="preserve"> le nombre d’actes</w:t>
      </w:r>
      <w:r w:rsidR="00F03E5B">
        <w:rPr>
          <w:rFonts w:cs="Arial"/>
        </w:rPr>
        <w:t xml:space="preserve"> sont stables, seule la portion évolue à la hausse en 2019 par rapport à 2013.</w:t>
      </w:r>
    </w:p>
    <w:p w14:paraId="28685485" w14:textId="3FB88D55" w:rsidR="00A84DF0" w:rsidRPr="006959A2" w:rsidRDefault="000C0584" w:rsidP="009C6018">
      <w:pPr>
        <w:pStyle w:val="Titre4"/>
      </w:pPr>
      <w:bookmarkStart w:id="123" w:name="_Toc78131583"/>
      <w:r>
        <w:t>3</w:t>
      </w:r>
      <w:r w:rsidRPr="00D00A7D">
        <w:t>.</w:t>
      </w:r>
      <w:r>
        <w:t>3</w:t>
      </w:r>
      <w:r w:rsidRPr="00D00A7D">
        <w:t>.</w:t>
      </w:r>
      <w:r>
        <w:t>2</w:t>
      </w:r>
      <w:r w:rsidRPr="00D00A7D">
        <w:t>.</w:t>
      </w:r>
      <w:r w:rsidR="00E63EF2">
        <w:t>4</w:t>
      </w:r>
      <w:r w:rsidRPr="00D00A7D">
        <w:t xml:space="preserve">. </w:t>
      </w:r>
      <w:r>
        <w:t>Consommation d</w:t>
      </w:r>
      <w:r w:rsidR="00F03E5B">
        <w:t>u porc sous forme d’ingrédients</w:t>
      </w:r>
      <w:bookmarkEnd w:id="123"/>
      <w:r w:rsidR="00F03E5B">
        <w:t xml:space="preserve"> </w:t>
      </w:r>
    </w:p>
    <w:p w14:paraId="3E801428" w14:textId="792A1ABB" w:rsidR="00282DBB" w:rsidRPr="00282DBB" w:rsidRDefault="00520B46" w:rsidP="00282DBB">
      <w:pPr>
        <w:spacing w:before="94"/>
        <w:ind w:right="1"/>
        <w:rPr>
          <w:rFonts w:cs="Arial"/>
        </w:rPr>
      </w:pPr>
      <w:r>
        <w:rPr>
          <w:rFonts w:cs="Arial"/>
        </w:rPr>
        <w:t>E</w:t>
      </w:r>
      <w:r w:rsidR="00FB4BEA">
        <w:rPr>
          <w:rFonts w:cs="Arial"/>
        </w:rPr>
        <w:t>n transversal toutes catégories confondues,</w:t>
      </w:r>
      <w:r>
        <w:rPr>
          <w:rFonts w:cs="Arial"/>
        </w:rPr>
        <w:t xml:space="preserve"> </w:t>
      </w:r>
      <w:r w:rsidR="00282DBB" w:rsidRPr="00282DBB">
        <w:rPr>
          <w:rFonts w:cs="Arial"/>
        </w:rPr>
        <w:t>la part des produits ingrédients en 2019 sur le total charcuterie</w:t>
      </w:r>
      <w:r w:rsidR="00956AAC">
        <w:rPr>
          <w:rFonts w:cs="Arial"/>
        </w:rPr>
        <w:t>s (saucisserie inclue)</w:t>
      </w:r>
      <w:r>
        <w:rPr>
          <w:rFonts w:cs="Arial"/>
        </w:rPr>
        <w:t xml:space="preserve"> est de </w:t>
      </w:r>
      <w:r w:rsidR="00956AAC">
        <w:rPr>
          <w:rFonts w:cs="Arial"/>
          <w:bCs/>
        </w:rPr>
        <w:t>24,5</w:t>
      </w:r>
      <w:r w:rsidR="009C6018">
        <w:rPr>
          <w:rFonts w:cs="Arial"/>
          <w:bCs/>
        </w:rPr>
        <w:t> </w:t>
      </w:r>
      <w:r w:rsidR="00282DBB" w:rsidRPr="00282DBB">
        <w:rPr>
          <w:rFonts w:cs="Arial"/>
          <w:bCs/>
        </w:rPr>
        <w:t xml:space="preserve">% chez les enfants et </w:t>
      </w:r>
      <w:r w:rsidR="00956AAC">
        <w:rPr>
          <w:rFonts w:cs="Arial"/>
          <w:bCs/>
        </w:rPr>
        <w:t>19</w:t>
      </w:r>
      <w:r w:rsidR="009C6018">
        <w:rPr>
          <w:rFonts w:cs="Arial"/>
          <w:bCs/>
        </w:rPr>
        <w:t> </w:t>
      </w:r>
      <w:r w:rsidR="00282DBB" w:rsidRPr="00282DBB">
        <w:rPr>
          <w:rFonts w:cs="Arial"/>
          <w:bCs/>
        </w:rPr>
        <w:t>% chez les adultes</w:t>
      </w:r>
      <w:r w:rsidR="00306745">
        <w:rPr>
          <w:rFonts w:cs="Arial"/>
          <w:bCs/>
        </w:rPr>
        <w:t xml:space="preserve"> soient 52</w:t>
      </w:r>
      <w:r w:rsidR="009C6018">
        <w:rPr>
          <w:rFonts w:cs="Arial"/>
          <w:bCs/>
        </w:rPr>
        <w:t> </w:t>
      </w:r>
      <w:r w:rsidR="00306745">
        <w:rPr>
          <w:rFonts w:cs="Arial"/>
          <w:bCs/>
        </w:rPr>
        <w:t>g/semaine et 54</w:t>
      </w:r>
      <w:r w:rsidR="009C6018">
        <w:rPr>
          <w:rFonts w:cs="Arial"/>
          <w:bCs/>
        </w:rPr>
        <w:t> </w:t>
      </w:r>
      <w:r w:rsidR="00306745">
        <w:rPr>
          <w:rFonts w:cs="Arial"/>
          <w:bCs/>
        </w:rPr>
        <w:t>g/semaine</w:t>
      </w:r>
      <w:r w:rsidR="00282DBB" w:rsidRPr="00282DBB">
        <w:rPr>
          <w:rFonts w:cs="Arial"/>
          <w:bCs/>
        </w:rPr>
        <w:t>.</w:t>
      </w:r>
      <w:r>
        <w:rPr>
          <w:rFonts w:cs="Arial"/>
          <w:bCs/>
        </w:rPr>
        <w:t xml:space="preserve"> </w:t>
      </w:r>
      <w:r>
        <w:rPr>
          <w:rFonts w:cs="Arial"/>
        </w:rPr>
        <w:t xml:space="preserve">En 2019 </w:t>
      </w:r>
      <w:r w:rsidRPr="00282DBB">
        <w:rPr>
          <w:rFonts w:cs="Arial"/>
        </w:rPr>
        <w:t>par rapport à 201</w:t>
      </w:r>
      <w:r w:rsidR="00956AAC">
        <w:rPr>
          <w:rFonts w:cs="Arial"/>
        </w:rPr>
        <w:t>3</w:t>
      </w:r>
      <w:r>
        <w:rPr>
          <w:rFonts w:cs="Arial"/>
        </w:rPr>
        <w:t>, c</w:t>
      </w:r>
      <w:r w:rsidRPr="00282DBB">
        <w:rPr>
          <w:rFonts w:cs="Arial"/>
        </w:rPr>
        <w:t xml:space="preserve">e segment croit chez les enfants </w:t>
      </w:r>
      <w:r>
        <w:rPr>
          <w:rFonts w:cs="Arial"/>
        </w:rPr>
        <w:t xml:space="preserve">de </w:t>
      </w:r>
      <w:r w:rsidR="00956AAC">
        <w:rPr>
          <w:rFonts w:cs="Arial"/>
          <w:bCs/>
        </w:rPr>
        <w:t>4</w:t>
      </w:r>
      <w:r w:rsidRPr="00282DBB">
        <w:rPr>
          <w:rFonts w:cs="Arial"/>
          <w:bCs/>
        </w:rPr>
        <w:t>,</w:t>
      </w:r>
      <w:r w:rsidR="00956AAC">
        <w:rPr>
          <w:rFonts w:cs="Arial"/>
          <w:bCs/>
        </w:rPr>
        <w:t>2</w:t>
      </w:r>
      <w:r w:rsidR="009C6018">
        <w:rPr>
          <w:rFonts w:cs="Arial"/>
          <w:bCs/>
        </w:rPr>
        <w:t> </w:t>
      </w:r>
      <w:r w:rsidRPr="00282DBB">
        <w:rPr>
          <w:rFonts w:cs="Arial"/>
          <w:bCs/>
        </w:rPr>
        <w:t xml:space="preserve">% </w:t>
      </w:r>
      <w:r w:rsidRPr="00282DBB">
        <w:rPr>
          <w:rFonts w:cs="Arial"/>
        </w:rPr>
        <w:t>et recule</w:t>
      </w:r>
      <w:r w:rsidR="000F2510">
        <w:rPr>
          <w:rFonts w:cs="Arial"/>
        </w:rPr>
        <w:t>rait</w:t>
      </w:r>
      <w:r w:rsidRPr="00282DBB">
        <w:rPr>
          <w:rFonts w:cs="Arial"/>
        </w:rPr>
        <w:t xml:space="preserve"> chez les adultes </w:t>
      </w:r>
      <w:r>
        <w:rPr>
          <w:rFonts w:cs="Arial"/>
          <w:bCs/>
        </w:rPr>
        <w:t xml:space="preserve">de </w:t>
      </w:r>
      <w:r w:rsidR="000F2510">
        <w:rPr>
          <w:rFonts w:cs="Arial"/>
          <w:bCs/>
        </w:rPr>
        <w:t>16</w:t>
      </w:r>
      <w:r w:rsidR="009C6018">
        <w:rPr>
          <w:rFonts w:cs="Arial"/>
          <w:bCs/>
        </w:rPr>
        <w:t> </w:t>
      </w:r>
      <w:r w:rsidRPr="00282DBB">
        <w:rPr>
          <w:rFonts w:cs="Arial"/>
          <w:bCs/>
        </w:rPr>
        <w:t>%.</w:t>
      </w:r>
      <w:r>
        <w:rPr>
          <w:rFonts w:cs="Arial"/>
        </w:rPr>
        <w:t xml:space="preserve"> </w:t>
      </w:r>
      <w:r w:rsidRPr="00282DBB">
        <w:rPr>
          <w:rFonts w:cs="Arial"/>
        </w:rPr>
        <w:t xml:space="preserve">Les ingrédients sont majoritairement portés par la </w:t>
      </w:r>
      <w:r w:rsidRPr="00282DBB">
        <w:rPr>
          <w:rFonts w:cs="Arial"/>
          <w:bCs/>
        </w:rPr>
        <w:t xml:space="preserve">catégorie jambon cuit </w:t>
      </w:r>
      <w:r w:rsidRPr="00282DBB">
        <w:rPr>
          <w:rFonts w:cs="Arial"/>
        </w:rPr>
        <w:t xml:space="preserve">avec respectivement </w:t>
      </w:r>
      <w:r w:rsidR="000F2510">
        <w:rPr>
          <w:rFonts w:cs="Arial"/>
          <w:bCs/>
        </w:rPr>
        <w:t>59</w:t>
      </w:r>
      <w:r w:rsidR="009C6018">
        <w:rPr>
          <w:rFonts w:cs="Arial"/>
          <w:bCs/>
        </w:rPr>
        <w:t> </w:t>
      </w:r>
      <w:r w:rsidRPr="00282DBB">
        <w:rPr>
          <w:rFonts w:cs="Arial"/>
          <w:bCs/>
        </w:rPr>
        <w:t>%</w:t>
      </w:r>
      <w:r w:rsidRPr="00282DBB">
        <w:rPr>
          <w:rFonts w:cs="Arial"/>
        </w:rPr>
        <w:t xml:space="preserve"> des quantités consommées chez les enfants et </w:t>
      </w:r>
      <w:r w:rsidR="000F2510">
        <w:rPr>
          <w:rFonts w:cs="Arial"/>
          <w:bCs/>
        </w:rPr>
        <w:t>50</w:t>
      </w:r>
      <w:r w:rsidR="009C6018">
        <w:rPr>
          <w:rFonts w:cs="Arial"/>
          <w:bCs/>
        </w:rPr>
        <w:t> </w:t>
      </w:r>
      <w:r w:rsidRPr="00282DBB">
        <w:rPr>
          <w:rFonts w:cs="Arial"/>
          <w:bCs/>
        </w:rPr>
        <w:t xml:space="preserve">% </w:t>
      </w:r>
      <w:r w:rsidRPr="00282DBB">
        <w:rPr>
          <w:rFonts w:cs="Arial"/>
        </w:rPr>
        <w:t xml:space="preserve">chez les adultes, loin devant les lardons avec </w:t>
      </w:r>
      <w:r w:rsidR="000F2510">
        <w:rPr>
          <w:rFonts w:cs="Arial"/>
        </w:rPr>
        <w:t>15</w:t>
      </w:r>
      <w:r w:rsidR="009C6018">
        <w:rPr>
          <w:rFonts w:cs="Arial"/>
        </w:rPr>
        <w:t> </w:t>
      </w:r>
      <w:r w:rsidR="000F2510">
        <w:rPr>
          <w:rFonts w:cs="Arial"/>
        </w:rPr>
        <w:t>% pour chacun des groupes d’âge enquêtés (</w:t>
      </w:r>
      <w:r w:rsidR="009C6018">
        <w:rPr>
          <w:rFonts w:cs="Arial"/>
        </w:rPr>
        <w:fldChar w:fldCharType="begin"/>
      </w:r>
      <w:r w:rsidR="009C6018">
        <w:rPr>
          <w:rFonts w:cs="Arial"/>
        </w:rPr>
        <w:instrText xml:space="preserve"> REF _Ref58418729 \h </w:instrText>
      </w:r>
      <w:r w:rsidR="009C6018">
        <w:rPr>
          <w:rFonts w:cs="Arial"/>
        </w:rPr>
      </w:r>
      <w:r w:rsidR="009C6018">
        <w:rPr>
          <w:rFonts w:cs="Arial"/>
        </w:rPr>
        <w:fldChar w:fldCharType="separate"/>
      </w:r>
      <w:r w:rsidR="0007597F" w:rsidRPr="004C6EE9">
        <w:rPr>
          <w:rStyle w:val="figureCar"/>
          <w:rFonts w:eastAsiaTheme="minorHAnsi"/>
          <w:b w:val="0"/>
          <w:bCs w:val="0"/>
          <w:iCs w:val="0"/>
        </w:rPr>
        <w:t xml:space="preserve">Figure </w:t>
      </w:r>
      <w:r w:rsidR="0007597F">
        <w:rPr>
          <w:rStyle w:val="figureCar"/>
          <w:rFonts w:eastAsiaTheme="minorHAnsi"/>
          <w:b w:val="0"/>
          <w:bCs w:val="0"/>
          <w:iCs w:val="0"/>
          <w:noProof/>
        </w:rPr>
        <w:t>17</w:t>
      </w:r>
      <w:r w:rsidR="009C6018">
        <w:rPr>
          <w:rFonts w:cs="Arial"/>
        </w:rPr>
        <w:fldChar w:fldCharType="end"/>
      </w:r>
      <w:r w:rsidR="000F2510">
        <w:rPr>
          <w:rFonts w:cs="Arial"/>
        </w:rPr>
        <w:t>).</w:t>
      </w:r>
    </w:p>
    <w:p w14:paraId="141B88A2" w14:textId="18C5FC47" w:rsidR="004D573D" w:rsidRDefault="0064788F" w:rsidP="00FF228F">
      <w:pPr>
        <w:spacing w:before="94"/>
        <w:ind w:right="1"/>
        <w:jc w:val="center"/>
        <w:rPr>
          <w:rFonts w:cs="Arial"/>
          <w:b/>
          <w:i/>
        </w:rPr>
      </w:pPr>
      <w:r>
        <w:rPr>
          <w:noProof/>
        </w:rPr>
        <w:drawing>
          <wp:inline distT="0" distB="0" distL="0" distR="0" wp14:anchorId="2B3D4F2C" wp14:editId="3662BB87">
            <wp:extent cx="6186170" cy="1228725"/>
            <wp:effectExtent l="0" t="0" r="5080" b="0"/>
            <wp:docPr id="86" name="Graphique 86">
              <a:extLst xmlns:a="http://schemas.openxmlformats.org/drawingml/2006/main">
                <a:ext uri="{FF2B5EF4-FFF2-40B4-BE49-F238E27FC236}">
                  <a16:creationId xmlns:a16="http://schemas.microsoft.com/office/drawing/2014/main" id="{7362AF34-5250-4753-9D35-6D820D75DBB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004D573D">
        <w:rPr>
          <w:noProof/>
        </w:rPr>
        <w:drawing>
          <wp:inline distT="0" distB="0" distL="0" distR="0" wp14:anchorId="6D8FAE6F" wp14:editId="2F945AEA">
            <wp:extent cx="6193790" cy="1476375"/>
            <wp:effectExtent l="0" t="0" r="0" b="0"/>
            <wp:docPr id="88" name="Graphique 88">
              <a:extLst xmlns:a="http://schemas.openxmlformats.org/drawingml/2006/main">
                <a:ext uri="{FF2B5EF4-FFF2-40B4-BE49-F238E27FC236}">
                  <a16:creationId xmlns:a16="http://schemas.microsoft.com/office/drawing/2014/main" id="{4C0400D7-3276-4847-B258-C7D71CD4CF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57AC35C7" w14:textId="059FA021" w:rsidR="004D573D" w:rsidRPr="004C6EE9" w:rsidRDefault="009C6018" w:rsidP="00591356">
      <w:pPr>
        <w:pStyle w:val="figure"/>
      </w:pPr>
      <w:bookmarkStart w:id="124" w:name="_Ref58418729"/>
      <w:bookmarkStart w:id="125" w:name="_Toc69511409"/>
      <w:r w:rsidRPr="004C6EE9">
        <w:rPr>
          <w:rStyle w:val="figureCar"/>
          <w:b/>
          <w:bCs/>
          <w:iCs/>
        </w:rPr>
        <w:t xml:space="preserve">Figure </w:t>
      </w:r>
      <w:r w:rsidRPr="004C6EE9">
        <w:rPr>
          <w:rStyle w:val="figureCar"/>
          <w:b/>
          <w:bCs/>
          <w:iCs/>
        </w:rPr>
        <w:fldChar w:fldCharType="begin"/>
      </w:r>
      <w:r w:rsidRPr="004C6EE9">
        <w:rPr>
          <w:rStyle w:val="figureCar"/>
          <w:b/>
          <w:bCs/>
          <w:iCs/>
        </w:rPr>
        <w:instrText xml:space="preserve"> SEQ Figure \* ARABIC </w:instrText>
      </w:r>
      <w:r w:rsidRPr="004C6EE9">
        <w:rPr>
          <w:rStyle w:val="figureCar"/>
          <w:b/>
          <w:bCs/>
          <w:iCs/>
        </w:rPr>
        <w:fldChar w:fldCharType="separate"/>
      </w:r>
      <w:r w:rsidR="0007597F">
        <w:rPr>
          <w:rStyle w:val="figureCar"/>
          <w:b/>
          <w:bCs/>
          <w:iCs/>
          <w:noProof/>
        </w:rPr>
        <w:t>17</w:t>
      </w:r>
      <w:r w:rsidRPr="004C6EE9">
        <w:rPr>
          <w:rStyle w:val="figureCar"/>
          <w:b/>
          <w:bCs/>
          <w:iCs/>
        </w:rPr>
        <w:fldChar w:fldCharType="end"/>
      </w:r>
      <w:bookmarkEnd w:id="124"/>
      <w:r w:rsidRPr="004C6EE9">
        <w:rPr>
          <w:rStyle w:val="figureCar"/>
          <w:b/>
          <w:bCs/>
          <w:iCs/>
        </w:rPr>
        <w:t xml:space="preserve"> : </w:t>
      </w:r>
      <w:r w:rsidR="00976CDB" w:rsidRPr="004C6EE9">
        <w:rPr>
          <w:rStyle w:val="figureCar"/>
          <w:b/>
          <w:bCs/>
          <w:iCs/>
        </w:rPr>
        <w:t xml:space="preserve">Part </w:t>
      </w:r>
      <w:r w:rsidR="00306745" w:rsidRPr="004C6EE9">
        <w:rPr>
          <w:rStyle w:val="figureCar"/>
          <w:b/>
          <w:bCs/>
          <w:iCs/>
        </w:rPr>
        <w:t xml:space="preserve">relative </w:t>
      </w:r>
      <w:r w:rsidR="009920CF" w:rsidRPr="004C6EE9">
        <w:rPr>
          <w:rStyle w:val="figureCar"/>
          <w:b/>
          <w:bCs/>
          <w:iCs/>
        </w:rPr>
        <w:t xml:space="preserve">des catégories consommées comme ingrédients sur le total charcuterie ingrédients </w:t>
      </w:r>
      <w:r w:rsidR="002B41DB" w:rsidRPr="004C6EE9">
        <w:rPr>
          <w:rStyle w:val="figureCar"/>
          <w:b/>
          <w:bCs/>
          <w:iCs/>
        </w:rPr>
        <w:t>en % chez a/ les enfants (0 à 17 ans) et b/ les adultes (18 à 79 ans)</w:t>
      </w:r>
      <w:bookmarkEnd w:id="125"/>
      <w:r w:rsidR="002B41DB" w:rsidRPr="004C6EE9">
        <w:rPr>
          <w:rStyle w:val="figureCar"/>
          <w:b/>
          <w:bCs/>
          <w:iCs/>
        </w:rPr>
        <w:t xml:space="preserve"> </w:t>
      </w:r>
      <w:r w:rsidR="00591356">
        <w:rPr>
          <w:rStyle w:val="figureCar"/>
          <w:b/>
          <w:bCs/>
          <w:iCs/>
        </w:rPr>
        <w:t xml:space="preserve">pour l’enquête de 2019 </w:t>
      </w:r>
      <w:r w:rsidR="002B41DB" w:rsidRPr="00591356">
        <w:rPr>
          <w:b w:val="0"/>
          <w:bCs w:val="0"/>
          <w:i/>
          <w:iCs w:val="0"/>
        </w:rPr>
        <w:t>(</w:t>
      </w:r>
      <w:r w:rsidR="00A13465" w:rsidRPr="00591356">
        <w:rPr>
          <w:b w:val="0"/>
          <w:bCs w:val="0"/>
          <w:i/>
          <w:iCs w:val="0"/>
        </w:rPr>
        <w:t>Source</w:t>
      </w:r>
      <w:r w:rsidR="002B41DB" w:rsidRPr="00591356">
        <w:rPr>
          <w:b w:val="0"/>
          <w:bCs w:val="0"/>
          <w:i/>
          <w:iCs w:val="0"/>
        </w:rPr>
        <w:t> : Ifip d’après Credoc, 2020).</w:t>
      </w:r>
    </w:p>
    <w:p w14:paraId="48037985" w14:textId="5F5071D7" w:rsidR="004E4EBD" w:rsidRPr="0002537E" w:rsidRDefault="004E4EBD" w:rsidP="0002537E">
      <w:pPr>
        <w:pStyle w:val="Titre4"/>
        <w:rPr>
          <w:i w:val="0"/>
          <w:iCs w:val="0"/>
        </w:rPr>
      </w:pPr>
      <w:bookmarkStart w:id="126" w:name="_Toc78131584"/>
      <w:r w:rsidRPr="0002537E">
        <w:t>3.3.2.</w:t>
      </w:r>
      <w:r w:rsidR="009F471E">
        <w:t>5</w:t>
      </w:r>
      <w:r w:rsidRPr="0002537E">
        <w:t>. Approche par lieu de consommation</w:t>
      </w:r>
      <w:bookmarkEnd w:id="126"/>
    </w:p>
    <w:p w14:paraId="4859B4B0" w14:textId="0A1F36D3" w:rsidR="004E4EBD" w:rsidRDefault="004E4EBD" w:rsidP="004E4EBD">
      <w:pPr>
        <w:rPr>
          <w:rFonts w:eastAsia="Times New Roman" w:cs="Arial"/>
          <w:iCs/>
          <w:lang w:eastAsia="fr-FR"/>
        </w:rPr>
      </w:pPr>
      <w:r w:rsidRPr="00FF6656">
        <w:rPr>
          <w:rFonts w:eastAsia="Times New Roman" w:cs="Arial"/>
          <w:iCs/>
          <w:lang w:eastAsia="fr-FR"/>
        </w:rPr>
        <w:t xml:space="preserve">La part des </w:t>
      </w:r>
      <w:r>
        <w:rPr>
          <w:rFonts w:eastAsia="Times New Roman" w:cs="Arial"/>
          <w:iCs/>
          <w:lang w:eastAsia="fr-FR"/>
        </w:rPr>
        <w:t>sujets ayant</w:t>
      </w:r>
      <w:r w:rsidRPr="00FF6656">
        <w:rPr>
          <w:rFonts w:eastAsia="Times New Roman" w:cs="Arial"/>
          <w:iCs/>
          <w:lang w:eastAsia="fr-FR"/>
        </w:rPr>
        <w:t xml:space="preserve"> déclar</w:t>
      </w:r>
      <w:r>
        <w:rPr>
          <w:rFonts w:eastAsia="Times New Roman" w:cs="Arial"/>
          <w:iCs/>
          <w:lang w:eastAsia="fr-FR"/>
        </w:rPr>
        <w:t>é</w:t>
      </w:r>
      <w:r w:rsidRPr="00FF6656">
        <w:rPr>
          <w:rFonts w:eastAsia="Times New Roman" w:cs="Arial"/>
          <w:iCs/>
          <w:lang w:eastAsia="fr-FR"/>
        </w:rPr>
        <w:t xml:space="preserve"> </w:t>
      </w:r>
      <w:r>
        <w:rPr>
          <w:rFonts w:eastAsia="Times New Roman" w:cs="Arial"/>
          <w:iCs/>
          <w:lang w:eastAsia="fr-FR"/>
        </w:rPr>
        <w:t>une consommation hors domicile de produits issus du porc et pour partie de la volaille pendant la durée de l’étude, est de 16</w:t>
      </w:r>
      <w:r w:rsidR="00591356">
        <w:rPr>
          <w:rFonts w:eastAsia="Times New Roman" w:cs="Arial"/>
          <w:iCs/>
          <w:lang w:eastAsia="fr-FR"/>
        </w:rPr>
        <w:t> </w:t>
      </w:r>
      <w:r>
        <w:rPr>
          <w:rFonts w:eastAsia="Times New Roman" w:cs="Arial"/>
          <w:iCs/>
          <w:lang w:eastAsia="fr-FR"/>
        </w:rPr>
        <w:t>% pour les enfants et de 14</w:t>
      </w:r>
      <w:r w:rsidR="00591356">
        <w:rPr>
          <w:rFonts w:eastAsia="Times New Roman" w:cs="Arial"/>
          <w:iCs/>
          <w:lang w:eastAsia="fr-FR"/>
        </w:rPr>
        <w:t> </w:t>
      </w:r>
      <w:r>
        <w:rPr>
          <w:rFonts w:eastAsia="Times New Roman" w:cs="Arial"/>
          <w:iCs/>
          <w:lang w:eastAsia="fr-FR"/>
        </w:rPr>
        <w:t xml:space="preserve">% pour les adultes en 2019. La consommation hors domicile est définie comme tout lieu de consommation situé en dehors d’une consommation « chez soi » ou « chez des amis ». Ces chiffres sont vraisemblablement sous-estimés au regard de l’évolution des pratiques alimentaires avec l’émergence du repas confectionné chez soi et pris à l’extérieur du domicile, sur le lieu de travail, à l’école. </w:t>
      </w:r>
    </w:p>
    <w:p w14:paraId="3475A7D1" w14:textId="6A8703C2" w:rsidR="004E4EBD" w:rsidRDefault="004E4EBD" w:rsidP="004E4EBD">
      <w:pPr>
        <w:rPr>
          <w:rFonts w:eastAsia="Times New Roman" w:cs="Arial"/>
          <w:iCs/>
          <w:lang w:eastAsia="fr-FR"/>
        </w:rPr>
      </w:pPr>
      <w:r>
        <w:rPr>
          <w:rFonts w:eastAsia="Times New Roman" w:cs="Arial"/>
          <w:iCs/>
          <w:lang w:eastAsia="fr-FR"/>
        </w:rPr>
        <w:t>La destination de chaque typologie de produits par circuit de consommation montre que la restauration hors domicile est un débouché plus important en viande de porc chez les enfants avec un poids relatif de 24</w:t>
      </w:r>
      <w:r w:rsidR="00591356">
        <w:rPr>
          <w:rFonts w:eastAsia="Times New Roman" w:cs="Arial"/>
          <w:iCs/>
          <w:lang w:eastAsia="fr-FR"/>
        </w:rPr>
        <w:t> </w:t>
      </w:r>
      <w:r>
        <w:rPr>
          <w:rFonts w:eastAsia="Times New Roman" w:cs="Arial"/>
          <w:iCs/>
          <w:lang w:eastAsia="fr-FR"/>
        </w:rPr>
        <w:t xml:space="preserve">% compte tenu de la fréquentation des cantines scolaires. </w:t>
      </w:r>
    </w:p>
    <w:p w14:paraId="20B3DBA3" w14:textId="42BED323" w:rsidR="004E4EBD" w:rsidRDefault="004E4EBD" w:rsidP="004E4EBD">
      <w:pPr>
        <w:rPr>
          <w:rFonts w:eastAsia="Times New Roman" w:cs="Arial"/>
          <w:iCs/>
          <w:lang w:eastAsia="fr-FR"/>
        </w:rPr>
      </w:pPr>
      <w:r>
        <w:rPr>
          <w:rFonts w:eastAsia="Times New Roman" w:cs="Arial"/>
          <w:iCs/>
          <w:lang w:eastAsia="fr-FR"/>
        </w:rPr>
        <w:t>Pour les adultes, c’est la saucisserie qui absorberait une part plus importante de la restauration (18</w:t>
      </w:r>
      <w:r w:rsidR="00591356">
        <w:rPr>
          <w:rFonts w:eastAsia="Times New Roman" w:cs="Arial"/>
          <w:iCs/>
          <w:lang w:eastAsia="fr-FR"/>
        </w:rPr>
        <w:t> </w:t>
      </w:r>
      <w:r>
        <w:rPr>
          <w:rFonts w:eastAsia="Times New Roman" w:cs="Arial"/>
          <w:iCs/>
          <w:lang w:eastAsia="fr-FR"/>
        </w:rPr>
        <w:t>%) devant la charcuterie (13</w:t>
      </w:r>
      <w:r w:rsidR="00591356">
        <w:rPr>
          <w:rFonts w:eastAsia="Times New Roman" w:cs="Arial"/>
          <w:iCs/>
          <w:lang w:eastAsia="fr-FR"/>
        </w:rPr>
        <w:t> </w:t>
      </w:r>
      <w:r>
        <w:rPr>
          <w:rFonts w:eastAsia="Times New Roman" w:cs="Arial"/>
          <w:iCs/>
          <w:lang w:eastAsia="fr-FR"/>
        </w:rPr>
        <w:t xml:space="preserve">%). Ce point est à rapprocher de la montée de la consommation de type snacking par opposition à la restauration assise d’une part et de la recherche croissante des consommateurs pour des offres à consommer « chaud » à l’instar de la viande hachée, des nuggets de volaille à laquelle répond la saucisserie contrairement à la charcuterie. </w:t>
      </w:r>
    </w:p>
    <w:p w14:paraId="58B3C3A8" w14:textId="44DC446B" w:rsidR="004E4EBD" w:rsidRPr="00FE1684" w:rsidRDefault="004E4EBD" w:rsidP="004E4EBD">
      <w:pPr>
        <w:jc w:val="center"/>
        <w:rPr>
          <w:rFonts w:eastAsia="Times New Roman" w:cs="Arial"/>
          <w:iCs/>
          <w:sz w:val="20"/>
          <w:szCs w:val="20"/>
          <w:lang w:eastAsia="fr-FR"/>
        </w:rPr>
      </w:pPr>
      <w:r w:rsidRPr="00FE1684">
        <w:rPr>
          <w:rFonts w:eastAsia="Times New Roman" w:cs="Arial"/>
          <w:iCs/>
          <w:noProof/>
          <w:sz w:val="20"/>
          <w:szCs w:val="20"/>
          <w:lang w:eastAsia="fr-FR"/>
        </w:rPr>
        <w:lastRenderedPageBreak/>
        <mc:AlternateContent>
          <mc:Choice Requires="wps">
            <w:drawing>
              <wp:anchor distT="0" distB="0" distL="114300" distR="114300" simplePos="0" relativeHeight="251658250" behindDoc="0" locked="0" layoutInCell="1" allowOverlap="1" wp14:anchorId="41F29CC7" wp14:editId="13756134">
                <wp:simplePos x="0" y="0"/>
                <wp:positionH relativeFrom="column">
                  <wp:posOffset>309880</wp:posOffset>
                </wp:positionH>
                <wp:positionV relativeFrom="paragraph">
                  <wp:posOffset>8255</wp:posOffset>
                </wp:positionV>
                <wp:extent cx="1781175" cy="285750"/>
                <wp:effectExtent l="0" t="0" r="9525" b="0"/>
                <wp:wrapNone/>
                <wp:docPr id="13" name="Zone de texte 13"/>
                <wp:cNvGraphicFramePr/>
                <a:graphic xmlns:a="http://schemas.openxmlformats.org/drawingml/2006/main">
                  <a:graphicData uri="http://schemas.microsoft.com/office/word/2010/wordprocessingShape">
                    <wps:wsp>
                      <wps:cNvSpPr txBox="1"/>
                      <wps:spPr>
                        <a:xfrm>
                          <a:off x="0" y="0"/>
                          <a:ext cx="1781175" cy="285750"/>
                        </a:xfrm>
                        <a:prstGeom prst="rect">
                          <a:avLst/>
                        </a:prstGeom>
                        <a:solidFill>
                          <a:schemeClr val="lt1"/>
                        </a:solidFill>
                        <a:ln w="6350">
                          <a:noFill/>
                        </a:ln>
                      </wps:spPr>
                      <wps:txbx>
                        <w:txbxContent>
                          <w:p w14:paraId="066D2B64" w14:textId="77777777" w:rsidR="00741BFF" w:rsidRPr="00FE1684" w:rsidRDefault="00741BFF" w:rsidP="004E4EBD">
                            <w:pPr>
                              <w:rPr>
                                <w:rFonts w:cs="Arial"/>
                                <w:sz w:val="20"/>
                                <w:szCs w:val="20"/>
                              </w:rPr>
                            </w:pPr>
                            <w:r w:rsidRPr="00FE1684">
                              <w:rPr>
                                <w:rFonts w:cs="Arial"/>
                                <w:sz w:val="20"/>
                                <w:szCs w:val="20"/>
                              </w:rPr>
                              <w:t>a/ Enfants (0 à 17 ans)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1F29CC7" id="Zone de texte 13" o:spid="_x0000_s1034" type="#_x0000_t202" style="position:absolute;left:0;text-align:left;margin-left:24.4pt;margin-top:.65pt;width:140.25pt;height:22.5pt;z-index:2516582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7V1SAIAAIcEAAAOAAAAZHJzL2Uyb0RvYy54bWysVF1v2jAUfZ+0/2D5fQ1QKBQRKtaKaVLV&#10;VqJTpb0Zx4FIjq9nG5Lu1+/YAcq6PU17ca59v8+5N7ObttZsr5yvyOS8f9HjTBlJRWU2Of/2vPw0&#10;4cwHYQqhyaicvyrPb+YfP8waO1UD2pIulGMIYvy0sTnfhmCnWeblVtXCX5BVBsqSXC0Crm6TFU40&#10;iF7rbNDrXWUNucI6ksp7vN51Sj5P8ctSyfBYll4FpnOO2kI6XTrX8czmMzHdOGG3lTyUIf6hilpU&#10;BklPoe5EEGznqj9C1ZV05KkMF5LqjMqykir1gG76vXfdrLbCqtQLwPH2BJP/f2Hlw/7JsaoAd5ec&#10;GVGDo+9gihWKBdUGxfAOkBrrp7BdWViH9jO1cDi+ezzG3tvS1fGLrhj0gPv1BDFCMRmdxpN+fzzi&#10;TEI3mIzGo8RB9uZtnQ9fFNUsCjl3oDAhK/b3PqASmB5NYjJPuiqWldbpEsdG3WrH9gKE65BqhMdv&#10;VtqwJudXl0gdnQxF9y6yNkgQe+16ilJo120CaHLsd03FK2Bw1E2Tt3JZodZ74cOTcBgfdI6VCI84&#10;Sk3IRQeJsy25n397j/ZgFVrOGoxjzv2PnXCKM/3VgO/r/nAY5zddhqPxABd3rlmfa8yuviUA0Mfy&#10;WZnEaB/0USwd1S/YnEXMCpUwErlzHo7ibeiWBJsn1WKRjDCxVoR7s7Iyho7YRSae2xfh7IGuODMP&#10;dBxcMX3HWmfbob7YBSqrRGnEuUP1AD+mPTF92My4Tuf3ZPX2/5j/AgAA//8DAFBLAwQUAAYACAAA&#10;ACEAsj7uIt4AAAAHAQAADwAAAGRycy9kb3ducmV2LnhtbEyOS0/DMBCE70j8B2srcUHUoaalhDgV&#10;QjwkbjQ8xM2Nt0lEvI5iNwn/nuVEb7Mzq5kv20yuFQP2ofGk4XKegEAqvW2o0vBWPF6sQYRoyJrW&#10;E2r4wQCb/PQkM6n1I73isI2V4BIKqdFQx9ilUoayRmfC3HdInO1970zks6+k7c3I5a6ViyRZSWca&#10;4oXadHhfY/m9PTgNX+fV50uYnt5HtVTdw/NQXH/YQuuz2XR3CyLiFP+f4Q+f0SFnpp0/kA2i1XC1&#10;ZvLIvgLBsVrcsNixv1Ig80we8+e/AAAA//8DAFBLAQItABQABgAIAAAAIQC2gziS/gAAAOEBAAAT&#10;AAAAAAAAAAAAAAAAAAAAAABbQ29udGVudF9UeXBlc10ueG1sUEsBAi0AFAAGAAgAAAAhADj9If/W&#10;AAAAlAEAAAsAAAAAAAAAAAAAAAAALwEAAF9yZWxzLy5yZWxzUEsBAi0AFAAGAAgAAAAhANfTtXVI&#10;AgAAhwQAAA4AAAAAAAAAAAAAAAAALgIAAGRycy9lMm9Eb2MueG1sUEsBAi0AFAAGAAgAAAAhALI+&#10;7iLeAAAABwEAAA8AAAAAAAAAAAAAAAAAogQAAGRycy9kb3ducmV2LnhtbFBLBQYAAAAABAAEAPMA&#10;AACtBQAAAAA=&#10;" fillcolor="white [3201]" stroked="f" strokeweight=".5pt">
                <v:textbox>
                  <w:txbxContent>
                    <w:p w14:paraId="066D2B64" w14:textId="77777777" w:rsidR="00741BFF" w:rsidRPr="00FE1684" w:rsidRDefault="00741BFF" w:rsidP="004E4EBD">
                      <w:pPr>
                        <w:rPr>
                          <w:rFonts w:cs="Arial"/>
                          <w:sz w:val="20"/>
                          <w:szCs w:val="20"/>
                        </w:rPr>
                      </w:pPr>
                      <w:r w:rsidRPr="00FE1684">
                        <w:rPr>
                          <w:rFonts w:cs="Arial"/>
                          <w:sz w:val="20"/>
                          <w:szCs w:val="20"/>
                        </w:rPr>
                        <w:t>a/ Enfants (0 à 17 ans)</w:t>
                      </w:r>
                    </w:p>
                  </w:txbxContent>
                </v:textbox>
              </v:shape>
            </w:pict>
          </mc:Fallback>
        </mc:AlternateContent>
      </w:r>
      <w:r w:rsidRPr="00FE1684">
        <w:rPr>
          <w:rFonts w:eastAsia="Times New Roman" w:cs="Arial"/>
          <w:iCs/>
          <w:noProof/>
          <w:sz w:val="20"/>
          <w:szCs w:val="20"/>
          <w:lang w:eastAsia="fr-FR"/>
        </w:rPr>
        <w:drawing>
          <wp:inline distT="0" distB="0" distL="0" distR="0" wp14:anchorId="191EB261" wp14:editId="10AA8022">
            <wp:extent cx="5712460" cy="1685925"/>
            <wp:effectExtent l="0" t="0" r="2540" b="9525"/>
            <wp:docPr id="14" name="Graphique 14">
              <a:extLst xmlns:a="http://schemas.openxmlformats.org/drawingml/2006/main">
                <a:ext uri="{FF2B5EF4-FFF2-40B4-BE49-F238E27FC236}">
                  <a16:creationId xmlns:a16="http://schemas.microsoft.com/office/drawing/2014/main" id="{C2D98716-211D-43CC-97D5-937D8886324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0365EA9D" w14:textId="7799780D" w:rsidR="004E4EBD" w:rsidRDefault="004E4EBD" w:rsidP="004E4EBD">
      <w:pPr>
        <w:jc w:val="center"/>
        <w:rPr>
          <w:rFonts w:eastAsia="Times New Roman" w:cs="Arial"/>
          <w:iCs/>
          <w:lang w:eastAsia="fr-FR"/>
        </w:rPr>
      </w:pPr>
      <w:r w:rsidRPr="00C77C02">
        <w:rPr>
          <w:rFonts w:eastAsia="Times New Roman" w:cs="Arial"/>
          <w:iCs/>
          <w:noProof/>
          <w:lang w:eastAsia="fr-FR"/>
        </w:rPr>
        <w:drawing>
          <wp:inline distT="0" distB="0" distL="0" distR="0" wp14:anchorId="2F6A6CCD" wp14:editId="3745B2FE">
            <wp:extent cx="5695950" cy="1847850"/>
            <wp:effectExtent l="0" t="0" r="0" b="0"/>
            <wp:docPr id="16" name="Graphique 16">
              <a:extLst xmlns:a="http://schemas.openxmlformats.org/drawingml/2006/main">
                <a:ext uri="{FF2B5EF4-FFF2-40B4-BE49-F238E27FC236}">
                  <a16:creationId xmlns:a16="http://schemas.microsoft.com/office/drawing/2014/main" id="{F9A17A02-326E-4492-B6C1-84B338E1EDA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3FC8C38" w14:textId="1B110371" w:rsidR="00E46736" w:rsidRDefault="002E750F" w:rsidP="00E46736">
      <w:pPr>
        <w:pStyle w:val="figure"/>
      </w:pPr>
      <w:bookmarkStart w:id="127" w:name="_Toc69511410"/>
      <w:r>
        <w:t xml:space="preserve">Figure </w:t>
      </w:r>
      <w:r w:rsidR="00E27D6E">
        <w:fldChar w:fldCharType="begin"/>
      </w:r>
      <w:r w:rsidR="00E27D6E">
        <w:instrText xml:space="preserve"> SEQ Figure \* ARABIC </w:instrText>
      </w:r>
      <w:r w:rsidR="00E27D6E">
        <w:fldChar w:fldCharType="separate"/>
      </w:r>
      <w:r w:rsidR="0007597F">
        <w:rPr>
          <w:noProof/>
        </w:rPr>
        <w:t>18</w:t>
      </w:r>
      <w:r w:rsidR="00E27D6E">
        <w:rPr>
          <w:noProof/>
        </w:rPr>
        <w:fldChar w:fldCharType="end"/>
      </w:r>
      <w:r>
        <w:t xml:space="preserve"> : </w:t>
      </w:r>
      <w:r w:rsidR="004E4EBD" w:rsidRPr="008F57AF">
        <w:t>Part en % d</w:t>
      </w:r>
      <w:r w:rsidR="00A13465" w:rsidRPr="008F57AF">
        <w:t>e la consommation</w:t>
      </w:r>
      <w:r w:rsidR="004E4EBD" w:rsidRPr="008F57AF">
        <w:t xml:space="preserve"> à domicile et hors domicile par catégorie de produits chez a/ les enfants (0 à 17 ans) et b/ les adultes (18 à 79 ans)</w:t>
      </w:r>
      <w:bookmarkEnd w:id="127"/>
      <w:r w:rsidR="004E4EBD" w:rsidRPr="008F57AF">
        <w:t xml:space="preserve"> </w:t>
      </w:r>
      <w:r w:rsidR="00591356">
        <w:t>pour l’enquête de 2019</w:t>
      </w:r>
    </w:p>
    <w:p w14:paraId="77E62FB2" w14:textId="021B7FA5" w:rsidR="004E4EBD" w:rsidRPr="00D42B6F" w:rsidRDefault="004E4EBD" w:rsidP="00E46736">
      <w:pPr>
        <w:pStyle w:val="Lgende"/>
        <w:rPr>
          <w:b/>
        </w:rPr>
      </w:pPr>
      <w:r w:rsidRPr="00DC0123">
        <w:t>(</w:t>
      </w:r>
      <w:r w:rsidR="00DC0123" w:rsidRPr="00DC0123">
        <w:t>S</w:t>
      </w:r>
      <w:r w:rsidRPr="00DC0123">
        <w:t>ource : Ifip d’après Credoc, 2020).</w:t>
      </w:r>
    </w:p>
    <w:p w14:paraId="54C0B560" w14:textId="79BB9DFC" w:rsidR="004E4EBD" w:rsidRDefault="004E4EBD" w:rsidP="004E4EBD">
      <w:pPr>
        <w:pStyle w:val="Titre3"/>
      </w:pPr>
      <w:bookmarkStart w:id="128" w:name="_Toc78131585"/>
      <w:r w:rsidRPr="0027378B">
        <w:t>3.</w:t>
      </w:r>
      <w:r>
        <w:t>3</w:t>
      </w:r>
      <w:r w:rsidRPr="0027378B">
        <w:t>.</w:t>
      </w:r>
      <w:r w:rsidR="000F316F">
        <w:t>3</w:t>
      </w:r>
      <w:r w:rsidRPr="0027378B">
        <w:t xml:space="preserve">. </w:t>
      </w:r>
      <w:r>
        <w:t>Limites de l’enquête :</w:t>
      </w:r>
      <w:bookmarkEnd w:id="128"/>
      <w:r>
        <w:t xml:space="preserve"> </w:t>
      </w:r>
    </w:p>
    <w:p w14:paraId="7FFB0B7F" w14:textId="270931F9" w:rsidR="004E4EBD" w:rsidRPr="000C5493" w:rsidRDefault="004E4EBD" w:rsidP="004E4EBD">
      <w:pPr>
        <w:rPr>
          <w:rFonts w:cs="Arial"/>
        </w:rPr>
      </w:pPr>
      <w:r w:rsidRPr="00F82DC1">
        <w:rPr>
          <w:rFonts w:cs="Arial"/>
        </w:rPr>
        <w:t>Cette étude mesure et analyse la consommation d’un échantillon représentatif de la population française. Globalement, les tendances à la hausse observées dans cette étude, se positionnent à rebours des données observées par ailleurs en charcuterie et viande de porc qui font elles, état d’un recul continu.</w:t>
      </w:r>
      <w:r>
        <w:rPr>
          <w:rFonts w:cs="Arial"/>
        </w:rPr>
        <w:t xml:space="preserve"> </w:t>
      </w:r>
      <w:r w:rsidRPr="000C5493">
        <w:rPr>
          <w:rFonts w:cs="Arial"/>
        </w:rPr>
        <w:t>Toutefois, des biais ont été identifiés par le Credoc lui-même ou relatés dans la littérature. Parmi eux, il s’agira de relever en particulier ceux ayant une incidence possible sur la lecture des données relatives à l’espèce porc </w:t>
      </w:r>
      <w:r>
        <w:rPr>
          <w:rFonts w:cs="Arial"/>
        </w:rPr>
        <w:t xml:space="preserve">et de les commenter </w:t>
      </w:r>
      <w:r w:rsidRPr="000C5493">
        <w:rPr>
          <w:rFonts w:cs="Arial"/>
        </w:rPr>
        <w:t xml:space="preserve">: </w:t>
      </w:r>
    </w:p>
    <w:p w14:paraId="5CF50F5B" w14:textId="61A74A42" w:rsidR="004E4EBD" w:rsidRPr="00CF6505" w:rsidRDefault="00347B78" w:rsidP="00AA28BC">
      <w:pPr>
        <w:pStyle w:val="Paragraphedeliste"/>
        <w:numPr>
          <w:ilvl w:val="0"/>
          <w:numId w:val="7"/>
        </w:numPr>
        <w:rPr>
          <w:szCs w:val="22"/>
        </w:rPr>
      </w:pPr>
      <w:r>
        <w:rPr>
          <w:bCs/>
          <w:szCs w:val="22"/>
        </w:rPr>
        <w:t>La</w:t>
      </w:r>
      <w:r w:rsidR="004E4EBD">
        <w:rPr>
          <w:bCs/>
          <w:szCs w:val="22"/>
        </w:rPr>
        <w:t xml:space="preserve"> méthodologie d’enquête a évolué en 2019 dans le cadre d’une harmonisation européenne avec le passage à </w:t>
      </w:r>
      <w:r w:rsidR="004E4EBD" w:rsidRPr="000C5493">
        <w:rPr>
          <w:szCs w:val="22"/>
        </w:rPr>
        <w:t>trois jours d’enquête non consécutifs, incluant un jour de week-end</w:t>
      </w:r>
      <w:r w:rsidR="004E4EBD">
        <w:rPr>
          <w:szCs w:val="22"/>
        </w:rPr>
        <w:t>,</w:t>
      </w:r>
      <w:r w:rsidR="004E4EBD" w:rsidRPr="000C5493">
        <w:rPr>
          <w:szCs w:val="22"/>
        </w:rPr>
        <w:t xml:space="preserve"> </w:t>
      </w:r>
      <w:r w:rsidR="004E4EBD">
        <w:rPr>
          <w:szCs w:val="22"/>
        </w:rPr>
        <w:t xml:space="preserve">contre 7 jours consécutifs auparavant. Cette évolution a permis de mieux rendre compte des </w:t>
      </w:r>
      <w:r w:rsidR="004E4EBD" w:rsidRPr="000C5493">
        <w:rPr>
          <w:bCs/>
          <w:szCs w:val="22"/>
        </w:rPr>
        <w:t>variabilité</w:t>
      </w:r>
      <w:r w:rsidR="004E4EBD">
        <w:rPr>
          <w:bCs/>
          <w:szCs w:val="22"/>
        </w:rPr>
        <w:t>s</w:t>
      </w:r>
      <w:r w:rsidR="004E4EBD" w:rsidRPr="000C5493">
        <w:rPr>
          <w:bCs/>
          <w:szCs w:val="22"/>
        </w:rPr>
        <w:t xml:space="preserve"> journalière</w:t>
      </w:r>
      <w:r w:rsidR="004E4EBD">
        <w:rPr>
          <w:bCs/>
          <w:szCs w:val="22"/>
        </w:rPr>
        <w:t>s</w:t>
      </w:r>
      <w:r w:rsidR="004E4EBD" w:rsidRPr="000C5493">
        <w:rPr>
          <w:bCs/>
          <w:szCs w:val="22"/>
        </w:rPr>
        <w:t xml:space="preserve"> de comportement d’ingestion alimentaire </w:t>
      </w:r>
      <w:r w:rsidR="004E4EBD" w:rsidRPr="000C5493">
        <w:rPr>
          <w:szCs w:val="22"/>
        </w:rPr>
        <w:t xml:space="preserve">(de Castro 2010) </w:t>
      </w:r>
      <w:r w:rsidR="004E4EBD">
        <w:rPr>
          <w:szCs w:val="22"/>
        </w:rPr>
        <w:t>et de répondre aux préconisations</w:t>
      </w:r>
      <w:r w:rsidR="004E4EBD" w:rsidRPr="000C5493">
        <w:rPr>
          <w:szCs w:val="22"/>
        </w:rPr>
        <w:t xml:space="preserve"> (Dubuisson et al 2018),</w:t>
      </w:r>
    </w:p>
    <w:p w14:paraId="405AF897" w14:textId="47D04110" w:rsidR="004E4EBD" w:rsidRDefault="00347B78" w:rsidP="00AA28BC">
      <w:pPr>
        <w:pStyle w:val="Paragraphedeliste"/>
        <w:numPr>
          <w:ilvl w:val="0"/>
          <w:numId w:val="7"/>
        </w:numPr>
        <w:rPr>
          <w:szCs w:val="22"/>
        </w:rPr>
      </w:pPr>
      <w:r w:rsidRPr="000C5493">
        <w:rPr>
          <w:bCs/>
          <w:szCs w:val="22"/>
        </w:rPr>
        <w:t>La</w:t>
      </w:r>
      <w:r w:rsidR="004E4EBD" w:rsidRPr="000C5493">
        <w:rPr>
          <w:bCs/>
          <w:szCs w:val="22"/>
        </w:rPr>
        <w:t xml:space="preserve"> prise en compte de la variabilité saisonnière </w:t>
      </w:r>
      <w:r w:rsidR="001E3E03">
        <w:rPr>
          <w:szCs w:val="22"/>
        </w:rPr>
        <w:t>compte tenu du</w:t>
      </w:r>
      <w:r w:rsidR="004E4EBD">
        <w:rPr>
          <w:bCs/>
          <w:szCs w:val="22"/>
        </w:rPr>
        <w:t xml:space="preserve"> décalage</w:t>
      </w:r>
      <w:r w:rsidR="001E3E03">
        <w:rPr>
          <w:bCs/>
          <w:szCs w:val="22"/>
        </w:rPr>
        <w:t xml:space="preserve"> de la phase terrain</w:t>
      </w:r>
      <w:r w:rsidR="004E4EBD">
        <w:rPr>
          <w:bCs/>
          <w:szCs w:val="22"/>
        </w:rPr>
        <w:t xml:space="preserve"> </w:t>
      </w:r>
      <w:r w:rsidR="004E4EBD" w:rsidRPr="000C5493">
        <w:rPr>
          <w:bCs/>
          <w:szCs w:val="22"/>
        </w:rPr>
        <w:t xml:space="preserve">sur </w:t>
      </w:r>
      <w:r w:rsidR="001E3E03">
        <w:rPr>
          <w:bCs/>
          <w:szCs w:val="22"/>
        </w:rPr>
        <w:t>l’été coïncidant</w:t>
      </w:r>
      <w:r w:rsidR="004E4EBD" w:rsidRPr="000C5493">
        <w:rPr>
          <w:bCs/>
          <w:szCs w:val="22"/>
        </w:rPr>
        <w:t xml:space="preserve"> </w:t>
      </w:r>
      <w:r w:rsidR="001E3E03">
        <w:rPr>
          <w:bCs/>
          <w:szCs w:val="22"/>
        </w:rPr>
        <w:t>avec</w:t>
      </w:r>
      <w:r w:rsidR="004E4EBD">
        <w:rPr>
          <w:bCs/>
          <w:szCs w:val="22"/>
        </w:rPr>
        <w:t xml:space="preserve"> la survenue d’une période caniculaire en juin et juillet 2019 </w:t>
      </w:r>
      <w:r w:rsidR="001E3E03">
        <w:rPr>
          <w:bCs/>
          <w:szCs w:val="22"/>
        </w:rPr>
        <w:t>qui a</w:t>
      </w:r>
      <w:r w:rsidR="004E4EBD">
        <w:rPr>
          <w:bCs/>
          <w:szCs w:val="22"/>
        </w:rPr>
        <w:t xml:space="preserve"> pu générer </w:t>
      </w:r>
      <w:r w:rsidR="004E4EBD" w:rsidRPr="000C5493">
        <w:rPr>
          <w:bCs/>
          <w:szCs w:val="22"/>
        </w:rPr>
        <w:t xml:space="preserve">une surestimation des </w:t>
      </w:r>
      <w:r w:rsidR="004E4EBD">
        <w:rPr>
          <w:bCs/>
          <w:szCs w:val="22"/>
        </w:rPr>
        <w:t>quantités consommées en charcuterie (période de forte consommation)</w:t>
      </w:r>
      <w:r w:rsidR="004E4EBD" w:rsidRPr="000C5493">
        <w:rPr>
          <w:bCs/>
          <w:szCs w:val="22"/>
        </w:rPr>
        <w:t xml:space="preserve">, </w:t>
      </w:r>
    </w:p>
    <w:p w14:paraId="7CFF8D39" w14:textId="698E6A2D" w:rsidR="004E4EBD" w:rsidRPr="00F7442F" w:rsidRDefault="00347B78" w:rsidP="00AA28BC">
      <w:pPr>
        <w:pStyle w:val="Paragraphedeliste"/>
        <w:numPr>
          <w:ilvl w:val="0"/>
          <w:numId w:val="7"/>
        </w:numPr>
        <w:rPr>
          <w:szCs w:val="22"/>
        </w:rPr>
      </w:pPr>
      <w:r>
        <w:rPr>
          <w:bCs/>
          <w:szCs w:val="22"/>
        </w:rPr>
        <w:t>L</w:t>
      </w:r>
      <w:r w:rsidR="004E4EBD" w:rsidRPr="00C458F5">
        <w:rPr>
          <w:bCs/>
          <w:szCs w:val="22"/>
        </w:rPr>
        <w:t>es limites de l’auto</w:t>
      </w:r>
      <w:r w:rsidR="00591356">
        <w:rPr>
          <w:bCs/>
          <w:szCs w:val="22"/>
        </w:rPr>
        <w:t>-</w:t>
      </w:r>
      <w:r w:rsidR="004E4EBD" w:rsidRPr="00C458F5">
        <w:rPr>
          <w:bCs/>
          <w:szCs w:val="22"/>
        </w:rPr>
        <w:t>déclaration avec une possible sous déclaration pour les aliments consommés en dehors des repas principaux (Loannidis 2018, Combris 2020)</w:t>
      </w:r>
      <w:r w:rsidR="004E4EBD">
        <w:rPr>
          <w:bCs/>
          <w:szCs w:val="22"/>
        </w:rPr>
        <w:t>. Ce biais concerne particulièrement la charcuterie compte tenu de l’émergence de nouveaux instants de consommation autour d</w:t>
      </w:r>
      <w:r w:rsidR="004E4EBD" w:rsidRPr="00C458F5">
        <w:rPr>
          <w:bCs/>
          <w:szCs w:val="22"/>
        </w:rPr>
        <w:t>e</w:t>
      </w:r>
      <w:r w:rsidR="004E4EBD">
        <w:rPr>
          <w:bCs/>
          <w:szCs w:val="22"/>
        </w:rPr>
        <w:t xml:space="preserve"> l’</w:t>
      </w:r>
      <w:r w:rsidR="004E4EBD" w:rsidRPr="00C458F5">
        <w:rPr>
          <w:bCs/>
          <w:szCs w:val="22"/>
        </w:rPr>
        <w:t>apéritif</w:t>
      </w:r>
      <w:r w:rsidR="004E4EBD">
        <w:rPr>
          <w:bCs/>
          <w:szCs w:val="22"/>
        </w:rPr>
        <w:t xml:space="preserve"> </w:t>
      </w:r>
      <w:r w:rsidR="004E4EBD" w:rsidRPr="00C458F5">
        <w:rPr>
          <w:bCs/>
          <w:szCs w:val="22"/>
        </w:rPr>
        <w:t xml:space="preserve">et </w:t>
      </w:r>
      <w:r w:rsidR="004E4EBD">
        <w:rPr>
          <w:bCs/>
          <w:szCs w:val="22"/>
        </w:rPr>
        <w:t>de l’</w:t>
      </w:r>
      <w:r w:rsidR="004E4EBD" w:rsidRPr="00C458F5">
        <w:rPr>
          <w:bCs/>
          <w:szCs w:val="22"/>
        </w:rPr>
        <w:t xml:space="preserve">en-cas salé. </w:t>
      </w:r>
      <w:r w:rsidR="004E4EBD">
        <w:rPr>
          <w:bCs/>
          <w:szCs w:val="22"/>
        </w:rPr>
        <w:t>Par ailleurs</w:t>
      </w:r>
      <w:r w:rsidR="004E4EBD" w:rsidRPr="00C458F5">
        <w:rPr>
          <w:bCs/>
          <w:szCs w:val="22"/>
        </w:rPr>
        <w:t xml:space="preserve">, </w:t>
      </w:r>
      <w:r w:rsidR="004E4EBD">
        <w:t>l</w:t>
      </w:r>
      <w:r w:rsidR="004E4EBD" w:rsidRPr="00B7375E">
        <w:t xml:space="preserve">es méthodologies </w:t>
      </w:r>
      <w:r w:rsidR="004E4EBD">
        <w:t xml:space="preserve">prenant appui sur la mémorisation des individus enquêtés peuvent présenter des biais d’exhaustivité de déclaration </w:t>
      </w:r>
      <w:r w:rsidR="004E4EBD" w:rsidRPr="00B7375E">
        <w:t>(Archer et al</w:t>
      </w:r>
      <w:r w:rsidR="004E4EBD">
        <w:t xml:space="preserve">. </w:t>
      </w:r>
      <w:r w:rsidR="004E4EBD" w:rsidRPr="00B7375E">
        <w:t>2015, 2018).</w:t>
      </w:r>
    </w:p>
    <w:p w14:paraId="7F7E6A6A" w14:textId="200EF8C0" w:rsidR="0081243E" w:rsidRPr="0081243E" w:rsidRDefault="00894434" w:rsidP="00AA28BC">
      <w:pPr>
        <w:pStyle w:val="Paragraphedeliste"/>
        <w:numPr>
          <w:ilvl w:val="0"/>
          <w:numId w:val="7"/>
        </w:numPr>
        <w:rPr>
          <w:szCs w:val="22"/>
        </w:rPr>
      </w:pPr>
      <w:r>
        <w:rPr>
          <w:bCs/>
        </w:rPr>
        <w:t>Les</w:t>
      </w:r>
      <w:r w:rsidR="004E4EBD" w:rsidRPr="00F7442F">
        <w:rPr>
          <w:bCs/>
        </w:rPr>
        <w:t xml:space="preserve"> limites à l’évaluation de la taille des portions et les erreurs d’appréciation visuelle</w:t>
      </w:r>
      <w:r w:rsidR="004E4EBD">
        <w:rPr>
          <w:bCs/>
        </w:rPr>
        <w:t xml:space="preserve"> </w:t>
      </w:r>
      <w:r w:rsidR="004E4EBD" w:rsidRPr="00F7442F">
        <w:t>(Ordabayeva &amp; Chandon 2016)</w:t>
      </w:r>
      <w:r w:rsidR="004E4EBD">
        <w:t xml:space="preserve"> : </w:t>
      </w:r>
      <w:r w:rsidR="004E4EBD" w:rsidRPr="00FA68AF">
        <w:t>la part des produits ingrédients est de 19</w:t>
      </w:r>
      <w:r w:rsidR="00E46736">
        <w:t> </w:t>
      </w:r>
      <w:r w:rsidR="004E4EBD" w:rsidRPr="00FA68AF">
        <w:t>% chez les adultes et 24</w:t>
      </w:r>
      <w:r w:rsidR="00E46736">
        <w:t> </w:t>
      </w:r>
      <w:r w:rsidR="004E4EBD" w:rsidRPr="00FA68AF">
        <w:t>% chez les enfants</w:t>
      </w:r>
      <w:r w:rsidR="004E4EBD">
        <w:t xml:space="preserve">. </w:t>
      </w:r>
      <w:r w:rsidR="00BC1EFF">
        <w:t>Cet aspect pourrait en partie expliquer les tendances à la hausse observées dans l’enquête 2019,</w:t>
      </w:r>
    </w:p>
    <w:p w14:paraId="5D516992" w14:textId="06B966CD" w:rsidR="0081243E" w:rsidRPr="0081243E" w:rsidRDefault="004E4EBD" w:rsidP="0081243E">
      <w:pPr>
        <w:pStyle w:val="Paragraphedeliste"/>
        <w:numPr>
          <w:ilvl w:val="0"/>
          <w:numId w:val="7"/>
        </w:numPr>
        <w:rPr>
          <w:szCs w:val="22"/>
        </w:rPr>
      </w:pPr>
      <w:r>
        <w:lastRenderedPageBreak/>
        <w:t>Dans un contexte de forte variabilité dans la composition des produits pour une même recette donnée, d’évolution vers des produits de plus en plus élaborés pour lesquels la part de porc est difficile à évaluer,</w:t>
      </w:r>
      <w:r w:rsidR="00980C13">
        <w:t xml:space="preserve"> i</w:t>
      </w:r>
      <w:r w:rsidR="0081243E">
        <w:t xml:space="preserve">l importe </w:t>
      </w:r>
      <w:r w:rsidR="004E36E1">
        <w:t xml:space="preserve">cependant </w:t>
      </w:r>
      <w:r w:rsidR="0081243E">
        <w:t xml:space="preserve">de noter que la part de porc incorporée dans les typologies </w:t>
      </w:r>
      <w:r w:rsidR="00980C13">
        <w:t xml:space="preserve">de produits </w:t>
      </w:r>
      <w:r w:rsidR="0081243E">
        <w:t>selon le Credoc</w:t>
      </w:r>
      <w:r w:rsidR="00980C13">
        <w:t xml:space="preserve"> (Annexe</w:t>
      </w:r>
      <w:r w:rsidR="004E36E1">
        <w:t xml:space="preserve"> 4)</w:t>
      </w:r>
      <w:r w:rsidR="0081243E">
        <w:t xml:space="preserve"> est sensiblement </w:t>
      </w:r>
      <w:r w:rsidR="004E36E1">
        <w:t xml:space="preserve">différente </w:t>
      </w:r>
      <w:r w:rsidR="0081243E">
        <w:t>aux données obtenues par enquête réalisée en 2020 (partie 2, paragraphe</w:t>
      </w:r>
      <w:r w:rsidR="004E36E1">
        <w:t xml:space="preserve"> 2.1.2.</w:t>
      </w:r>
      <w:r w:rsidR="0081243E">
        <w:t>),</w:t>
      </w:r>
    </w:p>
    <w:p w14:paraId="7163F019" w14:textId="044B7197" w:rsidR="004718CD" w:rsidRPr="0081243E" w:rsidRDefault="004E4EBD" w:rsidP="0081243E">
      <w:pPr>
        <w:pStyle w:val="Paragraphedeliste"/>
        <w:numPr>
          <w:ilvl w:val="0"/>
          <w:numId w:val="0"/>
        </w:numPr>
        <w:ind w:left="361"/>
        <w:rPr>
          <w:szCs w:val="22"/>
        </w:rPr>
      </w:pPr>
      <w:r>
        <w:t xml:space="preserve">Au-delà des aspects quantitatifs, la différentiation par espèce des consommateurs est rendue difficile par </w:t>
      </w:r>
      <w:r w:rsidR="00894434">
        <w:t>le nombre croissant</w:t>
      </w:r>
      <w:r>
        <w:t xml:space="preserve"> de produits de substitution du porc par la volaille au-delà du jambon (lardons de dinde, bacon de dinde…),</w:t>
      </w:r>
    </w:p>
    <w:p w14:paraId="2485F2B1" w14:textId="2D6817C2" w:rsidR="004E4EBD" w:rsidRPr="00DE4E29" w:rsidRDefault="004E4EBD" w:rsidP="00AA28BC">
      <w:pPr>
        <w:pStyle w:val="Paragraphedeliste"/>
        <w:numPr>
          <w:ilvl w:val="0"/>
          <w:numId w:val="7"/>
        </w:numPr>
        <w:rPr>
          <w:szCs w:val="22"/>
        </w:rPr>
      </w:pPr>
      <w:r w:rsidRPr="00B1146F">
        <w:t xml:space="preserve">Outre les aspects de méthodologie globale de l’enquête, la comptabilisation des produits issus du porc est limitée par l’agrégation </w:t>
      </w:r>
      <w:r>
        <w:t xml:space="preserve">dans l’enquête </w:t>
      </w:r>
      <w:r w:rsidRPr="00B1146F">
        <w:t>des espèces porc et volaille sur le total charcuteries et en saucisseries. Si la part de la volaille dans la c</w:t>
      </w:r>
      <w:r w:rsidR="00710561">
        <w:t>harcuterie salaison</w:t>
      </w:r>
      <w:r w:rsidRPr="00B1146F">
        <w:t xml:space="preserve"> demeure inférieure à 10</w:t>
      </w:r>
      <w:r w:rsidR="00E46736">
        <w:t> </w:t>
      </w:r>
      <w:r w:rsidRPr="00B1146F">
        <w:t>% en 2018</w:t>
      </w:r>
      <w:r w:rsidR="00710561">
        <w:t xml:space="preserve"> (</w:t>
      </w:r>
      <w:r w:rsidR="004E3334">
        <w:t>KWp</w:t>
      </w:r>
      <w:r w:rsidR="00710561">
        <w:t>)</w:t>
      </w:r>
      <w:r w:rsidRPr="00B1146F">
        <w:t>, sa croissance soutenue</w:t>
      </w:r>
      <w:r>
        <w:rPr>
          <w:szCs w:val="22"/>
        </w:rPr>
        <w:t xml:space="preserve"> </w:t>
      </w:r>
      <w:r w:rsidRPr="00B1146F">
        <w:t xml:space="preserve">au travers d’un phénomène de substitution </w:t>
      </w:r>
      <w:r w:rsidRPr="00B1146F">
        <w:rPr>
          <w:szCs w:val="22"/>
        </w:rPr>
        <w:t xml:space="preserve">progressive </w:t>
      </w:r>
      <w:r w:rsidRPr="00B1146F">
        <w:t>du porc par la volaille en charcuterie</w:t>
      </w:r>
      <w:r w:rsidRPr="00B1146F">
        <w:rPr>
          <w:szCs w:val="22"/>
        </w:rPr>
        <w:t xml:space="preserve"> pour un certain nombre d’unités de besoin consommateurs</w:t>
      </w:r>
      <w:r w:rsidRPr="00B1146F">
        <w:t xml:space="preserve">, </w:t>
      </w:r>
      <w:r w:rsidR="00000029">
        <w:t>contribue à</w:t>
      </w:r>
      <w:r w:rsidRPr="00B1146F">
        <w:t xml:space="preserve"> une lecture </w:t>
      </w:r>
      <w:r w:rsidR="00000029">
        <w:t>im</w:t>
      </w:r>
      <w:r w:rsidRPr="00B1146F">
        <w:t>précise des évolutions de consommation.</w:t>
      </w:r>
    </w:p>
    <w:p w14:paraId="30B51334" w14:textId="77777777" w:rsidR="001856F9" w:rsidRPr="00DE4E29" w:rsidRDefault="001856F9" w:rsidP="0002537E">
      <w:pPr>
        <w:pStyle w:val="Corpsdetexte"/>
      </w:pPr>
      <w:bookmarkStart w:id="129" w:name="_Toc71124121"/>
      <w:bookmarkStart w:id="130" w:name="_Toc71124326"/>
      <w:bookmarkStart w:id="131" w:name="_Toc71215108"/>
      <w:bookmarkStart w:id="132" w:name="_Toc71215299"/>
      <w:bookmarkStart w:id="133" w:name="_Toc72140111"/>
      <w:bookmarkStart w:id="134" w:name="_Toc72140305"/>
      <w:bookmarkStart w:id="135" w:name="_Toc76458447"/>
      <w:bookmarkStart w:id="136" w:name="_Toc76458639"/>
      <w:bookmarkStart w:id="137" w:name="_Toc76458828"/>
      <w:bookmarkEnd w:id="129"/>
      <w:bookmarkEnd w:id="130"/>
      <w:bookmarkEnd w:id="131"/>
      <w:bookmarkEnd w:id="132"/>
      <w:bookmarkEnd w:id="133"/>
      <w:bookmarkEnd w:id="134"/>
      <w:bookmarkEnd w:id="135"/>
      <w:bookmarkEnd w:id="136"/>
      <w:bookmarkEnd w:id="137"/>
    </w:p>
    <w:p w14:paraId="6AAC8FD7" w14:textId="77777777" w:rsidR="004E4EBD" w:rsidRDefault="004E4EBD" w:rsidP="00A63F35">
      <w:pPr>
        <w:pStyle w:val="Titre2"/>
        <w:numPr>
          <w:ilvl w:val="0"/>
          <w:numId w:val="0"/>
        </w:numPr>
        <w:ind w:left="1019"/>
      </w:pPr>
      <w:bookmarkStart w:id="138" w:name="_Toc78131586"/>
      <w:r w:rsidRPr="008150C6">
        <w:t>3.4.</w:t>
      </w:r>
      <w:r w:rsidRPr="008150C6">
        <w:tab/>
        <w:t>Enquête Kantar</w:t>
      </w:r>
      <w:bookmarkEnd w:id="138"/>
      <w:r w:rsidRPr="008150C6">
        <w:t xml:space="preserve"> </w:t>
      </w:r>
    </w:p>
    <w:p w14:paraId="791721B7" w14:textId="5C763D4A" w:rsidR="004E4EBD" w:rsidRPr="00F050C5" w:rsidRDefault="004E4EBD" w:rsidP="004E4EBD">
      <w:pPr>
        <w:pStyle w:val="Titre3"/>
        <w:rPr>
          <w:color w:val="000000" w:themeColor="text1"/>
        </w:rPr>
      </w:pPr>
      <w:bookmarkStart w:id="139" w:name="_Toc78131587"/>
      <w:r w:rsidRPr="00F050C5">
        <w:rPr>
          <w:color w:val="000000" w:themeColor="text1"/>
        </w:rPr>
        <w:t>3.</w:t>
      </w:r>
      <w:r>
        <w:rPr>
          <w:color w:val="000000" w:themeColor="text1"/>
        </w:rPr>
        <w:t>4</w:t>
      </w:r>
      <w:r w:rsidRPr="00F050C5">
        <w:rPr>
          <w:color w:val="000000" w:themeColor="text1"/>
        </w:rPr>
        <w:t>.1. Objectifs et méthode d</w:t>
      </w:r>
      <w:r>
        <w:rPr>
          <w:color w:val="000000" w:themeColor="text1"/>
        </w:rPr>
        <w:t>u panel à domicile</w:t>
      </w:r>
      <w:bookmarkEnd w:id="139"/>
    </w:p>
    <w:p w14:paraId="077557EE" w14:textId="66F04C66" w:rsidR="004E4EBD" w:rsidRDefault="004E4EBD" w:rsidP="004E4EBD">
      <w:pPr>
        <w:pStyle w:val="ValrieN2"/>
        <w:ind w:left="0"/>
        <w:rPr>
          <w:b w:val="0"/>
        </w:rPr>
      </w:pPr>
      <w:r w:rsidRPr="001E2B0F">
        <w:rPr>
          <w:b w:val="0"/>
        </w:rPr>
        <w:t>Le panel de consommateurs KANTAR «</w:t>
      </w:r>
      <w:r w:rsidR="007C77D7">
        <w:rPr>
          <w:b w:val="0"/>
        </w:rPr>
        <w:t> </w:t>
      </w:r>
      <w:r w:rsidRPr="001E2B0F">
        <w:rPr>
          <w:b w:val="0"/>
        </w:rPr>
        <w:t>Worldpanel</w:t>
      </w:r>
      <w:r w:rsidR="007C77D7">
        <w:rPr>
          <w:b w:val="0"/>
        </w:rPr>
        <w:t> </w:t>
      </w:r>
      <w:r w:rsidRPr="001E2B0F">
        <w:rPr>
          <w:b w:val="0"/>
        </w:rPr>
        <w:t>»</w:t>
      </w:r>
      <w:r>
        <w:rPr>
          <w:b w:val="0"/>
        </w:rPr>
        <w:t xml:space="preserve"> retrace en temps réel </w:t>
      </w:r>
      <w:r w:rsidRPr="001E2B0F">
        <w:rPr>
          <w:b w:val="0"/>
        </w:rPr>
        <w:t xml:space="preserve">les achats </w:t>
      </w:r>
      <w:r>
        <w:rPr>
          <w:b w:val="0"/>
        </w:rPr>
        <w:t>effectué</w:t>
      </w:r>
      <w:r w:rsidR="00FF3771">
        <w:rPr>
          <w:b w:val="0"/>
        </w:rPr>
        <w:t>s</w:t>
      </w:r>
      <w:r>
        <w:rPr>
          <w:b w:val="0"/>
        </w:rPr>
        <w:t xml:space="preserve"> pour </w:t>
      </w:r>
      <w:r w:rsidRPr="001E2B0F">
        <w:rPr>
          <w:b w:val="0"/>
        </w:rPr>
        <w:t xml:space="preserve">le domicile </w:t>
      </w:r>
      <w:r>
        <w:rPr>
          <w:b w:val="0"/>
        </w:rPr>
        <w:t>par les ménages afin de suivre les évolutions conjoncturelles de la consommation sur ce périmètre. L’</w:t>
      </w:r>
      <w:r w:rsidRPr="001E2B0F">
        <w:rPr>
          <w:b w:val="0"/>
        </w:rPr>
        <w:t xml:space="preserve">autoconsommation et l’autofourniture ne sont pas prises en compte. </w:t>
      </w:r>
      <w:r>
        <w:rPr>
          <w:b w:val="0"/>
        </w:rPr>
        <w:t xml:space="preserve">Le panel est constitué </w:t>
      </w:r>
      <w:r w:rsidR="001E3E03">
        <w:rPr>
          <w:b w:val="0"/>
        </w:rPr>
        <w:t xml:space="preserve">de </w:t>
      </w:r>
      <w:r w:rsidRPr="001E2B0F">
        <w:rPr>
          <w:b w:val="0"/>
        </w:rPr>
        <w:t>ménages ordinaires résidents en France métropolitaine continentale</w:t>
      </w:r>
      <w:r>
        <w:rPr>
          <w:b w:val="0"/>
        </w:rPr>
        <w:t xml:space="preserve"> soient 20 000 ménages pour l’univers « frais libre-service » et 12 000 ménages sur celui du « frais tradition »</w:t>
      </w:r>
      <w:r w:rsidR="0031031A">
        <w:rPr>
          <w:b w:val="0"/>
        </w:rPr>
        <w:t xml:space="preserve">. </w:t>
      </w:r>
    </w:p>
    <w:p w14:paraId="3BBAEF0C" w14:textId="783239DF" w:rsidR="004E4EBD" w:rsidRPr="00797BCA" w:rsidRDefault="004E4EBD" w:rsidP="004E4EBD">
      <w:pPr>
        <w:shd w:val="clear" w:color="auto" w:fill="FFFFFF"/>
        <w:rPr>
          <w:rFonts w:cs="Arial"/>
        </w:rPr>
      </w:pPr>
      <w:r w:rsidRPr="00797BCA">
        <w:rPr>
          <w:rFonts w:cs="Arial"/>
        </w:rPr>
        <w:t>Les méthodes d’échantillonnage et de recueil des données sont effectuées par lecture optique à domicile avec enregistrement des produits porteurs d’un code-barres soient les produits à poids fixe du libre-service et pour partie du frais emballé. Les données pour les produits sans code-barre soient à poids variable</w:t>
      </w:r>
      <w:r w:rsidR="001E3E03">
        <w:rPr>
          <w:rFonts w:cs="Arial"/>
        </w:rPr>
        <w:t xml:space="preserve"> pour partie de la coupe et du frais emballé,</w:t>
      </w:r>
      <w:r w:rsidRPr="00797BCA">
        <w:rPr>
          <w:rFonts w:cs="Arial"/>
        </w:rPr>
        <w:t xml:space="preserve"> sont enregistrées par relecture à partir d’un panel de marques et de codes spécifiques enregistrés dans un référentiel. Celui-ci est au fur et à mesure mis à jour des évolutions et nouveautés produits sur le marché par des </w:t>
      </w:r>
      <w:r w:rsidRPr="00806A55">
        <w:rPr>
          <w:rFonts w:cs="Arial"/>
        </w:rPr>
        <w:t>enquêteurs effectu</w:t>
      </w:r>
      <w:r w:rsidRPr="00797BCA">
        <w:rPr>
          <w:rFonts w:cs="Arial"/>
        </w:rPr>
        <w:t>a</w:t>
      </w:r>
      <w:r w:rsidRPr="00806A55">
        <w:rPr>
          <w:rFonts w:cs="Arial"/>
        </w:rPr>
        <w:t>nt régulièrement des relevés de produits en points de vente</w:t>
      </w:r>
      <w:r w:rsidRPr="00797BCA">
        <w:rPr>
          <w:rFonts w:cs="Arial"/>
        </w:rPr>
        <w:t xml:space="preserve">. </w:t>
      </w:r>
      <w:r w:rsidRPr="00806A55">
        <w:rPr>
          <w:rFonts w:cs="Arial"/>
        </w:rPr>
        <w:t>Les relevés d'achats sont détaillés (désignation des produits, quantités, prix et lieu d'achat) et réalisés en continu tout au long de l'année</w:t>
      </w:r>
      <w:r w:rsidRPr="00797BCA">
        <w:rPr>
          <w:rFonts w:cs="Arial"/>
        </w:rPr>
        <w:t xml:space="preserve"> (www.kantarworldpanel.com</w:t>
      </w:r>
      <w:r>
        <w:rPr>
          <w:rFonts w:cs="Arial"/>
        </w:rPr>
        <w:t>).</w:t>
      </w:r>
    </w:p>
    <w:p w14:paraId="542C97BE" w14:textId="192BDB81" w:rsidR="004E4EBD" w:rsidRDefault="004E4EBD" w:rsidP="004E4EBD">
      <w:pPr>
        <w:pStyle w:val="ValrieN2"/>
        <w:ind w:left="0"/>
        <w:rPr>
          <w:b w:val="0"/>
        </w:rPr>
      </w:pPr>
      <w:r>
        <w:rPr>
          <w:b w:val="0"/>
        </w:rPr>
        <w:t xml:space="preserve">La base de données fournit à une fréquence mensuelle une vingtaine d’indicateurs (taux de pénétration, quantités achetées par acte, fréquence d’achat…). Dans le cadre de cette analyse quantitative du marché, il s’agira de prendre appui sur les </w:t>
      </w:r>
      <w:r w:rsidR="00EE16F1">
        <w:rPr>
          <w:b w:val="0"/>
        </w:rPr>
        <w:t>quantités achetées</w:t>
      </w:r>
      <w:r>
        <w:rPr>
          <w:b w:val="0"/>
        </w:rPr>
        <w:t xml:space="preserve">, unités de vente et taux de pénétration des produits. </w:t>
      </w:r>
      <w:r w:rsidRPr="001E2B0F">
        <w:rPr>
          <w:b w:val="0"/>
        </w:rPr>
        <w:t xml:space="preserve">La nomenclature caractérisée par un niveau de produits </w:t>
      </w:r>
      <w:r>
        <w:rPr>
          <w:b w:val="0"/>
        </w:rPr>
        <w:t>relativement</w:t>
      </w:r>
      <w:r w:rsidRPr="001E2B0F">
        <w:rPr>
          <w:b w:val="0"/>
        </w:rPr>
        <w:t xml:space="preserve"> agrégé</w:t>
      </w:r>
      <w:r>
        <w:rPr>
          <w:b w:val="0"/>
        </w:rPr>
        <w:t xml:space="preserve"> couvre l</w:t>
      </w:r>
      <w:r w:rsidR="000F5C4A">
        <w:rPr>
          <w:b w:val="0"/>
        </w:rPr>
        <w:t>es</w:t>
      </w:r>
      <w:r>
        <w:rPr>
          <w:b w:val="0"/>
        </w:rPr>
        <w:t xml:space="preserve"> catégorie</w:t>
      </w:r>
      <w:r w:rsidR="000F5C4A">
        <w:rPr>
          <w:b w:val="0"/>
        </w:rPr>
        <w:t>s</w:t>
      </w:r>
      <w:r>
        <w:rPr>
          <w:b w:val="0"/>
        </w:rPr>
        <w:t xml:space="preserve"> des produits frais en viande de porc et de charcuterie mais également </w:t>
      </w:r>
      <w:r w:rsidR="000F5C4A">
        <w:rPr>
          <w:b w:val="0"/>
        </w:rPr>
        <w:t>la</w:t>
      </w:r>
      <w:r>
        <w:rPr>
          <w:b w:val="0"/>
        </w:rPr>
        <w:t xml:space="preserve"> viande de porc surgelée</w:t>
      </w:r>
      <w:r w:rsidR="00E13C38">
        <w:rPr>
          <w:b w:val="0"/>
        </w:rPr>
        <w:t xml:space="preserve"> (</w:t>
      </w:r>
      <w:r>
        <w:rPr>
          <w:b w:val="0"/>
        </w:rPr>
        <w:t>Annexe 5</w:t>
      </w:r>
      <w:r w:rsidR="00E13C38">
        <w:rPr>
          <w:b w:val="0"/>
        </w:rPr>
        <w:t>)</w:t>
      </w:r>
      <w:r>
        <w:rPr>
          <w:b w:val="0"/>
        </w:rPr>
        <w:t xml:space="preserve">. Certaines lignes </w:t>
      </w:r>
      <w:r w:rsidR="0001653C">
        <w:rPr>
          <w:b w:val="0"/>
        </w:rPr>
        <w:t xml:space="preserve">de </w:t>
      </w:r>
      <w:r>
        <w:rPr>
          <w:b w:val="0"/>
        </w:rPr>
        <w:t xml:space="preserve">produits ne sont pas exploitables compte tenu de volumes inférieurs au seuil de représentativité. </w:t>
      </w:r>
    </w:p>
    <w:p w14:paraId="4DC63D86" w14:textId="77777777" w:rsidR="004E4EBD" w:rsidRDefault="004E4EBD" w:rsidP="0002537E">
      <w:pPr>
        <w:pStyle w:val="Titre3"/>
      </w:pPr>
      <w:bookmarkStart w:id="140" w:name="_Toc78131588"/>
      <w:r w:rsidRPr="001E3D08">
        <w:t>3.4.2 Résultats</w:t>
      </w:r>
      <w:r>
        <w:t> :</w:t>
      </w:r>
      <w:bookmarkEnd w:id="140"/>
      <w:r>
        <w:t xml:space="preserve"> </w:t>
      </w:r>
    </w:p>
    <w:p w14:paraId="6F24EF36" w14:textId="49D4426A" w:rsidR="002F1FFB" w:rsidRDefault="00114D7A" w:rsidP="00DC0123">
      <w:pPr>
        <w:pStyle w:val="Titre4"/>
        <w:tabs>
          <w:tab w:val="clear" w:pos="1980"/>
        </w:tabs>
        <w:ind w:left="1843"/>
      </w:pPr>
      <w:bookmarkStart w:id="141" w:name="_Toc78131589"/>
      <w:r>
        <w:t xml:space="preserve">3.4.2.1 </w:t>
      </w:r>
      <w:r w:rsidR="00C0679F">
        <w:t xml:space="preserve">Environ 45% des volumes </w:t>
      </w:r>
      <w:r w:rsidR="00706784">
        <w:t xml:space="preserve">à domicile </w:t>
      </w:r>
      <w:r w:rsidR="00DC0123">
        <w:t xml:space="preserve">sont </w:t>
      </w:r>
      <w:r w:rsidR="00C0679F">
        <w:t xml:space="preserve">des produits de mélange </w:t>
      </w:r>
      <w:r w:rsidR="00DC0123">
        <w:t xml:space="preserve">en </w:t>
      </w:r>
      <w:r w:rsidR="00C0679F">
        <w:t>charcuterie</w:t>
      </w:r>
      <w:bookmarkEnd w:id="141"/>
    </w:p>
    <w:p w14:paraId="78E9CE51" w14:textId="178C2AF9" w:rsidR="00A02F5E" w:rsidRDefault="00E13C38" w:rsidP="00E232E9">
      <w:pPr>
        <w:rPr>
          <w:rFonts w:cs="Arial"/>
          <w:b/>
        </w:rPr>
      </w:pPr>
      <w:r>
        <w:rPr>
          <w:rFonts w:cs="Arial"/>
        </w:rPr>
        <w:t xml:space="preserve">Les viandes fraîches ne représentent </w:t>
      </w:r>
      <w:r w:rsidR="00E232E9">
        <w:rPr>
          <w:rFonts w:cs="Arial"/>
        </w:rPr>
        <w:t xml:space="preserve">dans le panel </w:t>
      </w:r>
      <w:r>
        <w:rPr>
          <w:rFonts w:cs="Arial"/>
        </w:rPr>
        <w:t>que 3</w:t>
      </w:r>
      <w:r w:rsidR="009E50FC">
        <w:rPr>
          <w:rFonts w:cs="Arial"/>
        </w:rPr>
        <w:t>1</w:t>
      </w:r>
      <w:r>
        <w:rPr>
          <w:rFonts w:cs="Arial"/>
        </w:rPr>
        <w:t xml:space="preserve">% des volumes </w:t>
      </w:r>
      <w:r w:rsidR="00E232E9">
        <w:rPr>
          <w:rFonts w:cs="Arial"/>
        </w:rPr>
        <w:t xml:space="preserve">des produits du porc </w:t>
      </w:r>
      <w:r>
        <w:rPr>
          <w:rFonts w:cs="Arial"/>
        </w:rPr>
        <w:t>contre 6</w:t>
      </w:r>
      <w:r w:rsidR="00FD0891">
        <w:rPr>
          <w:rFonts w:cs="Arial"/>
        </w:rPr>
        <w:t>8</w:t>
      </w:r>
      <w:r w:rsidRPr="00E13C38">
        <w:rPr>
          <w:rFonts w:cs="Arial"/>
        </w:rPr>
        <w:t>% pour la charcuterie et 1% pour les abats. Au sein de la viande de porc, la</w:t>
      </w:r>
      <w:r w:rsidR="00111BDE" w:rsidRPr="00E13C38">
        <w:rPr>
          <w:rFonts w:cs="Arial"/>
        </w:rPr>
        <w:t xml:space="preserve"> part du </w:t>
      </w:r>
      <w:r w:rsidR="00226B81" w:rsidRPr="00E13C38">
        <w:rPr>
          <w:rFonts w:cs="Arial"/>
        </w:rPr>
        <w:t xml:space="preserve">frais est </w:t>
      </w:r>
      <w:r w:rsidR="00E83C98" w:rsidRPr="00E13C38">
        <w:rPr>
          <w:rFonts w:cs="Arial"/>
        </w:rPr>
        <w:t>majoritaire</w:t>
      </w:r>
      <w:r w:rsidR="00762AF7" w:rsidRPr="00E13C38">
        <w:rPr>
          <w:rFonts w:cs="Arial"/>
        </w:rPr>
        <w:t xml:space="preserve">, </w:t>
      </w:r>
      <w:r w:rsidRPr="00E13C38">
        <w:rPr>
          <w:rFonts w:cs="Arial"/>
        </w:rPr>
        <w:t xml:space="preserve">le </w:t>
      </w:r>
      <w:r w:rsidR="00E83C98" w:rsidRPr="00E13C38">
        <w:rPr>
          <w:rFonts w:cs="Arial"/>
        </w:rPr>
        <w:t>surgelé ne représent</w:t>
      </w:r>
      <w:r w:rsidR="00762AF7" w:rsidRPr="00E13C38">
        <w:rPr>
          <w:rFonts w:cs="Arial"/>
        </w:rPr>
        <w:t>ant</w:t>
      </w:r>
      <w:r w:rsidR="00E83C98" w:rsidRPr="00E13C38">
        <w:rPr>
          <w:rFonts w:cs="Arial"/>
        </w:rPr>
        <w:t xml:space="preserve"> que </w:t>
      </w:r>
      <w:r w:rsidRPr="00E13C38">
        <w:rPr>
          <w:rFonts w:cs="Arial"/>
        </w:rPr>
        <w:t>1</w:t>
      </w:r>
      <w:r w:rsidR="00E83C98" w:rsidRPr="00E13C38">
        <w:rPr>
          <w:rFonts w:cs="Arial"/>
        </w:rPr>
        <w:t>%</w:t>
      </w:r>
      <w:r w:rsidR="00A02F5E" w:rsidRPr="0002537E">
        <w:rPr>
          <w:rFonts w:cs="Arial"/>
        </w:rPr>
        <w:t>.</w:t>
      </w:r>
      <w:r w:rsidR="00A02F5E">
        <w:rPr>
          <w:rFonts w:cs="Arial"/>
          <w:b/>
        </w:rPr>
        <w:t xml:space="preserve"> </w:t>
      </w:r>
    </w:p>
    <w:p w14:paraId="77595823" w14:textId="77777777" w:rsidR="00591356" w:rsidRPr="0002537E" w:rsidRDefault="00591356" w:rsidP="00E232E9">
      <w:pPr>
        <w:rPr>
          <w:rFonts w:cs="Arial"/>
          <w:b/>
        </w:rPr>
      </w:pPr>
    </w:p>
    <w:tbl>
      <w:tblPr>
        <w:tblW w:w="9493" w:type="dxa"/>
        <w:tblCellMar>
          <w:left w:w="70" w:type="dxa"/>
          <w:right w:w="70" w:type="dxa"/>
        </w:tblCellMar>
        <w:tblLook w:val="04A0" w:firstRow="1" w:lastRow="0" w:firstColumn="1" w:lastColumn="0" w:noHBand="0" w:noVBand="1"/>
      </w:tblPr>
      <w:tblGrid>
        <w:gridCol w:w="4620"/>
        <w:gridCol w:w="1329"/>
        <w:gridCol w:w="2268"/>
        <w:gridCol w:w="1276"/>
      </w:tblGrid>
      <w:tr w:rsidR="009C44E9" w:rsidRPr="009C44E9" w14:paraId="74770503" w14:textId="77777777" w:rsidTr="008C67D7">
        <w:trPr>
          <w:trHeight w:val="315"/>
        </w:trPr>
        <w:tc>
          <w:tcPr>
            <w:tcW w:w="462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302A49ED" w14:textId="77777777" w:rsidR="009C44E9" w:rsidRPr="009C44E9" w:rsidRDefault="009C44E9" w:rsidP="009C44E9">
            <w:pPr>
              <w:spacing w:after="0" w:line="240" w:lineRule="auto"/>
              <w:jc w:val="left"/>
              <w:rPr>
                <w:rFonts w:eastAsia="Times New Roman" w:cs="Arial"/>
                <w:b/>
                <w:bCs/>
                <w:color w:val="000000"/>
                <w:sz w:val="20"/>
                <w:szCs w:val="20"/>
                <w:lang w:eastAsia="fr-FR"/>
              </w:rPr>
            </w:pPr>
            <w:bookmarkStart w:id="142" w:name="_Ref68421627"/>
            <w:r w:rsidRPr="009C44E9">
              <w:rPr>
                <w:rFonts w:eastAsia="Times New Roman" w:cs="Arial"/>
                <w:b/>
                <w:bCs/>
                <w:color w:val="000000"/>
                <w:sz w:val="20"/>
                <w:szCs w:val="20"/>
                <w:lang w:eastAsia="fr-FR"/>
              </w:rPr>
              <w:lastRenderedPageBreak/>
              <w:t> </w:t>
            </w:r>
          </w:p>
        </w:tc>
        <w:tc>
          <w:tcPr>
            <w:tcW w:w="1329"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6162E0FD" w14:textId="19745063"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 xml:space="preserve">Vol </w:t>
            </w:r>
            <w:r w:rsidR="00591356">
              <w:rPr>
                <w:rFonts w:eastAsia="Times New Roman" w:cs="Arial"/>
                <w:b/>
                <w:bCs/>
                <w:color w:val="000000"/>
                <w:sz w:val="20"/>
                <w:szCs w:val="20"/>
                <w:lang w:eastAsia="fr-FR"/>
              </w:rPr>
              <w:t>en kt</w:t>
            </w:r>
          </w:p>
        </w:tc>
        <w:tc>
          <w:tcPr>
            <w:tcW w:w="2268"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295E2639"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 xml:space="preserve">Part du segment en % </w:t>
            </w:r>
          </w:p>
        </w:tc>
        <w:tc>
          <w:tcPr>
            <w:tcW w:w="1276"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1BED2A28"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Evol. 18/17</w:t>
            </w:r>
          </w:p>
        </w:tc>
      </w:tr>
      <w:tr w:rsidR="009C44E9" w:rsidRPr="009C44E9" w14:paraId="1C02F6D3" w14:textId="77777777" w:rsidTr="00E174D6">
        <w:trPr>
          <w:trHeight w:val="91"/>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508450B"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Total Porc</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94D81B2"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990</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D758D8A" w14:textId="77777777" w:rsidR="009C44E9" w:rsidRPr="009C44E9" w:rsidRDefault="009C44E9" w:rsidP="009C44E9">
            <w:pPr>
              <w:spacing w:after="0" w:line="240" w:lineRule="auto"/>
              <w:jc w:val="right"/>
              <w:rPr>
                <w:rFonts w:eastAsia="Times New Roman" w:cs="Arial"/>
                <w:b/>
                <w:bCs/>
                <w:color w:val="000000"/>
                <w:sz w:val="20"/>
                <w:szCs w:val="20"/>
                <w:lang w:eastAsia="fr-FR"/>
              </w:rPr>
            </w:pPr>
            <w:r w:rsidRPr="009C44E9">
              <w:rPr>
                <w:rFonts w:eastAsia="Times New Roman" w:cs="Arial"/>
                <w:b/>
                <w:bCs/>
                <w:color w:val="000000"/>
                <w:sz w:val="20"/>
                <w:szCs w:val="20"/>
                <w:lang w:eastAsia="fr-FR"/>
              </w:rPr>
              <w:t>100%</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1C3B4FD"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-2,9%</w:t>
            </w:r>
          </w:p>
        </w:tc>
      </w:tr>
      <w:tr w:rsidR="009C44E9" w:rsidRPr="009C44E9" w14:paraId="352017DA" w14:textId="77777777" w:rsidTr="008C67D7">
        <w:trPr>
          <w:trHeight w:val="136"/>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8C3B6DF"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Viande de porc frais + surgelé hors abats</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74B6805"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306</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2E26DF2"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31%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3A0A67F" w14:textId="77777777" w:rsidR="009C44E9" w:rsidRPr="009C44E9" w:rsidRDefault="009C44E9" w:rsidP="009C44E9">
            <w:pPr>
              <w:spacing w:after="0" w:line="240" w:lineRule="auto"/>
              <w:jc w:val="center"/>
              <w:rPr>
                <w:rFonts w:eastAsia="Times New Roman" w:cs="Arial"/>
                <w:color w:val="000000"/>
                <w:sz w:val="20"/>
                <w:szCs w:val="20"/>
                <w:lang w:eastAsia="fr-FR"/>
              </w:rPr>
            </w:pPr>
            <w:r w:rsidRPr="009C44E9">
              <w:rPr>
                <w:rFonts w:eastAsia="Times New Roman" w:cs="Arial"/>
                <w:color w:val="000000"/>
                <w:sz w:val="20"/>
                <w:szCs w:val="20"/>
                <w:lang w:eastAsia="fr-FR"/>
              </w:rPr>
              <w:t>-1,6%</w:t>
            </w:r>
          </w:p>
        </w:tc>
      </w:tr>
      <w:tr w:rsidR="009C44E9" w:rsidRPr="009C44E9" w14:paraId="34AFCF94" w14:textId="77777777" w:rsidTr="008C67D7">
        <w:trPr>
          <w:trHeight w:val="183"/>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B3FC523"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Dont viande de porc frais "brut" hors abats</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87A995F"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182</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25A9A32"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59%</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8DA2AFD"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-3,4%</w:t>
            </w:r>
          </w:p>
        </w:tc>
      </w:tr>
      <w:tr w:rsidR="009C44E9" w:rsidRPr="009C44E9" w14:paraId="183B5267" w14:textId="77777777" w:rsidTr="008C67D7">
        <w:trPr>
          <w:trHeight w:val="214"/>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7BB25EC"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 xml:space="preserve">Dont viande de porc "brut" surgelée hors abats </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1AAC1AD"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2</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ED4D5C0"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61900A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-10,1%</w:t>
            </w:r>
          </w:p>
        </w:tc>
      </w:tr>
      <w:tr w:rsidR="009C44E9" w:rsidRPr="009C44E9" w14:paraId="02468726" w14:textId="77777777" w:rsidTr="008C67D7">
        <w:trPr>
          <w:trHeight w:val="260"/>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6D4E853" w14:textId="14C36224"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Dont viande de porc "élaborés" et demi</w:t>
            </w:r>
            <w:r w:rsidR="00591356">
              <w:rPr>
                <w:rFonts w:eastAsia="Times New Roman" w:cs="Arial"/>
                <w:color w:val="000000"/>
                <w:sz w:val="20"/>
                <w:szCs w:val="20"/>
                <w:lang w:eastAsia="fr-FR"/>
              </w:rPr>
              <w:t>-</w:t>
            </w:r>
            <w:r w:rsidRPr="009C44E9">
              <w:rPr>
                <w:rFonts w:eastAsia="Times New Roman" w:cs="Arial"/>
                <w:color w:val="000000"/>
                <w:sz w:val="20"/>
                <w:szCs w:val="20"/>
                <w:lang w:eastAsia="fr-FR"/>
              </w:rPr>
              <w:t xml:space="preserve">sel </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0E186C1"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53</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6FB6259"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17%</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4F8A7B3"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1,2%</w:t>
            </w:r>
          </w:p>
        </w:tc>
      </w:tr>
      <w:tr w:rsidR="009C44E9" w:rsidRPr="009C44E9" w14:paraId="77A7EAA9" w14:textId="77777777" w:rsidTr="00AD5A4D">
        <w:trPr>
          <w:trHeight w:val="135"/>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6BB7FDD"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 xml:space="preserve">Dont saucisserie </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2530EE"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70</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7D2FDAB"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23%</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5A4F7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0,4%</w:t>
            </w:r>
          </w:p>
        </w:tc>
      </w:tr>
      <w:tr w:rsidR="009C44E9" w:rsidRPr="009C44E9" w14:paraId="4B5C2434" w14:textId="77777777" w:rsidTr="008C67D7">
        <w:trPr>
          <w:trHeight w:val="181"/>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FE25272"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 xml:space="preserve">Charcuterie salaison </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881E5C3"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675</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A58378B"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68%</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55790D5"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-3,3%</w:t>
            </w:r>
          </w:p>
        </w:tc>
      </w:tr>
      <w:tr w:rsidR="009C44E9" w:rsidRPr="009C44E9" w14:paraId="7524FF35" w14:textId="77777777" w:rsidTr="00AD5A4D">
        <w:trPr>
          <w:trHeight w:val="86"/>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8E5BD27"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 xml:space="preserve">Dont salaison </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09647F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221</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0540E3F"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33%</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3B36B37"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-2,5%</w:t>
            </w:r>
          </w:p>
        </w:tc>
      </w:tr>
      <w:tr w:rsidR="009C44E9" w:rsidRPr="009C44E9" w14:paraId="3DE89359" w14:textId="77777777" w:rsidTr="00AD5A4D">
        <w:trPr>
          <w:trHeight w:val="131"/>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5F997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 xml:space="preserve">Dont charcuterie frais </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98FB5AA"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439</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938F427"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65%</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8FB5B40"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-3,7%</w:t>
            </w:r>
          </w:p>
        </w:tc>
      </w:tr>
      <w:tr w:rsidR="009C44E9" w:rsidRPr="009C44E9" w14:paraId="00F69942" w14:textId="77777777" w:rsidTr="00AD5A4D">
        <w:trPr>
          <w:trHeight w:val="178"/>
        </w:trPr>
        <w:tc>
          <w:tcPr>
            <w:tcW w:w="4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E6982CB"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Dont charcuterie conserves</w:t>
            </w:r>
          </w:p>
        </w:tc>
        <w:tc>
          <w:tcPr>
            <w:tcW w:w="132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0CB67D5" w14:textId="77777777" w:rsidR="009C44E9" w:rsidRPr="009C44E9" w:rsidRDefault="009C44E9" w:rsidP="009C44E9">
            <w:pPr>
              <w:spacing w:after="0" w:line="240" w:lineRule="auto"/>
              <w:jc w:val="right"/>
              <w:rPr>
                <w:rFonts w:eastAsia="Times New Roman" w:cs="Arial"/>
                <w:color w:val="000000"/>
                <w:lang w:eastAsia="fr-FR"/>
              </w:rPr>
            </w:pPr>
            <w:r w:rsidRPr="009C44E9">
              <w:rPr>
                <w:rFonts w:eastAsia="Times New Roman" w:cs="Arial"/>
                <w:color w:val="000000"/>
                <w:lang w:eastAsia="fr-FR"/>
              </w:rPr>
              <w:t>16</w:t>
            </w:r>
          </w:p>
        </w:tc>
        <w:tc>
          <w:tcPr>
            <w:tcW w:w="226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65B382A" w14:textId="77777777" w:rsidR="009C44E9" w:rsidRPr="009C44E9" w:rsidRDefault="009C44E9" w:rsidP="009C44E9">
            <w:pPr>
              <w:spacing w:after="0" w:line="240" w:lineRule="auto"/>
              <w:jc w:val="right"/>
              <w:rPr>
                <w:rFonts w:eastAsia="Times New Roman" w:cs="Arial"/>
                <w:color w:val="000000"/>
                <w:lang w:eastAsia="fr-FR"/>
              </w:rPr>
            </w:pPr>
            <w:r w:rsidRPr="009C44E9">
              <w:rPr>
                <w:rFonts w:eastAsia="Times New Roman" w:cs="Arial"/>
                <w:color w:val="000000"/>
                <w:lang w:eastAsia="fr-FR"/>
              </w:rPr>
              <w:t>2%</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486584F" w14:textId="77777777" w:rsidR="009C44E9" w:rsidRPr="009C44E9" w:rsidRDefault="009C44E9" w:rsidP="009C44E9">
            <w:pPr>
              <w:spacing w:after="0" w:line="240" w:lineRule="auto"/>
              <w:jc w:val="right"/>
              <w:rPr>
                <w:rFonts w:eastAsia="Times New Roman" w:cs="Arial"/>
                <w:color w:val="000000"/>
                <w:sz w:val="20"/>
                <w:szCs w:val="20"/>
                <w:lang w:eastAsia="fr-FR"/>
              </w:rPr>
            </w:pPr>
            <w:r w:rsidRPr="009C44E9">
              <w:rPr>
                <w:rFonts w:eastAsia="Times New Roman" w:cs="Arial"/>
                <w:color w:val="000000"/>
                <w:sz w:val="20"/>
                <w:szCs w:val="20"/>
                <w:lang w:eastAsia="fr-FR"/>
              </w:rPr>
              <w:t>-3,2%</w:t>
            </w:r>
          </w:p>
        </w:tc>
      </w:tr>
      <w:tr w:rsidR="009C44E9" w:rsidRPr="009C44E9" w14:paraId="6B011221" w14:textId="77777777" w:rsidTr="008C67D7">
        <w:trPr>
          <w:trHeight w:val="139"/>
        </w:trPr>
        <w:tc>
          <w:tcPr>
            <w:tcW w:w="4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F622231" w14:textId="77777777" w:rsidR="009C44E9" w:rsidRPr="009C44E9" w:rsidRDefault="009C44E9" w:rsidP="009C44E9">
            <w:pPr>
              <w:spacing w:after="0" w:line="240" w:lineRule="auto"/>
              <w:jc w:val="left"/>
              <w:rPr>
                <w:rFonts w:eastAsia="Times New Roman" w:cs="Arial"/>
                <w:b/>
                <w:bCs/>
                <w:color w:val="000000"/>
                <w:sz w:val="20"/>
                <w:szCs w:val="20"/>
                <w:lang w:eastAsia="fr-FR"/>
              </w:rPr>
            </w:pPr>
            <w:r w:rsidRPr="009C44E9">
              <w:rPr>
                <w:rFonts w:eastAsia="Times New Roman" w:cs="Arial"/>
                <w:b/>
                <w:bCs/>
                <w:color w:val="000000"/>
                <w:sz w:val="20"/>
                <w:szCs w:val="20"/>
                <w:lang w:eastAsia="fr-FR"/>
              </w:rPr>
              <w:t>Abats</w:t>
            </w:r>
          </w:p>
        </w:tc>
        <w:tc>
          <w:tcPr>
            <w:tcW w:w="132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2C66188"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9</w:t>
            </w:r>
          </w:p>
        </w:tc>
        <w:tc>
          <w:tcPr>
            <w:tcW w:w="226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F98786F"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1%</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510A33" w14:textId="77777777" w:rsidR="009C44E9" w:rsidRPr="009C44E9" w:rsidRDefault="009C44E9" w:rsidP="009C44E9">
            <w:pPr>
              <w:spacing w:after="0" w:line="240" w:lineRule="auto"/>
              <w:jc w:val="center"/>
              <w:rPr>
                <w:rFonts w:eastAsia="Times New Roman" w:cs="Arial"/>
                <w:b/>
                <w:bCs/>
                <w:color w:val="000000"/>
                <w:sz w:val="20"/>
                <w:szCs w:val="20"/>
                <w:lang w:eastAsia="fr-FR"/>
              </w:rPr>
            </w:pPr>
            <w:r w:rsidRPr="009C44E9">
              <w:rPr>
                <w:rFonts w:eastAsia="Times New Roman" w:cs="Arial"/>
                <w:b/>
                <w:bCs/>
                <w:color w:val="000000"/>
                <w:sz w:val="20"/>
                <w:szCs w:val="20"/>
                <w:lang w:eastAsia="fr-FR"/>
              </w:rPr>
              <w:t>-6,1%</w:t>
            </w:r>
          </w:p>
        </w:tc>
      </w:tr>
    </w:tbl>
    <w:p w14:paraId="716363C4" w14:textId="67C87835" w:rsidR="007C77D7" w:rsidRDefault="009C44E9" w:rsidP="0002537E">
      <w:pPr>
        <w:pStyle w:val="figure"/>
        <w:jc w:val="left"/>
      </w:pPr>
      <w:r w:rsidRPr="005A3FB2">
        <w:rPr>
          <w:rFonts w:eastAsiaTheme="minorHAnsi"/>
          <w:b w:val="0"/>
          <w:bCs w:val="0"/>
          <w:i/>
          <w:iCs w:val="0"/>
          <w:sz w:val="18"/>
          <w:szCs w:val="18"/>
          <w:lang w:eastAsia="en-US"/>
        </w:rPr>
        <w:t xml:space="preserve"> </w:t>
      </w:r>
      <w:r w:rsidR="00DC0123" w:rsidRPr="005A3FB2">
        <w:rPr>
          <w:rFonts w:eastAsiaTheme="minorHAnsi"/>
          <w:b w:val="0"/>
          <w:bCs w:val="0"/>
          <w:i/>
          <w:iCs w:val="0"/>
          <w:sz w:val="18"/>
          <w:szCs w:val="18"/>
          <w:lang w:eastAsia="en-US"/>
        </w:rPr>
        <w:t xml:space="preserve">(*) </w:t>
      </w:r>
      <w:r w:rsidR="005A3FB2">
        <w:rPr>
          <w:rFonts w:eastAsiaTheme="minorHAnsi"/>
          <w:b w:val="0"/>
          <w:bCs w:val="0"/>
          <w:i/>
          <w:iCs w:val="0"/>
          <w:sz w:val="18"/>
          <w:szCs w:val="18"/>
          <w:lang w:eastAsia="en-US"/>
        </w:rPr>
        <w:t>D</w:t>
      </w:r>
      <w:r w:rsidR="00DC0123" w:rsidRPr="005A3FB2">
        <w:rPr>
          <w:rFonts w:eastAsiaTheme="minorHAnsi"/>
          <w:b w:val="0"/>
          <w:bCs w:val="0"/>
          <w:i/>
          <w:iCs w:val="0"/>
          <w:sz w:val="18"/>
          <w:szCs w:val="18"/>
          <w:lang w:eastAsia="en-US"/>
        </w:rPr>
        <w:t>ont saucisserie fraîche et gros hachage</w:t>
      </w:r>
      <w:r w:rsidR="0005199E">
        <w:rPr>
          <w:rFonts w:eastAsiaTheme="minorHAnsi"/>
          <w:b w:val="0"/>
          <w:bCs w:val="0"/>
          <w:i/>
          <w:iCs w:val="0"/>
          <w:sz w:val="18"/>
          <w:szCs w:val="18"/>
          <w:lang w:eastAsia="en-US"/>
        </w:rPr>
        <w:t>, hors merguez</w:t>
      </w:r>
      <w:r w:rsidR="00DC0123" w:rsidRPr="005A3FB2">
        <w:rPr>
          <w:rFonts w:eastAsiaTheme="minorHAnsi"/>
          <w:b w:val="0"/>
          <w:bCs w:val="0"/>
          <w:i/>
          <w:iCs w:val="0"/>
          <w:sz w:val="18"/>
          <w:szCs w:val="18"/>
          <w:lang w:eastAsia="en-US"/>
        </w:rPr>
        <w:t xml:space="preserve"> ; (**) </w:t>
      </w:r>
      <w:r w:rsidR="005A3FB2" w:rsidRPr="005A3FB2">
        <w:rPr>
          <w:rFonts w:eastAsiaTheme="minorHAnsi"/>
          <w:b w:val="0"/>
          <w:bCs w:val="0"/>
          <w:i/>
          <w:iCs w:val="0"/>
          <w:sz w:val="18"/>
          <w:szCs w:val="18"/>
          <w:lang w:eastAsia="en-US"/>
        </w:rPr>
        <w:t>Hors charcuterie de volaille et hors</w:t>
      </w:r>
      <w:r w:rsidR="005A3FB2">
        <w:rPr>
          <w:rFonts w:eastAsiaTheme="minorHAnsi"/>
          <w:b w:val="0"/>
          <w:bCs w:val="0"/>
          <w:i/>
          <w:iCs w:val="0"/>
          <w:sz w:val="18"/>
          <w:szCs w:val="18"/>
          <w:lang w:eastAsia="en-US"/>
        </w:rPr>
        <w:t xml:space="preserve"> saucisserie</w:t>
      </w:r>
      <w:r w:rsidR="005A3FB2" w:rsidRPr="005A3FB2">
        <w:rPr>
          <w:rFonts w:eastAsiaTheme="minorHAnsi"/>
          <w:b w:val="0"/>
          <w:bCs w:val="0"/>
          <w:i/>
          <w:iCs w:val="0"/>
          <w:sz w:val="18"/>
          <w:szCs w:val="18"/>
          <w:lang w:eastAsia="en-US"/>
        </w:rPr>
        <w:t xml:space="preserve">. </w:t>
      </w:r>
      <w:bookmarkStart w:id="143" w:name="_Toc72143373"/>
      <w:r w:rsidR="0089372A" w:rsidRPr="00FC5CA1">
        <w:t xml:space="preserve">Tableau </w:t>
      </w:r>
      <w:r w:rsidR="00E27D6E">
        <w:fldChar w:fldCharType="begin"/>
      </w:r>
      <w:r w:rsidR="00E27D6E">
        <w:instrText xml:space="preserve"> SEQ Tableau \* ARABIC </w:instrText>
      </w:r>
      <w:r w:rsidR="00E27D6E">
        <w:fldChar w:fldCharType="separate"/>
      </w:r>
      <w:r w:rsidR="0007597F">
        <w:rPr>
          <w:noProof/>
        </w:rPr>
        <w:t>25</w:t>
      </w:r>
      <w:r w:rsidR="00E27D6E">
        <w:rPr>
          <w:noProof/>
        </w:rPr>
        <w:fldChar w:fldCharType="end"/>
      </w:r>
      <w:bookmarkEnd w:id="142"/>
      <w:r w:rsidR="007C77D7">
        <w:rPr>
          <w:b w:val="0"/>
          <w:i/>
        </w:rPr>
        <w:t xml:space="preserve"> : </w:t>
      </w:r>
      <w:r w:rsidR="00FC5CA1">
        <w:t xml:space="preserve">Volumes d’achat des ménages </w:t>
      </w:r>
      <w:r w:rsidR="00F671BE">
        <w:t xml:space="preserve">en charcuterie et </w:t>
      </w:r>
      <w:r w:rsidR="00FC5CA1">
        <w:t>porc frais</w:t>
      </w:r>
      <w:r w:rsidR="00F671BE">
        <w:t>, ambiant et</w:t>
      </w:r>
      <w:r w:rsidR="00746109">
        <w:t xml:space="preserve"> surgelé</w:t>
      </w:r>
      <w:bookmarkEnd w:id="143"/>
      <w:r w:rsidR="0005199E">
        <w:t xml:space="preserve"> </w:t>
      </w:r>
    </w:p>
    <w:p w14:paraId="1D1FE45F" w14:textId="0CF74F24" w:rsidR="00DC0123" w:rsidRDefault="00FC5CA1" w:rsidP="007C77D7">
      <w:pPr>
        <w:pStyle w:val="Lgende"/>
        <w:rPr>
          <w:b/>
        </w:rPr>
      </w:pPr>
      <w:r w:rsidRPr="00DC0123">
        <w:t>(</w:t>
      </w:r>
      <w:r w:rsidR="00DC0123" w:rsidRPr="00DC0123">
        <w:t xml:space="preserve">Source : </w:t>
      </w:r>
      <w:r w:rsidR="004E3334" w:rsidRPr="00DC0123">
        <w:t>KWP</w:t>
      </w:r>
      <w:r w:rsidRPr="00DC0123">
        <w:t>)</w:t>
      </w:r>
      <w:r w:rsidRPr="00FC5CA1">
        <w:t>.</w:t>
      </w:r>
    </w:p>
    <w:p w14:paraId="7717C7D7" w14:textId="22F0109F" w:rsidR="00D50BBB" w:rsidRPr="008C67D7" w:rsidRDefault="00A02F5E" w:rsidP="008C67D7">
      <w:pPr>
        <w:rPr>
          <w:rFonts w:cs="Arial"/>
        </w:rPr>
      </w:pPr>
      <w:r w:rsidRPr="00E13C38">
        <w:rPr>
          <w:rFonts w:cs="Arial"/>
        </w:rPr>
        <w:t>Par ailleurs, les</w:t>
      </w:r>
      <w:r>
        <w:rPr>
          <w:rFonts w:cs="Arial"/>
        </w:rPr>
        <w:t xml:space="preserve"> données KWp fournissent un poids relatif des produits de mélange d’environ 45</w:t>
      </w:r>
      <w:r w:rsidR="00591356">
        <w:rPr>
          <w:rFonts w:cs="Arial"/>
        </w:rPr>
        <w:t> </w:t>
      </w:r>
      <w:r>
        <w:rPr>
          <w:rFonts w:cs="Arial"/>
        </w:rPr>
        <w:t>% sur le total charcuterie alors que selon les données de production PRODCOM, la part de la charcuterie est plus importante comparativement à celle de la salaison (55/45). La charcuterie est représentée par une proportion plus importante de produits à poids variable que la salaison, donc on peut supposer que les produits de charcuterie sont moins bien couverts au travers du panel. Il est aussi possible qu’une plus grande part de charcuterie que de salaison soit consommée hors domicile en dehors du champ de l’enquête du KWP.</w:t>
      </w:r>
      <w:r w:rsidR="008C67D7">
        <w:rPr>
          <w:rFonts w:cs="Arial"/>
        </w:rPr>
        <w:t xml:space="preserve"> </w:t>
      </w:r>
      <w:r w:rsidR="00D50BBB" w:rsidRPr="008C67D7">
        <w:rPr>
          <w:rFonts w:cs="Arial"/>
        </w:rPr>
        <w:t>Le détail des volumes par grande catégorie de produits</w:t>
      </w:r>
      <w:r w:rsidR="00BC79AF" w:rsidRPr="008C67D7">
        <w:rPr>
          <w:rFonts w:cs="Arial"/>
        </w:rPr>
        <w:t xml:space="preserve"> soit viande de porc brut, viande de porc élaborée</w:t>
      </w:r>
      <w:r w:rsidR="00DB2534" w:rsidRPr="008C67D7">
        <w:rPr>
          <w:rFonts w:cs="Arial"/>
        </w:rPr>
        <w:t xml:space="preserve"> et</w:t>
      </w:r>
      <w:r w:rsidR="00BC79AF" w:rsidRPr="008C67D7">
        <w:rPr>
          <w:rFonts w:cs="Arial"/>
        </w:rPr>
        <w:t xml:space="preserve"> charcuterie</w:t>
      </w:r>
      <w:r w:rsidR="00D50BBB" w:rsidRPr="008C67D7">
        <w:rPr>
          <w:rFonts w:cs="Arial"/>
        </w:rPr>
        <w:t xml:space="preserve"> est à retrouver en Annexe </w:t>
      </w:r>
      <w:r w:rsidR="00BC79AF" w:rsidRPr="008C67D7">
        <w:rPr>
          <w:rFonts w:cs="Arial"/>
        </w:rPr>
        <w:t>7.</w:t>
      </w:r>
      <w:r w:rsidR="005D5A1D" w:rsidRPr="008C67D7">
        <w:rPr>
          <w:rFonts w:cs="Arial"/>
        </w:rPr>
        <w:t xml:space="preserve"> A noter</w:t>
      </w:r>
      <w:r w:rsidR="00DC0123" w:rsidRPr="008C67D7">
        <w:rPr>
          <w:rFonts w:cs="Arial"/>
        </w:rPr>
        <w:t>, sur le total charcuterie</w:t>
      </w:r>
      <w:r w:rsidR="00267F0F" w:rsidRPr="008C67D7">
        <w:rPr>
          <w:rFonts w:cs="Arial"/>
        </w:rPr>
        <w:t xml:space="preserve"> salaison</w:t>
      </w:r>
      <w:r w:rsidR="00DC0123" w:rsidRPr="008C67D7">
        <w:rPr>
          <w:rFonts w:cs="Arial"/>
        </w:rPr>
        <w:t xml:space="preserve">, </w:t>
      </w:r>
      <w:r w:rsidR="00267F0F" w:rsidRPr="008C67D7">
        <w:rPr>
          <w:rFonts w:cs="Arial"/>
        </w:rPr>
        <w:t xml:space="preserve">environ </w:t>
      </w:r>
      <w:r w:rsidR="00C632ED" w:rsidRPr="008C67D7">
        <w:rPr>
          <w:rFonts w:cs="Arial"/>
        </w:rPr>
        <w:t>14</w:t>
      </w:r>
      <w:r w:rsidR="00591356" w:rsidRPr="008C67D7">
        <w:rPr>
          <w:rFonts w:cs="Arial"/>
        </w:rPr>
        <w:t> </w:t>
      </w:r>
      <w:r w:rsidR="00DC0123" w:rsidRPr="008C67D7">
        <w:rPr>
          <w:rFonts w:cs="Arial"/>
        </w:rPr>
        <w:t>% des volumes ne sont pas affectés à une catégorie de produits par les enquêteurs et identifiés comme autres charcuteries (soient 96</w:t>
      </w:r>
      <w:r w:rsidR="00591356" w:rsidRPr="008C67D7">
        <w:rPr>
          <w:rFonts w:cs="Arial"/>
        </w:rPr>
        <w:t> </w:t>
      </w:r>
      <w:r w:rsidR="00DC0123" w:rsidRPr="008C67D7">
        <w:rPr>
          <w:rFonts w:cs="Arial"/>
        </w:rPr>
        <w:t>kt) parmi lesquels plus de la moitié (51kt ) sont des produits à la coupe.</w:t>
      </w:r>
    </w:p>
    <w:p w14:paraId="64575897" w14:textId="7E2389EC" w:rsidR="00A8491B" w:rsidRPr="00A8491B" w:rsidRDefault="00114D7A" w:rsidP="00A8491B">
      <w:pPr>
        <w:pStyle w:val="Titre4"/>
      </w:pPr>
      <w:bookmarkStart w:id="144" w:name="_Toc78131590"/>
      <w:r>
        <w:t xml:space="preserve">3.4.2.2. </w:t>
      </w:r>
      <w:r w:rsidR="00AC390B">
        <w:t>Érosion</w:t>
      </w:r>
      <w:r w:rsidR="00D50BBB">
        <w:t xml:space="preserve"> lente et continue des volumes d’achat à domicile </w:t>
      </w:r>
      <w:r w:rsidR="00BC79AF">
        <w:t>depuis 5 ans</w:t>
      </w:r>
      <w:bookmarkEnd w:id="144"/>
      <w:r w:rsidR="00BC79AF">
        <w:t xml:space="preserve"> </w:t>
      </w:r>
    </w:p>
    <w:p w14:paraId="53B547FC" w14:textId="0B60E7F7" w:rsidR="007A5A29" w:rsidRDefault="005D7F14" w:rsidP="008F57AF">
      <w:r>
        <w:t>L’érosion continue des</w:t>
      </w:r>
      <w:r w:rsidRPr="0088468D">
        <w:t xml:space="preserve"> </w:t>
      </w:r>
      <w:r>
        <w:t xml:space="preserve">volumes d’achat en produits carnés </w:t>
      </w:r>
      <w:r w:rsidRPr="0088468D">
        <w:t>entre 201</w:t>
      </w:r>
      <w:r>
        <w:t>4</w:t>
      </w:r>
      <w:r w:rsidRPr="0088468D">
        <w:t xml:space="preserve"> et 201</w:t>
      </w:r>
      <w:r>
        <w:t>9 se traduit par un recul marqué de 20</w:t>
      </w:r>
      <w:r w:rsidR="008C67D7">
        <w:t> </w:t>
      </w:r>
      <w:r>
        <w:t>% en viande de porc brute, de 7</w:t>
      </w:r>
      <w:r w:rsidR="008C67D7">
        <w:t> </w:t>
      </w:r>
      <w:r>
        <w:t xml:space="preserve">% en charcuterie et </w:t>
      </w:r>
      <w:r w:rsidR="0067610B">
        <w:t xml:space="preserve">de </w:t>
      </w:r>
      <w:r>
        <w:t>2</w:t>
      </w:r>
      <w:r w:rsidR="008C67D7">
        <w:t> </w:t>
      </w:r>
      <w:r>
        <w:t>% en saucisserie. Elle s’illustre à la fois par une baisse du nombre d’acheteurs et par une diminution des quantités achetées</w:t>
      </w:r>
      <w:r w:rsidR="008F57AF">
        <w:t xml:space="preserve"> (</w:t>
      </w:r>
      <w:r w:rsidR="005A3FB2" w:rsidRPr="005A3FB2">
        <w:fldChar w:fldCharType="begin"/>
      </w:r>
      <w:r w:rsidR="005A3FB2" w:rsidRPr="005A3FB2">
        <w:instrText xml:space="preserve"> REF _Ref68424310 \h  \* MERGEFORMAT </w:instrText>
      </w:r>
      <w:r w:rsidR="005A3FB2" w:rsidRPr="005A3FB2">
        <w:fldChar w:fldCharType="separate"/>
      </w:r>
      <w:r w:rsidR="0007597F" w:rsidRPr="0007597F">
        <w:rPr>
          <w:rFonts w:cs="Arial"/>
        </w:rPr>
        <w:t xml:space="preserve">Figure </w:t>
      </w:r>
      <w:r w:rsidR="0007597F" w:rsidRPr="0007597F">
        <w:rPr>
          <w:rFonts w:cs="Arial"/>
          <w:noProof/>
        </w:rPr>
        <w:t>19</w:t>
      </w:r>
      <w:r w:rsidR="005A3FB2" w:rsidRPr="005A3FB2">
        <w:fldChar w:fldCharType="end"/>
      </w:r>
      <w:r w:rsidR="008F57AF">
        <w:t>)</w:t>
      </w:r>
      <w:r w:rsidR="005A3FB2">
        <w:t>.</w:t>
      </w:r>
    </w:p>
    <w:p w14:paraId="204B23BA" w14:textId="6A4144D8" w:rsidR="008F57AF" w:rsidRPr="008F57AF" w:rsidRDefault="006168AC" w:rsidP="008F57AF">
      <w:pPr>
        <w:jc w:val="left"/>
        <w:rPr>
          <w:rFonts w:cs="Arial"/>
          <w:b/>
        </w:rPr>
      </w:pPr>
      <w:r>
        <w:rPr>
          <w:noProof/>
        </w:rPr>
        <mc:AlternateContent>
          <mc:Choice Requires="wps">
            <w:drawing>
              <wp:anchor distT="0" distB="0" distL="114300" distR="114300" simplePos="0" relativeHeight="251658280" behindDoc="0" locked="0" layoutInCell="1" allowOverlap="1" wp14:anchorId="67588C58" wp14:editId="1C74ECDB">
                <wp:simplePos x="0" y="0"/>
                <wp:positionH relativeFrom="column">
                  <wp:posOffset>5235574</wp:posOffset>
                </wp:positionH>
                <wp:positionV relativeFrom="paragraph">
                  <wp:posOffset>1421632</wp:posOffset>
                </wp:positionV>
                <wp:extent cx="474451" cy="250175"/>
                <wp:effectExtent l="0" t="0" r="0" b="0"/>
                <wp:wrapNone/>
                <wp:docPr id="285"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5E78E922" w14:textId="77777777" w:rsidR="00741BFF" w:rsidRDefault="00741BFF" w:rsidP="006168AC">
                            <w:pPr>
                              <w:rPr>
                                <w:sz w:val="24"/>
                                <w:szCs w:val="24"/>
                              </w:rPr>
                            </w:pPr>
                            <w:r>
                              <w:rPr>
                                <w:rFonts w:asciiTheme="minorHAnsi" w:hAnsi="Calibri"/>
                                <w:b/>
                                <w:bCs/>
                                <w:sz w:val="16"/>
                                <w:szCs w:val="16"/>
                              </w:rPr>
                              <w:t>19/18</w:t>
                            </w:r>
                          </w:p>
                        </w:txbxContent>
                      </wps:txbx>
                      <wps:bodyPr wrap="square" rtlCol="0"/>
                    </wps:wsp>
                  </a:graphicData>
                </a:graphic>
              </wp:anchor>
            </w:drawing>
          </mc:Choice>
          <mc:Fallback>
            <w:pict>
              <v:shape w14:anchorId="67588C58" id="Zone de texte 1" o:spid="_x0000_s1035" type="#_x0000_t202" style="position:absolute;margin-left:412.25pt;margin-top:111.95pt;width:37.35pt;height:19.7pt;rotation:-90;z-index:251658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gBzlgEAAAUDAAAOAAAAZHJzL2Uyb0RvYy54bWysUktP4zAQviPtf7B83yapWh5RUyRAu5fV&#10;ggRc9uY64yZS7DFj06T/nrFLy2r3hshhZI/HX76HV9eTHcQOKPToGlnNSinAaWx7t23k89OP75dS&#10;hKhcqwZ00Mg9BHm9/na2Gn0Nc+xwaIEEg7hQj76RXYy+LoqgO7AqzNCD40ODZFXkLW2LltTI6HYo&#10;5mV5XoxIrSfUEAJ37w6Hcp3xjQEd740JEMXQSOYWc6VcN6kW65Wqt6R81+t3GuoTLKzqHf/0BHWn&#10;ohKv1P8HZXtNGNDEmUZboDG9hqyB1VTlP2oeO+Uha2Fzgj/ZFL4OVv/ePZDo20bOL5dSOGU5pD8c&#10;lWhBRJgiiCqZNPpQ8+yj5+k43eDEYR/7gZtJ+2TICkL2uDrnbPjLlrBIwePs/v7kOAMLzc3FxWKx&#10;rKTQfDRfltXFMoEWB6yE6SnEn4BWpEUjiQPNoGr3K8TD6HGE7yWWBzZpFafNlKVdHZlusN2zgJHz&#10;bmR4eVUEUlAcbjE/j4SXLrLXmcT7u0hh/r3PUx+vd/0GAAD//wMAUEsDBBQABgAIAAAAIQAcn/Yl&#10;3QAAAAsBAAAPAAAAZHJzL2Rvd25yZXYueG1sTI9NT4QwEIbvJv6HZky8GLddoqQiZeNHTLwu6r1L&#10;Z4FIp4R2F/j3jie9zceTd54pd4sfxBmn2AcysN0oEEhNcD21Bj4/3m41iJgsOTsEQgMrRthVlxel&#10;LVyYaY/nOrWCQygW1kCX0lhIGZsOvY2bMCLx7hgmbxO3UyvdZGcO94PMlMqltz3xhc6O+NJh812f&#10;vIH0mvrgvm7UMezn++f1vY7Sr8ZcXy1PjyASLukPhl99VoeKnQ7hRC6KwYC+yzJGDWQq54IJrbc5&#10;iANPtHoAWZXy/w/VDwAAAP//AwBQSwECLQAUAAYACAAAACEAtoM4kv4AAADhAQAAEwAAAAAAAAAA&#10;AAAAAAAAAAAAW0NvbnRlbnRfVHlwZXNdLnhtbFBLAQItABQABgAIAAAAIQA4/SH/1gAAAJQBAAAL&#10;AAAAAAAAAAAAAAAAAC8BAABfcmVscy8ucmVsc1BLAQItABQABgAIAAAAIQDDCgBzlgEAAAUDAAAO&#10;AAAAAAAAAAAAAAAAAC4CAABkcnMvZTJvRG9jLnhtbFBLAQItABQABgAIAAAAIQAcn/Yl3QAAAAsB&#10;AAAPAAAAAAAAAAAAAAAAAPADAABkcnMvZG93bnJldi54bWxQSwUGAAAAAAQABADzAAAA+gQAAAAA&#10;" filled="f" stroked="f">
                <v:textbox>
                  <w:txbxContent>
                    <w:p w14:paraId="5E78E922" w14:textId="77777777" w:rsidR="00741BFF" w:rsidRDefault="00741BFF" w:rsidP="006168AC">
                      <w:pPr>
                        <w:rPr>
                          <w:sz w:val="24"/>
                          <w:szCs w:val="24"/>
                        </w:rPr>
                      </w:pPr>
                      <w:r>
                        <w:rPr>
                          <w:rFonts w:asciiTheme="minorHAnsi" w:hAnsi="Calibri"/>
                          <w:b/>
                          <w:bCs/>
                          <w:sz w:val="16"/>
                          <w:szCs w:val="16"/>
                        </w:rPr>
                        <w:t>19/18</w:t>
                      </w:r>
                    </w:p>
                  </w:txbxContent>
                </v:textbox>
              </v:shape>
            </w:pict>
          </mc:Fallback>
        </mc:AlternateContent>
      </w:r>
      <w:r>
        <w:rPr>
          <w:noProof/>
        </w:rPr>
        <mc:AlternateContent>
          <mc:Choice Requires="wps">
            <w:drawing>
              <wp:anchor distT="0" distB="0" distL="114300" distR="114300" simplePos="0" relativeHeight="251658279" behindDoc="0" locked="0" layoutInCell="1" allowOverlap="1" wp14:anchorId="1A61044F" wp14:editId="6D2138E2">
                <wp:simplePos x="0" y="0"/>
                <wp:positionH relativeFrom="column">
                  <wp:posOffset>4922137</wp:posOffset>
                </wp:positionH>
                <wp:positionV relativeFrom="paragraph">
                  <wp:posOffset>1420834</wp:posOffset>
                </wp:positionV>
                <wp:extent cx="474451" cy="250175"/>
                <wp:effectExtent l="0" t="0" r="0" b="0"/>
                <wp:wrapNone/>
                <wp:docPr id="284"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2845803C" w14:textId="77777777" w:rsidR="00741BFF" w:rsidRDefault="00741BFF" w:rsidP="006168AC">
                            <w:pPr>
                              <w:rPr>
                                <w:sz w:val="24"/>
                                <w:szCs w:val="24"/>
                              </w:rPr>
                            </w:pPr>
                            <w:r>
                              <w:rPr>
                                <w:rFonts w:asciiTheme="minorHAnsi" w:hAnsi="Calibri"/>
                                <w:b/>
                                <w:bCs/>
                                <w:sz w:val="16"/>
                                <w:szCs w:val="16"/>
                              </w:rPr>
                              <w:t>18/17</w:t>
                            </w:r>
                          </w:p>
                        </w:txbxContent>
                      </wps:txbx>
                      <wps:bodyPr wrap="square" rtlCol="0"/>
                    </wps:wsp>
                  </a:graphicData>
                </a:graphic>
              </wp:anchor>
            </w:drawing>
          </mc:Choice>
          <mc:Fallback>
            <w:pict>
              <v:shape w14:anchorId="1A61044F" id="_x0000_s1036" type="#_x0000_t202" style="position:absolute;margin-left:387.55pt;margin-top:111.9pt;width:37.35pt;height:19.7pt;rotation:-90;z-index:25165827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8hlwEAAAYDAAAOAAAAZHJzL2Uyb0RvYy54bWysUsGO0zAQvSPxDyPfaZKq3V1FTVeCFVwQ&#10;IC1cuLnOuIkUe8zY26R/z9jdLQhuiBxG9vj5Zd573t0vboITchzJd6pZ1QrQG+pHf+zUt6/v39wp&#10;iEn7Xk/ksVNnjOp+//rVbg4trmmgqUcGIfGxnUOnhpRCW1XRDOh0XFFAL4eW2OkkWz5WPetZ2N1U&#10;rev6ppqJ+8BkMEbpPlwO1b7wW4smfbY2YoKpUzJbKpVLPeRa7Xe6PbIOw2iex9D/MIXTo5efXqke&#10;dNLwxONfVG40TJFsWhlyFVk7GiwaRE1T/6HmcdABixYxJ4arTfH/0ZpPpy8MY9+p9d1GgddOQvou&#10;UUGPkHBJCE02aQ6xFexjEHRa3tIiYb/0ozSz9sWyAybxuLmRbOQrlohIELi4f746LsRgpLm53Wy2&#10;jQIjR+tt3dxuM2l14cqcgWP6gOQgLzrFEmgh1aePMV2gLxC5l6e8TJNXaTksRVpTcs6tA/VnUTBL&#10;4J2KP540owJO0zsq7yMTZpiYXaZ4fhg5zd/3BfXr+e5/AgAA//8DAFBLAwQUAAYACAAAACEA8fBF&#10;ht4AAAALAQAADwAAAGRycy9kb3ducmV2LnhtbEyPzU7DMBCE70i8g7VIXBC1a0QJIU7Fj5C4NsDd&#10;jd0kIl5H8bZJ3p7lRI87O5r5ptjOoRcnP6YuooH1SoHwWEfXYWPg6/P9NgORyKKzfURvYPEJtuXl&#10;RWFzFyfc+VNFjeAQTLk10BINuZSpbn2waRUHj/w7xDFY4nNspBvtxOGhl1qpjQy2Q25o7eBfW1//&#10;VMdggN6oi+77Rh3ibrp/WT6qJMNizPXV/PwEgvxM/2b4w2d0KJlpH4/okugNPDxqRicDWm3WINiR&#10;3WkNYs9KpjKQZSHPN5S/AAAA//8DAFBLAQItABQABgAIAAAAIQC2gziS/gAAAOEBAAATAAAAAAAA&#10;AAAAAAAAAAAAAABbQ29udGVudF9UeXBlc10ueG1sUEsBAi0AFAAGAAgAAAAhADj9If/WAAAAlAEA&#10;AAsAAAAAAAAAAAAAAAAALwEAAF9yZWxzLy5yZWxzUEsBAi0AFAAGAAgAAAAhANKT7yGXAQAABgMA&#10;AA4AAAAAAAAAAAAAAAAALgIAAGRycy9lMm9Eb2MueG1sUEsBAi0AFAAGAAgAAAAhAPHwRYbeAAAA&#10;CwEAAA8AAAAAAAAAAAAAAAAA8QMAAGRycy9kb3ducmV2LnhtbFBLBQYAAAAABAAEAPMAAAD8BAAA&#10;AAA=&#10;" filled="f" stroked="f">
                <v:textbox>
                  <w:txbxContent>
                    <w:p w14:paraId="2845803C" w14:textId="77777777" w:rsidR="00741BFF" w:rsidRDefault="00741BFF" w:rsidP="006168AC">
                      <w:pPr>
                        <w:rPr>
                          <w:sz w:val="24"/>
                          <w:szCs w:val="24"/>
                        </w:rPr>
                      </w:pPr>
                      <w:r>
                        <w:rPr>
                          <w:rFonts w:asciiTheme="minorHAnsi" w:hAnsi="Calibri"/>
                          <w:b/>
                          <w:bCs/>
                          <w:sz w:val="16"/>
                          <w:szCs w:val="16"/>
                        </w:rPr>
                        <w:t>18/17</w:t>
                      </w:r>
                    </w:p>
                  </w:txbxContent>
                </v:textbox>
              </v:shape>
            </w:pict>
          </mc:Fallback>
        </mc:AlternateContent>
      </w:r>
      <w:r>
        <w:rPr>
          <w:noProof/>
        </w:rPr>
        <mc:AlternateContent>
          <mc:Choice Requires="wps">
            <w:drawing>
              <wp:anchor distT="0" distB="0" distL="114300" distR="114300" simplePos="0" relativeHeight="251658278" behindDoc="0" locked="0" layoutInCell="1" allowOverlap="1" wp14:anchorId="5C30700A" wp14:editId="589E0AD0">
                <wp:simplePos x="0" y="0"/>
                <wp:positionH relativeFrom="column">
                  <wp:posOffset>4671695</wp:posOffset>
                </wp:positionH>
                <wp:positionV relativeFrom="paragraph">
                  <wp:posOffset>1420657</wp:posOffset>
                </wp:positionV>
                <wp:extent cx="474345" cy="249555"/>
                <wp:effectExtent l="0" t="0" r="0" b="0"/>
                <wp:wrapNone/>
                <wp:docPr id="283" name="Zone de texte 1"/>
                <wp:cNvGraphicFramePr/>
                <a:graphic xmlns:a="http://schemas.openxmlformats.org/drawingml/2006/main">
                  <a:graphicData uri="http://schemas.microsoft.com/office/word/2010/wordprocessingShape">
                    <wps:wsp>
                      <wps:cNvSpPr txBox="1"/>
                      <wps:spPr>
                        <a:xfrm rot="16200000">
                          <a:off x="0" y="0"/>
                          <a:ext cx="474345" cy="249555"/>
                        </a:xfrm>
                        <a:prstGeom prst="rect">
                          <a:avLst/>
                        </a:prstGeom>
                      </wps:spPr>
                      <wps:txbx>
                        <w:txbxContent>
                          <w:p w14:paraId="149CBDE4" w14:textId="77777777" w:rsidR="00741BFF" w:rsidRDefault="00741BFF" w:rsidP="006168AC">
                            <w:pPr>
                              <w:rPr>
                                <w:sz w:val="24"/>
                                <w:szCs w:val="24"/>
                              </w:rPr>
                            </w:pPr>
                            <w:r>
                              <w:rPr>
                                <w:rFonts w:asciiTheme="minorHAnsi" w:hAnsi="Calibri"/>
                                <w:b/>
                                <w:bCs/>
                                <w:sz w:val="16"/>
                                <w:szCs w:val="16"/>
                              </w:rPr>
                              <w:t>17/16</w:t>
                            </w:r>
                          </w:p>
                        </w:txbxContent>
                      </wps:txbx>
                      <wps:bodyPr wrap="square" rtlCol="0"/>
                    </wps:wsp>
                  </a:graphicData>
                </a:graphic>
              </wp:anchor>
            </w:drawing>
          </mc:Choice>
          <mc:Fallback>
            <w:pict>
              <v:shape w14:anchorId="5C30700A" id="_x0000_s1037" type="#_x0000_t202" style="position:absolute;margin-left:367.85pt;margin-top:111.85pt;width:37.35pt;height:19.65pt;rotation:-90;z-index:25165827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5cnlwEAAAYDAAAOAAAAZHJzL2Uyb0RvYy54bWysUk2P0zAQvSPxHyzfaZpuu+xGTVeCFVwQ&#10;IC1c9uY64yZS7DEz3ib994zd3YLghshhZI/HL+/D27vZj+oIxAOGVteLpVYQLHZDOLT6+7cPb260&#10;4mRCZ0YM0OoTsL7bvX61nWIDK+xx7ICUgARuptjqPqXYVBXbHrzhBUYIcuiQvEmypUPVkZkE3Y/V&#10;arm8riakLhJaYJbu/flQ7wq+c2DTF+cYkhpbLdxSqVTqPtdqtzXNgUzsB/tMw/wDC2+GID+9QN2b&#10;ZNQTDX9B+cESMrq0sOgrdG6wUDSImnr5h5qH3kQoWsQcjheb+P/B2s/Hr6SGrtWrmyutgvES0qNE&#10;pTpQCeYEqs4mTZEbmX2IMp3mdzhL2C99lmbWPjvyilA8rq8lG/mKJSJSybi4f7o4LsDKSnP9dn21&#10;3mhl5Wi1vt1sNhm0OmNlzEicPgJ6lRetJgm0gJrjJ07n0ZcRuZdZntnkVZr3c5FWX6jusTuJgkkC&#10;bzX/eDIEWlEa32N5Hxkw3xSzC4vnh5HT/H1fpn49391PAAAA//8DAFBLAwQUAAYACAAAACEARBzO&#10;mN4AAAALAQAADwAAAGRycy9kb3ducmV2LnhtbEyPTU/DMAyG70j8h8hIXBBLKGzdStOJDyFxXWH3&#10;rPHaisapmmxt/z3mxI62H71+3nw7uU6ccQitJw0PCwUCqfK2pVrD99fH/RpEiIas6TyhhhkDbIvr&#10;q9xk1o+0w3MZa8EhFDKjoYmxz6QMVYPOhIXvkfh29IMzkcehlnYwI4e7TiZKraQzLfGHxvT41mD1&#10;U56chvgeW2/3d+rod+Pydf4sg3Sz1rc308sziIhT/IfhT5/VoWCngz+RDaLTkC4fnxjVkKgVl2Ii&#10;3SQpiANv1ioFWeTyskPxCwAA//8DAFBLAQItABQABgAIAAAAIQC2gziS/gAAAOEBAAATAAAAAAAA&#10;AAAAAAAAAAAAAABbQ29udGVudF9UeXBlc10ueG1sUEsBAi0AFAAGAAgAAAAhADj9If/WAAAAlAEA&#10;AAsAAAAAAAAAAAAAAAAALwEAAF9yZWxzLy5yZWxzUEsBAi0AFAAGAAgAAAAhAC7TlyeXAQAABgMA&#10;AA4AAAAAAAAAAAAAAAAALgIAAGRycy9lMm9Eb2MueG1sUEsBAi0AFAAGAAgAAAAhAEQczpjeAAAA&#10;CwEAAA8AAAAAAAAAAAAAAAAA8QMAAGRycy9kb3ducmV2LnhtbFBLBQYAAAAABAAEAPMAAAD8BAAA&#10;AAA=&#10;" filled="f" stroked="f">
                <v:textbox>
                  <w:txbxContent>
                    <w:p w14:paraId="149CBDE4" w14:textId="77777777" w:rsidR="00741BFF" w:rsidRDefault="00741BFF" w:rsidP="006168AC">
                      <w:pPr>
                        <w:rPr>
                          <w:sz w:val="24"/>
                          <w:szCs w:val="24"/>
                        </w:rPr>
                      </w:pPr>
                      <w:r>
                        <w:rPr>
                          <w:rFonts w:asciiTheme="minorHAnsi" w:hAnsi="Calibri"/>
                          <w:b/>
                          <w:bCs/>
                          <w:sz w:val="16"/>
                          <w:szCs w:val="16"/>
                        </w:rPr>
                        <w:t>17/16</w:t>
                      </w:r>
                    </w:p>
                  </w:txbxContent>
                </v:textbox>
              </v:shape>
            </w:pict>
          </mc:Fallback>
        </mc:AlternateContent>
      </w:r>
      <w:r>
        <w:rPr>
          <w:noProof/>
        </w:rPr>
        <mc:AlternateContent>
          <mc:Choice Requires="wps">
            <w:drawing>
              <wp:anchor distT="0" distB="0" distL="114300" distR="114300" simplePos="0" relativeHeight="251658277" behindDoc="0" locked="0" layoutInCell="1" allowOverlap="1" wp14:anchorId="1CE13442" wp14:editId="5A99120B">
                <wp:simplePos x="0" y="0"/>
                <wp:positionH relativeFrom="column">
                  <wp:posOffset>4342764</wp:posOffset>
                </wp:positionH>
                <wp:positionV relativeFrom="paragraph">
                  <wp:posOffset>1425752</wp:posOffset>
                </wp:positionV>
                <wp:extent cx="474451" cy="250175"/>
                <wp:effectExtent l="0" t="0" r="0" b="0"/>
                <wp:wrapNone/>
                <wp:docPr id="282"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17768375" w14:textId="77777777" w:rsidR="00741BFF" w:rsidRDefault="00741BFF" w:rsidP="006168AC">
                            <w:pPr>
                              <w:rPr>
                                <w:sz w:val="24"/>
                                <w:szCs w:val="24"/>
                              </w:rPr>
                            </w:pPr>
                            <w:r>
                              <w:rPr>
                                <w:rFonts w:asciiTheme="minorHAnsi" w:hAnsi="Calibri"/>
                                <w:b/>
                                <w:bCs/>
                                <w:sz w:val="16"/>
                                <w:szCs w:val="16"/>
                              </w:rPr>
                              <w:t>16/15</w:t>
                            </w:r>
                          </w:p>
                        </w:txbxContent>
                      </wps:txbx>
                      <wps:bodyPr wrap="square" rtlCol="0"/>
                    </wps:wsp>
                  </a:graphicData>
                </a:graphic>
              </wp:anchor>
            </w:drawing>
          </mc:Choice>
          <mc:Fallback>
            <w:pict>
              <v:shape w14:anchorId="1CE13442" id="_x0000_s1038" type="#_x0000_t202" style="position:absolute;margin-left:341.95pt;margin-top:112.25pt;width:37.35pt;height:19.7pt;rotation:-90;z-index:25165827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4ZRlwEAAAYDAAAOAAAAZHJzL2Uyb0RvYy54bWysUjtv2zAQ3gv0PxDcaz1gJ4FgOUASNEuQ&#10;Fki7ZKOpoyVA5LFHxpL/fY507BbNFkTDgTweP30Prq9nO4o9UBjQtbJalFKA09gNbtfK37++f7uS&#10;IkTlOjWig1YeIMjrzdcv68k3UGOPYwckGMSFZvKt7GP0TVEE3YNVYYEeHB8aJKsib2lXdKQmRrdj&#10;UZflRTEhdZ5QQwjcvTseyk3GNwZ0/GFMgCjGVjK3mCvluk212KxVsyPl+0G/0VAfYGHV4PinZ6g7&#10;FZV4oeEdlB00YUATFxptgcYMGrIGVlOV/6l56pWHrIXNCf5sU/g8WP24/0li6FpZX9VSOGU5pGeO&#10;SnQgIswRRJVMmnxoePbJ83Scb3DmsE/9wM2kfTZkBSF7XF1wNvxlS1ik4HF2/3B2nIGF5ubycrlc&#10;VVJoPqpXZXW5SqDFESthegrxHtCKtGglcaAZVO0fQjyOnkb4XmJ5ZJNWcd7OWVpVn6husTuwgokD&#10;b2X486IIpKA43mJ+Hwkw3WSzM4u3h5HS/Hefp/4+380rAAAA//8DAFBLAwQUAAYACAAAACEA2xs4&#10;594AAAALAQAADwAAAGRycy9kb3ducmV2LnhtbEyPTW+DMAyG75P2HyJP2mVaE6qVVoxQ7UOTei3b&#10;7ilxAY04iKQF/v3cU3u0/ej18+bbyXXijENoPWlIFgoEUuVtS7WGn++v5w2IEA1Z03lCDTMG2Bb3&#10;d7nJrB9pj+cy1oJDKGRGQxNjn0kZqgadCQvfI/Ht6AdnIo9DLe1gRg53nVwqlUpnWuIPjenxo8Hq&#10;rzw5DfEztt7+Pqmj34+r93lXBulmrR8fprdXEBGneIXhos/qULDTwZ/IBtFpWKskZVTDUqXcgYn1&#10;S8LtDrzZJCuQRS5vOxT/AAAA//8DAFBLAQItABQABgAIAAAAIQC2gziS/gAAAOEBAAATAAAAAAAA&#10;AAAAAAAAAAAAAABbQ29udGVudF9UeXBlc10ueG1sUEsBAi0AFAAGAAgAAAAhADj9If/WAAAAlAEA&#10;AAsAAAAAAAAAAAAAAAAALwEAAF9yZWxzLy5yZWxzUEsBAi0AFAAGAAgAAAAhAKI3hlGXAQAABgMA&#10;AA4AAAAAAAAAAAAAAAAALgIAAGRycy9lMm9Eb2MueG1sUEsBAi0AFAAGAAgAAAAhANsbOOfeAAAA&#10;CwEAAA8AAAAAAAAAAAAAAAAA8QMAAGRycy9kb3ducmV2LnhtbFBLBQYAAAAABAAEAPMAAAD8BAAA&#10;AAA=&#10;" filled="f" stroked="f">
                <v:textbox>
                  <w:txbxContent>
                    <w:p w14:paraId="17768375" w14:textId="77777777" w:rsidR="00741BFF" w:rsidRDefault="00741BFF" w:rsidP="006168AC">
                      <w:pPr>
                        <w:rPr>
                          <w:sz w:val="24"/>
                          <w:szCs w:val="24"/>
                        </w:rPr>
                      </w:pPr>
                      <w:r>
                        <w:rPr>
                          <w:rFonts w:asciiTheme="minorHAnsi" w:hAnsi="Calibri"/>
                          <w:b/>
                          <w:bCs/>
                          <w:sz w:val="16"/>
                          <w:szCs w:val="16"/>
                        </w:rPr>
                        <w:t>16/15</w:t>
                      </w:r>
                    </w:p>
                  </w:txbxContent>
                </v:textbox>
              </v:shape>
            </w:pict>
          </mc:Fallback>
        </mc:AlternateContent>
      </w:r>
      <w:r>
        <w:rPr>
          <w:noProof/>
        </w:rPr>
        <mc:AlternateContent>
          <mc:Choice Requires="wps">
            <w:drawing>
              <wp:anchor distT="0" distB="0" distL="114300" distR="114300" simplePos="0" relativeHeight="251658276" behindDoc="0" locked="0" layoutInCell="1" allowOverlap="1" wp14:anchorId="4D9E7624" wp14:editId="56438BD7">
                <wp:simplePos x="0" y="0"/>
                <wp:positionH relativeFrom="column">
                  <wp:posOffset>4034789</wp:posOffset>
                </wp:positionH>
                <wp:positionV relativeFrom="paragraph">
                  <wp:posOffset>1421307</wp:posOffset>
                </wp:positionV>
                <wp:extent cx="474451" cy="250175"/>
                <wp:effectExtent l="0" t="0" r="0" b="0"/>
                <wp:wrapNone/>
                <wp:docPr id="63"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679A8418" w14:textId="77777777" w:rsidR="00741BFF" w:rsidRDefault="00741BFF" w:rsidP="00C63913">
                            <w:pPr>
                              <w:rPr>
                                <w:sz w:val="24"/>
                                <w:szCs w:val="24"/>
                              </w:rPr>
                            </w:pPr>
                            <w:r>
                              <w:rPr>
                                <w:rFonts w:asciiTheme="minorHAnsi" w:hAnsi="Calibri"/>
                                <w:b/>
                                <w:bCs/>
                                <w:sz w:val="16"/>
                                <w:szCs w:val="16"/>
                              </w:rPr>
                              <w:t>15/14</w:t>
                            </w:r>
                          </w:p>
                        </w:txbxContent>
                      </wps:txbx>
                      <wps:bodyPr wrap="square" rtlCol="0"/>
                    </wps:wsp>
                  </a:graphicData>
                </a:graphic>
              </wp:anchor>
            </w:drawing>
          </mc:Choice>
          <mc:Fallback>
            <w:pict>
              <v:shape w14:anchorId="4D9E7624" id="_x0000_s1039" type="#_x0000_t202" style="position:absolute;margin-left:317.7pt;margin-top:111.9pt;width:37.35pt;height:19.7pt;rotation:-90;z-index:2516582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WpalgEAAAUDAAAOAAAAZHJzL2Uyb0RvYy54bWysUj1v2zAQ3Qv0PxDca0mO7QSC5QBJ0C5F&#10;WyDJko2mjpYAkcccGUv+9z3SsVM0WxANB/J4fHofXF9PdhB7oNCja2Q1K6UAp7Ht3a6Rjw/fv11J&#10;EaJyrRrQQSMPEOT15uuX9ehrmGOHQwskGMSFevSN7GL0dVEE3YFVYYYeHB8aJKsib2lXtKRGRrdD&#10;MS/LVTEitZ5QQwjcvTseyk3GNwZ0/G1MgCiGRjK3mCvluk212KxVvSPlu16/0lAfYGFV7/inZ6g7&#10;FZV4of4dlO01YUATZxptgcb0GrIGVlOV/6m575SHrIXNCf5sU/g8WP1r/4dE3zZydSGFU5YzeuKk&#10;RAsiwhRBVMmj0YeaR+89D8fpBifO+tQP3EzSJ0NWELLF1Yqj4S87whoFj7P5h7PhDCw0NxeXi8Wy&#10;kkLz0XxZVpfLBFocsRKmpxB/AFqRFo0kzjODqv3PEI+jpxG+l1ge2aRVnLZTVlZdnKhusT2wgpHz&#10;bmR4flEEUlAcbjE/jwSYbrLXmcXru0hh/rvPU2+vd/MXAAD//wMAUEsDBBQABgAIAAAAIQDzU+uC&#10;3QAAAAsBAAAPAAAAZHJzL2Rvd25yZXYueG1sTI9NT4QwEIbvJv6HZky8GLddDASRsvEjJl6X1XuX&#10;zgKRTgntLvDvHU96m48n7zxT7hY3iAtOofekYbtRIJAab3tqNXwe3u9zECEasmbwhBpWDLCrrq9K&#10;U1g/0x4vdWwFh1AojIYuxrGQMjQdOhM2fkTi3clPzkRup1baycwc7gaZKJVJZ3riC50Z8bXD5rs+&#10;Ow3xLfbeft2pk9/P6cv6UQfpVq1vb5bnJxARl/gHw68+q0PFTkd/JhvEoCFLH7aMakhUxgUT2WOS&#10;gjjyJFc5yKqU/3+ofgAAAP//AwBQSwECLQAUAAYACAAAACEAtoM4kv4AAADhAQAAEwAAAAAAAAAA&#10;AAAAAAAAAAAAW0NvbnRlbnRfVHlwZXNdLnhtbFBLAQItABQABgAIAAAAIQA4/SH/1gAAAJQBAAAL&#10;AAAAAAAAAAAAAAAAAC8BAABfcmVscy8ucmVsc1BLAQItABQABgAIAAAAIQAObWpalgEAAAUDAAAO&#10;AAAAAAAAAAAAAAAAAC4CAABkcnMvZTJvRG9jLnhtbFBLAQItABQABgAIAAAAIQDzU+uC3QAAAAsB&#10;AAAPAAAAAAAAAAAAAAAAAPADAABkcnMvZG93bnJldi54bWxQSwUGAAAAAAQABADzAAAA+gQAAAAA&#10;" filled="f" stroked="f">
                <v:textbox>
                  <w:txbxContent>
                    <w:p w14:paraId="679A8418" w14:textId="77777777" w:rsidR="00741BFF" w:rsidRDefault="00741BFF" w:rsidP="00C63913">
                      <w:pPr>
                        <w:rPr>
                          <w:sz w:val="24"/>
                          <w:szCs w:val="24"/>
                        </w:rPr>
                      </w:pPr>
                      <w:r>
                        <w:rPr>
                          <w:rFonts w:asciiTheme="minorHAnsi" w:hAnsi="Calibri"/>
                          <w:b/>
                          <w:bCs/>
                          <w:sz w:val="16"/>
                          <w:szCs w:val="16"/>
                        </w:rPr>
                        <w:t>15/14</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6F5607F7" wp14:editId="29DEC93B">
                <wp:simplePos x="0" y="0"/>
                <wp:positionH relativeFrom="column">
                  <wp:posOffset>3353435</wp:posOffset>
                </wp:positionH>
                <wp:positionV relativeFrom="paragraph">
                  <wp:posOffset>1368425</wp:posOffset>
                </wp:positionV>
                <wp:extent cx="474345" cy="249555"/>
                <wp:effectExtent l="0" t="0" r="0" b="0"/>
                <wp:wrapNone/>
                <wp:docPr id="56" name="Zone de texte 1"/>
                <wp:cNvGraphicFramePr/>
                <a:graphic xmlns:a="http://schemas.openxmlformats.org/drawingml/2006/main">
                  <a:graphicData uri="http://schemas.microsoft.com/office/word/2010/wordprocessingShape">
                    <wps:wsp>
                      <wps:cNvSpPr txBox="1"/>
                      <wps:spPr>
                        <a:xfrm rot="16200000">
                          <a:off x="0" y="0"/>
                          <a:ext cx="474345" cy="249555"/>
                        </a:xfrm>
                        <a:prstGeom prst="rect">
                          <a:avLst/>
                        </a:prstGeom>
                      </wps:spPr>
                      <wps:txbx>
                        <w:txbxContent>
                          <w:p w14:paraId="0F8E81F2" w14:textId="77777777" w:rsidR="00741BFF" w:rsidRDefault="00741BFF" w:rsidP="008F57AF">
                            <w:pPr>
                              <w:rPr>
                                <w:sz w:val="24"/>
                                <w:szCs w:val="24"/>
                              </w:rPr>
                            </w:pPr>
                            <w:r>
                              <w:rPr>
                                <w:rFonts w:asciiTheme="minorHAnsi" w:hAnsi="Calibri"/>
                                <w:b/>
                                <w:bCs/>
                                <w:sz w:val="16"/>
                                <w:szCs w:val="16"/>
                              </w:rPr>
                              <w:t>19/18</w:t>
                            </w:r>
                          </w:p>
                        </w:txbxContent>
                      </wps:txbx>
                      <wps:bodyPr wrap="square" rtlCol="0"/>
                    </wps:wsp>
                  </a:graphicData>
                </a:graphic>
              </wp:anchor>
            </w:drawing>
          </mc:Choice>
          <mc:Fallback>
            <w:pict>
              <v:shape w14:anchorId="6F5607F7" id="_x0000_s1040" type="#_x0000_t202" style="position:absolute;margin-left:264.05pt;margin-top:107.75pt;width:37.35pt;height:19.65pt;rotation:-90;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Fj4lwEAAAUDAAAOAAAAZHJzL2Uyb0RvYy54bWysUj1v2zAQ3QP0PxDca1mu5KSC5QBt0C5F&#10;EyDp0o2mjpYAkcceGUv+9znSsVukW1ENB/J4fHof3NzOdhQHoDCga2W5WEoBTmM3uH0rfzx9eX8j&#10;RYjKdWpEB608QpC323dXm8k3sMIexw5IMIgLzeRb2cfom6IIugerwgI9OD40SFZF3tK+6EhNjG7H&#10;YrVcrosJqfOEGkLg7t3pUG4zvjGg470xAaIYW8ncYq6U6y7VYrtRzZ6U7wf9SkP9AwurBsc/vUDd&#10;qajEMw1/QdlBEwY0caHRFmjMoCFrYDXl8o2ax155yFrYnOAvNoX/B6u/Hx5IDF0r67UUTlnO6Ccn&#10;JToQEeYIokweTT40PProeTjOn3DmrM/9wM0kfTZkBSFbXK45Gv6yI6xR8Dibf7wYzsBCc7O6rj5U&#10;tRSaj1bVx7quE2hxwkqYnkL8CmhFWrSSOM8Mqg7fQjyNnkf4XmJ5YpNWcd7NWVlZnanusDuygonz&#10;bmX49awIpKA4fsb8PBJgusleZxav7yKF+ec+T/1+vdsXAAAA//8DAFBLAwQUAAYACAAAACEAy1v6&#10;qN4AAAALAQAADwAAAGRycy9kb3ducmV2LnhtbEyPwU7DMBBE70j9B2uRuCDqNMK0hDhVaYXEtQHu&#10;brxNIuJ1FLtN8vcsJ7jNakYzb/Pt5DpxxSG0njSslgkIpMrblmoNnx9vDxsQIRqypvOEGmYMsC0W&#10;N7nJrB/piNcy1oJLKGRGQxNjn0kZqgadCUvfI7F39oMzkc+hlnYwI5e7TqZJ8iSdaYkXGtPjvsHq&#10;u7w4DfEQW2+/7pOzP47qdX4vg3Sz1ne30+4FRMQp/oXhF5/RoWCmk7+QDaLToB4Vo0c2ntcsOKE2&#10;agXipCFdpwpkkcv/PxQ/AAAA//8DAFBLAQItABQABgAIAAAAIQC2gziS/gAAAOEBAAATAAAAAAAA&#10;AAAAAAAAAAAAAABbQ29udGVudF9UeXBlc10ueG1sUEsBAi0AFAAGAAgAAAAhADj9If/WAAAAlAEA&#10;AAsAAAAAAAAAAAAAAAAALwEAAF9yZWxzLy5yZWxzUEsBAi0AFAAGAAgAAAAhAPKwWPiXAQAABQMA&#10;AA4AAAAAAAAAAAAAAAAALgIAAGRycy9lMm9Eb2MueG1sUEsBAi0AFAAGAAgAAAAhAMtb+qjeAAAA&#10;CwEAAA8AAAAAAAAAAAAAAAAA8QMAAGRycy9kb3ducmV2LnhtbFBLBQYAAAAABAAEAPMAAAD8BAAA&#10;AAA=&#10;" filled="f" stroked="f">
                <v:textbox>
                  <w:txbxContent>
                    <w:p w14:paraId="0F8E81F2" w14:textId="77777777" w:rsidR="00741BFF" w:rsidRDefault="00741BFF" w:rsidP="008F57AF">
                      <w:pPr>
                        <w:rPr>
                          <w:sz w:val="24"/>
                          <w:szCs w:val="24"/>
                        </w:rPr>
                      </w:pPr>
                      <w:r>
                        <w:rPr>
                          <w:rFonts w:asciiTheme="minorHAnsi" w:hAnsi="Calibri"/>
                          <w:b/>
                          <w:bCs/>
                          <w:sz w:val="16"/>
                          <w:szCs w:val="16"/>
                        </w:rPr>
                        <w:t>19/18</w:t>
                      </w:r>
                    </w:p>
                  </w:txbxContent>
                </v:textbox>
              </v:shape>
            </w:pict>
          </mc:Fallback>
        </mc:AlternateContent>
      </w:r>
      <w:r w:rsidR="00C63913">
        <w:rPr>
          <w:noProof/>
        </w:rPr>
        <mc:AlternateContent>
          <mc:Choice Requires="wps">
            <w:drawing>
              <wp:anchor distT="0" distB="0" distL="114300" distR="114300" simplePos="0" relativeHeight="251658264" behindDoc="0" locked="0" layoutInCell="1" allowOverlap="1" wp14:anchorId="7B4B02F1" wp14:editId="5C0D999E">
                <wp:simplePos x="0" y="0"/>
                <wp:positionH relativeFrom="column">
                  <wp:posOffset>3036259</wp:posOffset>
                </wp:positionH>
                <wp:positionV relativeFrom="paragraph">
                  <wp:posOffset>1368692</wp:posOffset>
                </wp:positionV>
                <wp:extent cx="474451" cy="250175"/>
                <wp:effectExtent l="0" t="0" r="0" b="0"/>
                <wp:wrapNone/>
                <wp:docPr id="57"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58E38254" w14:textId="2BF196FC" w:rsidR="00741BFF" w:rsidRDefault="00741BFF" w:rsidP="008F57AF">
                            <w:pPr>
                              <w:rPr>
                                <w:sz w:val="24"/>
                                <w:szCs w:val="24"/>
                              </w:rPr>
                            </w:pPr>
                            <w:r>
                              <w:rPr>
                                <w:rFonts w:asciiTheme="minorHAnsi" w:hAnsi="Calibri"/>
                                <w:b/>
                                <w:bCs/>
                                <w:sz w:val="16"/>
                                <w:szCs w:val="16"/>
                              </w:rPr>
                              <w:t>18/17</w:t>
                            </w:r>
                          </w:p>
                        </w:txbxContent>
                      </wps:txbx>
                      <wps:bodyPr wrap="square" rtlCol="0"/>
                    </wps:wsp>
                  </a:graphicData>
                </a:graphic>
              </wp:anchor>
            </w:drawing>
          </mc:Choice>
          <mc:Fallback>
            <w:pict>
              <v:shape w14:anchorId="7B4B02F1" id="_x0000_s1041" type="#_x0000_t202" style="position:absolute;margin-left:239.1pt;margin-top:107.75pt;width:37.35pt;height:19.7pt;rotation:-90;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41ClgEAAAUDAAAOAAAAZHJzL2Uyb0RvYy54bWysUsFO4zAQvSPtP1i+0yRVS1HUFAkQXFa7&#10;SMBlb64zbiLFHu/YNOnf79iFgpYbIoeRPX5+mfee11eTHcQeKPToGlnNSinAaWx7t2vk89Pd+aUU&#10;ISrXqgEdNPIAQV5tfpytR1/DHDscWiDBJC7Uo29kF6OviyLoDqwKM/Tg+NAgWRV5S7uiJTUyux2K&#10;eVleFCNS6wk1hMDd2+Oh3GR+Y0DH38YEiGJoJM8Wc6Vct6kWm7Wqd6R81+vXMdQXprCqd/zTE9Wt&#10;ikq8UP+JyvaaMKCJM422QGN6DVkDq6nK/9Q8dspD1sLmBH+yKXwfrf61fyDRt41crqRwynJGfzgp&#10;0YKIMEUQVfJo9KFm6KNncJyuceKs3/qBm0n6ZMgKQra4uuBo+MuOsEbBcDb/cDKciYXm5mK1WCwr&#10;KTQfzZdltVom0uLIlTg9hXgPaEVaNJI4z0yq9j9DPELfIHwvTXmcJq3itJ2ysiqzptYW2wMrGDnv&#10;Roa/L4pACorDDebnkQgTjL3OU7y+ixTmx31Gvb/ezT8AAAD//wMAUEsDBBQABgAIAAAAIQBlEV/a&#10;3gAAAAsBAAAPAAAAZHJzL2Rvd25yZXYueG1sTI/LTsMwEEX3SPyDNUhsEHVIMSUhTsVDSGwbYO/G&#10;0yQiHkex2yR/z7Ciy9E9unNusZ1dL044hs6ThrtVAgKp9rajRsPX5/vtI4gQDVnTe0INCwbYlpcX&#10;hcmtn2iHpyo2gkso5EZDG+OQSxnqFp0JKz8gcXbwozORz7GRdjQTl7tepknyIJ3piD+0ZsDXFuuf&#10;6ug0xLfYeft9kxz8blIvy0cVpFu0vr6an59ARJzjPwx/+qwOJTvt/ZFsEL2G+0xljHKQbXgDE2qt&#10;1iD2GtJNqkCWhTzfUP4CAAD//wMAUEsBAi0AFAAGAAgAAAAhALaDOJL+AAAA4QEAABMAAAAAAAAA&#10;AAAAAAAAAAAAAFtDb250ZW50X1R5cGVzXS54bWxQSwECLQAUAAYACAAAACEAOP0h/9YAAACUAQAA&#10;CwAAAAAAAAAAAAAAAAAvAQAAX3JlbHMvLnJlbHNQSwECLQAUAAYACAAAACEAJleNQpYBAAAFAwAA&#10;DgAAAAAAAAAAAAAAAAAuAgAAZHJzL2Uyb0RvYy54bWxQSwECLQAUAAYACAAAACEAZRFf2t4AAAAL&#10;AQAADwAAAAAAAAAAAAAAAADwAwAAZHJzL2Rvd25yZXYueG1sUEsFBgAAAAAEAAQA8wAAAPsEAAAA&#10;AA==&#10;" filled="f" stroked="f">
                <v:textbox>
                  <w:txbxContent>
                    <w:p w14:paraId="58E38254" w14:textId="2BF196FC" w:rsidR="00741BFF" w:rsidRDefault="00741BFF" w:rsidP="008F57AF">
                      <w:pPr>
                        <w:rPr>
                          <w:sz w:val="24"/>
                          <w:szCs w:val="24"/>
                        </w:rPr>
                      </w:pPr>
                      <w:r>
                        <w:rPr>
                          <w:rFonts w:asciiTheme="minorHAnsi" w:hAnsi="Calibri"/>
                          <w:b/>
                          <w:bCs/>
                          <w:sz w:val="16"/>
                          <w:szCs w:val="16"/>
                        </w:rPr>
                        <w:t>18/17</w:t>
                      </w:r>
                    </w:p>
                  </w:txbxContent>
                </v:textbox>
              </v:shape>
            </w:pict>
          </mc:Fallback>
        </mc:AlternateContent>
      </w:r>
      <w:r w:rsidR="00C63913">
        <w:rPr>
          <w:noProof/>
        </w:rPr>
        <mc:AlternateContent>
          <mc:Choice Requires="wps">
            <w:drawing>
              <wp:anchor distT="0" distB="0" distL="114300" distR="114300" simplePos="0" relativeHeight="251658265" behindDoc="0" locked="0" layoutInCell="1" allowOverlap="1" wp14:anchorId="2676E664" wp14:editId="31974301">
                <wp:simplePos x="0" y="0"/>
                <wp:positionH relativeFrom="column">
                  <wp:posOffset>2727650</wp:posOffset>
                </wp:positionH>
                <wp:positionV relativeFrom="paragraph">
                  <wp:posOffset>1358057</wp:posOffset>
                </wp:positionV>
                <wp:extent cx="474451" cy="250175"/>
                <wp:effectExtent l="0" t="0" r="0" b="0"/>
                <wp:wrapNone/>
                <wp:docPr id="58"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317F5701" w14:textId="153D0C84" w:rsidR="00741BFF" w:rsidRDefault="00741BFF" w:rsidP="008F57AF">
                            <w:pPr>
                              <w:rPr>
                                <w:sz w:val="24"/>
                                <w:szCs w:val="24"/>
                              </w:rPr>
                            </w:pPr>
                            <w:r>
                              <w:rPr>
                                <w:rFonts w:asciiTheme="minorHAnsi" w:hAnsi="Calibri"/>
                                <w:b/>
                                <w:bCs/>
                                <w:sz w:val="16"/>
                                <w:szCs w:val="16"/>
                              </w:rPr>
                              <w:t>17/16</w:t>
                            </w:r>
                          </w:p>
                        </w:txbxContent>
                      </wps:txbx>
                      <wps:bodyPr wrap="square" rtlCol="0"/>
                    </wps:wsp>
                  </a:graphicData>
                </a:graphic>
              </wp:anchor>
            </w:drawing>
          </mc:Choice>
          <mc:Fallback>
            <w:pict>
              <v:shape w14:anchorId="2676E664" id="_x0000_s1042" type="#_x0000_t202" style="position:absolute;margin-left:214.8pt;margin-top:106.95pt;width:37.35pt;height:19.7pt;rotation:-90;z-index:2516582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lcUlQEAAAUDAAAOAAAAZHJzL2Uyb0RvYy54bWysUk1P4zAQvSPxHyzft0mqtqCoKdIu2r2s&#10;FiTgws11xk2k2GPGpkn/PWOXdldwQ5vDyB6PX96H1zeTHcQeKPToGlnNSinAaWx7t2vk0+PPb9dS&#10;hKhcqwZ00MgDBHmzubxYj76GOXY4tECCQVyoR9/ILkZfF0XQHVgVZujB8aFBsirylnZFS2pkdDsU&#10;87JcFSNS6wk1hMDd2+Oh3GR8Y0DHO2MCRDE0krnFXCnXbarFZq3qHSnf9fqdhvoCC6t6xz89Q92q&#10;qMQr9Z+gbK8JA5o402gLNKbXkDWwmqr8oOahUx6yFjYn+LNN4f/B6j/7exJ928glJ+WU5YyeOSnR&#10;gogwRRBV8mj0oebRB8/DcfqOE2d96gduJumTISsI2eJqxdHwlx1hjYLH2fzD2XAGFpqbi6vFYllJ&#10;ofloviyrq2UCLY5YCdNTiL8ArUiLRhLnmUHV/neIx9HTCN9LLI9s0ipO2ykrq1YnqltsD6xg5Lwb&#10;GV5eFYEUFIcfmJ9HAkw32evM4v1dpDD/3eepv6938wYAAP//AwBQSwMEFAAGAAgAAAAhAEaNTzLf&#10;AAAACwEAAA8AAABkcnMvZG93bnJldi54bWxMj01Pg0AQhu8m/ofNmHgxdhERWmRp/IiJ12J737JT&#10;ILKzhN0W+PeOJz1O3ifv+0yxnW0vLjj6zpGCh1UEAql2pqNGwf7r434NwgdNRveOUMGCHrbl9VWh&#10;c+Mm2uGlCo3gEvK5VtCGMORS+rpFq/3KDUicndxodeBzbKQZ9cTltpdxFKXS6o54odUDvrVYf1dn&#10;qyC8h86Zw110crvp6XX5rLy0i1K3N/PLM4iAc/iD4Vef1aFkp6M7k/GiV5Ak2SOjHGzSGAQTyTrN&#10;QBwVxFm0AVkW8v8P5Q8AAAD//wMAUEsBAi0AFAAGAAgAAAAhALaDOJL+AAAA4QEAABMAAAAAAAAA&#10;AAAAAAAAAAAAAFtDb250ZW50X1R5cGVzXS54bWxQSwECLQAUAAYACAAAACEAOP0h/9YAAACUAQAA&#10;CwAAAAAAAAAAAAAAAAAvAQAAX3JlbHMvLnJlbHNQSwECLQAUAAYACAAAACEAV85XFJUBAAAFAwAA&#10;DgAAAAAAAAAAAAAAAAAuAgAAZHJzL2Uyb0RvYy54bWxQSwECLQAUAAYACAAAACEARo1PMt8AAAAL&#10;AQAADwAAAAAAAAAAAAAAAADvAwAAZHJzL2Rvd25yZXYueG1sUEsFBgAAAAAEAAQA8wAAAPsEAAAA&#10;AA==&#10;" filled="f" stroked="f">
                <v:textbox>
                  <w:txbxContent>
                    <w:p w14:paraId="317F5701" w14:textId="153D0C84" w:rsidR="00741BFF" w:rsidRDefault="00741BFF" w:rsidP="008F57AF">
                      <w:pPr>
                        <w:rPr>
                          <w:sz w:val="24"/>
                          <w:szCs w:val="24"/>
                        </w:rPr>
                      </w:pPr>
                      <w:r>
                        <w:rPr>
                          <w:rFonts w:asciiTheme="minorHAnsi" w:hAnsi="Calibri"/>
                          <w:b/>
                          <w:bCs/>
                          <w:sz w:val="16"/>
                          <w:szCs w:val="16"/>
                        </w:rPr>
                        <w:t>17/16</w:t>
                      </w:r>
                    </w:p>
                  </w:txbxContent>
                </v:textbox>
              </v:shape>
            </w:pict>
          </mc:Fallback>
        </mc:AlternateContent>
      </w:r>
      <w:r w:rsidR="00C63913">
        <w:rPr>
          <w:noProof/>
        </w:rPr>
        <mc:AlternateContent>
          <mc:Choice Requires="wps">
            <w:drawing>
              <wp:anchor distT="0" distB="0" distL="114300" distR="114300" simplePos="0" relativeHeight="251658266" behindDoc="0" locked="0" layoutInCell="1" allowOverlap="1" wp14:anchorId="757612D2" wp14:editId="4CC0AB2F">
                <wp:simplePos x="0" y="0"/>
                <wp:positionH relativeFrom="column">
                  <wp:posOffset>2418893</wp:posOffset>
                </wp:positionH>
                <wp:positionV relativeFrom="paragraph">
                  <wp:posOffset>1368692</wp:posOffset>
                </wp:positionV>
                <wp:extent cx="474451" cy="250175"/>
                <wp:effectExtent l="0" t="0" r="0" b="0"/>
                <wp:wrapNone/>
                <wp:docPr id="59"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1C7484A9" w14:textId="51622C04" w:rsidR="00741BFF" w:rsidRDefault="00741BFF" w:rsidP="008F57AF">
                            <w:pPr>
                              <w:rPr>
                                <w:sz w:val="24"/>
                                <w:szCs w:val="24"/>
                              </w:rPr>
                            </w:pPr>
                            <w:r>
                              <w:rPr>
                                <w:rFonts w:asciiTheme="minorHAnsi" w:hAnsi="Calibri"/>
                                <w:b/>
                                <w:bCs/>
                                <w:sz w:val="16"/>
                                <w:szCs w:val="16"/>
                              </w:rPr>
                              <w:t>16/15</w:t>
                            </w:r>
                          </w:p>
                        </w:txbxContent>
                      </wps:txbx>
                      <wps:bodyPr wrap="square" rtlCol="0"/>
                    </wps:wsp>
                  </a:graphicData>
                </a:graphic>
              </wp:anchor>
            </w:drawing>
          </mc:Choice>
          <mc:Fallback>
            <w:pict>
              <v:shape w14:anchorId="757612D2" id="_x0000_s1043" type="#_x0000_t202" style="position:absolute;margin-left:190.45pt;margin-top:107.75pt;width:37.35pt;height:19.7pt;rotation:-90;z-index:25165826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yjxlgEAAAUDAAAOAAAAZHJzL2Uyb0RvYy54bWysUj1v2zAQ3QPkPxDcY0mGHSeC5QBN0C5F&#10;EiDt0o2mjpYAkcccGUv+9znSsVs0W1ENB/J4fHofXN9NdhB7oNCja2Q1K6UAp7Ht3a6RP398vbqR&#10;IkTlWjWgg0YeIMi7zeXFevQ1zLHDoQUSDOJCPfpGdjH6uiiC7sCqMEMPjg8NklWRt7QrWlIjo9uh&#10;mJfldTEitZ5QQwjcfTgeyk3GNwZ0fDImQBRDI5lbzJVy3aZabNaq3pHyXa8/aKh/YGFV7/inZ6gH&#10;FZV4o/4TlO01YUATZxptgcb0GrIGVlOVf6l56ZSHrIXNCf5sU/h/sPpx/0yibxu5vJXCKcsZ/eKk&#10;RAsiwhRBVMmj0YeaR188D8fpC06c9akfuJmkT4asIGSLq2uOhr/sCGsUPM7mH86GM7DQ3FysFotl&#10;JYXmo/myrFbLBFocsRKmpxC/AVqRFo0kzjODqv33EI+jpxG+l1ge2aRVnLZTVlatTlS32B5Ywch5&#10;NzK8vikCKSgO95ifRwJMN9nrzOLjXaQw/9znqd+vd/MOAAD//wMAUEsDBBQABgAIAAAAIQCHItxQ&#10;3wAAAAsBAAAPAAAAZHJzL2Rvd25yZXYueG1sTI/LbsIwEEX3lfoP1iB1UxWnoUBI46A+VIktod2b&#10;eEgi4nEUG5L8faershzdqzvnZNvRtuKKvW8cKXieRyCQSmcaqhR8H76eEhA+aDK6dYQKJvSwze/v&#10;Mp0aN9Aer0WoBI+QT7WCOoQuldKXNVrt565D4uzkeqsDn30lTa8HHretjKNoJa1uiD/UusOPGstz&#10;cbEKwmdonPl5jE5uPyzfp13hpZ2UepiNb68gAo7hvwx/+IwOOTMd3YWMF62CxSZZcZWDzZoduPGy&#10;SNjuqCBex0uQeSZvHfJfAAAA//8DAFBLAQItABQABgAIAAAAIQC2gziS/gAAAOEBAAATAAAAAAAA&#10;AAAAAAAAAAAAAABbQ29udGVudF9UeXBlc10ueG1sUEsBAi0AFAAGAAgAAAAhADj9If/WAAAAlAEA&#10;AAsAAAAAAAAAAAAAAAAALwEAAF9yZWxzLy5yZWxzUEsBAi0AFAAGAAgAAAAhAEiDKPGWAQAABQMA&#10;AA4AAAAAAAAAAAAAAAAALgIAAGRycy9lMm9Eb2MueG1sUEsBAi0AFAAGAAgAAAAhAIci3FDfAAAA&#10;CwEAAA8AAAAAAAAAAAAAAAAA8AMAAGRycy9kb3ducmV2LnhtbFBLBQYAAAAABAAEAPMAAAD8BAAA&#10;AAA=&#10;" filled="f" stroked="f">
                <v:textbox>
                  <w:txbxContent>
                    <w:p w14:paraId="1C7484A9" w14:textId="51622C04" w:rsidR="00741BFF" w:rsidRDefault="00741BFF" w:rsidP="008F57AF">
                      <w:pPr>
                        <w:rPr>
                          <w:sz w:val="24"/>
                          <w:szCs w:val="24"/>
                        </w:rPr>
                      </w:pPr>
                      <w:r>
                        <w:rPr>
                          <w:rFonts w:asciiTheme="minorHAnsi" w:hAnsi="Calibri"/>
                          <w:b/>
                          <w:bCs/>
                          <w:sz w:val="16"/>
                          <w:szCs w:val="16"/>
                        </w:rPr>
                        <w:t>16/15</w:t>
                      </w:r>
                    </w:p>
                  </w:txbxContent>
                </v:textbox>
              </v:shape>
            </w:pict>
          </mc:Fallback>
        </mc:AlternateContent>
      </w:r>
      <w:r w:rsidR="00C63913">
        <w:rPr>
          <w:noProof/>
        </w:rPr>
        <mc:AlternateContent>
          <mc:Choice Requires="wps">
            <w:drawing>
              <wp:anchor distT="0" distB="0" distL="114300" distR="114300" simplePos="0" relativeHeight="251658267" behindDoc="0" locked="0" layoutInCell="1" allowOverlap="1" wp14:anchorId="522E2958" wp14:editId="5BDF3A05">
                <wp:simplePos x="0" y="0"/>
                <wp:positionH relativeFrom="column">
                  <wp:posOffset>2142815</wp:posOffset>
                </wp:positionH>
                <wp:positionV relativeFrom="paragraph">
                  <wp:posOffset>1373254</wp:posOffset>
                </wp:positionV>
                <wp:extent cx="474451" cy="250175"/>
                <wp:effectExtent l="0" t="0" r="0" b="0"/>
                <wp:wrapNone/>
                <wp:docPr id="61"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5564B118" w14:textId="5C2637DF" w:rsidR="00741BFF" w:rsidRDefault="00741BFF" w:rsidP="008F57AF">
                            <w:pPr>
                              <w:rPr>
                                <w:sz w:val="24"/>
                                <w:szCs w:val="24"/>
                              </w:rPr>
                            </w:pPr>
                            <w:r>
                              <w:rPr>
                                <w:rFonts w:asciiTheme="minorHAnsi" w:hAnsi="Calibri"/>
                                <w:b/>
                                <w:bCs/>
                                <w:sz w:val="16"/>
                                <w:szCs w:val="16"/>
                              </w:rPr>
                              <w:t>15/14</w:t>
                            </w:r>
                          </w:p>
                        </w:txbxContent>
                      </wps:txbx>
                      <wps:bodyPr wrap="square" rtlCol="0"/>
                    </wps:wsp>
                  </a:graphicData>
                </a:graphic>
              </wp:anchor>
            </w:drawing>
          </mc:Choice>
          <mc:Fallback>
            <w:pict>
              <v:shape w14:anchorId="522E2958" id="_x0000_s1044" type="#_x0000_t202" style="position:absolute;margin-left:168.75pt;margin-top:108.15pt;width:37.35pt;height:19.7pt;rotation:-90;z-index:25165826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XWolQEAAAUDAAAOAAAAZHJzL2Uyb0RvYy54bWysUk1v4yAQvVfqf0DcG9tRklZWnEq7Vfey&#10;6q7U7qU3gofYkmHoQGPn33cgTVptb6vlgGAYHu+D9e1kB7EHCj26RlazUgpwGtve7Rr55+n+6kaK&#10;EJVr1YAOGnmAIG83lxfr0dcwxw6HFkgwiAv16BvZxejrogi6A6vCDD04PjRIVkXe0q5oSY2Mbodi&#10;XparYkRqPaGGELh6dzyUm4xvDOj4y5gAUQyNZG4xz5TnbZqLzVrVO1K+6/U7DfUPLKzqHT96hrpT&#10;UYlX6r9A2V4TBjRxptEWaEyvIWtgNVX5l5rHTnnIWtic4M82hf8Hqx/2v0n0bSNXlRROWc7omZMS&#10;LYgIUwRRJY9GH2puffTcHKdvOHHWp3rgYpI+GbKCkC2uVhwNj+wIaxTczuYfzoYzsNBcXFwvFkt+&#10;V/PRfFlW18sEWhyxEqanEH8AWpEWjSTOM4Oq/c8Qj62nFr6XWB7ZpFWctlNWVt2cqG6xPbCCkfNu&#10;ZHh5VQRSUBy+Y/4eCTDdZK8zi/d/kcL8vM9dH7938wYAAP//AwBQSwMEFAAGAAgAAAAhAAvhnPvf&#10;AAAACwEAAA8AAABkcnMvZG93bnJldi54bWxMj01vgzAMhu+T+h8iT9plakNhdC0jVPvQpF1Lt3tK&#10;XEAjDiJpgX8/77TdbL2PXj/O95PtxBUH3zpSsF5FIJAqZ1qqFXwe35dbED5oMrpzhApm9LAvFje5&#10;zowb6YDXMtSCS8hnWkETQp9J6asGrfYr1yNxdnaD1YHXoZZm0COX207GUbSRVrfEFxrd42uD1Xd5&#10;sQrCW2id+bqPzu4wpi/zR+mlnZW6u52en0AEnMIfDL/6rA4FO53chYwXnYIkTWNGOdhtNyCYSHYP&#10;PJwUxI9JArLI5f8fih8AAAD//wMAUEsBAi0AFAAGAAgAAAAhALaDOJL+AAAA4QEAABMAAAAAAAAA&#10;AAAAAAAAAAAAAFtDb250ZW50X1R5cGVzXS54bWxQSwECLQAUAAYACAAAACEAOP0h/9YAAACUAQAA&#10;CwAAAAAAAAAAAAAAAAAvAQAAX3JlbHMvLnJlbHNQSwECLQAUAAYACAAAACEAP/F1qJUBAAAFAwAA&#10;DgAAAAAAAAAAAAAAAAAuAgAAZHJzL2Uyb0RvYy54bWxQSwECLQAUAAYACAAAACEAC+Gc+98AAAAL&#10;AQAADwAAAAAAAAAAAAAAAADvAwAAZHJzL2Rvd25yZXYueG1sUEsFBgAAAAAEAAQA8wAAAPsEAAAA&#10;AA==&#10;" filled="f" stroked="f">
                <v:textbox>
                  <w:txbxContent>
                    <w:p w14:paraId="5564B118" w14:textId="5C2637DF" w:rsidR="00741BFF" w:rsidRDefault="00741BFF" w:rsidP="008F57AF">
                      <w:pPr>
                        <w:rPr>
                          <w:sz w:val="24"/>
                          <w:szCs w:val="24"/>
                        </w:rPr>
                      </w:pPr>
                      <w:r>
                        <w:rPr>
                          <w:rFonts w:asciiTheme="minorHAnsi" w:hAnsi="Calibri"/>
                          <w:b/>
                          <w:bCs/>
                          <w:sz w:val="16"/>
                          <w:szCs w:val="16"/>
                        </w:rPr>
                        <w:t>15/14</w:t>
                      </w:r>
                    </w:p>
                  </w:txbxContent>
                </v:textbox>
              </v:shape>
            </w:pict>
          </mc:Fallback>
        </mc:AlternateContent>
      </w:r>
      <w:r w:rsidR="00C63913">
        <w:rPr>
          <w:noProof/>
        </w:rPr>
        <mc:AlternateContent>
          <mc:Choice Requires="wps">
            <w:drawing>
              <wp:anchor distT="0" distB="0" distL="114300" distR="114300" simplePos="0" relativeHeight="251658258" behindDoc="0" locked="0" layoutInCell="1" allowOverlap="1" wp14:anchorId="07E61903" wp14:editId="08238AED">
                <wp:simplePos x="0" y="0"/>
                <wp:positionH relativeFrom="column">
                  <wp:posOffset>1402405</wp:posOffset>
                </wp:positionH>
                <wp:positionV relativeFrom="paragraph">
                  <wp:posOffset>1371231</wp:posOffset>
                </wp:positionV>
                <wp:extent cx="474451" cy="250175"/>
                <wp:effectExtent l="0" t="0" r="0" b="0"/>
                <wp:wrapNone/>
                <wp:docPr id="44"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64E780F5" w14:textId="77777777" w:rsidR="00741BFF" w:rsidRDefault="00741BFF" w:rsidP="008F57AF">
                            <w:pPr>
                              <w:rPr>
                                <w:sz w:val="24"/>
                                <w:szCs w:val="24"/>
                              </w:rPr>
                            </w:pPr>
                            <w:r>
                              <w:rPr>
                                <w:rFonts w:asciiTheme="minorHAnsi" w:hAnsi="Calibri"/>
                                <w:b/>
                                <w:bCs/>
                                <w:sz w:val="16"/>
                                <w:szCs w:val="16"/>
                              </w:rPr>
                              <w:t>19/18</w:t>
                            </w:r>
                          </w:p>
                        </w:txbxContent>
                      </wps:txbx>
                      <wps:bodyPr wrap="square" rtlCol="0"/>
                    </wps:wsp>
                  </a:graphicData>
                </a:graphic>
              </wp:anchor>
            </w:drawing>
          </mc:Choice>
          <mc:Fallback>
            <w:pict>
              <v:shape w14:anchorId="07E61903" id="_x0000_s1045" type="#_x0000_t202" style="position:absolute;margin-left:110.45pt;margin-top:107.95pt;width:37.35pt;height:19.7pt;rotation:-90;z-index:25165825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juJlgEAAAUDAAAOAAAAZHJzL2Uyb0RvYy54bWysUj1v2zAQ3Qv0PxDcY0mGnLSC5QBJ0C5F&#10;EyDJko2mjpYAkcceGUv+9z3SsVu0WxANB/J4fHofXF/PdhR7oDCga2W1KKUAp7Eb3K6Vz0/fLr5I&#10;EaJynRrRQSsPEOT15vOn9eQbWGKPYwckGMSFZvKt7GP0TVEE3YNVYYEeHB8aJKsib2lXdKQmRrdj&#10;sSzLy2JC6jyhhhC4e3c8lJuMbwzoeG9MgCjGVjK3mCvluk212KxVsyPl+0G/0VDvYGHV4PinZ6g7&#10;FZV4peE/KDtowoAmLjTaAo0ZNGQNrKYq/1Hz2CsPWQubE/zZpvBxsPrn/oHE0LWyrqVwynJGL5yU&#10;6EBEmCOIKnk0+dDw6KPn4Tjf4MxZn/qBm0n6bMgKQra4uuRo+MuOsEbB42z+4Ww4AwvNzfqqrleV&#10;FJqPlquyulol0OKIlTA9hfgd0Iq0aCVxnhlU7X+EeBw9jfC9xPLIJq3ivJ2zsurrieoWuwMrmDjv&#10;VoZfr4pACorjLebnkQDTTfY6s3h7FynMv/d56s/r3fwGAAD//wMAUEsDBBQABgAIAAAAIQCX2A0C&#10;3QAAAAsBAAAPAAAAZHJzL2Rvd25yZXYueG1sTI/BTsMwEETvSPyDtUhcEHVqRElDnKq0QuLaAHc3&#10;3iYR8TqK3Sb5e7YnuO1onmZn8s3kOnHBIbSeNCwXCQikytuWag1fn++PKYgQDVnTeUINMwbYFLc3&#10;ucmsH+mAlzLWgkMoZEZDE2OfSRmqBp0JC98jsXfygzOR5VBLO5iRw10nVZKspDMt8YfG9LhrsPop&#10;z05D3MfW2++H5OQP4/Pb/FEG6Wat7++m7SuIiFP8g+Fan6tDwZ2O/kw2iE6DekpXjLKxThUIJtRL&#10;yuuO10OtQRa5/L+h+AUAAP//AwBQSwECLQAUAAYACAAAACEAtoM4kv4AAADhAQAAEwAAAAAAAAAA&#10;AAAAAAAAAAAAW0NvbnRlbnRfVHlwZXNdLnhtbFBLAQItABQABgAIAAAAIQA4/SH/1gAAAJQBAAAL&#10;AAAAAAAAAAAAAAAAAC8BAABfcmVscy8ucmVsc1BLAQItABQABgAIAAAAIQDbejuJlgEAAAUDAAAO&#10;AAAAAAAAAAAAAAAAAC4CAABkcnMvZTJvRG9jLnhtbFBLAQItABQABgAIAAAAIQCX2A0C3QAAAAsB&#10;AAAPAAAAAAAAAAAAAAAAAPADAABkcnMvZG93bnJldi54bWxQSwUGAAAAAAQABADzAAAA+gQAAAAA&#10;" filled="f" stroked="f">
                <v:textbox>
                  <w:txbxContent>
                    <w:p w14:paraId="64E780F5" w14:textId="77777777" w:rsidR="00741BFF" w:rsidRDefault="00741BFF" w:rsidP="008F57AF">
                      <w:pPr>
                        <w:rPr>
                          <w:sz w:val="24"/>
                          <w:szCs w:val="24"/>
                        </w:rPr>
                      </w:pPr>
                      <w:r>
                        <w:rPr>
                          <w:rFonts w:asciiTheme="minorHAnsi" w:hAnsi="Calibri"/>
                          <w:b/>
                          <w:bCs/>
                          <w:sz w:val="16"/>
                          <w:szCs w:val="16"/>
                        </w:rPr>
                        <w:t>19/18</w:t>
                      </w:r>
                    </w:p>
                  </w:txbxContent>
                </v:textbox>
              </v:shape>
            </w:pict>
          </mc:Fallback>
        </mc:AlternateContent>
      </w:r>
      <w:r w:rsidR="00C63913">
        <w:rPr>
          <w:noProof/>
        </w:rPr>
        <mc:AlternateContent>
          <mc:Choice Requires="wps">
            <w:drawing>
              <wp:anchor distT="0" distB="0" distL="114300" distR="114300" simplePos="0" relativeHeight="251658259" behindDoc="0" locked="0" layoutInCell="1" allowOverlap="1" wp14:anchorId="1BA69752" wp14:editId="36C17B4F">
                <wp:simplePos x="0" y="0"/>
                <wp:positionH relativeFrom="column">
                  <wp:posOffset>1111249</wp:posOffset>
                </wp:positionH>
                <wp:positionV relativeFrom="paragraph">
                  <wp:posOffset>1368690</wp:posOffset>
                </wp:positionV>
                <wp:extent cx="474451" cy="250175"/>
                <wp:effectExtent l="0" t="0" r="0" b="0"/>
                <wp:wrapNone/>
                <wp:docPr id="47"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7EDFA5C5" w14:textId="77777777" w:rsidR="00741BFF" w:rsidRDefault="00741BFF" w:rsidP="008F57AF">
                            <w:pPr>
                              <w:rPr>
                                <w:sz w:val="24"/>
                                <w:szCs w:val="24"/>
                              </w:rPr>
                            </w:pPr>
                            <w:r>
                              <w:rPr>
                                <w:rFonts w:asciiTheme="minorHAnsi" w:hAnsi="Calibri"/>
                                <w:b/>
                                <w:bCs/>
                                <w:sz w:val="16"/>
                                <w:szCs w:val="16"/>
                              </w:rPr>
                              <w:t>18/17</w:t>
                            </w:r>
                          </w:p>
                        </w:txbxContent>
                      </wps:txbx>
                      <wps:bodyPr wrap="square" rtlCol="0"/>
                    </wps:wsp>
                  </a:graphicData>
                </a:graphic>
              </wp:anchor>
            </w:drawing>
          </mc:Choice>
          <mc:Fallback>
            <w:pict>
              <v:shape w14:anchorId="1BA69752" id="_x0000_s1046" type="#_x0000_t202" style="position:absolute;margin-left:87.5pt;margin-top:107.75pt;width:37.35pt;height:19.7pt;rotation:-90;z-index:25165825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OYeOlgEAAAUDAAAOAAAAZHJzL2Uyb0RvYy54bWysUsFO4zAQvSPtP1i+b5NULUVRUyQWwQUB&#10;EnDZm+uMm0ixxzs2Tfr3jF0oaPe2IoeRPX5+mfee15eTHcQeKPToGlnNSinAaWx7t2vky/PNzwsp&#10;QlSuVQM6aOQBgrzc/Dhbj76GOXY4tECCSVyoR9/ILkZfF0XQHVgVZujB8aFBsirylnZFS2pkdjsU&#10;87I8L0ak1hNqCIG718dDucn8xoCOD8YEiGJoJM8Wc6Vct6kWm7Wqd6R81+v3MdR/TGFV7/inJ6pr&#10;FZV4pf4fKttrwoAmzjTaAo3pNWQNrKYq/1Lz1CkPWQubE/zJpvB9tPp+/0iibxu5WEnhlOWMfnNS&#10;ogURYYogquTR6EPN0CfP4Dhd4cRZf/QDN5P0yZAVhGxxdc7R8JcdYY2C4Wz+4WQ4EwvNzcVqsVhW&#10;Umg+mi/LarVMpMWRK3F6CvEW0Iq0aCRxnplU7e9CPEI/IHwvTXmcJq3itJ2ysnmOObW22B5Ywch5&#10;NzL8eVUEUlAcfmF+HokwwdjrPMX7u0hhft1n1Ofr3bwBAAD//wMAUEsDBBQABgAIAAAAIQACWDqK&#10;3AAAAAsBAAAPAAAAZHJzL2Rvd25yZXYueG1sTI/BTsMwEETvSP0HaytxQdSpUQmEOFULQuLaAHc3&#10;3iYR8TqK3Sb5e7YnuM1on2Zn8u3kOnHBIbSeNKxXCQikytuWag1fn+/3TyBCNGRN5wk1zBhgWyxu&#10;cpNZP9IBL2WsBYdQyIyGJsY+kzJUDToTVr5H4tvJD85EtkMt7WBGDnedVEnyKJ1piT80psfXBquf&#10;8uw0xLfYevt9l5z8Ydzs548ySDdrfbucdi8gIk7xD4Zrfa4OBXc6+jPZIDr2zypl9CpS3sCEelBr&#10;EEcWqdqALHL5f0PxCwAA//8DAFBLAQItABQABgAIAAAAIQC2gziS/gAAAOEBAAATAAAAAAAAAAAA&#10;AAAAAAAAAABbQ29udGVudF9UeXBlc10ueG1sUEsBAi0AFAAGAAgAAAAhADj9If/WAAAAlAEAAAsA&#10;AAAAAAAAAAAAAAAALwEAAF9yZWxzLy5yZWxzUEsBAi0AFAAGAAgAAAAhAAY5h46WAQAABQMAAA4A&#10;AAAAAAAAAAAAAAAALgIAAGRycy9lMm9Eb2MueG1sUEsBAi0AFAAGAAgAAAAhAAJYOorcAAAACwEA&#10;AA8AAAAAAAAAAAAAAAAA8AMAAGRycy9kb3ducmV2LnhtbFBLBQYAAAAABAAEAPMAAAD5BAAAAAA=&#10;" filled="f" stroked="f">
                <v:textbox>
                  <w:txbxContent>
                    <w:p w14:paraId="7EDFA5C5" w14:textId="77777777" w:rsidR="00741BFF" w:rsidRDefault="00741BFF" w:rsidP="008F57AF">
                      <w:pPr>
                        <w:rPr>
                          <w:sz w:val="24"/>
                          <w:szCs w:val="24"/>
                        </w:rPr>
                      </w:pPr>
                      <w:r>
                        <w:rPr>
                          <w:rFonts w:asciiTheme="minorHAnsi" w:hAnsi="Calibri"/>
                          <w:b/>
                          <w:bCs/>
                          <w:sz w:val="16"/>
                          <w:szCs w:val="16"/>
                        </w:rPr>
                        <w:t>18/17</w:t>
                      </w:r>
                    </w:p>
                  </w:txbxContent>
                </v:textbox>
              </v:shape>
            </w:pict>
          </mc:Fallback>
        </mc:AlternateContent>
      </w:r>
      <w:r w:rsidR="00C63913">
        <w:rPr>
          <w:noProof/>
        </w:rPr>
        <mc:AlternateContent>
          <mc:Choice Requires="wps">
            <w:drawing>
              <wp:anchor distT="0" distB="0" distL="114300" distR="114300" simplePos="0" relativeHeight="251658260" behindDoc="0" locked="0" layoutInCell="1" allowOverlap="1" wp14:anchorId="60FC5328" wp14:editId="6298C6FB">
                <wp:simplePos x="0" y="0"/>
                <wp:positionH relativeFrom="column">
                  <wp:posOffset>824864</wp:posOffset>
                </wp:positionH>
                <wp:positionV relativeFrom="paragraph">
                  <wp:posOffset>1368690</wp:posOffset>
                </wp:positionV>
                <wp:extent cx="474451" cy="250175"/>
                <wp:effectExtent l="0" t="0" r="0" b="0"/>
                <wp:wrapNone/>
                <wp:docPr id="48"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63FD1370" w14:textId="77777777" w:rsidR="00741BFF" w:rsidRDefault="00741BFF" w:rsidP="008F57AF">
                            <w:pPr>
                              <w:rPr>
                                <w:sz w:val="24"/>
                                <w:szCs w:val="24"/>
                              </w:rPr>
                            </w:pPr>
                            <w:r>
                              <w:rPr>
                                <w:rFonts w:asciiTheme="minorHAnsi" w:hAnsi="Calibri"/>
                                <w:b/>
                                <w:bCs/>
                                <w:sz w:val="16"/>
                                <w:szCs w:val="16"/>
                              </w:rPr>
                              <w:t>17/16</w:t>
                            </w:r>
                          </w:p>
                        </w:txbxContent>
                      </wps:txbx>
                      <wps:bodyPr wrap="square" rtlCol="0"/>
                    </wps:wsp>
                  </a:graphicData>
                </a:graphic>
              </wp:anchor>
            </w:drawing>
          </mc:Choice>
          <mc:Fallback>
            <w:pict>
              <v:shape w14:anchorId="60FC5328" id="_x0000_s1047" type="#_x0000_t202" style="position:absolute;margin-left:64.95pt;margin-top:107.75pt;width:37.35pt;height:19.7pt;rotation:-90;z-index:2516582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5kUlAEAAAUDAAAOAAAAZHJzL2Uyb0RvYy54bWysUk2P0zAQvSPxHyzfaZKq3UVR05VgBRcE&#10;SMteuLnOuIkUe8yMt0n/PWN3tyC4IXIY2ePxy/vw7m7xkzoB8Yih082q1gqCxX4Mx04/fvvw5q1W&#10;nEzozYQBOn0G1nf71692c2xhjQNOPZASkMDtHDs9pBTbqmI7gDe8wghBDh2SN0m2dKx6MrOg+6la&#10;1/VNNSP1kdACs3TvL4d6X/CdA5u+OMeQ1NRp4ZZKpVIPuVb7nWmPZOIw2mca5h9YeDMG+ekV6t4k&#10;o55o/AvKj5aQ0aWVRV+hc6OFokHUNPUfah4GE6FoEXM4Xm3i/wdrP5++khr7Tm8kqWC8ZPRdklI9&#10;qARLAtVkj+bIrYw+RBlOyztcJOuXPkszS18ceUUoFjc3Eo18xRHRqGRczD9fDRdgZaW5ud1sto1W&#10;Vo7W27q53WbQ6oKVMSNx+gjoVV50miTPAmpOnzhdRl9G5F5meWGTV2k5LEXZ+kr1gP1ZFMySd6f5&#10;x5Mh0IrS9B7L88iA+aZ4XVg8v4sc5u/7MvXr9e5/AgAA//8DAFBLAwQUAAYACAAAACEArpi0Rd0A&#10;AAALAQAADwAAAGRycy9kb3ducmV2LnhtbEyPTW+CQBCG7038D5tp0kuji6SKpSymH2nSq6j3lR2B&#10;lJ0l7Crw7zue6m3ezJP3I9uOthVX7H3jSMFyEYFAKp1pqFJw2H/PNyB80GR06wgVTOhhm88eMp0a&#10;N9AOr0WoBJuQT7WCOoQuldKXNVrtF65D4t/Z9VYHln0lTa8HNretjKNoLa1uiBNq3eFnjeVvcbEK&#10;wldonDk+R2e3G1Yf00/hpZ2Uenoc399ABBzDPwy3+lwdcu50chcyXrSsX5I1o3y8JrzhRmwSXndS&#10;ECfxCmSeyfsN+R8AAAD//wMAUEsBAi0AFAAGAAgAAAAhALaDOJL+AAAA4QEAABMAAAAAAAAAAAAA&#10;AAAAAAAAAFtDb250ZW50X1R5cGVzXS54bWxQSwECLQAUAAYACAAAACEAOP0h/9YAAACUAQAACwAA&#10;AAAAAAAAAAAAAAAvAQAAX3JlbHMvLnJlbHNQSwECLQAUAAYACAAAACEAL6OZFJQBAAAFAwAADgAA&#10;AAAAAAAAAAAAAAAuAgAAZHJzL2Uyb0RvYy54bWxQSwECLQAUAAYACAAAACEArpi0Rd0AAAALAQAA&#10;DwAAAAAAAAAAAAAAAADuAwAAZHJzL2Rvd25yZXYueG1sUEsFBgAAAAAEAAQA8wAAAPgEAAAAAA==&#10;" filled="f" stroked="f">
                <v:textbox>
                  <w:txbxContent>
                    <w:p w14:paraId="63FD1370" w14:textId="77777777" w:rsidR="00741BFF" w:rsidRDefault="00741BFF" w:rsidP="008F57AF">
                      <w:pPr>
                        <w:rPr>
                          <w:sz w:val="24"/>
                          <w:szCs w:val="24"/>
                        </w:rPr>
                      </w:pPr>
                      <w:r>
                        <w:rPr>
                          <w:rFonts w:asciiTheme="minorHAnsi" w:hAnsi="Calibri"/>
                          <w:b/>
                          <w:bCs/>
                          <w:sz w:val="16"/>
                          <w:szCs w:val="16"/>
                        </w:rPr>
                        <w:t>17/16</w:t>
                      </w:r>
                    </w:p>
                  </w:txbxContent>
                </v:textbox>
              </v:shape>
            </w:pict>
          </mc:Fallback>
        </mc:AlternateContent>
      </w:r>
      <w:r w:rsidR="00C63913">
        <w:rPr>
          <w:noProof/>
        </w:rPr>
        <mc:AlternateContent>
          <mc:Choice Requires="wps">
            <w:drawing>
              <wp:anchor distT="0" distB="0" distL="114300" distR="114300" simplePos="0" relativeHeight="251658261" behindDoc="0" locked="0" layoutInCell="1" allowOverlap="1" wp14:anchorId="5DF442FD" wp14:editId="25125E69">
                <wp:simplePos x="0" y="0"/>
                <wp:positionH relativeFrom="column">
                  <wp:posOffset>505784</wp:posOffset>
                </wp:positionH>
                <wp:positionV relativeFrom="paragraph">
                  <wp:posOffset>1368691</wp:posOffset>
                </wp:positionV>
                <wp:extent cx="474451" cy="250175"/>
                <wp:effectExtent l="0" t="0" r="0" b="0"/>
                <wp:wrapNone/>
                <wp:docPr id="49"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2BB89A1D" w14:textId="77777777" w:rsidR="00741BFF" w:rsidRDefault="00741BFF" w:rsidP="008F57AF">
                            <w:pPr>
                              <w:rPr>
                                <w:sz w:val="24"/>
                                <w:szCs w:val="24"/>
                              </w:rPr>
                            </w:pPr>
                            <w:r>
                              <w:rPr>
                                <w:rFonts w:asciiTheme="minorHAnsi" w:hAnsi="Calibri"/>
                                <w:b/>
                                <w:bCs/>
                                <w:sz w:val="16"/>
                                <w:szCs w:val="16"/>
                              </w:rPr>
                              <w:t>16/15</w:t>
                            </w:r>
                          </w:p>
                        </w:txbxContent>
                      </wps:txbx>
                      <wps:bodyPr wrap="square" rtlCol="0"/>
                    </wps:wsp>
                  </a:graphicData>
                </a:graphic>
              </wp:anchor>
            </w:drawing>
          </mc:Choice>
          <mc:Fallback>
            <w:pict>
              <v:shape w14:anchorId="5DF442FD" id="_x0000_s1048" type="#_x0000_t202" style="position:absolute;margin-left:39.85pt;margin-top:107.75pt;width:37.35pt;height:19.7pt;rotation:-90;z-index:25165826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SI9lgEAAAUDAAAOAAAAZHJzL2Uyb0RvYy54bWysUjtv2zAQ3gv0PxDcYz1gJ61gOUAStEvR&#10;BEiyZKOpoyVA5LFHxpL/fY907BbtFkTDgTweP30Prq9nO4o9UBjQtbJalFKA09gNbtfK56dvF1+k&#10;CFG5To3ooJUHCPJ68/nTevIN1Njj2AEJBnGhmXwr+xh9UxRB92BVWKAHx4cGyarIW9oVHamJ0e1Y&#10;1GV5WUxInSfUEAJ3746HcpPxjQEd740JEMXYSuYWc6Vct6kWm7VqdqR8P+g3GuodLKwaHP/0DHWn&#10;ohKvNPwHZQdNGNDEhUZboDGDhqyB1VTlP2oee+Uha2Fzgj/bFD4OVv/cP5AYulYuv0rhlOWMXjgp&#10;0YGIMEcQVfJo8qHh0UfPw3G+wZmzPvUDN5P02ZAVhGxxdcnR8JcdYY2Cx9n8w9lwBhaam8ur5XJV&#10;SaH5qF6V1dUqgRZHrITpKcTvgFakRSuJ88ygav8jxOPoaYTvJZZHNmkV5+2cldX1ieoWuwMrmDjv&#10;VoZfr4pACorjLebnkQDTTfY6s3h7FynMv/d56s/r3fwGAAD//wMAUEsDBBQABgAIAAAAIQC50qkK&#10;3gAAAAoBAAAPAAAAZHJzL2Rvd25yZXYueG1sTI9BT8MwDIXvSPyHyEhc0JZS2MpK0wmYJnFdt92z&#10;xmsrGqdqsrX993gnuNl+T8/fy9ajbcUVe984UvA8j0Aglc40VCk47LezNxA+aDK6dYQKJvSwzu/v&#10;Mp0aN9AOr0WoBIeQT7WCOoQuldKXNVrt565DYu3seqsDr30lTa8HDretjKNoKa1uiD/UusOvGsuf&#10;4mIVhE1onDk+RWe3Gxaf03fhpZ2UenwYP95BBBzDnxlu+IwOOTOd3IWMF62CVfLKTr6vEq5wM7ws&#10;eTgpiJN4ATLP5P8K+S8AAAD//wMAUEsBAi0AFAAGAAgAAAAhALaDOJL+AAAA4QEAABMAAAAAAAAA&#10;AAAAAAAAAAAAAFtDb250ZW50X1R5cGVzXS54bWxQSwECLQAUAAYACAAAACEAOP0h/9YAAACUAQAA&#10;CwAAAAAAAAAAAAAAAAAvAQAAX3JlbHMvLnJlbHNQSwECLQAUAAYACAAAACEAaO0iPZYBAAAFAwAA&#10;DgAAAAAAAAAAAAAAAAAuAgAAZHJzL2Uyb0RvYy54bWxQSwECLQAUAAYACAAAACEAudKpCt4AAAAK&#10;AQAADwAAAAAAAAAAAAAAAADwAwAAZHJzL2Rvd25yZXYueG1sUEsFBgAAAAAEAAQA8wAAAPsEAAAA&#10;AA==&#10;" filled="f" stroked="f">
                <v:textbox>
                  <w:txbxContent>
                    <w:p w14:paraId="2BB89A1D" w14:textId="77777777" w:rsidR="00741BFF" w:rsidRDefault="00741BFF" w:rsidP="008F57AF">
                      <w:pPr>
                        <w:rPr>
                          <w:sz w:val="24"/>
                          <w:szCs w:val="24"/>
                        </w:rPr>
                      </w:pPr>
                      <w:r>
                        <w:rPr>
                          <w:rFonts w:asciiTheme="minorHAnsi" w:hAnsi="Calibri"/>
                          <w:b/>
                          <w:bCs/>
                          <w:sz w:val="16"/>
                          <w:szCs w:val="16"/>
                        </w:rPr>
                        <w:t>16/15</w:t>
                      </w:r>
                    </w:p>
                  </w:txbxContent>
                </v:textbox>
              </v:shape>
            </w:pict>
          </mc:Fallback>
        </mc:AlternateContent>
      </w:r>
      <w:r w:rsidR="00C63913">
        <w:rPr>
          <w:noProof/>
        </w:rPr>
        <mc:AlternateContent>
          <mc:Choice Requires="wps">
            <w:drawing>
              <wp:anchor distT="0" distB="0" distL="114300" distR="114300" simplePos="0" relativeHeight="251658262" behindDoc="0" locked="0" layoutInCell="1" allowOverlap="1" wp14:anchorId="7DA65F8C" wp14:editId="3F714BF7">
                <wp:simplePos x="0" y="0"/>
                <wp:positionH relativeFrom="column">
                  <wp:posOffset>207009</wp:posOffset>
                </wp:positionH>
                <wp:positionV relativeFrom="paragraph">
                  <wp:posOffset>1357423</wp:posOffset>
                </wp:positionV>
                <wp:extent cx="474451" cy="250175"/>
                <wp:effectExtent l="0" t="0" r="0" b="0"/>
                <wp:wrapNone/>
                <wp:docPr id="52" name="Zone de texte 1"/>
                <wp:cNvGraphicFramePr/>
                <a:graphic xmlns:a="http://schemas.openxmlformats.org/drawingml/2006/main">
                  <a:graphicData uri="http://schemas.microsoft.com/office/word/2010/wordprocessingShape">
                    <wps:wsp>
                      <wps:cNvSpPr txBox="1"/>
                      <wps:spPr>
                        <a:xfrm rot="16200000">
                          <a:off x="0" y="0"/>
                          <a:ext cx="474451" cy="250175"/>
                        </a:xfrm>
                        <a:prstGeom prst="rect">
                          <a:avLst/>
                        </a:prstGeom>
                      </wps:spPr>
                      <wps:txbx>
                        <w:txbxContent>
                          <w:p w14:paraId="56B653C5" w14:textId="77777777" w:rsidR="00741BFF" w:rsidRDefault="00741BFF" w:rsidP="008F57AF">
                            <w:pPr>
                              <w:rPr>
                                <w:sz w:val="24"/>
                                <w:szCs w:val="24"/>
                              </w:rPr>
                            </w:pPr>
                            <w:r>
                              <w:rPr>
                                <w:rFonts w:asciiTheme="minorHAnsi" w:hAnsi="Calibri"/>
                                <w:b/>
                                <w:bCs/>
                                <w:sz w:val="16"/>
                                <w:szCs w:val="16"/>
                              </w:rPr>
                              <w:t>15/14</w:t>
                            </w:r>
                          </w:p>
                        </w:txbxContent>
                      </wps:txbx>
                      <wps:bodyPr wrap="square" rtlCol="0"/>
                    </wps:wsp>
                  </a:graphicData>
                </a:graphic>
              </wp:anchor>
            </w:drawing>
          </mc:Choice>
          <mc:Fallback>
            <w:pict>
              <v:shape w14:anchorId="7DA65F8C" id="_x0000_s1049" type="#_x0000_t202" style="position:absolute;margin-left:16.3pt;margin-top:106.9pt;width:37.35pt;height:19.7pt;rotation:-90;z-index:25165826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DGUlgEAAAUDAAAOAAAAZHJzL2Uyb0RvYy54bWysUjtv2zAQ3gP0PxDcaz1iJ4VgOUASpEvR&#10;Bki7ZKOpoyVA5LFHxpL/fY907AbtFkTDgTweP30Prm9mO4o9UBjQtbJalFKA09gNbtfKXz8fPn+R&#10;IkTlOjWig1YeIMibzaeL9eQbqLHHsQMSDOJCM/lW9jH6piiC7sGqsEAPjg8NklWRt7QrOlITo9ux&#10;qMvyqpiQOk+oIQTu3h8P5SbjGwM6/jAmQBRjK5lbzJVy3aZabNaq2ZHy/aBfaah3sLBqcPzTM9S9&#10;ikq80PAflB00YUATFxptgcYMGrIGVlOV/6h56pWHrIXNCf5sU/g4WP19/0hi6Fq5qqVwynJGz5yU&#10;6EBEmCOIKnk0+dDw6JPn4Tjf4sxZn/qBm0n6bMgKQra4uuJo+MuOsEbB42z+4Ww4AwvNzeX1crmq&#10;pNB8VK/K6nqVQIsjVsL0FOJXQCvSopXEeWZQtf8W4nH0NML3Essjm7SK83bOyurLE9UtdgdWMHHe&#10;rQy/XxSBFBTHO8zPIwGmm+x1ZvH6LlKYb/d56u/r3fwBAAD//wMAUEsDBBQABgAIAAAAIQDVfGtc&#10;3QAAAAkBAAAPAAAAZHJzL2Rvd25yZXYueG1sTI/BTsMwDIbvk3iHyEhcJpZsaFtXmk6wCYnrCtyz&#10;xmsrGqdqsrV9e8wJjrY//f7+bD+6VtywD40nDcuFAoFUettQpeHz4+0xARGiIWtaT6hhwgD7/G6W&#10;mdT6gU54K2IlOIRCajTUMXaplKGs0Zmw8B0S3y6+dyby2FfS9mbgcNfKlVIb6UxD/KE2HR5qLL+L&#10;q9MQj7Hx9muuLv40rF+n9yJIN2n9cD++PIOIOMY/GH71WR1ydjr7K9kgWg1r9cQk73ebJQgGkt0W&#10;xFnDaqsSkHkm/zfIfwAAAP//AwBQSwECLQAUAAYACAAAACEAtoM4kv4AAADhAQAAEwAAAAAAAAAA&#10;AAAAAAAAAAAAW0NvbnRlbnRfVHlwZXNdLnhtbFBLAQItABQABgAIAAAAIQA4/SH/1gAAAJQBAAAL&#10;AAAAAAAAAAAAAAAAAC8BAABfcmVscy8ucmVsc1BLAQItABQABgAIAAAAIQA0sDGUlgEAAAUDAAAO&#10;AAAAAAAAAAAAAAAAAC4CAABkcnMvZTJvRG9jLnhtbFBLAQItABQABgAIAAAAIQDVfGtc3QAAAAkB&#10;AAAPAAAAAAAAAAAAAAAAAPADAABkcnMvZG93bnJldi54bWxQSwUGAAAAAAQABADzAAAA+gQAAAAA&#10;" filled="f" stroked="f">
                <v:textbox>
                  <w:txbxContent>
                    <w:p w14:paraId="56B653C5" w14:textId="77777777" w:rsidR="00741BFF" w:rsidRDefault="00741BFF" w:rsidP="008F57AF">
                      <w:pPr>
                        <w:rPr>
                          <w:sz w:val="24"/>
                          <w:szCs w:val="24"/>
                        </w:rPr>
                      </w:pPr>
                      <w:r>
                        <w:rPr>
                          <w:rFonts w:asciiTheme="minorHAnsi" w:hAnsi="Calibri"/>
                          <w:b/>
                          <w:bCs/>
                          <w:sz w:val="16"/>
                          <w:szCs w:val="16"/>
                        </w:rPr>
                        <w:t>15/14</w:t>
                      </w:r>
                    </w:p>
                  </w:txbxContent>
                </v:textbox>
              </v:shape>
            </w:pict>
          </mc:Fallback>
        </mc:AlternateContent>
      </w:r>
      <w:r w:rsidR="007B20BD">
        <w:rPr>
          <w:noProof/>
        </w:rPr>
        <w:drawing>
          <wp:inline distT="0" distB="0" distL="0" distR="0" wp14:anchorId="0E9D1E23" wp14:editId="6F36040B">
            <wp:extent cx="5850890" cy="2020186"/>
            <wp:effectExtent l="0" t="0" r="0" b="0"/>
            <wp:docPr id="62" name="Graphique 62">
              <a:extLst xmlns:a="http://schemas.openxmlformats.org/drawingml/2006/main">
                <a:ext uri="{FF2B5EF4-FFF2-40B4-BE49-F238E27FC236}">
                  <a16:creationId xmlns:a16="http://schemas.microsoft.com/office/drawing/2014/main" id="{70A94F8D-E368-4ACA-B7AE-EE0A22D03F1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CA5A72B" w14:textId="5401C511" w:rsidR="007C77D7" w:rsidRDefault="008F57AF" w:rsidP="00187C22">
      <w:pPr>
        <w:pStyle w:val="figure"/>
      </w:pPr>
      <w:bookmarkStart w:id="145" w:name="_Ref68424310"/>
      <w:bookmarkStart w:id="146" w:name="_Toc69511411"/>
      <w:r w:rsidRPr="00350B26">
        <w:t xml:space="preserve">Figure </w:t>
      </w:r>
      <w:r w:rsidR="00E27D6E">
        <w:fldChar w:fldCharType="begin"/>
      </w:r>
      <w:r w:rsidR="00E27D6E">
        <w:instrText xml:space="preserve"> SEQ Figure \* ARABIC </w:instrText>
      </w:r>
      <w:r w:rsidR="00E27D6E">
        <w:fldChar w:fldCharType="separate"/>
      </w:r>
      <w:r w:rsidR="0007597F">
        <w:rPr>
          <w:noProof/>
        </w:rPr>
        <w:t>19</w:t>
      </w:r>
      <w:r w:rsidR="00E27D6E">
        <w:rPr>
          <w:noProof/>
        </w:rPr>
        <w:fldChar w:fldCharType="end"/>
      </w:r>
      <w:bookmarkEnd w:id="145"/>
      <w:r w:rsidR="007C77D7">
        <w:t xml:space="preserve"> : </w:t>
      </w:r>
      <w:r w:rsidRPr="00350B26">
        <w:t>Evolution annuelle des volumes d’achat des ménages entre 2014 et 2019 en charcuterie, saucisserie, viande de porc, viande de boucherie, volaille et lapin</w:t>
      </w:r>
      <w:bookmarkEnd w:id="146"/>
      <w:r w:rsidRPr="008F57AF">
        <w:t xml:space="preserve"> </w:t>
      </w:r>
    </w:p>
    <w:p w14:paraId="0C4C00F3" w14:textId="5C463680" w:rsidR="002554D4" w:rsidRDefault="008F57AF" w:rsidP="007C77D7">
      <w:pPr>
        <w:pStyle w:val="Lgende"/>
      </w:pPr>
      <w:r w:rsidRPr="000D58C9">
        <w:t>(</w:t>
      </w:r>
      <w:r w:rsidR="000D58C9">
        <w:t>S</w:t>
      </w:r>
      <w:r w:rsidRPr="000D58C9">
        <w:t>ource</w:t>
      </w:r>
      <w:r w:rsidR="000D58C9">
        <w:t> :</w:t>
      </w:r>
      <w:r w:rsidRPr="000D58C9">
        <w:t xml:space="preserve"> KWp</w:t>
      </w:r>
      <w:r w:rsidR="00D1628F" w:rsidRPr="000D58C9">
        <w:t>)</w:t>
      </w:r>
    </w:p>
    <w:p w14:paraId="20A59F96" w14:textId="00C75DCA" w:rsidR="00C63913" w:rsidRPr="00C63913" w:rsidRDefault="00C63913" w:rsidP="00C63913">
      <w:pPr>
        <w:pStyle w:val="JRPcorpstexte"/>
        <w:rPr>
          <w:rFonts w:ascii="Arial" w:eastAsiaTheme="minorHAnsi" w:hAnsi="Arial" w:cstheme="minorBidi"/>
          <w:color w:val="auto"/>
          <w:sz w:val="22"/>
          <w:szCs w:val="22"/>
          <w:lang w:eastAsia="en-US"/>
        </w:rPr>
      </w:pPr>
      <w:r w:rsidRPr="00C63913">
        <w:rPr>
          <w:rFonts w:ascii="Arial" w:eastAsiaTheme="minorHAnsi" w:hAnsi="Arial" w:cstheme="minorBidi"/>
          <w:color w:val="auto"/>
          <w:sz w:val="22"/>
          <w:szCs w:val="22"/>
          <w:lang w:eastAsia="en-US"/>
        </w:rPr>
        <w:t>Cette tendance est à mettre en corrélation ave</w:t>
      </w:r>
      <w:r>
        <w:rPr>
          <w:rFonts w:ascii="Arial" w:eastAsiaTheme="minorHAnsi" w:hAnsi="Arial" w:cstheme="minorBidi"/>
          <w:color w:val="auto"/>
          <w:sz w:val="22"/>
          <w:szCs w:val="22"/>
          <w:lang w:eastAsia="en-US"/>
        </w:rPr>
        <w:t>c</w:t>
      </w:r>
      <w:r w:rsidRPr="00C63913">
        <w:rPr>
          <w:rFonts w:ascii="Arial" w:eastAsiaTheme="minorHAnsi" w:hAnsi="Arial" w:cstheme="minorBidi"/>
          <w:color w:val="auto"/>
          <w:sz w:val="22"/>
          <w:szCs w:val="22"/>
          <w:lang w:eastAsia="en-US"/>
        </w:rPr>
        <w:t xml:space="preserve"> </w:t>
      </w:r>
      <w:r>
        <w:rPr>
          <w:rFonts w:ascii="Arial" w:eastAsiaTheme="minorHAnsi" w:hAnsi="Arial" w:cstheme="minorBidi"/>
          <w:color w:val="auto"/>
          <w:sz w:val="22"/>
          <w:szCs w:val="22"/>
          <w:lang w:eastAsia="en-US"/>
        </w:rPr>
        <w:t>un ralentissement de la</w:t>
      </w:r>
      <w:r w:rsidRPr="00C63913">
        <w:rPr>
          <w:rFonts w:ascii="Arial" w:eastAsiaTheme="minorHAnsi" w:hAnsi="Arial" w:cstheme="minorBidi"/>
          <w:color w:val="auto"/>
          <w:sz w:val="22"/>
          <w:szCs w:val="22"/>
          <w:lang w:eastAsia="en-US"/>
        </w:rPr>
        <w:t xml:space="preserve"> croissance démographique a</w:t>
      </w:r>
      <w:r w:rsidR="00A3278A">
        <w:rPr>
          <w:rFonts w:ascii="Arial" w:eastAsiaTheme="minorHAnsi" w:hAnsi="Arial" w:cstheme="minorBidi"/>
          <w:color w:val="auto"/>
          <w:sz w:val="22"/>
          <w:szCs w:val="22"/>
          <w:lang w:eastAsia="en-US"/>
        </w:rPr>
        <w:t>u travers d’</w:t>
      </w:r>
      <w:r w:rsidRPr="00C63913">
        <w:rPr>
          <w:rFonts w:ascii="Arial" w:eastAsiaTheme="minorHAnsi" w:hAnsi="Arial" w:cstheme="minorBidi"/>
          <w:color w:val="auto"/>
          <w:sz w:val="22"/>
          <w:szCs w:val="22"/>
          <w:lang w:eastAsia="en-US"/>
        </w:rPr>
        <w:t>une baisse de la natalité sur 5 ans (-8,4</w:t>
      </w:r>
      <w:r w:rsidR="007C77D7">
        <w:rPr>
          <w:rFonts w:ascii="Arial" w:eastAsiaTheme="minorHAnsi" w:hAnsi="Arial" w:cstheme="minorBidi"/>
          <w:color w:val="auto"/>
          <w:sz w:val="22"/>
          <w:szCs w:val="22"/>
          <w:lang w:eastAsia="en-US"/>
        </w:rPr>
        <w:t> </w:t>
      </w:r>
      <w:r w:rsidRPr="00C63913">
        <w:rPr>
          <w:rFonts w:ascii="Arial" w:eastAsiaTheme="minorHAnsi" w:hAnsi="Arial" w:cstheme="minorBidi"/>
          <w:color w:val="auto"/>
          <w:sz w:val="22"/>
          <w:szCs w:val="22"/>
          <w:lang w:eastAsia="en-US"/>
        </w:rPr>
        <w:t xml:space="preserve">% 2019/2014) et </w:t>
      </w:r>
      <w:r w:rsidR="00A3278A">
        <w:rPr>
          <w:rFonts w:ascii="Arial" w:eastAsiaTheme="minorHAnsi" w:hAnsi="Arial" w:cstheme="minorBidi"/>
          <w:color w:val="auto"/>
          <w:sz w:val="22"/>
          <w:szCs w:val="22"/>
          <w:lang w:eastAsia="en-US"/>
        </w:rPr>
        <w:t>d’un</w:t>
      </w:r>
      <w:r w:rsidRPr="00C63913">
        <w:rPr>
          <w:rFonts w:ascii="Arial" w:eastAsiaTheme="minorHAnsi" w:hAnsi="Arial" w:cstheme="minorBidi"/>
          <w:color w:val="auto"/>
          <w:sz w:val="22"/>
          <w:szCs w:val="22"/>
          <w:lang w:eastAsia="en-US"/>
        </w:rPr>
        <w:t xml:space="preserve"> vieillissement de la population (20</w:t>
      </w:r>
      <w:r w:rsidR="007C77D7">
        <w:rPr>
          <w:rFonts w:ascii="Arial" w:eastAsiaTheme="minorHAnsi" w:hAnsi="Arial" w:cstheme="minorBidi"/>
          <w:color w:val="auto"/>
          <w:sz w:val="22"/>
          <w:szCs w:val="22"/>
          <w:lang w:eastAsia="en-US"/>
        </w:rPr>
        <w:t> </w:t>
      </w:r>
      <w:r w:rsidRPr="00C63913">
        <w:rPr>
          <w:rFonts w:ascii="Arial" w:eastAsiaTheme="minorHAnsi" w:hAnsi="Arial" w:cstheme="minorBidi"/>
          <w:color w:val="auto"/>
          <w:sz w:val="22"/>
          <w:szCs w:val="22"/>
          <w:lang w:eastAsia="en-US"/>
        </w:rPr>
        <w:t xml:space="preserve">% des français ont plus de 65 ans en 2019) </w:t>
      </w:r>
      <w:r>
        <w:rPr>
          <w:rFonts w:ascii="Arial" w:eastAsiaTheme="minorHAnsi" w:hAnsi="Arial" w:cstheme="minorBidi"/>
          <w:color w:val="auto"/>
          <w:sz w:val="22"/>
          <w:szCs w:val="22"/>
          <w:lang w:eastAsia="en-US"/>
        </w:rPr>
        <w:t xml:space="preserve">qui </w:t>
      </w:r>
      <w:r w:rsidRPr="00C63913">
        <w:rPr>
          <w:rFonts w:ascii="Arial" w:eastAsiaTheme="minorHAnsi" w:hAnsi="Arial" w:cstheme="minorBidi"/>
          <w:color w:val="auto"/>
          <w:sz w:val="22"/>
          <w:szCs w:val="22"/>
          <w:lang w:eastAsia="en-US"/>
        </w:rPr>
        <w:t>tire</w:t>
      </w:r>
      <w:r w:rsidR="00A3278A">
        <w:rPr>
          <w:rFonts w:ascii="Arial" w:eastAsiaTheme="minorHAnsi" w:hAnsi="Arial" w:cstheme="minorBidi"/>
          <w:color w:val="auto"/>
          <w:sz w:val="22"/>
          <w:szCs w:val="22"/>
          <w:lang w:eastAsia="en-US"/>
        </w:rPr>
        <w:t>nt</w:t>
      </w:r>
      <w:r w:rsidRPr="00C63913">
        <w:rPr>
          <w:rFonts w:ascii="Arial" w:eastAsiaTheme="minorHAnsi" w:hAnsi="Arial" w:cstheme="minorBidi"/>
          <w:color w:val="auto"/>
          <w:sz w:val="22"/>
          <w:szCs w:val="22"/>
          <w:lang w:eastAsia="en-US"/>
        </w:rPr>
        <w:t xml:space="preserve"> la consommation alimentaire à la baisse et impacte</w:t>
      </w:r>
      <w:r w:rsidR="00A3278A">
        <w:rPr>
          <w:rFonts w:ascii="Arial" w:eastAsiaTheme="minorHAnsi" w:hAnsi="Arial" w:cstheme="minorBidi"/>
          <w:color w:val="auto"/>
          <w:sz w:val="22"/>
          <w:szCs w:val="22"/>
          <w:lang w:eastAsia="en-US"/>
        </w:rPr>
        <w:t>nt</w:t>
      </w:r>
      <w:r w:rsidRPr="00C63913">
        <w:rPr>
          <w:rFonts w:ascii="Arial" w:eastAsiaTheme="minorHAnsi" w:hAnsi="Arial" w:cstheme="minorBidi"/>
          <w:color w:val="auto"/>
          <w:sz w:val="22"/>
          <w:szCs w:val="22"/>
          <w:lang w:eastAsia="en-US"/>
        </w:rPr>
        <w:t xml:space="preserve"> la consommation de viande</w:t>
      </w:r>
      <w:r>
        <w:rPr>
          <w:rFonts w:ascii="Arial" w:eastAsiaTheme="minorHAnsi" w:hAnsi="Arial" w:cstheme="minorBidi"/>
          <w:color w:val="auto"/>
          <w:sz w:val="22"/>
          <w:szCs w:val="22"/>
          <w:lang w:eastAsia="en-US"/>
        </w:rPr>
        <w:t xml:space="preserve"> auprès de certaines populations</w:t>
      </w:r>
      <w:r w:rsidRPr="00C63913">
        <w:rPr>
          <w:rFonts w:ascii="Arial" w:eastAsiaTheme="minorHAnsi" w:hAnsi="Arial" w:cstheme="minorBidi"/>
          <w:color w:val="auto"/>
          <w:sz w:val="22"/>
          <w:szCs w:val="22"/>
          <w:lang w:eastAsia="en-US"/>
        </w:rPr>
        <w:t xml:space="preserve">. Cependant, la déconsommation des produits carnés est plus profonde. A </w:t>
      </w:r>
      <w:r w:rsidRPr="00C63913">
        <w:rPr>
          <w:rFonts w:ascii="Arial" w:eastAsiaTheme="minorHAnsi" w:hAnsi="Arial" w:cstheme="minorBidi"/>
          <w:color w:val="auto"/>
          <w:sz w:val="22"/>
          <w:szCs w:val="22"/>
          <w:lang w:eastAsia="en-US"/>
        </w:rPr>
        <w:lastRenderedPageBreak/>
        <w:t>partir de 2018, la fin de l’hyperconsommation alimentaire a constitué un tournant avec la prise de conscience des consommateurs qu’ils peuvent s’alimenter moins pour rester en bonne santé, et limiter le gaspillage pour préserver la planète. En 2018, la part de flexitariens, terme décrivant une réduction de la consommation de viande par rapport à la norme occidentale, aussi dénommé « semi-végétarien » (Bittman, 2007), est de 20</w:t>
      </w:r>
      <w:r w:rsidR="007C77D7">
        <w:rPr>
          <w:rFonts w:ascii="Arial" w:eastAsiaTheme="minorHAnsi" w:hAnsi="Arial" w:cstheme="minorBidi"/>
          <w:color w:val="auto"/>
          <w:sz w:val="22"/>
          <w:szCs w:val="22"/>
          <w:lang w:eastAsia="en-US"/>
        </w:rPr>
        <w:t> </w:t>
      </w:r>
      <w:r w:rsidRPr="00C63913">
        <w:rPr>
          <w:rFonts w:ascii="Arial" w:eastAsiaTheme="minorHAnsi" w:hAnsi="Arial" w:cstheme="minorBidi"/>
          <w:color w:val="auto"/>
          <w:sz w:val="22"/>
          <w:szCs w:val="22"/>
          <w:lang w:eastAsia="en-US"/>
        </w:rPr>
        <w:t>%. A cette population s’ajoutent, les 5,2</w:t>
      </w:r>
      <w:r w:rsidR="007C77D7">
        <w:rPr>
          <w:rFonts w:ascii="Arial" w:eastAsiaTheme="minorHAnsi" w:hAnsi="Arial" w:cstheme="minorBidi"/>
          <w:color w:val="auto"/>
          <w:sz w:val="22"/>
          <w:szCs w:val="22"/>
          <w:lang w:eastAsia="en-US"/>
        </w:rPr>
        <w:t> </w:t>
      </w:r>
      <w:r w:rsidRPr="00C63913">
        <w:rPr>
          <w:rFonts w:ascii="Arial" w:eastAsiaTheme="minorHAnsi" w:hAnsi="Arial" w:cstheme="minorBidi"/>
          <w:color w:val="auto"/>
          <w:sz w:val="22"/>
          <w:szCs w:val="22"/>
          <w:lang w:eastAsia="en-US"/>
        </w:rPr>
        <w:t xml:space="preserve">% de végétariens, végétaliens ou végans (Credoc pour FranceAgrimer et l’OCHA, 2019). </w:t>
      </w:r>
    </w:p>
    <w:p w14:paraId="4968869D" w14:textId="199DBA83" w:rsidR="0005199E" w:rsidRDefault="0005199E" w:rsidP="0005199E">
      <w:pPr>
        <w:pStyle w:val="Titre4"/>
      </w:pPr>
      <w:bookmarkStart w:id="147" w:name="_Toc78131591"/>
      <w:r>
        <w:t>3.4.2.3. Part des produits de volaille susceptibles d’intégrer du porc</w:t>
      </w:r>
      <w:bookmarkEnd w:id="147"/>
    </w:p>
    <w:p w14:paraId="66109871" w14:textId="719ACD54" w:rsidR="00BB5557" w:rsidRPr="00C74DDE" w:rsidRDefault="00BB5557" w:rsidP="00BB5557">
      <w:pPr>
        <w:rPr>
          <w:lang w:val="fr-CA" w:eastAsia="fr-FR"/>
        </w:rPr>
      </w:pPr>
      <w:r>
        <w:rPr>
          <w:lang w:val="fr-CA" w:eastAsia="fr-FR"/>
        </w:rPr>
        <w:t>La charcuterie de volaille représente en 2018 avec 46</w:t>
      </w:r>
      <w:r w:rsidR="008C67D7">
        <w:rPr>
          <w:lang w:val="fr-CA" w:eastAsia="fr-FR"/>
        </w:rPr>
        <w:t> </w:t>
      </w:r>
      <w:r>
        <w:rPr>
          <w:lang w:val="fr-CA" w:eastAsia="fr-FR"/>
        </w:rPr>
        <w:t xml:space="preserve">kt de produits, </w:t>
      </w:r>
      <w:r w:rsidRPr="00CA00B3">
        <w:rPr>
          <w:u w:val="single"/>
          <w:lang w:val="fr-CA" w:eastAsia="fr-FR"/>
        </w:rPr>
        <w:t>7,1% des volumes de charcuterie de porc</w:t>
      </w:r>
      <w:r>
        <w:rPr>
          <w:lang w:val="fr-CA" w:eastAsia="fr-FR"/>
        </w:rPr>
        <w:t xml:space="preserve"> porté</w:t>
      </w:r>
      <w:r w:rsidR="00E232E9">
        <w:rPr>
          <w:lang w:val="fr-CA" w:eastAsia="fr-FR"/>
        </w:rPr>
        <w:t>e</w:t>
      </w:r>
      <w:r>
        <w:rPr>
          <w:lang w:val="fr-CA" w:eastAsia="fr-FR"/>
        </w:rPr>
        <w:t xml:space="preserve"> principalement par deux catégories dont une seule, les saucisses de volaille sont concernées par une possible intégration de porc.</w:t>
      </w:r>
    </w:p>
    <w:tbl>
      <w:tblPr>
        <w:tblW w:w="8779" w:type="dxa"/>
        <w:jc w:val="center"/>
        <w:tblCellMar>
          <w:left w:w="70" w:type="dxa"/>
          <w:right w:w="70" w:type="dxa"/>
        </w:tblCellMar>
        <w:tblLook w:val="04A0" w:firstRow="1" w:lastRow="0" w:firstColumn="1" w:lastColumn="0" w:noHBand="0" w:noVBand="1"/>
      </w:tblPr>
      <w:tblGrid>
        <w:gridCol w:w="3392"/>
        <w:gridCol w:w="1560"/>
        <w:gridCol w:w="2268"/>
        <w:gridCol w:w="1559"/>
      </w:tblGrid>
      <w:tr w:rsidR="00BB5557" w:rsidRPr="00CD180F" w14:paraId="5D9FA591" w14:textId="77777777" w:rsidTr="008C67D7">
        <w:trPr>
          <w:jc w:val="center"/>
        </w:trPr>
        <w:tc>
          <w:tcPr>
            <w:tcW w:w="3392" w:type="dxa"/>
            <w:tcBorders>
              <w:top w:val="single" w:sz="8" w:space="0" w:color="000000"/>
              <w:left w:val="single" w:sz="8" w:space="0" w:color="000000"/>
              <w:bottom w:val="single" w:sz="8" w:space="0" w:color="000000"/>
              <w:right w:val="single" w:sz="8" w:space="0" w:color="000000"/>
            </w:tcBorders>
            <w:shd w:val="clear" w:color="000000" w:fill="A6A6A6"/>
            <w:noWrap/>
            <w:vAlign w:val="center"/>
            <w:hideMark/>
          </w:tcPr>
          <w:p w14:paraId="25B515B9"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 </w:t>
            </w:r>
          </w:p>
        </w:tc>
        <w:tc>
          <w:tcPr>
            <w:tcW w:w="1560" w:type="dxa"/>
            <w:tcBorders>
              <w:top w:val="single" w:sz="8" w:space="0" w:color="000000"/>
              <w:left w:val="nil"/>
              <w:bottom w:val="single" w:sz="8" w:space="0" w:color="000000"/>
              <w:right w:val="single" w:sz="8" w:space="0" w:color="000000"/>
            </w:tcBorders>
            <w:shd w:val="clear" w:color="000000" w:fill="A6A6A6"/>
            <w:noWrap/>
            <w:vAlign w:val="center"/>
            <w:hideMark/>
          </w:tcPr>
          <w:p w14:paraId="2F0F188C"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Vol (x1000) T</w:t>
            </w:r>
          </w:p>
        </w:tc>
        <w:tc>
          <w:tcPr>
            <w:tcW w:w="2268" w:type="dxa"/>
            <w:tcBorders>
              <w:top w:val="single" w:sz="8" w:space="0" w:color="000000"/>
              <w:left w:val="nil"/>
              <w:bottom w:val="single" w:sz="8" w:space="0" w:color="000000"/>
              <w:right w:val="single" w:sz="8" w:space="0" w:color="000000"/>
            </w:tcBorders>
            <w:shd w:val="clear" w:color="000000" w:fill="A6A6A6"/>
            <w:vAlign w:val="center"/>
            <w:hideMark/>
          </w:tcPr>
          <w:p w14:paraId="712D917E"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 xml:space="preserve">Part du segment en% </w:t>
            </w:r>
          </w:p>
        </w:tc>
        <w:tc>
          <w:tcPr>
            <w:tcW w:w="1559" w:type="dxa"/>
            <w:tcBorders>
              <w:top w:val="single" w:sz="8" w:space="0" w:color="000000"/>
              <w:left w:val="nil"/>
              <w:bottom w:val="single" w:sz="8" w:space="0" w:color="000000"/>
              <w:right w:val="single" w:sz="8" w:space="0" w:color="000000"/>
            </w:tcBorders>
            <w:shd w:val="clear" w:color="000000" w:fill="A6A6A6"/>
            <w:noWrap/>
            <w:vAlign w:val="center"/>
            <w:hideMark/>
          </w:tcPr>
          <w:p w14:paraId="7C33786B"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Evol. 18/17</w:t>
            </w:r>
          </w:p>
        </w:tc>
      </w:tr>
      <w:tr w:rsidR="00BB5557" w:rsidRPr="00CD180F" w14:paraId="10F08D5A" w14:textId="77777777" w:rsidTr="008C67D7">
        <w:trPr>
          <w:trHeight w:val="161"/>
          <w:jc w:val="center"/>
        </w:trPr>
        <w:tc>
          <w:tcPr>
            <w:tcW w:w="3392" w:type="dxa"/>
            <w:tcBorders>
              <w:top w:val="nil"/>
              <w:left w:val="single" w:sz="8" w:space="0" w:color="000000"/>
              <w:bottom w:val="single" w:sz="8" w:space="0" w:color="000000"/>
              <w:right w:val="single" w:sz="8" w:space="0" w:color="000000"/>
            </w:tcBorders>
            <w:shd w:val="clear" w:color="auto" w:fill="auto"/>
            <w:noWrap/>
            <w:vAlign w:val="center"/>
            <w:hideMark/>
          </w:tcPr>
          <w:p w14:paraId="509F9FE4" w14:textId="77777777" w:rsidR="00BB5557" w:rsidRPr="00CD180F" w:rsidRDefault="00BB5557" w:rsidP="008421B6">
            <w:pPr>
              <w:spacing w:after="0" w:line="240" w:lineRule="auto"/>
              <w:jc w:val="left"/>
              <w:rPr>
                <w:rFonts w:eastAsia="Times New Roman" w:cs="Arial"/>
                <w:b/>
                <w:bCs/>
                <w:color w:val="000000"/>
                <w:sz w:val="20"/>
                <w:szCs w:val="20"/>
                <w:lang w:eastAsia="fr-FR"/>
              </w:rPr>
            </w:pPr>
            <w:r w:rsidRPr="00CD180F">
              <w:rPr>
                <w:rFonts w:eastAsia="Times New Roman" w:cs="Arial"/>
                <w:b/>
                <w:bCs/>
                <w:color w:val="000000"/>
                <w:sz w:val="20"/>
                <w:szCs w:val="20"/>
                <w:lang w:eastAsia="fr-FR"/>
              </w:rPr>
              <w:t xml:space="preserve">Charcuterie </w:t>
            </w:r>
            <w:r>
              <w:rPr>
                <w:rFonts w:eastAsia="Times New Roman" w:cs="Arial"/>
                <w:b/>
                <w:bCs/>
                <w:color w:val="000000"/>
                <w:sz w:val="20"/>
                <w:szCs w:val="20"/>
                <w:lang w:eastAsia="fr-FR"/>
              </w:rPr>
              <w:t>de volaille</w:t>
            </w:r>
          </w:p>
        </w:tc>
        <w:tc>
          <w:tcPr>
            <w:tcW w:w="1560" w:type="dxa"/>
            <w:tcBorders>
              <w:top w:val="nil"/>
              <w:left w:val="nil"/>
              <w:bottom w:val="single" w:sz="8" w:space="0" w:color="000000"/>
              <w:right w:val="single" w:sz="8" w:space="0" w:color="000000"/>
            </w:tcBorders>
            <w:shd w:val="clear" w:color="auto" w:fill="auto"/>
            <w:noWrap/>
            <w:vAlign w:val="center"/>
            <w:hideMark/>
          </w:tcPr>
          <w:p w14:paraId="16C5BD1B" w14:textId="77777777" w:rsidR="00BB5557" w:rsidRPr="00CD180F" w:rsidRDefault="00BB5557" w:rsidP="008421B6">
            <w:pPr>
              <w:spacing w:after="0" w:line="240" w:lineRule="auto"/>
              <w:jc w:val="center"/>
              <w:rPr>
                <w:rFonts w:eastAsia="Times New Roman" w:cs="Arial"/>
                <w:b/>
                <w:bCs/>
                <w:color w:val="000000"/>
                <w:sz w:val="20"/>
                <w:szCs w:val="20"/>
                <w:lang w:eastAsia="fr-FR"/>
              </w:rPr>
            </w:pPr>
            <w:r w:rsidRPr="00CD180F">
              <w:rPr>
                <w:rFonts w:eastAsia="Times New Roman" w:cs="Arial"/>
                <w:b/>
                <w:bCs/>
                <w:color w:val="000000"/>
                <w:sz w:val="20"/>
                <w:szCs w:val="20"/>
                <w:lang w:eastAsia="fr-FR"/>
              </w:rPr>
              <w:t>46,4</w:t>
            </w:r>
          </w:p>
        </w:tc>
        <w:tc>
          <w:tcPr>
            <w:tcW w:w="2268" w:type="dxa"/>
            <w:tcBorders>
              <w:top w:val="nil"/>
              <w:left w:val="nil"/>
              <w:bottom w:val="single" w:sz="8" w:space="0" w:color="000000"/>
              <w:right w:val="single" w:sz="8" w:space="0" w:color="000000"/>
            </w:tcBorders>
            <w:shd w:val="clear" w:color="auto" w:fill="auto"/>
            <w:noWrap/>
            <w:vAlign w:val="center"/>
            <w:hideMark/>
          </w:tcPr>
          <w:p w14:paraId="3AF46F07" w14:textId="77777777" w:rsidR="00BB5557" w:rsidRPr="00CD180F" w:rsidRDefault="00BB5557" w:rsidP="008421B6">
            <w:pPr>
              <w:spacing w:after="0" w:line="240" w:lineRule="auto"/>
              <w:jc w:val="center"/>
              <w:rPr>
                <w:rFonts w:eastAsia="Times New Roman" w:cs="Arial"/>
                <w:b/>
                <w:bCs/>
                <w:color w:val="000000"/>
                <w:sz w:val="20"/>
                <w:szCs w:val="20"/>
                <w:lang w:eastAsia="fr-FR"/>
              </w:rPr>
            </w:pPr>
            <w:r w:rsidRPr="00CD180F">
              <w:rPr>
                <w:rFonts w:eastAsia="Times New Roman" w:cs="Arial"/>
                <w:b/>
                <w:bCs/>
                <w:color w:val="000000"/>
                <w:sz w:val="20"/>
                <w:szCs w:val="20"/>
                <w:lang w:eastAsia="fr-FR"/>
              </w:rPr>
              <w:t>100%</w:t>
            </w:r>
          </w:p>
        </w:tc>
        <w:tc>
          <w:tcPr>
            <w:tcW w:w="1559" w:type="dxa"/>
            <w:tcBorders>
              <w:top w:val="nil"/>
              <w:left w:val="nil"/>
              <w:bottom w:val="single" w:sz="8" w:space="0" w:color="000000"/>
              <w:right w:val="single" w:sz="8" w:space="0" w:color="000000"/>
            </w:tcBorders>
            <w:shd w:val="clear" w:color="auto" w:fill="auto"/>
            <w:noWrap/>
            <w:vAlign w:val="center"/>
            <w:hideMark/>
          </w:tcPr>
          <w:p w14:paraId="4E543E8D" w14:textId="77777777" w:rsidR="00BB5557" w:rsidRPr="00CD180F" w:rsidRDefault="00BB5557" w:rsidP="008421B6">
            <w:pPr>
              <w:spacing w:after="0" w:line="240" w:lineRule="auto"/>
              <w:jc w:val="center"/>
              <w:rPr>
                <w:rFonts w:eastAsia="Times New Roman" w:cs="Arial"/>
                <w:b/>
                <w:bCs/>
                <w:color w:val="000000"/>
                <w:sz w:val="20"/>
                <w:szCs w:val="20"/>
                <w:lang w:eastAsia="fr-FR"/>
              </w:rPr>
            </w:pPr>
            <w:r w:rsidRPr="00CD180F">
              <w:rPr>
                <w:rFonts w:eastAsia="Times New Roman" w:cs="Arial"/>
                <w:b/>
                <w:bCs/>
                <w:color w:val="000000"/>
                <w:sz w:val="20"/>
                <w:szCs w:val="20"/>
                <w:lang w:eastAsia="fr-FR"/>
              </w:rPr>
              <w:t>4,20%</w:t>
            </w:r>
          </w:p>
        </w:tc>
      </w:tr>
      <w:tr w:rsidR="00BB5557" w:rsidRPr="00CD180F" w14:paraId="4377573C" w14:textId="77777777" w:rsidTr="00E91D20">
        <w:trPr>
          <w:trHeight w:val="147"/>
          <w:jc w:val="center"/>
        </w:trPr>
        <w:tc>
          <w:tcPr>
            <w:tcW w:w="3392" w:type="dxa"/>
            <w:tcBorders>
              <w:top w:val="nil"/>
              <w:left w:val="single" w:sz="8" w:space="0" w:color="000000"/>
              <w:bottom w:val="single" w:sz="8" w:space="0" w:color="000000"/>
              <w:right w:val="single" w:sz="8" w:space="0" w:color="000000"/>
            </w:tcBorders>
            <w:shd w:val="clear" w:color="000000" w:fill="D9D9D9"/>
            <w:noWrap/>
            <w:vAlign w:val="center"/>
            <w:hideMark/>
          </w:tcPr>
          <w:p w14:paraId="776B7F46" w14:textId="4E8973F1"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 xml:space="preserve">dont Jambon de </w:t>
            </w:r>
            <w:r w:rsidR="00E91D20">
              <w:rPr>
                <w:rFonts w:eastAsia="Times New Roman" w:cs="Arial"/>
                <w:color w:val="000000"/>
                <w:sz w:val="20"/>
                <w:szCs w:val="20"/>
                <w:lang w:eastAsia="fr-FR"/>
              </w:rPr>
              <w:t>v</w:t>
            </w:r>
            <w:r w:rsidRPr="00CD180F">
              <w:rPr>
                <w:rFonts w:eastAsia="Times New Roman" w:cs="Arial"/>
                <w:color w:val="000000"/>
                <w:sz w:val="20"/>
                <w:szCs w:val="20"/>
                <w:lang w:eastAsia="fr-FR"/>
              </w:rPr>
              <w:t>olaille</w:t>
            </w:r>
          </w:p>
        </w:tc>
        <w:tc>
          <w:tcPr>
            <w:tcW w:w="1560" w:type="dxa"/>
            <w:tcBorders>
              <w:top w:val="nil"/>
              <w:left w:val="nil"/>
              <w:bottom w:val="single" w:sz="8" w:space="0" w:color="000000"/>
              <w:right w:val="single" w:sz="8" w:space="0" w:color="000000"/>
            </w:tcBorders>
            <w:shd w:val="clear" w:color="000000" w:fill="D9D9D9"/>
            <w:noWrap/>
            <w:vAlign w:val="center"/>
            <w:hideMark/>
          </w:tcPr>
          <w:p w14:paraId="71FE8881"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34</w:t>
            </w:r>
          </w:p>
        </w:tc>
        <w:tc>
          <w:tcPr>
            <w:tcW w:w="2268" w:type="dxa"/>
            <w:tcBorders>
              <w:top w:val="nil"/>
              <w:left w:val="nil"/>
              <w:bottom w:val="single" w:sz="8" w:space="0" w:color="000000"/>
              <w:right w:val="single" w:sz="8" w:space="0" w:color="000000"/>
            </w:tcBorders>
            <w:shd w:val="clear" w:color="000000" w:fill="D9D9D9"/>
            <w:noWrap/>
            <w:vAlign w:val="center"/>
            <w:hideMark/>
          </w:tcPr>
          <w:p w14:paraId="4CC7A23E"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73%</w:t>
            </w:r>
          </w:p>
        </w:tc>
        <w:tc>
          <w:tcPr>
            <w:tcW w:w="1559" w:type="dxa"/>
            <w:tcBorders>
              <w:top w:val="nil"/>
              <w:left w:val="nil"/>
              <w:bottom w:val="single" w:sz="8" w:space="0" w:color="000000"/>
              <w:right w:val="single" w:sz="8" w:space="0" w:color="000000"/>
            </w:tcBorders>
            <w:shd w:val="clear" w:color="000000" w:fill="D9D9D9"/>
            <w:noWrap/>
            <w:vAlign w:val="center"/>
            <w:hideMark/>
          </w:tcPr>
          <w:p w14:paraId="21A7F539"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5,10%</w:t>
            </w:r>
          </w:p>
        </w:tc>
      </w:tr>
      <w:tr w:rsidR="00BB5557" w:rsidRPr="00CD180F" w14:paraId="0E53DC7D" w14:textId="77777777" w:rsidTr="00E91D20">
        <w:trPr>
          <w:trHeight w:val="180"/>
          <w:jc w:val="center"/>
        </w:trPr>
        <w:tc>
          <w:tcPr>
            <w:tcW w:w="3392" w:type="dxa"/>
            <w:tcBorders>
              <w:top w:val="nil"/>
              <w:left w:val="single" w:sz="8" w:space="0" w:color="000000"/>
              <w:bottom w:val="single" w:sz="8" w:space="0" w:color="000000"/>
              <w:right w:val="single" w:sz="8" w:space="0" w:color="000000"/>
            </w:tcBorders>
            <w:shd w:val="clear" w:color="auto" w:fill="auto"/>
            <w:noWrap/>
            <w:vAlign w:val="center"/>
            <w:hideMark/>
          </w:tcPr>
          <w:p w14:paraId="545A763B" w14:textId="349ACEE2"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 xml:space="preserve">dont Saucisses de </w:t>
            </w:r>
            <w:r w:rsidR="00E91D20">
              <w:rPr>
                <w:rFonts w:eastAsia="Times New Roman" w:cs="Arial"/>
                <w:color w:val="000000"/>
                <w:sz w:val="20"/>
                <w:szCs w:val="20"/>
                <w:lang w:eastAsia="fr-FR"/>
              </w:rPr>
              <w:t>v</w:t>
            </w:r>
            <w:r w:rsidRPr="00CD180F">
              <w:rPr>
                <w:rFonts w:eastAsia="Times New Roman" w:cs="Arial"/>
                <w:color w:val="000000"/>
                <w:sz w:val="20"/>
                <w:szCs w:val="20"/>
                <w:lang w:eastAsia="fr-FR"/>
              </w:rPr>
              <w:t>olaille</w:t>
            </w:r>
          </w:p>
        </w:tc>
        <w:tc>
          <w:tcPr>
            <w:tcW w:w="1560" w:type="dxa"/>
            <w:tcBorders>
              <w:top w:val="nil"/>
              <w:left w:val="nil"/>
              <w:bottom w:val="single" w:sz="8" w:space="0" w:color="000000"/>
              <w:right w:val="single" w:sz="8" w:space="0" w:color="000000"/>
            </w:tcBorders>
            <w:shd w:val="clear" w:color="auto" w:fill="auto"/>
            <w:noWrap/>
            <w:vAlign w:val="center"/>
            <w:hideMark/>
          </w:tcPr>
          <w:p w14:paraId="2D76A2AE"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10</w:t>
            </w:r>
          </w:p>
        </w:tc>
        <w:tc>
          <w:tcPr>
            <w:tcW w:w="2268" w:type="dxa"/>
            <w:tcBorders>
              <w:top w:val="nil"/>
              <w:left w:val="nil"/>
              <w:bottom w:val="single" w:sz="8" w:space="0" w:color="000000"/>
              <w:right w:val="single" w:sz="8" w:space="0" w:color="000000"/>
            </w:tcBorders>
            <w:shd w:val="clear" w:color="auto" w:fill="auto"/>
            <w:noWrap/>
            <w:vAlign w:val="center"/>
            <w:hideMark/>
          </w:tcPr>
          <w:p w14:paraId="3B4BC09B"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23%</w:t>
            </w:r>
          </w:p>
        </w:tc>
        <w:tc>
          <w:tcPr>
            <w:tcW w:w="1559" w:type="dxa"/>
            <w:tcBorders>
              <w:top w:val="nil"/>
              <w:left w:val="nil"/>
              <w:bottom w:val="single" w:sz="8" w:space="0" w:color="000000"/>
              <w:right w:val="single" w:sz="8" w:space="0" w:color="000000"/>
            </w:tcBorders>
            <w:shd w:val="clear" w:color="auto" w:fill="auto"/>
            <w:noWrap/>
            <w:vAlign w:val="center"/>
            <w:hideMark/>
          </w:tcPr>
          <w:p w14:paraId="6428DA84" w14:textId="77777777" w:rsidR="00BB5557" w:rsidRPr="00CD180F" w:rsidRDefault="00BB5557" w:rsidP="008421B6">
            <w:pPr>
              <w:spacing w:after="0" w:line="240" w:lineRule="auto"/>
              <w:jc w:val="right"/>
              <w:rPr>
                <w:rFonts w:eastAsia="Times New Roman" w:cs="Arial"/>
                <w:color w:val="000000"/>
                <w:sz w:val="20"/>
                <w:szCs w:val="20"/>
                <w:lang w:eastAsia="fr-FR"/>
              </w:rPr>
            </w:pPr>
            <w:r w:rsidRPr="00CD180F">
              <w:rPr>
                <w:rFonts w:eastAsia="Times New Roman" w:cs="Arial"/>
                <w:color w:val="000000"/>
                <w:sz w:val="20"/>
                <w:szCs w:val="20"/>
                <w:lang w:eastAsia="fr-FR"/>
              </w:rPr>
              <w:t>1,30%</w:t>
            </w:r>
          </w:p>
        </w:tc>
      </w:tr>
    </w:tbl>
    <w:p w14:paraId="6C5FB193" w14:textId="0162050D" w:rsidR="00BB5557" w:rsidRPr="00E91D20" w:rsidRDefault="003F2547" w:rsidP="0002537E">
      <w:pPr>
        <w:pStyle w:val="figure"/>
        <w:rPr>
          <w:b w:val="0"/>
          <w:i/>
        </w:rPr>
      </w:pPr>
      <w:bookmarkStart w:id="148" w:name="_Toc72143374"/>
      <w:r w:rsidRPr="00926407">
        <w:rPr>
          <w:bCs w:val="0"/>
          <w:iCs w:val="0"/>
        </w:rPr>
        <w:t xml:space="preserve">Tableau </w:t>
      </w:r>
      <w:r w:rsidR="00E27D6E">
        <w:fldChar w:fldCharType="begin"/>
      </w:r>
      <w:r w:rsidR="00E27D6E">
        <w:instrText xml:space="preserve"> SEQ Tableau \* ARABIC </w:instrText>
      </w:r>
      <w:r w:rsidR="00E27D6E">
        <w:fldChar w:fldCharType="separate"/>
      </w:r>
      <w:r w:rsidR="0007597F">
        <w:rPr>
          <w:noProof/>
        </w:rPr>
        <w:t>26</w:t>
      </w:r>
      <w:r w:rsidR="00E27D6E">
        <w:rPr>
          <w:noProof/>
        </w:rPr>
        <w:fldChar w:fldCharType="end"/>
      </w:r>
      <w:r w:rsidR="009F471E">
        <w:t xml:space="preserve"> :</w:t>
      </w:r>
      <w:r>
        <w:t xml:space="preserve"> V</w:t>
      </w:r>
      <w:r w:rsidR="00BB5557" w:rsidRPr="00CD180F">
        <w:t xml:space="preserve">olumes d’achat des ménages </w:t>
      </w:r>
      <w:r w:rsidR="00BB5557">
        <w:t>en charcuterie de volaille frais pour 2018</w:t>
      </w:r>
      <w:bookmarkEnd w:id="148"/>
      <w:r w:rsidR="00BB5557">
        <w:t xml:space="preserve"> et évolution 18/17</w:t>
      </w:r>
      <w:r w:rsidR="00D44088">
        <w:t xml:space="preserve"> </w:t>
      </w:r>
      <w:r w:rsidR="00BB5557" w:rsidRPr="00E91D20">
        <w:rPr>
          <w:b w:val="0"/>
          <w:i/>
        </w:rPr>
        <w:t>(Source : KW</w:t>
      </w:r>
      <w:r w:rsidR="00E91D20" w:rsidRPr="00E91D20">
        <w:rPr>
          <w:b w:val="0"/>
          <w:i/>
        </w:rPr>
        <w:t>p</w:t>
      </w:r>
      <w:r w:rsidR="00BB5557" w:rsidRPr="00E91D20">
        <w:rPr>
          <w:b w:val="0"/>
          <w:i/>
        </w:rPr>
        <w:t>)</w:t>
      </w:r>
    </w:p>
    <w:p w14:paraId="693E2BD0" w14:textId="5E6A20CF" w:rsidR="007C77D7" w:rsidRPr="007C77D7" w:rsidRDefault="00BB5557" w:rsidP="007C77D7">
      <w:pPr>
        <w:rPr>
          <w:lang w:val="fr-CA" w:eastAsia="fr-FR"/>
        </w:rPr>
      </w:pPr>
      <w:r w:rsidRPr="00A11B7B">
        <w:rPr>
          <w:lang w:val="fr-CA" w:eastAsia="fr-FR"/>
        </w:rPr>
        <w:t>Pour ce qui concerne les produits de volaille de type terrines, pâtés et pâté croûte dont les volumes ne sont pas isolés au travers du panel, l’analyse</w:t>
      </w:r>
      <w:r>
        <w:rPr>
          <w:lang w:val="fr-CA" w:eastAsia="fr-FR"/>
        </w:rPr>
        <w:t xml:space="preserve"> du taux d’incorporation de porc dans les recettes sera effectuée en seconde partie de ce rapport (paragraphe 2.2.) et le potentiel volume de porc évalué</w:t>
      </w:r>
      <w:r w:rsidR="00871794">
        <w:rPr>
          <w:lang w:val="fr-CA" w:eastAsia="fr-FR"/>
        </w:rPr>
        <w:t xml:space="preserve"> au regard du disponible à la consommation</w:t>
      </w:r>
      <w:r>
        <w:rPr>
          <w:lang w:val="fr-CA" w:eastAsia="fr-FR"/>
        </w:rPr>
        <w:t>.</w:t>
      </w:r>
    </w:p>
    <w:p w14:paraId="1948EFCF" w14:textId="05666394" w:rsidR="0001653C" w:rsidRDefault="00114D7A" w:rsidP="009F66FE">
      <w:pPr>
        <w:pStyle w:val="Titre4"/>
      </w:pPr>
      <w:bookmarkStart w:id="149" w:name="_Toc78131592"/>
      <w:r>
        <w:t>3.4.2.</w:t>
      </w:r>
      <w:r w:rsidR="0005199E">
        <w:t>4</w:t>
      </w:r>
      <w:r>
        <w:t xml:space="preserve">. </w:t>
      </w:r>
      <w:r w:rsidR="0001653C">
        <w:t>Point part rela</w:t>
      </w:r>
      <w:r w:rsidR="009F66FE">
        <w:t>t</w:t>
      </w:r>
      <w:r w:rsidR="0001653C">
        <w:t>ive des différents circuits de distribution</w:t>
      </w:r>
      <w:bookmarkEnd w:id="149"/>
      <w:r w:rsidR="0001653C">
        <w:t xml:space="preserve"> </w:t>
      </w:r>
    </w:p>
    <w:p w14:paraId="75CCB90F" w14:textId="31FF9403" w:rsidR="001341CC" w:rsidRDefault="00FB7E3E" w:rsidP="008C67D7">
      <w:pPr>
        <w:pStyle w:val="ValrieN2"/>
        <w:spacing w:after="120"/>
        <w:ind w:left="0"/>
        <w:rPr>
          <w:b w:val="0"/>
        </w:rPr>
      </w:pPr>
      <w:r w:rsidRPr="001E2B0F">
        <w:rPr>
          <w:b w:val="0"/>
        </w:rPr>
        <w:t xml:space="preserve">La nomenclature </w:t>
      </w:r>
      <w:r>
        <w:rPr>
          <w:b w:val="0"/>
        </w:rPr>
        <w:t xml:space="preserve">des circuits de distribution </w:t>
      </w:r>
      <w:r w:rsidR="00DE66B8">
        <w:rPr>
          <w:b w:val="0"/>
        </w:rPr>
        <w:t xml:space="preserve">couvrant la consommation à domicile </w:t>
      </w:r>
      <w:r w:rsidR="00D03539">
        <w:rPr>
          <w:b w:val="0"/>
        </w:rPr>
        <w:t xml:space="preserve">selon </w:t>
      </w:r>
      <w:r w:rsidR="000B7FCE">
        <w:rPr>
          <w:b w:val="0"/>
        </w:rPr>
        <w:t xml:space="preserve">KWp se caractérise </w:t>
      </w:r>
      <w:r w:rsidR="00D03539">
        <w:rPr>
          <w:b w:val="0"/>
        </w:rPr>
        <w:t>entre d’une part</w:t>
      </w:r>
      <w:r w:rsidR="00FE2851">
        <w:rPr>
          <w:b w:val="0"/>
        </w:rPr>
        <w:t>,</w:t>
      </w:r>
      <w:r w:rsidR="00D03539">
        <w:rPr>
          <w:b w:val="0"/>
        </w:rPr>
        <w:t xml:space="preserve"> les points de vente généralistes regroupant sous un même toit une offre alimentaire et non alimentaire, et les points de vente spécialisés en alimentaire</w:t>
      </w:r>
      <w:r w:rsidR="000436D0" w:rsidRPr="000436D0">
        <w:rPr>
          <w:b w:val="0"/>
        </w:rPr>
        <w:fldChar w:fldCharType="begin"/>
      </w:r>
      <w:r w:rsidR="000436D0" w:rsidRPr="000436D0">
        <w:rPr>
          <w:b w:val="0"/>
        </w:rPr>
        <w:instrText xml:space="preserve"> REF _Ref68421671 \h  \* MERGEFORMAT </w:instrText>
      </w:r>
      <w:r w:rsidR="000436D0" w:rsidRPr="000436D0">
        <w:rPr>
          <w:b w:val="0"/>
        </w:rPr>
      </w:r>
      <w:r w:rsidR="000436D0" w:rsidRPr="000436D0">
        <w:rPr>
          <w:b w:val="0"/>
        </w:rPr>
        <w:fldChar w:fldCharType="end"/>
      </w:r>
      <w:r w:rsidR="00945076">
        <w:rPr>
          <w:b w:val="0"/>
        </w:rPr>
        <w:t>.</w:t>
      </w:r>
    </w:p>
    <w:tbl>
      <w:tblPr>
        <w:tblW w:w="9351" w:type="dxa"/>
        <w:tblCellMar>
          <w:left w:w="70" w:type="dxa"/>
          <w:right w:w="70" w:type="dxa"/>
        </w:tblCellMar>
        <w:tblLook w:val="04A0" w:firstRow="1" w:lastRow="0" w:firstColumn="1" w:lastColumn="0" w:noHBand="0" w:noVBand="1"/>
      </w:tblPr>
      <w:tblGrid>
        <w:gridCol w:w="2263"/>
        <w:gridCol w:w="7088"/>
      </w:tblGrid>
      <w:tr w:rsidR="00DE319D" w:rsidRPr="00945076" w14:paraId="35143A05" w14:textId="77777777" w:rsidTr="008C67D7">
        <w:trPr>
          <w:trHeight w:val="175"/>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bottom"/>
            <w:hideMark/>
          </w:tcPr>
          <w:p w14:paraId="03DD08D2" w14:textId="77777777" w:rsidR="00DE319D" w:rsidRPr="00AD5A4D" w:rsidRDefault="00DE319D" w:rsidP="0002537E">
            <w:pPr>
              <w:spacing w:after="0" w:line="240" w:lineRule="auto"/>
              <w:rPr>
                <w:rFonts w:cs="Arial"/>
                <w:b/>
                <w:bCs/>
                <w:sz w:val="19"/>
                <w:szCs w:val="19"/>
                <w:lang w:eastAsia="fr-FR"/>
              </w:rPr>
            </w:pPr>
            <w:r w:rsidRPr="00AD5A4D">
              <w:rPr>
                <w:rFonts w:cs="Arial"/>
                <w:b/>
                <w:bCs/>
                <w:sz w:val="19"/>
                <w:szCs w:val="19"/>
                <w:lang w:eastAsia="fr-FR"/>
              </w:rPr>
              <w:t xml:space="preserve">Circuits généralistes </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bottom"/>
            <w:hideMark/>
          </w:tcPr>
          <w:p w14:paraId="51A7FFFC" w14:textId="2F945FC6" w:rsidR="00DE319D" w:rsidRPr="00AD5A4D" w:rsidRDefault="00945076" w:rsidP="0002537E">
            <w:pPr>
              <w:spacing w:after="0" w:line="240" w:lineRule="auto"/>
              <w:rPr>
                <w:rFonts w:cs="Arial"/>
                <w:b/>
                <w:bCs/>
                <w:sz w:val="19"/>
                <w:szCs w:val="19"/>
                <w:lang w:eastAsia="fr-FR"/>
              </w:rPr>
            </w:pPr>
            <w:r w:rsidRPr="00AD5A4D">
              <w:rPr>
                <w:rFonts w:cs="Arial"/>
                <w:b/>
                <w:bCs/>
                <w:sz w:val="19"/>
                <w:szCs w:val="19"/>
                <w:lang w:eastAsia="fr-FR"/>
              </w:rPr>
              <w:t xml:space="preserve">Caractéristiques </w:t>
            </w:r>
          </w:p>
        </w:tc>
      </w:tr>
      <w:tr w:rsidR="00DE319D" w:rsidRPr="00945076" w14:paraId="4F22344C" w14:textId="77777777" w:rsidTr="008C67D7">
        <w:trPr>
          <w:trHeight w:val="143"/>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40292A1"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Hypermarchés</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51C008E6"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Surfaces &gt;2500 m2</w:t>
            </w:r>
          </w:p>
        </w:tc>
      </w:tr>
      <w:tr w:rsidR="00DE319D" w:rsidRPr="00945076" w14:paraId="48A8F4DC" w14:textId="77777777" w:rsidTr="008C67D7">
        <w:trPr>
          <w:trHeight w:val="119"/>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6E3D3228"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Supermarchés</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3CBA0D9C"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Surfaces de 400 et 2500 m2</w:t>
            </w:r>
          </w:p>
        </w:tc>
      </w:tr>
      <w:tr w:rsidR="00DE319D" w:rsidRPr="00945076" w14:paraId="540EF8CF" w14:textId="77777777" w:rsidTr="008C67D7">
        <w:trPr>
          <w:trHeight w:val="151"/>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4C677F0"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Proximité</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CF3E7C4"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Surfaces &lt;400 m2</w:t>
            </w:r>
          </w:p>
        </w:tc>
      </w:tr>
      <w:tr w:rsidR="00DE319D" w:rsidRPr="00945076" w14:paraId="18B1C2D2" w14:textId="77777777" w:rsidTr="008C67D7">
        <w:trPr>
          <w:trHeight w:val="126"/>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5D6BF64A"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Edmp</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11D44D9A" w14:textId="1FF77D03"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Enseigne à dominance marque propre (surfaces &lt;2500 m2 pour la</w:t>
            </w:r>
            <w:r w:rsidR="009F471E" w:rsidRPr="00AD5A4D">
              <w:rPr>
                <w:rFonts w:cs="Arial"/>
                <w:sz w:val="19"/>
                <w:szCs w:val="19"/>
                <w:lang w:eastAsia="fr-FR"/>
              </w:rPr>
              <w:t xml:space="preserve"> </w:t>
            </w:r>
            <w:r w:rsidRPr="00AD5A4D">
              <w:rPr>
                <w:rFonts w:cs="Arial"/>
                <w:sz w:val="19"/>
                <w:szCs w:val="19"/>
                <w:lang w:eastAsia="fr-FR"/>
              </w:rPr>
              <w:t>plupart)</w:t>
            </w:r>
          </w:p>
        </w:tc>
      </w:tr>
      <w:tr w:rsidR="00DE319D" w:rsidRPr="00945076" w14:paraId="42886446" w14:textId="77777777" w:rsidTr="008C67D7">
        <w:trPr>
          <w:trHeight w:val="171"/>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768BBCC4"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E-commerce</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9D59A2B" w14:textId="776EAEBF"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Drive et livraison à domicile</w:t>
            </w:r>
          </w:p>
        </w:tc>
      </w:tr>
      <w:tr w:rsidR="00DE319D" w:rsidRPr="00945076" w14:paraId="6F86E7EF" w14:textId="77777777" w:rsidTr="008C67D7">
        <w:trPr>
          <w:trHeight w:val="133"/>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057BA68D" w14:textId="77777777" w:rsidR="00DE319D" w:rsidRPr="00AD5A4D" w:rsidRDefault="00DE319D" w:rsidP="0002537E">
            <w:pPr>
              <w:spacing w:after="0" w:line="240" w:lineRule="auto"/>
              <w:rPr>
                <w:rFonts w:cs="Arial"/>
                <w:b/>
                <w:bCs/>
                <w:sz w:val="19"/>
                <w:szCs w:val="19"/>
                <w:lang w:eastAsia="fr-FR"/>
              </w:rPr>
            </w:pPr>
            <w:r w:rsidRPr="00AD5A4D">
              <w:rPr>
                <w:rFonts w:cs="Arial"/>
                <w:b/>
                <w:bCs/>
                <w:sz w:val="19"/>
                <w:szCs w:val="19"/>
                <w:lang w:eastAsia="fr-FR"/>
              </w:rPr>
              <w:t xml:space="preserve">Circuits spécialisés </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73B12FE2" w14:textId="38FE9997" w:rsidR="00DE319D" w:rsidRPr="00AD5A4D" w:rsidRDefault="008C67D7" w:rsidP="0002537E">
            <w:pPr>
              <w:spacing w:after="0" w:line="240" w:lineRule="auto"/>
              <w:rPr>
                <w:rFonts w:cs="Arial"/>
                <w:b/>
                <w:bCs/>
                <w:sz w:val="19"/>
                <w:szCs w:val="19"/>
                <w:lang w:eastAsia="fr-FR"/>
              </w:rPr>
            </w:pPr>
            <w:r w:rsidRPr="00AD5A4D">
              <w:rPr>
                <w:rFonts w:cs="Arial"/>
                <w:b/>
                <w:bCs/>
                <w:sz w:val="19"/>
                <w:szCs w:val="19"/>
                <w:lang w:eastAsia="fr-FR"/>
              </w:rPr>
              <w:t>Caractéristiques</w:t>
            </w:r>
          </w:p>
        </w:tc>
      </w:tr>
      <w:tr w:rsidR="00DE319D" w:rsidRPr="00945076" w14:paraId="3BEB6C6E" w14:textId="77777777" w:rsidTr="00E91D20">
        <w:trPr>
          <w:trHeight w:val="703"/>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257CBF53"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Marchés et foires</w:t>
            </w:r>
          </w:p>
        </w:tc>
        <w:tc>
          <w:tcPr>
            <w:tcW w:w="7088"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3DC4A49A" w14:textId="48C1C4B8"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Code APRM 10.13.B.Z : charcutiers traiteurs </w:t>
            </w:r>
            <w:r w:rsidR="00E91D20" w:rsidRPr="00AD5A4D">
              <w:rPr>
                <w:rFonts w:cs="Arial"/>
                <w:sz w:val="19"/>
                <w:szCs w:val="19"/>
                <w:lang w:eastAsia="fr-FR"/>
              </w:rPr>
              <w:t xml:space="preserve">en </w:t>
            </w:r>
            <w:r w:rsidRPr="00AD5A4D">
              <w:rPr>
                <w:rFonts w:cs="Arial"/>
                <w:sz w:val="19"/>
                <w:szCs w:val="19"/>
                <w:lang w:eastAsia="fr-FR"/>
              </w:rPr>
              <w:t>marchés de plein air (forains ou mixtes avec un magasin spécialisé) ;</w:t>
            </w:r>
            <w:r w:rsidR="00945076" w:rsidRPr="00AD5A4D">
              <w:rPr>
                <w:rFonts w:cs="Arial"/>
                <w:sz w:val="19"/>
                <w:szCs w:val="19"/>
                <w:lang w:eastAsia="fr-FR"/>
              </w:rPr>
              <w:t xml:space="preserve"> </w:t>
            </w:r>
            <w:r w:rsidRPr="00AD5A4D">
              <w:rPr>
                <w:rFonts w:cs="Arial"/>
                <w:sz w:val="19"/>
                <w:szCs w:val="19"/>
                <w:lang w:eastAsia="fr-FR"/>
              </w:rPr>
              <w:t>Codes APRM 47.81ZR et 47.22Z : les bouchers charcutiers sur éventaire et marchés de plein air.</w:t>
            </w:r>
          </w:p>
        </w:tc>
      </w:tr>
      <w:tr w:rsidR="00DE319D" w:rsidRPr="00945076" w14:paraId="37E182BD" w14:textId="77777777" w:rsidTr="008C67D7">
        <w:trPr>
          <w:trHeight w:val="207"/>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51AB928C"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Boucheries volaillers</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3E21F5DA"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Code APRM 10.13.B.Z.</w:t>
            </w:r>
          </w:p>
        </w:tc>
      </w:tr>
      <w:tr w:rsidR="00DE319D" w:rsidRPr="00945076" w14:paraId="729918DA" w14:textId="77777777" w:rsidTr="008C67D7">
        <w:trPr>
          <w:trHeight w:val="183"/>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1615EA1"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Charcuteries traiteurs</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F783BC0"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Code APRM 10.13.B.Z.</w:t>
            </w:r>
          </w:p>
        </w:tc>
      </w:tr>
      <w:tr w:rsidR="00DE319D" w:rsidRPr="00945076" w14:paraId="04DF4847" w14:textId="77777777" w:rsidTr="008C67D7">
        <w:trPr>
          <w:trHeight w:val="158"/>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765B56CF"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Grandes surfaces frais</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291E2788" w14:textId="18CC23AA"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Spécialistes du Frais (Grand Fr</w:t>
            </w:r>
            <w:r w:rsidR="00312656" w:rsidRPr="00AD5A4D">
              <w:rPr>
                <w:rFonts w:cs="Arial"/>
                <w:sz w:val="19"/>
                <w:szCs w:val="19"/>
                <w:lang w:eastAsia="fr-FR"/>
              </w:rPr>
              <w:t>a</w:t>
            </w:r>
            <w:r w:rsidRPr="00AD5A4D">
              <w:rPr>
                <w:rFonts w:cs="Arial"/>
                <w:sz w:val="19"/>
                <w:szCs w:val="19"/>
                <w:lang w:eastAsia="fr-FR"/>
              </w:rPr>
              <w:t>is, Carnivor, Carré des Halles, O</w:t>
            </w:r>
            <w:r w:rsidR="00E91D20" w:rsidRPr="00AD5A4D">
              <w:rPr>
                <w:rFonts w:cs="Arial"/>
                <w:sz w:val="19"/>
                <w:szCs w:val="19"/>
                <w:lang w:eastAsia="fr-FR"/>
              </w:rPr>
              <w:t>’</w:t>
            </w:r>
            <w:r w:rsidRPr="00AD5A4D">
              <w:rPr>
                <w:rFonts w:cs="Arial"/>
                <w:sz w:val="19"/>
                <w:szCs w:val="19"/>
                <w:lang w:eastAsia="fr-FR"/>
              </w:rPr>
              <w:t xml:space="preserve"> Marché Frais)</w:t>
            </w:r>
          </w:p>
        </w:tc>
      </w:tr>
      <w:tr w:rsidR="00DE319D" w:rsidRPr="00945076" w14:paraId="091B21BA" w14:textId="77777777" w:rsidTr="008C67D7">
        <w:trPr>
          <w:trHeight w:val="56"/>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04E4844B"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Primeurs</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4DB3E313"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w:t>
            </w:r>
          </w:p>
        </w:tc>
      </w:tr>
      <w:tr w:rsidR="00DE319D" w:rsidRPr="00945076" w14:paraId="2B05F6C4" w14:textId="77777777" w:rsidTr="008C67D7">
        <w:trPr>
          <w:trHeight w:val="300"/>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70E99D88" w14:textId="0B929610" w:rsidR="00DE319D" w:rsidRPr="00AD5A4D" w:rsidRDefault="00DE319D" w:rsidP="008C67D7">
            <w:pPr>
              <w:spacing w:after="0" w:line="240" w:lineRule="auto"/>
              <w:jc w:val="left"/>
              <w:rPr>
                <w:rFonts w:cs="Arial"/>
                <w:sz w:val="19"/>
                <w:szCs w:val="19"/>
                <w:lang w:eastAsia="fr-FR"/>
              </w:rPr>
            </w:pPr>
            <w:r w:rsidRPr="00AD5A4D">
              <w:rPr>
                <w:rFonts w:cs="Arial"/>
                <w:sz w:val="19"/>
                <w:szCs w:val="19"/>
                <w:lang w:eastAsia="fr-FR"/>
              </w:rPr>
              <w:t>Magasins bio</w:t>
            </w:r>
            <w:r w:rsidR="00D03539" w:rsidRPr="00AD5A4D">
              <w:rPr>
                <w:rFonts w:cs="Arial"/>
                <w:sz w:val="19"/>
                <w:szCs w:val="19"/>
                <w:lang w:eastAsia="fr-FR"/>
              </w:rPr>
              <w:t>,</w:t>
            </w:r>
            <w:r w:rsidRPr="00AD5A4D">
              <w:rPr>
                <w:rFonts w:cs="Arial"/>
                <w:sz w:val="19"/>
                <w:szCs w:val="19"/>
                <w:lang w:eastAsia="fr-FR"/>
              </w:rPr>
              <w:t xml:space="preserve"> diététique </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4D4D56C1"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Spécialistes du Bio </w:t>
            </w:r>
          </w:p>
        </w:tc>
      </w:tr>
      <w:tr w:rsidR="00DE319D" w:rsidRPr="00945076" w14:paraId="4E06CBAE" w14:textId="77777777" w:rsidTr="008C67D7">
        <w:trPr>
          <w:trHeight w:val="199"/>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ED89013"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Freezer centers</w:t>
            </w:r>
          </w:p>
        </w:tc>
        <w:tc>
          <w:tcPr>
            <w:tcW w:w="7088"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751BFEB1"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Spécialistes du surgelé </w:t>
            </w:r>
          </w:p>
        </w:tc>
      </w:tr>
      <w:tr w:rsidR="00DE319D" w:rsidRPr="00945076" w14:paraId="221F900B" w14:textId="77777777" w:rsidTr="008C67D7">
        <w:trPr>
          <w:trHeight w:val="387"/>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75C0A3F4"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Vente directe</w:t>
            </w:r>
          </w:p>
        </w:tc>
        <w:tc>
          <w:tcPr>
            <w:tcW w:w="7088" w:type="dxa"/>
            <w:tcBorders>
              <w:top w:val="single" w:sz="4" w:space="0" w:color="auto"/>
              <w:left w:val="single" w:sz="4" w:space="0" w:color="auto"/>
              <w:bottom w:val="single" w:sz="4" w:space="0" w:color="auto"/>
              <w:right w:val="single" w:sz="4" w:space="0" w:color="auto"/>
            </w:tcBorders>
            <w:shd w:val="clear" w:color="DBDBDB" w:fill="DBDBDB"/>
            <w:vAlign w:val="center"/>
            <w:hideMark/>
          </w:tcPr>
          <w:p w14:paraId="7A5ECE5C"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Commercialisation à la ferme, magasins d'usine, paniers (AMAP, la Ruche Qui Dit Oui), magasins de producteurs</w:t>
            </w:r>
          </w:p>
        </w:tc>
      </w:tr>
      <w:tr w:rsidR="00DE319D" w:rsidRPr="00945076" w14:paraId="06A59972" w14:textId="77777777" w:rsidTr="008C67D7">
        <w:trPr>
          <w:trHeight w:val="337"/>
        </w:trPr>
        <w:tc>
          <w:tcPr>
            <w:tcW w:w="226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2FE5A9C6" w14:textId="5A3111E9"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Vente</w:t>
            </w:r>
            <w:r w:rsidR="009E1A4F" w:rsidRPr="00AD5A4D">
              <w:rPr>
                <w:rFonts w:cs="Arial"/>
                <w:sz w:val="19"/>
                <w:szCs w:val="19"/>
                <w:lang w:eastAsia="fr-FR"/>
              </w:rPr>
              <w:t xml:space="preserve"> et</w:t>
            </w:r>
            <w:r w:rsidRPr="00AD5A4D">
              <w:rPr>
                <w:rFonts w:cs="Arial"/>
                <w:sz w:val="19"/>
                <w:szCs w:val="19"/>
                <w:lang w:eastAsia="fr-FR"/>
              </w:rPr>
              <w:t xml:space="preserve"> Livraison à</w:t>
            </w:r>
            <w:r w:rsidR="009E1A4F" w:rsidRPr="00AD5A4D">
              <w:rPr>
                <w:rFonts w:cs="Arial"/>
                <w:sz w:val="19"/>
                <w:szCs w:val="19"/>
                <w:lang w:eastAsia="fr-FR"/>
              </w:rPr>
              <w:t xml:space="preserve"> </w:t>
            </w:r>
            <w:r w:rsidRPr="00AD5A4D">
              <w:rPr>
                <w:rFonts w:cs="Arial"/>
                <w:sz w:val="19"/>
                <w:szCs w:val="19"/>
                <w:lang w:eastAsia="fr-FR"/>
              </w:rPr>
              <w:t>dom</w:t>
            </w:r>
            <w:r w:rsidR="008C67D7" w:rsidRPr="00AD5A4D">
              <w:rPr>
                <w:rFonts w:cs="Arial"/>
                <w:sz w:val="19"/>
                <w:szCs w:val="19"/>
                <w:lang w:eastAsia="fr-FR"/>
              </w:rPr>
              <w:t>icile</w:t>
            </w:r>
          </w:p>
        </w:tc>
        <w:tc>
          <w:tcPr>
            <w:tcW w:w="7088"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18AED81D" w14:textId="0057D891" w:rsidR="00DE319D" w:rsidRPr="00AD5A4D" w:rsidRDefault="009E1A4F" w:rsidP="0002537E">
            <w:pPr>
              <w:spacing w:after="0" w:line="240" w:lineRule="auto"/>
              <w:rPr>
                <w:rFonts w:cs="Arial"/>
                <w:sz w:val="19"/>
                <w:szCs w:val="19"/>
                <w:lang w:eastAsia="fr-FR"/>
              </w:rPr>
            </w:pPr>
            <w:r w:rsidRPr="00AD5A4D">
              <w:rPr>
                <w:rFonts w:cs="Arial"/>
                <w:sz w:val="19"/>
                <w:szCs w:val="19"/>
                <w:lang w:eastAsia="fr-FR"/>
              </w:rPr>
              <w:t xml:space="preserve">Acteurs </w:t>
            </w:r>
            <w:r w:rsidR="00DE319D" w:rsidRPr="00AD5A4D">
              <w:rPr>
                <w:rFonts w:cs="Arial"/>
                <w:sz w:val="19"/>
                <w:szCs w:val="19"/>
                <w:lang w:eastAsia="fr-FR"/>
              </w:rPr>
              <w:t>du surgelé.</w:t>
            </w:r>
          </w:p>
        </w:tc>
      </w:tr>
      <w:tr w:rsidR="00DE319D" w:rsidRPr="00945076" w14:paraId="6845C1A6" w14:textId="77777777" w:rsidTr="008C67D7">
        <w:trPr>
          <w:trHeight w:val="300"/>
        </w:trPr>
        <w:tc>
          <w:tcPr>
            <w:tcW w:w="2263"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19FC53C7"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Internet spécialisés</w:t>
            </w:r>
          </w:p>
        </w:tc>
        <w:tc>
          <w:tcPr>
            <w:tcW w:w="7088" w:type="dxa"/>
            <w:tcBorders>
              <w:top w:val="single" w:sz="4" w:space="0" w:color="auto"/>
              <w:left w:val="single" w:sz="4" w:space="0" w:color="auto"/>
              <w:bottom w:val="single" w:sz="4" w:space="0" w:color="auto"/>
              <w:right w:val="single" w:sz="4" w:space="0" w:color="auto"/>
            </w:tcBorders>
            <w:shd w:val="clear" w:color="DBDBDB" w:fill="DBDBDB"/>
            <w:noWrap/>
            <w:vAlign w:val="center"/>
            <w:hideMark/>
          </w:tcPr>
          <w:p w14:paraId="0026B6F7" w14:textId="5B46D444"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Sites spécialisés de produits carnés </w:t>
            </w:r>
          </w:p>
        </w:tc>
      </w:tr>
      <w:tr w:rsidR="00DE319D" w:rsidRPr="00945076" w14:paraId="4A24EFE2" w14:textId="77777777" w:rsidTr="008C67D7">
        <w:trPr>
          <w:trHeight w:val="510"/>
        </w:trPr>
        <w:tc>
          <w:tcPr>
            <w:tcW w:w="2263"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5722E5AE" w14:textId="77777777"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Autres divers</w:t>
            </w:r>
          </w:p>
        </w:tc>
        <w:tc>
          <w:tcPr>
            <w:tcW w:w="7088" w:type="dxa"/>
            <w:tcBorders>
              <w:top w:val="single" w:sz="4" w:space="0" w:color="auto"/>
              <w:left w:val="single" w:sz="4" w:space="0" w:color="auto"/>
              <w:bottom w:val="single" w:sz="4" w:space="0" w:color="auto"/>
              <w:right w:val="single" w:sz="4" w:space="0" w:color="auto"/>
            </w:tcBorders>
            <w:shd w:val="clear" w:color="EDEDED" w:fill="EDEDED"/>
            <w:vAlign w:val="center"/>
            <w:hideMark/>
          </w:tcPr>
          <w:p w14:paraId="70D22D68" w14:textId="798AC224" w:rsidR="00DE319D" w:rsidRPr="00AD5A4D" w:rsidRDefault="00DE319D" w:rsidP="0002537E">
            <w:pPr>
              <w:spacing w:after="0" w:line="240" w:lineRule="auto"/>
              <w:rPr>
                <w:rFonts w:cs="Arial"/>
                <w:sz w:val="19"/>
                <w:szCs w:val="19"/>
                <w:lang w:eastAsia="fr-FR"/>
              </w:rPr>
            </w:pPr>
            <w:r w:rsidRPr="00AD5A4D">
              <w:rPr>
                <w:rFonts w:cs="Arial"/>
                <w:sz w:val="19"/>
                <w:szCs w:val="19"/>
                <w:lang w:eastAsia="fr-FR"/>
              </w:rPr>
              <w:t xml:space="preserve">Grands Magasins, solderies, Grandes Surfaces Spécialisées, fromagerie, cavistes, produits diététiques des pharmacies et parapharmacies, </w:t>
            </w:r>
          </w:p>
        </w:tc>
      </w:tr>
    </w:tbl>
    <w:p w14:paraId="75FC81C3" w14:textId="6130668E" w:rsidR="006168AC" w:rsidRPr="00945076" w:rsidRDefault="007C77D7" w:rsidP="0002537E">
      <w:pPr>
        <w:pStyle w:val="figure"/>
      </w:pPr>
      <w:bookmarkStart w:id="150" w:name="_Ref62641639"/>
      <w:r>
        <w:t> </w:t>
      </w:r>
      <w:bookmarkStart w:id="151" w:name="_Toc72143375"/>
      <w:r w:rsidR="003F2547" w:rsidRPr="003F2547">
        <w:t xml:space="preserve">Tableau </w:t>
      </w:r>
      <w:r w:rsidR="003F2547" w:rsidRPr="0002537E">
        <w:fldChar w:fldCharType="begin"/>
      </w:r>
      <w:r w:rsidR="003F2547" w:rsidRPr="003F2547">
        <w:instrText xml:space="preserve"> SEQ Tableau \* ARABIC </w:instrText>
      </w:r>
      <w:r w:rsidR="003F2547" w:rsidRPr="0002537E">
        <w:fldChar w:fldCharType="separate"/>
      </w:r>
      <w:r w:rsidR="0007597F">
        <w:rPr>
          <w:noProof/>
        </w:rPr>
        <w:t>27</w:t>
      </w:r>
      <w:r w:rsidR="003F2547" w:rsidRPr="0002537E">
        <w:fldChar w:fldCharType="end"/>
      </w:r>
      <w:r w:rsidRPr="003F2547">
        <w:t>:</w:t>
      </w:r>
      <w:r w:rsidR="00D03539" w:rsidRPr="003F2547">
        <w:t xml:space="preserve"> </w:t>
      </w:r>
      <w:bookmarkStart w:id="152" w:name="_Ref62641674"/>
      <w:r w:rsidR="00D03539" w:rsidRPr="003F2547">
        <w:t>Arborescence et définition des circuits de distribution en viande de porc et charcuterie salaison en 2018</w:t>
      </w:r>
      <w:r w:rsidR="00D03539" w:rsidRPr="007C77D7">
        <w:t xml:space="preserve"> </w:t>
      </w:r>
      <w:r w:rsidR="00D03539" w:rsidRPr="00E91D20">
        <w:rPr>
          <w:b w:val="0"/>
          <w:i/>
        </w:rPr>
        <w:t>(</w:t>
      </w:r>
      <w:r w:rsidR="000D58C9" w:rsidRPr="00E91D20">
        <w:rPr>
          <w:b w:val="0"/>
          <w:i/>
        </w:rPr>
        <w:t xml:space="preserve">Source : </w:t>
      </w:r>
      <w:r w:rsidR="00D03539" w:rsidRPr="00E91D20">
        <w:rPr>
          <w:b w:val="0"/>
          <w:i/>
        </w:rPr>
        <w:t>KW</w:t>
      </w:r>
      <w:r w:rsidR="00E91D20" w:rsidRPr="00E91D20">
        <w:rPr>
          <w:b w:val="0"/>
          <w:i/>
        </w:rPr>
        <w:t>p</w:t>
      </w:r>
      <w:r w:rsidR="00D03539" w:rsidRPr="00E91D20">
        <w:rPr>
          <w:b w:val="0"/>
          <w:i/>
        </w:rPr>
        <w:t>)</w:t>
      </w:r>
      <w:bookmarkEnd w:id="150"/>
      <w:bookmarkEnd w:id="151"/>
      <w:bookmarkEnd w:id="152"/>
    </w:p>
    <w:p w14:paraId="6B3D306C" w14:textId="3B1B790F" w:rsidR="00E908C6" w:rsidRDefault="00945076" w:rsidP="007C77D7">
      <w:r w:rsidRPr="00945076">
        <w:t xml:space="preserve">Au sein de ce dernier segment, les bouchers charcutiers et charcutiers traiteurs (10.13.B.Z) interviennent au travers de plusieurs segments d’activité parmi lesquels des points de vente physiques, les marchés, le e-commerce, la livraison notamment en zone rurale. Ceci signifie </w:t>
      </w:r>
      <w:r w:rsidRPr="00945076">
        <w:lastRenderedPageBreak/>
        <w:t>qu’en se focalisant sur les points de vente physiques, on peut être amené à minorer l’activité artisanale.</w:t>
      </w:r>
      <w:r>
        <w:rPr>
          <w:b/>
        </w:rPr>
        <w:t xml:space="preserve"> </w:t>
      </w:r>
      <w:r w:rsidR="00C63913">
        <w:t>Malgré un</w:t>
      </w:r>
      <w:r w:rsidR="00BA5A2D">
        <w:t>e</w:t>
      </w:r>
      <w:r w:rsidR="00C63913">
        <w:t xml:space="preserve"> tendance à la fragmentation de</w:t>
      </w:r>
      <w:r w:rsidR="00CC534F">
        <w:t>s circuits de distribution avec d</w:t>
      </w:r>
      <w:r w:rsidR="00CC534F" w:rsidRPr="00A10A49">
        <w:t xml:space="preserve">es Français </w:t>
      </w:r>
      <w:r w:rsidR="00CC534F">
        <w:t xml:space="preserve">qui </w:t>
      </w:r>
      <w:r w:rsidR="00CC534F" w:rsidRPr="00A10A49">
        <w:t xml:space="preserve">ont fréquenté </w:t>
      </w:r>
      <w:r w:rsidR="00CC534F">
        <w:t xml:space="preserve">en 2018, </w:t>
      </w:r>
      <w:r w:rsidR="00CC534F" w:rsidRPr="00A10A49">
        <w:t xml:space="preserve">7,8 circuits différents en moyenne pour leurs courses alimentaires (jusqu’à 8,3 en région parisienne) contre 7,1 </w:t>
      </w:r>
      <w:r w:rsidR="00CC534F">
        <w:t xml:space="preserve">circuits </w:t>
      </w:r>
      <w:r w:rsidR="00CC534F" w:rsidRPr="00A10A49">
        <w:t>en 2008</w:t>
      </w:r>
      <w:r w:rsidR="00CC534F">
        <w:t xml:space="preserve"> selon KWP, le poids des circuits généralistes couvre encore en charcuterie 90</w:t>
      </w:r>
      <w:r w:rsidR="007C77D7">
        <w:t> </w:t>
      </w:r>
      <w:r w:rsidR="00CC534F">
        <w:t>% des volumes</w:t>
      </w:r>
      <w:r w:rsidR="00FD55C6">
        <w:t xml:space="preserve"> et 8</w:t>
      </w:r>
      <w:r w:rsidR="00753530">
        <w:t>3</w:t>
      </w:r>
      <w:r w:rsidR="007C77D7">
        <w:t> </w:t>
      </w:r>
      <w:r w:rsidR="00FD55C6">
        <w:t>% en porc frais, e-commerce inclus.</w:t>
      </w:r>
    </w:p>
    <w:p w14:paraId="09B15F49" w14:textId="02D605DA" w:rsidR="00606A3E" w:rsidRDefault="0052488E" w:rsidP="007C77D7">
      <w:pPr>
        <w:rPr>
          <w:b/>
        </w:rPr>
      </w:pPr>
      <w:r>
        <w:t xml:space="preserve">En dehors de la part consolidée des activités bouchers </w:t>
      </w:r>
      <w:r w:rsidR="00753530">
        <w:t>volaillers</w:t>
      </w:r>
      <w:r>
        <w:t xml:space="preserve">, charcutiers traiteurs et marchés qui représente </w:t>
      </w:r>
      <w:r w:rsidR="000F5C4A">
        <w:t>au global</w:t>
      </w:r>
      <w:r>
        <w:t xml:space="preserve"> 7</w:t>
      </w:r>
      <w:r w:rsidR="007C77D7">
        <w:rPr>
          <w:b/>
        </w:rPr>
        <w:t> </w:t>
      </w:r>
      <w:r>
        <w:t xml:space="preserve">% tant en charcuterie qu’en viande de porc, </w:t>
      </w:r>
      <w:r w:rsidR="000F5C4A">
        <w:t xml:space="preserve">les </w:t>
      </w:r>
      <w:r>
        <w:t>autres circuits</w:t>
      </w:r>
      <w:r w:rsidR="00606A3E">
        <w:t xml:space="preserve"> </w:t>
      </w:r>
      <w:r>
        <w:t>de distribution</w:t>
      </w:r>
      <w:r w:rsidR="00606A3E">
        <w:t xml:space="preserve"> spécialisée</w:t>
      </w:r>
      <w:r>
        <w:t xml:space="preserve"> ne dépasse</w:t>
      </w:r>
      <w:r w:rsidR="000F5C4A">
        <w:t>nt</w:t>
      </w:r>
      <w:r>
        <w:t xml:space="preserve"> </w:t>
      </w:r>
      <w:r w:rsidR="000F5C4A">
        <w:t>pas les</w:t>
      </w:r>
      <w:r>
        <w:t xml:space="preserve"> 1</w:t>
      </w:r>
      <w:r w:rsidR="007C77D7">
        <w:rPr>
          <w:b/>
        </w:rPr>
        <w:t> </w:t>
      </w:r>
      <w:r>
        <w:t>%</w:t>
      </w:r>
      <w:r w:rsidR="000F5C4A">
        <w:t xml:space="preserve"> de part de marché</w:t>
      </w:r>
      <w:r w:rsidR="0045229F">
        <w:t xml:space="preserve"> sur le total</w:t>
      </w:r>
      <w:r>
        <w:t xml:space="preserve">. </w:t>
      </w:r>
    </w:p>
    <w:p w14:paraId="66E5DAC7" w14:textId="5EAD3260" w:rsidR="002E0D2B" w:rsidRDefault="0052488E" w:rsidP="007C77D7">
      <w:r>
        <w:t xml:space="preserve">La charcuterie répond la plupart du temps à </w:t>
      </w:r>
      <w:r w:rsidR="00BE6C92">
        <w:t>une recherche de diversification (primeurs, cavistes, fromagerie...)</w:t>
      </w:r>
      <w:r w:rsidR="008E7453">
        <w:t xml:space="preserve">. Par ailleurs, </w:t>
      </w:r>
      <w:r w:rsidR="000F5C4A">
        <w:t xml:space="preserve">les </w:t>
      </w:r>
      <w:r w:rsidR="00BE6C92">
        <w:t>nouveaux formats de distribution (e-commerce spécialisé, livraison à domicile, vente directe)</w:t>
      </w:r>
      <w:r w:rsidR="00606A3E">
        <w:t xml:space="preserve"> </w:t>
      </w:r>
      <w:r w:rsidR="000F5C4A">
        <w:t xml:space="preserve">enregistrent des </w:t>
      </w:r>
      <w:r w:rsidR="00BE6C92">
        <w:t>performances très inégales</w:t>
      </w:r>
      <w:r w:rsidR="00606A3E">
        <w:t>. Ainsi</w:t>
      </w:r>
      <w:r w:rsidR="000F5C4A">
        <w:t>,</w:t>
      </w:r>
      <w:r w:rsidR="00606A3E">
        <w:t xml:space="preserve"> la vente directe </w:t>
      </w:r>
      <w:r w:rsidR="000F5C4A">
        <w:t>fait état d’</w:t>
      </w:r>
      <w:r w:rsidR="00606A3E">
        <w:t>un recul de 8</w:t>
      </w:r>
      <w:r w:rsidR="009E1A4F">
        <w:t> </w:t>
      </w:r>
      <w:r w:rsidR="00606A3E">
        <w:t>% en volume d’achat en charcuterie entre 2018 et 2016.</w:t>
      </w:r>
    </w:p>
    <w:tbl>
      <w:tblPr>
        <w:tblW w:w="9589" w:type="dxa"/>
        <w:tblCellMar>
          <w:left w:w="70" w:type="dxa"/>
          <w:right w:w="70" w:type="dxa"/>
        </w:tblCellMar>
        <w:tblLook w:val="04A0" w:firstRow="1" w:lastRow="0" w:firstColumn="1" w:lastColumn="0" w:noHBand="0" w:noVBand="1"/>
      </w:tblPr>
      <w:tblGrid>
        <w:gridCol w:w="2689"/>
        <w:gridCol w:w="1275"/>
        <w:gridCol w:w="851"/>
        <w:gridCol w:w="1417"/>
        <w:gridCol w:w="993"/>
        <w:gridCol w:w="992"/>
        <w:gridCol w:w="1372"/>
      </w:tblGrid>
      <w:tr w:rsidR="00EF219E" w:rsidRPr="00FD1F7A" w14:paraId="1F807169" w14:textId="77777777" w:rsidTr="0002537E">
        <w:trPr>
          <w:trHeight w:val="510"/>
        </w:trPr>
        <w:tc>
          <w:tcPr>
            <w:tcW w:w="2689"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A658A64" w14:textId="77777777" w:rsidR="00FD1F7A" w:rsidRPr="00FD1F7A" w:rsidRDefault="00FD1F7A" w:rsidP="00FD1F7A">
            <w:pPr>
              <w:spacing w:after="0" w:line="240" w:lineRule="auto"/>
              <w:jc w:val="left"/>
              <w:rPr>
                <w:rFonts w:eastAsia="Times New Roman" w:cs="Arial"/>
                <w:color w:val="000000"/>
                <w:sz w:val="20"/>
                <w:szCs w:val="20"/>
                <w:lang w:eastAsia="fr-FR"/>
              </w:rPr>
            </w:pPr>
            <w:r w:rsidRPr="00FD1F7A">
              <w:rPr>
                <w:rFonts w:eastAsia="Times New Roman" w:cs="Arial"/>
                <w:color w:val="000000"/>
                <w:sz w:val="20"/>
                <w:szCs w:val="20"/>
                <w:lang w:eastAsia="fr-FR"/>
              </w:rPr>
              <w:t> </w:t>
            </w:r>
          </w:p>
        </w:tc>
        <w:tc>
          <w:tcPr>
            <w:tcW w:w="127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47AE73D" w14:textId="37F06C50"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Charcuterie Salaison</w:t>
            </w:r>
            <w:r w:rsidR="00107E21">
              <w:rPr>
                <w:rFonts w:eastAsia="Times New Roman" w:cs="Arial"/>
                <w:b/>
                <w:bCs/>
                <w:sz w:val="20"/>
                <w:szCs w:val="20"/>
                <w:lang w:eastAsia="fr-FR"/>
              </w:rPr>
              <w:t xml:space="preserve"> (*)</w:t>
            </w:r>
          </w:p>
        </w:tc>
        <w:tc>
          <w:tcPr>
            <w:tcW w:w="851" w:type="dxa"/>
            <w:tcBorders>
              <w:top w:val="single" w:sz="4" w:space="0" w:color="auto"/>
              <w:left w:val="single" w:sz="4" w:space="0" w:color="auto"/>
              <w:bottom w:val="single" w:sz="4" w:space="0" w:color="auto"/>
              <w:right w:val="single" w:sz="4" w:space="0" w:color="auto"/>
            </w:tcBorders>
            <w:shd w:val="clear" w:color="D9D9D9" w:fill="D9D9D9"/>
            <w:vAlign w:val="bottom"/>
            <w:hideMark/>
          </w:tcPr>
          <w:p w14:paraId="4A05B885" w14:textId="77777777" w:rsidR="00FD1F7A" w:rsidRPr="00FD1F7A" w:rsidRDefault="00FD1F7A" w:rsidP="00FD1F7A">
            <w:pPr>
              <w:spacing w:after="0" w:line="240" w:lineRule="auto"/>
              <w:jc w:val="left"/>
              <w:rPr>
                <w:rFonts w:eastAsia="Times New Roman" w:cs="Arial"/>
                <w:color w:val="000000"/>
                <w:lang w:eastAsia="fr-FR"/>
              </w:rPr>
            </w:pPr>
            <w:r w:rsidRPr="00FD1F7A">
              <w:rPr>
                <w:rFonts w:eastAsia="Times New Roman" w:cs="Arial"/>
                <w:color w:val="000000"/>
                <w:lang w:eastAsia="fr-FR"/>
              </w:rPr>
              <w:t> </w:t>
            </w:r>
          </w:p>
        </w:tc>
        <w:tc>
          <w:tcPr>
            <w:tcW w:w="1417"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884AA58" w14:textId="5CD3B970"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Evol 2018/2016</w:t>
            </w:r>
          </w:p>
        </w:tc>
        <w:tc>
          <w:tcPr>
            <w:tcW w:w="99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487DE9D" w14:textId="5D8C549D"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Viande de porc</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vAlign w:val="bottom"/>
            <w:hideMark/>
          </w:tcPr>
          <w:p w14:paraId="1B74156A" w14:textId="77777777" w:rsidR="00FD1F7A" w:rsidRPr="00FD1F7A" w:rsidRDefault="00FD1F7A" w:rsidP="00FD1F7A">
            <w:pPr>
              <w:spacing w:after="0" w:line="240" w:lineRule="auto"/>
              <w:jc w:val="left"/>
              <w:rPr>
                <w:rFonts w:eastAsia="Times New Roman" w:cs="Arial"/>
                <w:b/>
                <w:bCs/>
                <w:sz w:val="20"/>
                <w:szCs w:val="20"/>
                <w:lang w:eastAsia="fr-FR"/>
              </w:rPr>
            </w:pPr>
          </w:p>
        </w:tc>
        <w:tc>
          <w:tcPr>
            <w:tcW w:w="137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F663808" w14:textId="29254CB2"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Evol 2018/2016</w:t>
            </w:r>
          </w:p>
        </w:tc>
      </w:tr>
      <w:tr w:rsidR="009F471E" w:rsidRPr="00FD1F7A" w14:paraId="4F85FC61" w14:textId="77777777" w:rsidTr="0002537E">
        <w:tc>
          <w:tcPr>
            <w:tcW w:w="268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D8B8F34" w14:textId="77777777" w:rsidR="009F471E" w:rsidRPr="00FD1F7A" w:rsidRDefault="009F471E" w:rsidP="00FD1F7A">
            <w:pPr>
              <w:spacing w:after="0" w:line="240" w:lineRule="auto"/>
              <w:jc w:val="left"/>
              <w:rPr>
                <w:rFonts w:eastAsia="Times New Roman" w:cs="Arial"/>
                <w:b/>
                <w:bCs/>
                <w:sz w:val="20"/>
                <w:szCs w:val="20"/>
                <w:lang w:eastAsia="fr-FR"/>
              </w:rPr>
            </w:pP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01915D" w14:textId="77777777" w:rsidR="009F471E" w:rsidRPr="00FD1F7A" w:rsidRDefault="009F471E" w:rsidP="00FD1F7A">
            <w:pPr>
              <w:spacing w:after="0" w:line="240" w:lineRule="auto"/>
              <w:jc w:val="left"/>
              <w:rPr>
                <w:rFonts w:eastAsia="Times New Roman" w:cs="Arial"/>
                <w:color w:val="000000"/>
                <w:sz w:val="20"/>
                <w:szCs w:val="20"/>
                <w:lang w:eastAsia="fr-FR"/>
              </w:rPr>
            </w:pPr>
            <w:r w:rsidRPr="00FD1F7A">
              <w:rPr>
                <w:rFonts w:eastAsia="Times New Roman" w:cs="Arial"/>
                <w:color w:val="000000"/>
                <w:sz w:val="20"/>
                <w:szCs w:val="20"/>
                <w:lang w:eastAsia="fr-FR"/>
              </w:rPr>
              <w:t>Vol. kt</w:t>
            </w:r>
          </w:p>
        </w:tc>
        <w:tc>
          <w:tcPr>
            <w:tcW w:w="226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3D94FE" w14:textId="6453EB19" w:rsidR="009F471E" w:rsidRPr="00FD1F7A" w:rsidRDefault="009F471E" w:rsidP="0002537E">
            <w:pPr>
              <w:spacing w:after="0" w:line="240" w:lineRule="auto"/>
              <w:jc w:val="center"/>
              <w:rPr>
                <w:rFonts w:eastAsia="Times New Roman" w:cs="Arial"/>
                <w:color w:val="000000"/>
                <w:sz w:val="20"/>
                <w:szCs w:val="20"/>
                <w:lang w:eastAsia="fr-FR"/>
              </w:rPr>
            </w:pPr>
            <w:r w:rsidRPr="00FD1F7A">
              <w:rPr>
                <w:rFonts w:eastAsia="Times New Roman" w:cs="Arial"/>
                <w:color w:val="000000"/>
                <w:sz w:val="20"/>
                <w:szCs w:val="20"/>
                <w:lang w:eastAsia="fr-FR"/>
              </w:rPr>
              <w:t>Part circuit</w:t>
            </w:r>
            <w:r>
              <w:rPr>
                <w:rFonts w:eastAsia="Times New Roman" w:cs="Arial"/>
                <w:color w:val="000000"/>
                <w:sz w:val="20"/>
                <w:szCs w:val="20"/>
                <w:lang w:eastAsia="fr-FR"/>
              </w:rPr>
              <w:t>s</w:t>
            </w:r>
            <w:r w:rsidRPr="00FD1F7A">
              <w:rPr>
                <w:rFonts w:eastAsia="Times New Roman" w:cs="Arial"/>
                <w:color w:val="000000"/>
                <w:sz w:val="20"/>
                <w:szCs w:val="20"/>
                <w:lang w:eastAsia="fr-FR"/>
              </w:rPr>
              <w:t>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89A905" w14:textId="77777777" w:rsidR="009F471E" w:rsidRPr="00FD1F7A" w:rsidRDefault="009F471E" w:rsidP="00FD1F7A">
            <w:pPr>
              <w:spacing w:after="0" w:line="240" w:lineRule="auto"/>
              <w:jc w:val="left"/>
              <w:rPr>
                <w:rFonts w:eastAsia="Times New Roman" w:cs="Arial"/>
                <w:color w:val="000000"/>
                <w:sz w:val="20"/>
                <w:szCs w:val="20"/>
                <w:lang w:eastAsia="fr-FR"/>
              </w:rPr>
            </w:pPr>
            <w:r w:rsidRPr="00FD1F7A">
              <w:rPr>
                <w:rFonts w:eastAsia="Times New Roman" w:cs="Arial"/>
                <w:color w:val="000000"/>
                <w:sz w:val="20"/>
                <w:szCs w:val="20"/>
                <w:lang w:eastAsia="fr-FR"/>
              </w:rPr>
              <w:t>Vol. kt</w:t>
            </w:r>
          </w:p>
        </w:tc>
        <w:tc>
          <w:tcPr>
            <w:tcW w:w="2364"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2688A15" w14:textId="02337847" w:rsidR="009F471E" w:rsidRPr="00FD1F7A" w:rsidRDefault="009F471E" w:rsidP="0002537E">
            <w:pPr>
              <w:spacing w:after="0" w:line="240" w:lineRule="auto"/>
              <w:jc w:val="center"/>
              <w:rPr>
                <w:rFonts w:eastAsia="Times New Roman" w:cs="Arial"/>
                <w:color w:val="000000"/>
                <w:sz w:val="20"/>
                <w:szCs w:val="20"/>
                <w:lang w:eastAsia="fr-FR"/>
              </w:rPr>
            </w:pPr>
            <w:r w:rsidRPr="00FD1F7A">
              <w:rPr>
                <w:rFonts w:eastAsia="Times New Roman" w:cs="Arial"/>
                <w:color w:val="000000"/>
                <w:sz w:val="20"/>
                <w:szCs w:val="20"/>
                <w:lang w:eastAsia="fr-FR"/>
              </w:rPr>
              <w:t>Part circuits</w:t>
            </w:r>
          </w:p>
        </w:tc>
      </w:tr>
      <w:tr w:rsidR="00EF219E" w:rsidRPr="00FD1F7A" w14:paraId="6B2BB766" w14:textId="77777777" w:rsidTr="00E91D20">
        <w:trPr>
          <w:trHeight w:val="157"/>
        </w:trPr>
        <w:tc>
          <w:tcPr>
            <w:tcW w:w="268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22FEA48" w14:textId="655808BA"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 xml:space="preserve">Total </w:t>
            </w:r>
            <w:r w:rsidR="00107E21">
              <w:rPr>
                <w:rFonts w:eastAsia="Times New Roman" w:cs="Arial"/>
                <w:b/>
                <w:bCs/>
                <w:color w:val="000000"/>
                <w:sz w:val="20"/>
                <w:szCs w:val="20"/>
                <w:lang w:eastAsia="fr-FR"/>
              </w:rPr>
              <w:t>(**)</w:t>
            </w:r>
          </w:p>
        </w:tc>
        <w:tc>
          <w:tcPr>
            <w:tcW w:w="127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33BAC36"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664</w:t>
            </w:r>
          </w:p>
        </w:tc>
        <w:tc>
          <w:tcPr>
            <w:tcW w:w="85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34A8E94"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100%</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E4C7A03"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-6%</w:t>
            </w:r>
          </w:p>
        </w:tc>
        <w:tc>
          <w:tcPr>
            <w:tcW w:w="993"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6F1B26A"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325</w:t>
            </w:r>
          </w:p>
        </w:tc>
        <w:tc>
          <w:tcPr>
            <w:tcW w:w="99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1565782"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100%</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8680F9D"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-4%</w:t>
            </w:r>
          </w:p>
        </w:tc>
      </w:tr>
      <w:tr w:rsidR="00EF219E" w:rsidRPr="00FD1F7A" w14:paraId="6484696E"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727BB32"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 xml:space="preserve">Circuits généralistes </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451973"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600</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EE11AA"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90%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288C23"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-6%</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94EB57"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271</w:t>
            </w:r>
          </w:p>
        </w:tc>
        <w:tc>
          <w:tcPr>
            <w:tcW w:w="992" w:type="dxa"/>
            <w:tcBorders>
              <w:top w:val="single" w:sz="4" w:space="0" w:color="000000"/>
              <w:left w:val="nil"/>
              <w:bottom w:val="single" w:sz="4" w:space="0" w:color="000000"/>
              <w:right w:val="single" w:sz="4" w:space="0" w:color="000000"/>
            </w:tcBorders>
            <w:shd w:val="clear" w:color="auto" w:fill="auto"/>
            <w:noWrap/>
            <w:vAlign w:val="center"/>
            <w:hideMark/>
          </w:tcPr>
          <w:p w14:paraId="2D152D2B"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83%</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07285D1"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w:t>
            </w:r>
          </w:p>
        </w:tc>
      </w:tr>
      <w:tr w:rsidR="00EF219E" w:rsidRPr="00FD1F7A" w14:paraId="1C60F201"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6CD9E3E"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Hypermarchés</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93C7EF9"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303</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0DFF71E"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46%</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B17F984"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-6%</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1CBF899"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143,9</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90CDB0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44%</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D3BDB8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r>
      <w:tr w:rsidR="00EF219E" w:rsidRPr="00FD1F7A" w14:paraId="13D08184"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0D9CB"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Supermarchés</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201AE3"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141</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B43DA6"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ADD236"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663157"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69,9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7FBAA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22%</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27C57F"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r>
      <w:tr w:rsidR="00EF219E" w:rsidRPr="00FD1F7A" w14:paraId="7A76286D"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1055967"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Edmp</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543A3F5"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95</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EF591D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14%</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DE7F862"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-7%</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730B24D"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39,8</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23500A0"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12%</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665CCFF"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9%</w:t>
            </w:r>
          </w:p>
        </w:tc>
      </w:tr>
      <w:tr w:rsidR="00EF219E" w:rsidRPr="00FD1F7A" w14:paraId="40B813F1"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F9DCFA"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Proximité</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9F3492"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33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B07F09"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5%</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06465F"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C69D00"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81F7D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F0CFFA4"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-7%</w:t>
            </w:r>
          </w:p>
        </w:tc>
      </w:tr>
      <w:tr w:rsidR="00EF219E" w:rsidRPr="00FD1F7A" w14:paraId="4D647C46"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0E1DB77"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E-commerce</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3AD590C"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28</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C3DDBB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C235B8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6%</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37AB4D6"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5,4</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5786682"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701714E"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10%</w:t>
            </w:r>
          </w:p>
        </w:tc>
      </w:tr>
      <w:tr w:rsidR="00EF219E" w:rsidRPr="00FD1F7A" w14:paraId="513A8E4E"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007973"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 xml:space="preserve">Circuits spécialisés </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3FF975"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64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51DEB1"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10%</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D8CFF8"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AF2242" w14:textId="77777777" w:rsidR="00FD1F7A" w:rsidRPr="00FD1F7A" w:rsidRDefault="00FD1F7A" w:rsidP="00FD1F7A">
            <w:pPr>
              <w:spacing w:after="0" w:line="240" w:lineRule="auto"/>
              <w:jc w:val="left"/>
              <w:rPr>
                <w:rFonts w:eastAsia="Times New Roman" w:cs="Arial"/>
                <w:b/>
                <w:bCs/>
                <w:sz w:val="20"/>
                <w:szCs w:val="20"/>
                <w:lang w:eastAsia="fr-FR"/>
              </w:rPr>
            </w:pPr>
            <w:r w:rsidRPr="00FD1F7A">
              <w:rPr>
                <w:rFonts w:eastAsia="Times New Roman" w:cs="Arial"/>
                <w:b/>
                <w:bCs/>
                <w:sz w:val="20"/>
                <w:szCs w:val="20"/>
                <w:lang w:eastAsia="fr-FR"/>
              </w:rPr>
              <w:t>53,6</w:t>
            </w:r>
          </w:p>
        </w:tc>
        <w:tc>
          <w:tcPr>
            <w:tcW w:w="992" w:type="dxa"/>
            <w:tcBorders>
              <w:top w:val="nil"/>
              <w:left w:val="nil"/>
              <w:bottom w:val="single" w:sz="4" w:space="0" w:color="000000"/>
              <w:right w:val="single" w:sz="4" w:space="0" w:color="000000"/>
            </w:tcBorders>
            <w:shd w:val="clear" w:color="auto" w:fill="auto"/>
            <w:noWrap/>
            <w:vAlign w:val="center"/>
            <w:hideMark/>
          </w:tcPr>
          <w:p w14:paraId="41C1E431"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17%</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65BF7B4" w14:textId="77777777" w:rsidR="00FD1F7A" w:rsidRPr="00FD1F7A" w:rsidRDefault="00FD1F7A" w:rsidP="00FD1F7A">
            <w:pPr>
              <w:spacing w:after="0" w:line="240" w:lineRule="auto"/>
              <w:jc w:val="left"/>
              <w:rPr>
                <w:rFonts w:eastAsia="Times New Roman" w:cs="Arial"/>
                <w:b/>
                <w:bCs/>
                <w:color w:val="000000"/>
                <w:sz w:val="20"/>
                <w:szCs w:val="20"/>
                <w:lang w:eastAsia="fr-FR"/>
              </w:rPr>
            </w:pPr>
            <w:r w:rsidRPr="00FD1F7A">
              <w:rPr>
                <w:rFonts w:eastAsia="Times New Roman" w:cs="Arial"/>
                <w:b/>
                <w:bCs/>
                <w:color w:val="000000"/>
                <w:sz w:val="20"/>
                <w:szCs w:val="20"/>
                <w:lang w:eastAsia="fr-FR"/>
              </w:rPr>
              <w:t>-13%</w:t>
            </w:r>
          </w:p>
        </w:tc>
      </w:tr>
      <w:tr w:rsidR="00EF219E" w:rsidRPr="00FD1F7A" w14:paraId="0A065AB9"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E721EFA"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Boucheries volaillers</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B1B3218"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27</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D5D6AF5"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3DD013B"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-11%</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0853889"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28,4</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1D69C3D"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1349A0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-12%</w:t>
            </w:r>
          </w:p>
        </w:tc>
      </w:tr>
      <w:tr w:rsidR="00EF219E" w:rsidRPr="00FD1F7A" w14:paraId="7E2F82C3"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D3286D"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Marchés et foires</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C2A06F"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13</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919D10"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434760"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162289"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7,8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37DADB"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ED3CB6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-20%</w:t>
            </w:r>
          </w:p>
        </w:tc>
      </w:tr>
      <w:tr w:rsidR="00EF219E" w:rsidRPr="00FD1F7A" w14:paraId="70C72CBF"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FB86A32"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Charcuteries traiteurs</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0CF0E00"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4</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259105D"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DD564A7"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-17%</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E831C3B"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1,6</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6DEF1CE"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1EF34BE"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-25%</w:t>
            </w:r>
          </w:p>
        </w:tc>
      </w:tr>
      <w:tr w:rsidR="00EF219E" w:rsidRPr="00FD1F7A" w14:paraId="698B4EDC"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0C7F6B"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Grandes surfaces frais</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80F23B"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4</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98A6B"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9FDB3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A9136F"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3,9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5B7658"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AD7F2D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3%</w:t>
            </w:r>
          </w:p>
        </w:tc>
      </w:tr>
      <w:tr w:rsidR="00EF219E" w:rsidRPr="00FD1F7A" w14:paraId="50E489CC"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5D2F55" w14:textId="77777777"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Vente directe</w:t>
            </w:r>
          </w:p>
        </w:tc>
        <w:tc>
          <w:tcPr>
            <w:tcW w:w="1275"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1ED8873"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4</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09882F1"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5E3FEE3"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-8%</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6B6322B"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5,0</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6AF699F"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273D5FA"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-21%</w:t>
            </w:r>
          </w:p>
        </w:tc>
      </w:tr>
      <w:tr w:rsidR="00EF219E" w:rsidRPr="00FD1F7A" w14:paraId="5D788B43" w14:textId="77777777" w:rsidTr="0002537E">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8736DE" w14:textId="78CA8C24"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Vente et Livraison à dom</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50C1BB"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0,6</w:t>
            </w:r>
          </w:p>
        </w:tc>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251008"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0,1%</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E4C85D"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E7803C"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0,3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2F5F95"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0,1%</w:t>
            </w:r>
          </w:p>
        </w:tc>
        <w:tc>
          <w:tcPr>
            <w:tcW w:w="1372"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8728C2D"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-28%</w:t>
            </w:r>
          </w:p>
        </w:tc>
      </w:tr>
      <w:tr w:rsidR="00EF219E" w:rsidRPr="00FD1F7A" w14:paraId="417EFF98" w14:textId="77777777" w:rsidTr="0002537E">
        <w:tc>
          <w:tcPr>
            <w:tcW w:w="2689" w:type="dxa"/>
            <w:tcBorders>
              <w:top w:val="single" w:sz="4" w:space="0" w:color="auto"/>
              <w:left w:val="single" w:sz="4" w:space="0" w:color="auto"/>
              <w:bottom w:val="single" w:sz="4" w:space="0" w:color="000000"/>
              <w:right w:val="single" w:sz="4" w:space="0" w:color="auto"/>
            </w:tcBorders>
            <w:shd w:val="clear" w:color="D9D9D9" w:fill="D9D9D9"/>
            <w:vAlign w:val="center"/>
            <w:hideMark/>
          </w:tcPr>
          <w:p w14:paraId="74837F59" w14:textId="4505A8FA" w:rsidR="00FD1F7A" w:rsidRPr="00FD1F7A" w:rsidRDefault="00FD1F7A" w:rsidP="00FD1F7A">
            <w:pPr>
              <w:spacing w:after="0" w:line="240" w:lineRule="auto"/>
              <w:ind w:firstLineChars="100" w:firstLine="200"/>
              <w:jc w:val="left"/>
              <w:rPr>
                <w:rFonts w:eastAsia="Times New Roman" w:cs="Arial"/>
                <w:color w:val="000000"/>
                <w:sz w:val="20"/>
                <w:szCs w:val="20"/>
                <w:lang w:eastAsia="fr-FR"/>
              </w:rPr>
            </w:pPr>
            <w:r w:rsidRPr="00FD1F7A">
              <w:rPr>
                <w:rFonts w:eastAsia="Times New Roman" w:cs="Arial"/>
                <w:color w:val="000000"/>
                <w:sz w:val="20"/>
                <w:szCs w:val="20"/>
                <w:lang w:eastAsia="fr-FR"/>
              </w:rPr>
              <w:t>Autres divers (internet spécialisé, freezer center</w:t>
            </w:r>
            <w:r w:rsidR="00DE399F">
              <w:rPr>
                <w:rFonts w:eastAsia="Times New Roman" w:cs="Arial"/>
                <w:color w:val="000000"/>
                <w:sz w:val="20"/>
                <w:szCs w:val="20"/>
                <w:lang w:eastAsia="fr-FR"/>
              </w:rPr>
              <w:t>.</w:t>
            </w:r>
            <w:r w:rsidRPr="00FD1F7A">
              <w:rPr>
                <w:rFonts w:eastAsia="Times New Roman" w:cs="Arial"/>
                <w:color w:val="000000"/>
                <w:sz w:val="20"/>
                <w:szCs w:val="20"/>
                <w:lang w:eastAsia="fr-FR"/>
              </w:rPr>
              <w:t>..)</w:t>
            </w:r>
          </w:p>
        </w:tc>
        <w:tc>
          <w:tcPr>
            <w:tcW w:w="1275"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73B97CC1"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10,6</w:t>
            </w:r>
          </w:p>
        </w:tc>
        <w:tc>
          <w:tcPr>
            <w:tcW w:w="85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DF3E908"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1,6%</w:t>
            </w:r>
          </w:p>
        </w:tc>
        <w:tc>
          <w:tcPr>
            <w:tcW w:w="141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13FA78F" w14:textId="77777777" w:rsidR="00FD1F7A" w:rsidRPr="00FD1F7A" w:rsidRDefault="00FD1F7A" w:rsidP="00FD1F7A">
            <w:pPr>
              <w:spacing w:after="0" w:line="240" w:lineRule="auto"/>
              <w:jc w:val="left"/>
              <w:rPr>
                <w:rFonts w:eastAsia="Times New Roman" w:cs="Arial"/>
                <w:color w:val="000000"/>
                <w:sz w:val="20"/>
                <w:szCs w:val="20"/>
                <w:lang w:eastAsia="fr-FR"/>
              </w:rPr>
            </w:pPr>
            <w:r w:rsidRPr="00FD1F7A">
              <w:rPr>
                <w:rFonts w:eastAsia="Times New Roman" w:cs="Arial"/>
                <w:color w:val="000000"/>
                <w:sz w:val="20"/>
                <w:szCs w:val="20"/>
                <w:lang w:eastAsia="fr-FR"/>
              </w:rPr>
              <w:t>+6%</w:t>
            </w:r>
          </w:p>
        </w:tc>
        <w:tc>
          <w:tcPr>
            <w:tcW w:w="99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20BCFA7" w14:textId="77777777" w:rsidR="00FD1F7A" w:rsidRPr="00FD1F7A" w:rsidRDefault="00FD1F7A" w:rsidP="00FD1F7A">
            <w:pPr>
              <w:spacing w:after="0" w:line="240" w:lineRule="auto"/>
              <w:jc w:val="right"/>
              <w:rPr>
                <w:rFonts w:eastAsia="Times New Roman" w:cs="Arial"/>
                <w:sz w:val="20"/>
                <w:szCs w:val="20"/>
                <w:lang w:eastAsia="fr-FR"/>
              </w:rPr>
            </w:pPr>
            <w:r w:rsidRPr="00FD1F7A">
              <w:rPr>
                <w:rFonts w:eastAsia="Times New Roman" w:cs="Arial"/>
                <w:sz w:val="20"/>
                <w:szCs w:val="20"/>
                <w:lang w:eastAsia="fr-FR"/>
              </w:rPr>
              <w:t>6,7</w:t>
            </w:r>
          </w:p>
        </w:tc>
        <w:tc>
          <w:tcPr>
            <w:tcW w:w="992"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A29DDB6"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1,6%</w:t>
            </w:r>
          </w:p>
        </w:tc>
        <w:tc>
          <w:tcPr>
            <w:tcW w:w="137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32B5C41" w14:textId="77777777" w:rsidR="00FD1F7A" w:rsidRPr="00FD1F7A" w:rsidRDefault="00FD1F7A" w:rsidP="00FD1F7A">
            <w:pPr>
              <w:spacing w:after="0" w:line="240" w:lineRule="auto"/>
              <w:jc w:val="right"/>
              <w:rPr>
                <w:rFonts w:eastAsia="Times New Roman" w:cs="Arial"/>
                <w:color w:val="000000"/>
                <w:sz w:val="20"/>
                <w:szCs w:val="20"/>
                <w:lang w:eastAsia="fr-FR"/>
              </w:rPr>
            </w:pPr>
            <w:r w:rsidRPr="00FD1F7A">
              <w:rPr>
                <w:rFonts w:eastAsia="Times New Roman" w:cs="Arial"/>
                <w:color w:val="000000"/>
                <w:sz w:val="20"/>
                <w:szCs w:val="20"/>
                <w:lang w:eastAsia="fr-FR"/>
              </w:rPr>
              <w:t>+1%</w:t>
            </w:r>
          </w:p>
        </w:tc>
      </w:tr>
    </w:tbl>
    <w:p w14:paraId="6A8AEF71" w14:textId="7539A455" w:rsidR="00010953" w:rsidRDefault="00E8088E" w:rsidP="00DE399F">
      <w:pPr>
        <w:pStyle w:val="Lgende"/>
        <w:spacing w:after="0"/>
        <w:rPr>
          <w:sz w:val="16"/>
          <w:szCs w:val="16"/>
        </w:rPr>
      </w:pPr>
      <w:r w:rsidRPr="007C77D7">
        <w:rPr>
          <w:sz w:val="16"/>
          <w:szCs w:val="16"/>
        </w:rPr>
        <w:t>(*) Base d’analyse</w:t>
      </w:r>
      <w:r w:rsidR="005B734C">
        <w:rPr>
          <w:sz w:val="16"/>
          <w:szCs w:val="16"/>
        </w:rPr>
        <w:t xml:space="preserve"> du</w:t>
      </w:r>
      <w:r w:rsidRPr="007C77D7">
        <w:rPr>
          <w:sz w:val="16"/>
          <w:szCs w:val="16"/>
        </w:rPr>
        <w:t xml:space="preserve"> périmètre charcuterie hors charcuterie de volaille et hors saucisserie gros hachage</w:t>
      </w:r>
      <w:r w:rsidR="007C77D7" w:rsidRPr="007C77D7">
        <w:rPr>
          <w:sz w:val="16"/>
          <w:szCs w:val="16"/>
        </w:rPr>
        <w:t xml:space="preserve"> </w:t>
      </w:r>
      <w:r w:rsidRPr="007C77D7">
        <w:rPr>
          <w:sz w:val="16"/>
          <w:szCs w:val="16"/>
        </w:rPr>
        <w:t>hors circuits non affectés</w:t>
      </w:r>
    </w:p>
    <w:p w14:paraId="286F312D" w14:textId="7F4DD9A8" w:rsidR="00010953" w:rsidRPr="00DD27D0" w:rsidRDefault="00010953" w:rsidP="00010953">
      <w:pPr>
        <w:rPr>
          <w:rFonts w:eastAsia="Times New Roman" w:cs="Arial"/>
          <w:bCs/>
          <w:i/>
          <w:iCs/>
          <w:sz w:val="16"/>
          <w:szCs w:val="16"/>
          <w:lang w:eastAsia="fr-FR"/>
        </w:rPr>
      </w:pPr>
      <w:r w:rsidRPr="00DD27D0">
        <w:rPr>
          <w:rFonts w:eastAsia="Times New Roman" w:cs="Arial"/>
          <w:bCs/>
          <w:i/>
          <w:iCs/>
          <w:sz w:val="16"/>
          <w:szCs w:val="16"/>
          <w:lang w:eastAsia="fr-FR"/>
        </w:rPr>
        <w:t xml:space="preserve">(**) Base d’analyse </w:t>
      </w:r>
      <w:r w:rsidR="005B734C">
        <w:rPr>
          <w:rFonts w:eastAsia="Times New Roman" w:cs="Arial"/>
          <w:bCs/>
          <w:i/>
          <w:iCs/>
          <w:sz w:val="16"/>
          <w:szCs w:val="16"/>
          <w:lang w:eastAsia="fr-FR"/>
        </w:rPr>
        <w:t>du périmètre</w:t>
      </w:r>
      <w:r w:rsidR="0019759C">
        <w:rPr>
          <w:rFonts w:eastAsia="Times New Roman" w:cs="Arial"/>
          <w:bCs/>
          <w:i/>
          <w:iCs/>
          <w:sz w:val="16"/>
          <w:szCs w:val="16"/>
          <w:lang w:eastAsia="fr-FR"/>
        </w:rPr>
        <w:t xml:space="preserve"> Kantar par circuit de distribution 664 kt.</w:t>
      </w:r>
    </w:p>
    <w:p w14:paraId="40103D9F" w14:textId="6EBA73A2" w:rsidR="003F2547" w:rsidRPr="003F2547" w:rsidRDefault="003F2547" w:rsidP="0002537E">
      <w:pPr>
        <w:pStyle w:val="figure"/>
      </w:pPr>
      <w:bookmarkStart w:id="153" w:name="_Toc72143376"/>
      <w:r w:rsidRPr="003F2547">
        <w:t xml:space="preserve">Tableau </w:t>
      </w:r>
      <w:r w:rsidRPr="00D54EC4">
        <w:fldChar w:fldCharType="begin"/>
      </w:r>
      <w:r w:rsidRPr="003F2547">
        <w:instrText xml:space="preserve"> SEQ Tableau \* ARABIC </w:instrText>
      </w:r>
      <w:r w:rsidRPr="00D54EC4">
        <w:fldChar w:fldCharType="separate"/>
      </w:r>
      <w:r w:rsidR="0007597F">
        <w:rPr>
          <w:i/>
          <w:noProof/>
        </w:rPr>
        <w:t>28</w:t>
      </w:r>
      <w:r w:rsidRPr="00D54EC4">
        <w:fldChar w:fldCharType="end"/>
      </w:r>
      <w:r w:rsidR="009F471E">
        <w:rPr>
          <w:i/>
        </w:rPr>
        <w:t xml:space="preserve"> : </w:t>
      </w:r>
      <w:r w:rsidR="00FD55C6" w:rsidRPr="003F2547">
        <w:t xml:space="preserve">Ventilation des volumes en porc fais et charcuterie salaison </w:t>
      </w:r>
      <w:r w:rsidR="00022893" w:rsidRPr="003F2547">
        <w:t xml:space="preserve">de porc </w:t>
      </w:r>
      <w:r w:rsidR="00FD55C6" w:rsidRPr="003F2547">
        <w:t xml:space="preserve">par circuit de distribution </w:t>
      </w:r>
      <w:r w:rsidR="00FD55C6" w:rsidRPr="00E91D20">
        <w:rPr>
          <w:b w:val="0"/>
          <w:i/>
        </w:rPr>
        <w:t>(</w:t>
      </w:r>
      <w:r w:rsidR="000D58C9" w:rsidRPr="00E91D20">
        <w:rPr>
          <w:b w:val="0"/>
          <w:i/>
        </w:rPr>
        <w:t xml:space="preserve">Source : </w:t>
      </w:r>
      <w:r w:rsidR="00FD55C6" w:rsidRPr="00E91D20">
        <w:rPr>
          <w:b w:val="0"/>
          <w:i/>
        </w:rPr>
        <w:t>KWp)</w:t>
      </w:r>
      <w:bookmarkEnd w:id="153"/>
    </w:p>
    <w:p w14:paraId="3532F31C" w14:textId="28CB5E90" w:rsidR="004E4EBD" w:rsidRPr="004A114B" w:rsidRDefault="004E4EBD" w:rsidP="0002537E">
      <w:pPr>
        <w:pStyle w:val="Titre3"/>
        <w:rPr>
          <w:color w:val="000000" w:themeColor="text1"/>
        </w:rPr>
      </w:pPr>
      <w:bookmarkStart w:id="154" w:name="_Toc78131593"/>
      <w:r w:rsidRPr="001E3D08">
        <w:rPr>
          <w:color w:val="000000" w:themeColor="text1"/>
        </w:rPr>
        <w:t>3.4.</w:t>
      </w:r>
      <w:r>
        <w:rPr>
          <w:color w:val="000000" w:themeColor="text1"/>
        </w:rPr>
        <w:t>3</w:t>
      </w:r>
      <w:r w:rsidRPr="001E3D08">
        <w:rPr>
          <w:color w:val="000000" w:themeColor="text1"/>
        </w:rPr>
        <w:t xml:space="preserve"> </w:t>
      </w:r>
      <w:r>
        <w:rPr>
          <w:color w:val="000000" w:themeColor="text1"/>
        </w:rPr>
        <w:t>L</w:t>
      </w:r>
      <w:r w:rsidR="00261D08">
        <w:rPr>
          <w:color w:val="000000" w:themeColor="text1"/>
        </w:rPr>
        <w:t>es biais identifiés par Kantar</w:t>
      </w:r>
      <w:r w:rsidR="00F57588">
        <w:rPr>
          <w:color w:val="000000" w:themeColor="text1"/>
        </w:rPr>
        <w:t> :</w:t>
      </w:r>
      <w:bookmarkEnd w:id="154"/>
      <w:r w:rsidR="00F57588">
        <w:rPr>
          <w:color w:val="000000" w:themeColor="text1"/>
        </w:rPr>
        <w:t xml:space="preserve"> </w:t>
      </w:r>
    </w:p>
    <w:p w14:paraId="49B23680" w14:textId="2F6FBD51" w:rsidR="00A92B50" w:rsidRDefault="00D1628F" w:rsidP="00A92B50">
      <w:pPr>
        <w:pStyle w:val="Titre4"/>
      </w:pPr>
      <w:bookmarkStart w:id="155" w:name="_Toc78131594"/>
      <w:r>
        <w:t>3.4.</w:t>
      </w:r>
      <w:r w:rsidR="0005199E">
        <w:t>3</w:t>
      </w:r>
      <w:r>
        <w:t>.</w:t>
      </w:r>
      <w:r w:rsidR="00DB0E84">
        <w:t>1</w:t>
      </w:r>
      <w:r>
        <w:t xml:space="preserve">. </w:t>
      </w:r>
      <w:r w:rsidR="00F31BBA">
        <w:t xml:space="preserve">Les </w:t>
      </w:r>
      <w:r w:rsidR="00966E79">
        <w:t xml:space="preserve">biais </w:t>
      </w:r>
      <w:r w:rsidR="00261D08">
        <w:t>liés au panel de consommateurs</w:t>
      </w:r>
      <w:bookmarkEnd w:id="155"/>
      <w:r w:rsidR="00261D08">
        <w:t xml:space="preserve"> </w:t>
      </w:r>
    </w:p>
    <w:p w14:paraId="06B2446B" w14:textId="7D580D10" w:rsidR="00A20104" w:rsidRDefault="001E63B3" w:rsidP="00CE7F2F">
      <w:pPr>
        <w:pStyle w:val="ValrieN2"/>
        <w:spacing w:after="0"/>
        <w:ind w:left="0"/>
        <w:rPr>
          <w:b w:val="0"/>
        </w:rPr>
      </w:pPr>
      <w:r>
        <w:rPr>
          <w:b w:val="0"/>
        </w:rPr>
        <w:t xml:space="preserve">Selon les éléments </w:t>
      </w:r>
      <w:r w:rsidR="00182FE3">
        <w:rPr>
          <w:b w:val="0"/>
        </w:rPr>
        <w:t>recueillis</w:t>
      </w:r>
      <w:r w:rsidR="00A20104">
        <w:rPr>
          <w:b w:val="0"/>
        </w:rPr>
        <w:t xml:space="preserve"> </w:t>
      </w:r>
      <w:r w:rsidR="00606A3E">
        <w:rPr>
          <w:b w:val="0"/>
        </w:rPr>
        <w:t xml:space="preserve">par entretien </w:t>
      </w:r>
      <w:r w:rsidR="00D42463">
        <w:rPr>
          <w:b w:val="0"/>
        </w:rPr>
        <w:t>a</w:t>
      </w:r>
      <w:r w:rsidR="00182FE3">
        <w:rPr>
          <w:b w:val="0"/>
        </w:rPr>
        <w:t>uprès de</w:t>
      </w:r>
      <w:r>
        <w:rPr>
          <w:b w:val="0"/>
        </w:rPr>
        <w:t xml:space="preserve"> K</w:t>
      </w:r>
      <w:r w:rsidR="00606A3E">
        <w:rPr>
          <w:b w:val="0"/>
        </w:rPr>
        <w:t>antar</w:t>
      </w:r>
      <w:r w:rsidR="000F1A1D">
        <w:rPr>
          <w:b w:val="0"/>
        </w:rPr>
        <w:t>,</w:t>
      </w:r>
      <w:r w:rsidR="00A20104">
        <w:rPr>
          <w:b w:val="0"/>
        </w:rPr>
        <w:t xml:space="preserve"> </w:t>
      </w:r>
      <w:r w:rsidR="00C44E7B">
        <w:rPr>
          <w:b w:val="0"/>
        </w:rPr>
        <w:t>l</w:t>
      </w:r>
      <w:r w:rsidR="00070465">
        <w:rPr>
          <w:b w:val="0"/>
        </w:rPr>
        <w:t>es</w:t>
      </w:r>
      <w:r w:rsidR="00A20104">
        <w:rPr>
          <w:b w:val="0"/>
        </w:rPr>
        <w:t xml:space="preserve"> biais</w:t>
      </w:r>
      <w:r w:rsidR="00C44E7B">
        <w:rPr>
          <w:b w:val="0"/>
        </w:rPr>
        <w:t xml:space="preserve"> suivants</w:t>
      </w:r>
      <w:r w:rsidR="00A20104">
        <w:rPr>
          <w:b w:val="0"/>
        </w:rPr>
        <w:t xml:space="preserve"> </w:t>
      </w:r>
      <w:r w:rsidR="00070465">
        <w:rPr>
          <w:b w:val="0"/>
        </w:rPr>
        <w:t xml:space="preserve">ont été </w:t>
      </w:r>
      <w:r w:rsidR="00A20104">
        <w:rPr>
          <w:b w:val="0"/>
        </w:rPr>
        <w:t xml:space="preserve">identifiés : </w:t>
      </w:r>
    </w:p>
    <w:p w14:paraId="21EC8EA4" w14:textId="624CD967" w:rsidR="00A20104" w:rsidRDefault="00AD5A4D" w:rsidP="00411349">
      <w:pPr>
        <w:pStyle w:val="ValrieN2"/>
        <w:numPr>
          <w:ilvl w:val="0"/>
          <w:numId w:val="7"/>
        </w:numPr>
        <w:spacing w:after="0"/>
        <w:ind w:left="357" w:hanging="357"/>
        <w:rPr>
          <w:b w:val="0"/>
        </w:rPr>
      </w:pPr>
      <w:r>
        <w:rPr>
          <w:b w:val="0"/>
        </w:rPr>
        <w:t>U</w:t>
      </w:r>
      <w:r w:rsidR="00C44E7B">
        <w:rPr>
          <w:b w:val="0"/>
        </w:rPr>
        <w:t>n</w:t>
      </w:r>
      <w:r w:rsidR="00171961" w:rsidRPr="00171961">
        <w:rPr>
          <w:b w:val="0"/>
        </w:rPr>
        <w:t xml:space="preserve"> </w:t>
      </w:r>
      <w:r w:rsidR="00171961">
        <w:rPr>
          <w:b w:val="0"/>
        </w:rPr>
        <w:t>biais cognitif</w:t>
      </w:r>
      <w:r w:rsidR="00070465">
        <w:rPr>
          <w:b w:val="0"/>
        </w:rPr>
        <w:t xml:space="preserve"> </w:t>
      </w:r>
      <w:r w:rsidR="00171961">
        <w:rPr>
          <w:b w:val="0"/>
        </w:rPr>
        <w:t xml:space="preserve">de </w:t>
      </w:r>
      <w:r w:rsidR="00070465">
        <w:rPr>
          <w:b w:val="0"/>
        </w:rPr>
        <w:t>sous</w:t>
      </w:r>
      <w:r w:rsidR="00C44E7B">
        <w:rPr>
          <w:b w:val="0"/>
        </w:rPr>
        <w:t>-</w:t>
      </w:r>
      <w:r w:rsidR="00070465">
        <w:rPr>
          <w:b w:val="0"/>
        </w:rPr>
        <w:t>d</w:t>
      </w:r>
      <w:r w:rsidR="00A20104">
        <w:rPr>
          <w:b w:val="0"/>
        </w:rPr>
        <w:t xml:space="preserve">éclaration volontaire ou </w:t>
      </w:r>
      <w:r w:rsidR="00C44E7B">
        <w:rPr>
          <w:b w:val="0"/>
        </w:rPr>
        <w:t>par omission</w:t>
      </w:r>
      <w:r w:rsidR="00966E79">
        <w:rPr>
          <w:b w:val="0"/>
        </w:rPr>
        <w:t xml:space="preserve"> </w:t>
      </w:r>
      <w:r w:rsidR="00F15FF5">
        <w:rPr>
          <w:b w:val="0"/>
        </w:rPr>
        <w:t>largement décrit également par la littérature (</w:t>
      </w:r>
      <w:r w:rsidR="00727843" w:rsidRPr="00727843">
        <w:rPr>
          <w:b w:val="0"/>
        </w:rPr>
        <w:t xml:space="preserve">Wansink </w:t>
      </w:r>
      <w:r w:rsidR="00B937D5">
        <w:rPr>
          <w:b w:val="0"/>
        </w:rPr>
        <w:t>et</w:t>
      </w:r>
      <w:r w:rsidR="00727843" w:rsidRPr="00727843">
        <w:rPr>
          <w:b w:val="0"/>
        </w:rPr>
        <w:t xml:space="preserve"> Sobal</w:t>
      </w:r>
      <w:r w:rsidR="00B937D5">
        <w:rPr>
          <w:b w:val="0"/>
        </w:rPr>
        <w:t>,</w:t>
      </w:r>
      <w:r w:rsidR="00727843" w:rsidRPr="00727843">
        <w:rPr>
          <w:b w:val="0"/>
        </w:rPr>
        <w:t xml:space="preserve"> 2007</w:t>
      </w:r>
      <w:r w:rsidR="00F15FF5">
        <w:rPr>
          <w:b w:val="0"/>
        </w:rPr>
        <w:t>)</w:t>
      </w:r>
      <w:r w:rsidR="004A03A0">
        <w:rPr>
          <w:b w:val="0"/>
        </w:rPr>
        <w:t>. Celui -ci est</w:t>
      </w:r>
      <w:r w:rsidR="00F15FF5">
        <w:rPr>
          <w:b w:val="0"/>
        </w:rPr>
        <w:t xml:space="preserve"> </w:t>
      </w:r>
      <w:r w:rsidR="00966E79">
        <w:rPr>
          <w:b w:val="0"/>
        </w:rPr>
        <w:t>d’autant plus important que l’offre produit concernée se prête au grignotage ou à la consommation en en-cas</w:t>
      </w:r>
      <w:r w:rsidR="00F15FF5">
        <w:rPr>
          <w:b w:val="0"/>
        </w:rPr>
        <w:t xml:space="preserve"> (tartinables, saucissons…)</w:t>
      </w:r>
      <w:r w:rsidR="00966E79">
        <w:rPr>
          <w:b w:val="0"/>
        </w:rPr>
        <w:t>,</w:t>
      </w:r>
    </w:p>
    <w:p w14:paraId="2BE9D1D1" w14:textId="7C146C3D" w:rsidR="000F55FA" w:rsidRPr="0060782E" w:rsidRDefault="00AD5A4D" w:rsidP="0060782E">
      <w:pPr>
        <w:pStyle w:val="ValrieN2"/>
        <w:numPr>
          <w:ilvl w:val="0"/>
          <w:numId w:val="7"/>
        </w:numPr>
        <w:spacing w:after="0"/>
        <w:ind w:left="357" w:hanging="357"/>
        <w:rPr>
          <w:b w:val="0"/>
        </w:rPr>
      </w:pPr>
      <w:r>
        <w:rPr>
          <w:b w:val="0"/>
        </w:rPr>
        <w:t>U</w:t>
      </w:r>
      <w:r w:rsidR="000F55FA" w:rsidRPr="0060782E">
        <w:rPr>
          <w:b w:val="0"/>
        </w:rPr>
        <w:t>n</w:t>
      </w:r>
      <w:r w:rsidR="000F55FA" w:rsidRPr="00376B4D">
        <w:rPr>
          <w:b w:val="0"/>
        </w:rPr>
        <w:t xml:space="preserve"> biais de recrutement avec une surpondération de femmes parmi les chefs de famille en charge de l’achat des produits dans l’enquête Kantar alors que les hommes</w:t>
      </w:r>
      <w:r w:rsidR="00C27DA6">
        <w:rPr>
          <w:b w:val="0"/>
        </w:rPr>
        <w:t xml:space="preserve"> sont sous- représentés</w:t>
      </w:r>
      <w:r w:rsidR="000F55FA" w:rsidRPr="00376B4D">
        <w:rPr>
          <w:b w:val="0"/>
        </w:rPr>
        <w:t xml:space="preserve">. En effet, la durée de l’enquête et les contraintes liées à l’enregistrement des produits par scanette rebute les hommes contrairement aux femmes. </w:t>
      </w:r>
      <w:r w:rsidR="000F55FA" w:rsidRPr="0051573F">
        <w:rPr>
          <w:b w:val="0"/>
        </w:rPr>
        <w:t xml:space="preserve">Or, l’assignation des </w:t>
      </w:r>
      <w:r w:rsidR="000F55FA" w:rsidRPr="0051573F">
        <w:rPr>
          <w:b w:val="0"/>
        </w:rPr>
        <w:lastRenderedPageBreak/>
        <w:t xml:space="preserve">femmes à la planification et à l’achat de repas sains est </w:t>
      </w:r>
      <w:r w:rsidR="00C63D42" w:rsidRPr="0051573F">
        <w:rPr>
          <w:b w:val="0"/>
        </w:rPr>
        <w:t xml:space="preserve">connue dans </w:t>
      </w:r>
      <w:r w:rsidR="000F55FA" w:rsidRPr="0051573F">
        <w:rPr>
          <w:b w:val="0"/>
        </w:rPr>
        <w:t>la littérature</w:t>
      </w:r>
      <w:r w:rsidR="0051573F">
        <w:rPr>
          <w:b w:val="0"/>
        </w:rPr>
        <w:t xml:space="preserve"> (Cardon et al., 2019)</w:t>
      </w:r>
      <w:r w:rsidR="00C27DA6">
        <w:rPr>
          <w:b w:val="0"/>
        </w:rPr>
        <w:t>. Celle-ci</w:t>
      </w:r>
      <w:r w:rsidR="000F55FA" w:rsidRPr="00376B4D">
        <w:rPr>
          <w:b w:val="0"/>
        </w:rPr>
        <w:t xml:space="preserve"> peut induire un biais dans la </w:t>
      </w:r>
      <w:r w:rsidR="00C27DA6">
        <w:rPr>
          <w:b w:val="0"/>
        </w:rPr>
        <w:t xml:space="preserve">quantification </w:t>
      </w:r>
      <w:r w:rsidR="000F55FA" w:rsidRPr="00376B4D">
        <w:rPr>
          <w:b w:val="0"/>
        </w:rPr>
        <w:t>de la consommation des produits</w:t>
      </w:r>
      <w:r w:rsidR="00C27DA6">
        <w:rPr>
          <w:b w:val="0"/>
        </w:rPr>
        <w:t xml:space="preserve"> carnés</w:t>
      </w:r>
      <w:r w:rsidR="000F55FA" w:rsidRPr="00376B4D">
        <w:rPr>
          <w:b w:val="0"/>
        </w:rPr>
        <w:t>.</w:t>
      </w:r>
    </w:p>
    <w:p w14:paraId="7C42A76F" w14:textId="4E626B9E" w:rsidR="00DB0E84" w:rsidRDefault="00687DD7" w:rsidP="00DB0E84">
      <w:pPr>
        <w:pStyle w:val="ValrieN2"/>
        <w:numPr>
          <w:ilvl w:val="0"/>
          <w:numId w:val="7"/>
        </w:numPr>
        <w:spacing w:after="0"/>
        <w:ind w:left="357" w:hanging="357"/>
        <w:rPr>
          <w:b w:val="0"/>
        </w:rPr>
      </w:pPr>
      <w:r>
        <w:rPr>
          <w:b w:val="0"/>
        </w:rPr>
        <w:t>La</w:t>
      </w:r>
      <w:r w:rsidR="00411349">
        <w:rPr>
          <w:b w:val="0"/>
        </w:rPr>
        <w:t xml:space="preserve"> non</w:t>
      </w:r>
      <w:r w:rsidR="00AD5A4D">
        <w:rPr>
          <w:b w:val="0"/>
        </w:rPr>
        <w:t>-</w:t>
      </w:r>
      <w:r w:rsidR="00411349">
        <w:rPr>
          <w:b w:val="0"/>
        </w:rPr>
        <w:t>comptabilisation</w:t>
      </w:r>
      <w:r w:rsidR="00A20104">
        <w:rPr>
          <w:b w:val="0"/>
        </w:rPr>
        <w:t xml:space="preserve"> </w:t>
      </w:r>
      <w:r w:rsidR="00E232E9">
        <w:rPr>
          <w:b w:val="0"/>
        </w:rPr>
        <w:t xml:space="preserve">de la consommation </w:t>
      </w:r>
      <w:r w:rsidR="00A20104">
        <w:rPr>
          <w:b w:val="0"/>
        </w:rPr>
        <w:t xml:space="preserve">des ménages ordinaires ne revenant pas au </w:t>
      </w:r>
      <w:r>
        <w:rPr>
          <w:b w:val="0"/>
        </w:rPr>
        <w:t>domicile ;</w:t>
      </w:r>
      <w:r w:rsidR="00AE60A8">
        <w:rPr>
          <w:b w:val="0"/>
        </w:rPr>
        <w:t xml:space="preserve"> ainsi,</w:t>
      </w:r>
      <w:r w:rsidR="00606A3E">
        <w:rPr>
          <w:b w:val="0"/>
        </w:rPr>
        <w:t xml:space="preserve"> ne sont pas pris en compte l</w:t>
      </w:r>
      <w:r w:rsidR="00FB5336">
        <w:rPr>
          <w:b w:val="0"/>
        </w:rPr>
        <w:t xml:space="preserve">es instants de consommation </w:t>
      </w:r>
      <w:r w:rsidR="00606A3E">
        <w:rPr>
          <w:b w:val="0"/>
        </w:rPr>
        <w:t>de type snacking ou en-cas salé alors que ces offres s</w:t>
      </w:r>
      <w:r w:rsidR="00FB5336">
        <w:rPr>
          <w:b w:val="0"/>
        </w:rPr>
        <w:t>e développent</w:t>
      </w:r>
      <w:r w:rsidR="00606A3E">
        <w:rPr>
          <w:b w:val="0"/>
        </w:rPr>
        <w:t xml:space="preserve"> (charcuterie sèche),</w:t>
      </w:r>
    </w:p>
    <w:p w14:paraId="56A0C965" w14:textId="6FD1BF7D" w:rsidR="00A02604" w:rsidRDefault="00687DD7" w:rsidP="00DB0E84">
      <w:pPr>
        <w:pStyle w:val="ValrieN2"/>
        <w:numPr>
          <w:ilvl w:val="0"/>
          <w:numId w:val="7"/>
        </w:numPr>
        <w:spacing w:after="0"/>
        <w:ind w:left="357" w:hanging="357"/>
        <w:rPr>
          <w:b w:val="0"/>
        </w:rPr>
      </w:pPr>
      <w:r w:rsidRPr="00DB0E84">
        <w:rPr>
          <w:b w:val="0"/>
        </w:rPr>
        <w:t>La</w:t>
      </w:r>
      <w:r w:rsidR="00070465" w:rsidRPr="00DB0E84">
        <w:rPr>
          <w:b w:val="0"/>
        </w:rPr>
        <w:t xml:space="preserve"> </w:t>
      </w:r>
      <w:r w:rsidR="00411349" w:rsidRPr="00DB0E84">
        <w:rPr>
          <w:b w:val="0"/>
        </w:rPr>
        <w:t>non</w:t>
      </w:r>
      <w:r w:rsidR="00AD5A4D">
        <w:rPr>
          <w:b w:val="0"/>
        </w:rPr>
        <w:t>-</w:t>
      </w:r>
      <w:r w:rsidR="00411349" w:rsidRPr="00DB0E84">
        <w:rPr>
          <w:b w:val="0"/>
        </w:rPr>
        <w:t>comptabilisation</w:t>
      </w:r>
      <w:r w:rsidR="00070465" w:rsidRPr="00DB0E84">
        <w:rPr>
          <w:b w:val="0"/>
        </w:rPr>
        <w:t xml:space="preserve"> des ménages non ordinaires, associations, collectivités, touristes, professionnels</w:t>
      </w:r>
      <w:r w:rsidR="00F81176" w:rsidRPr="00DB0E84">
        <w:rPr>
          <w:b w:val="0"/>
        </w:rPr>
        <w:t xml:space="preserve"> et étudiants</w:t>
      </w:r>
      <w:r w:rsidR="00B937D5">
        <w:rPr>
          <w:b w:val="0"/>
        </w:rPr>
        <w:t xml:space="preserve"> : </w:t>
      </w:r>
    </w:p>
    <w:p w14:paraId="4D3F3A18" w14:textId="5CAC170B" w:rsidR="00A02604" w:rsidRPr="00966E79" w:rsidRDefault="00411349" w:rsidP="00966E79">
      <w:pPr>
        <w:pStyle w:val="ValrieN2"/>
        <w:numPr>
          <w:ilvl w:val="1"/>
          <w:numId w:val="7"/>
        </w:numPr>
        <w:spacing w:after="0"/>
        <w:rPr>
          <w:b w:val="0"/>
        </w:rPr>
      </w:pPr>
      <w:r w:rsidRPr="00DB0E84">
        <w:rPr>
          <w:b w:val="0"/>
        </w:rPr>
        <w:t>Selon l’</w:t>
      </w:r>
      <w:r w:rsidR="00C44E7B" w:rsidRPr="00DB0E84">
        <w:rPr>
          <w:b w:val="0"/>
        </w:rPr>
        <w:t>Insee,</w:t>
      </w:r>
      <w:r w:rsidRPr="00DB0E84">
        <w:rPr>
          <w:b w:val="0"/>
        </w:rPr>
        <w:t xml:space="preserve"> les étudiants représentent</w:t>
      </w:r>
      <w:r w:rsidR="00C44E7B" w:rsidRPr="00DB0E84">
        <w:rPr>
          <w:b w:val="0"/>
        </w:rPr>
        <w:t xml:space="preserve"> en 2018, </w:t>
      </w:r>
      <w:r w:rsidRPr="00DB0E84">
        <w:rPr>
          <w:b w:val="0"/>
        </w:rPr>
        <w:t>2,7 millions de consommateurs</w:t>
      </w:r>
      <w:r w:rsidR="00A02604">
        <w:rPr>
          <w:b w:val="0"/>
        </w:rPr>
        <w:t xml:space="preserve"> </w:t>
      </w:r>
      <w:r w:rsidR="002F71DD">
        <w:rPr>
          <w:b w:val="0"/>
        </w:rPr>
        <w:t>soit 4</w:t>
      </w:r>
      <w:r w:rsidR="00AD5A4D">
        <w:rPr>
          <w:b w:val="0"/>
        </w:rPr>
        <w:t> </w:t>
      </w:r>
      <w:r w:rsidR="002F71DD">
        <w:rPr>
          <w:b w:val="0"/>
        </w:rPr>
        <w:t>% de la population globale</w:t>
      </w:r>
      <w:r w:rsidR="00A81ACE">
        <w:rPr>
          <w:b w:val="0"/>
        </w:rPr>
        <w:t xml:space="preserve"> (6 millions de Français en France Métropolitaine)</w:t>
      </w:r>
      <w:r w:rsidR="002F71DD">
        <w:rPr>
          <w:b w:val="0"/>
        </w:rPr>
        <w:t xml:space="preserve"> </w:t>
      </w:r>
      <w:r w:rsidR="00B937D5">
        <w:rPr>
          <w:b w:val="0"/>
        </w:rPr>
        <w:t>pour lesquels</w:t>
      </w:r>
      <w:r w:rsidR="00A02604">
        <w:rPr>
          <w:b w:val="0"/>
        </w:rPr>
        <w:t xml:space="preserve"> une partie des repas</w:t>
      </w:r>
      <w:r w:rsidR="00B937D5">
        <w:rPr>
          <w:b w:val="0"/>
        </w:rPr>
        <w:t xml:space="preserve"> </w:t>
      </w:r>
      <w:r w:rsidR="00A02604">
        <w:rPr>
          <w:b w:val="0"/>
        </w:rPr>
        <w:t xml:space="preserve">est </w:t>
      </w:r>
      <w:r w:rsidR="00E232E9">
        <w:rPr>
          <w:b w:val="0"/>
        </w:rPr>
        <w:t xml:space="preserve">par ailleurs </w:t>
      </w:r>
      <w:r w:rsidR="00A02604">
        <w:rPr>
          <w:b w:val="0"/>
        </w:rPr>
        <w:t xml:space="preserve">comptabilisée en restauration </w:t>
      </w:r>
      <w:r w:rsidR="00E232E9">
        <w:rPr>
          <w:b w:val="0"/>
        </w:rPr>
        <w:t>hors</w:t>
      </w:r>
      <w:r w:rsidR="00A02604">
        <w:rPr>
          <w:b w:val="0"/>
        </w:rPr>
        <w:t xml:space="preserve"> domicile</w:t>
      </w:r>
      <w:r w:rsidR="00A02604" w:rsidRPr="00B937D5">
        <w:rPr>
          <w:b w:val="0"/>
        </w:rPr>
        <w:t>,</w:t>
      </w:r>
    </w:p>
    <w:p w14:paraId="79EBC5B9" w14:textId="1E7F6080" w:rsidR="00A02604" w:rsidRDefault="00411349" w:rsidP="00A02604">
      <w:pPr>
        <w:pStyle w:val="ValrieN2"/>
        <w:numPr>
          <w:ilvl w:val="1"/>
          <w:numId w:val="7"/>
        </w:numPr>
        <w:spacing w:after="0"/>
        <w:rPr>
          <w:b w:val="0"/>
        </w:rPr>
      </w:pPr>
      <w:r w:rsidRPr="00DB0E84">
        <w:rPr>
          <w:b w:val="0"/>
        </w:rPr>
        <w:t>En revanche, le</w:t>
      </w:r>
      <w:r w:rsidR="00A77B2E">
        <w:rPr>
          <w:b w:val="0"/>
        </w:rPr>
        <w:t xml:space="preserve"> segment des</w:t>
      </w:r>
      <w:r w:rsidRPr="00DB0E84">
        <w:rPr>
          <w:b w:val="0"/>
        </w:rPr>
        <w:t xml:space="preserve"> associations et collectivités qui s’approvisionne également massivement en cash and carry </w:t>
      </w:r>
      <w:r w:rsidR="00A77B2E">
        <w:rPr>
          <w:b w:val="0"/>
        </w:rPr>
        <w:t>est</w:t>
      </w:r>
      <w:r w:rsidRPr="00DB0E84">
        <w:rPr>
          <w:b w:val="0"/>
        </w:rPr>
        <w:t xml:space="preserve"> plutôt </w:t>
      </w:r>
      <w:r w:rsidR="002A33C4" w:rsidRPr="00DB0E84">
        <w:rPr>
          <w:b w:val="0"/>
        </w:rPr>
        <w:t>comptabilisé dans</w:t>
      </w:r>
      <w:r w:rsidRPr="00DB0E84">
        <w:rPr>
          <w:b w:val="0"/>
        </w:rPr>
        <w:t xml:space="preserve"> l’univers de la restauration hors domicile</w:t>
      </w:r>
      <w:r w:rsidR="00966E79">
        <w:rPr>
          <w:b w:val="0"/>
        </w:rPr>
        <w:t>,</w:t>
      </w:r>
    </w:p>
    <w:p w14:paraId="514FB8CE" w14:textId="77777777" w:rsidR="00AD5A4D" w:rsidRDefault="00411349" w:rsidP="00AD5A4D">
      <w:pPr>
        <w:pStyle w:val="ValrieN2"/>
        <w:numPr>
          <w:ilvl w:val="1"/>
          <w:numId w:val="7"/>
        </w:numPr>
        <w:spacing w:after="0"/>
        <w:rPr>
          <w:b w:val="0"/>
        </w:rPr>
      </w:pPr>
      <w:r w:rsidRPr="002F71DD">
        <w:rPr>
          <w:b w:val="0"/>
        </w:rPr>
        <w:t>Quant aux touristes,</w:t>
      </w:r>
      <w:r w:rsidR="00DB0E84" w:rsidRPr="002F71DD">
        <w:rPr>
          <w:b w:val="0"/>
        </w:rPr>
        <w:t xml:space="preserve"> </w:t>
      </w:r>
      <w:r w:rsidR="005265C1" w:rsidRPr="002F71DD">
        <w:rPr>
          <w:b w:val="0"/>
        </w:rPr>
        <w:t xml:space="preserve">ce sont </w:t>
      </w:r>
      <w:r w:rsidR="00C426B2" w:rsidRPr="002F71DD">
        <w:rPr>
          <w:b w:val="0"/>
        </w:rPr>
        <w:t xml:space="preserve">89,4 millions de touristes étrangers et 35,5 millions de touristes résidents français </w:t>
      </w:r>
      <w:r w:rsidR="005265C1" w:rsidRPr="002F71DD">
        <w:rPr>
          <w:b w:val="0"/>
        </w:rPr>
        <w:t xml:space="preserve">qui </w:t>
      </w:r>
      <w:r w:rsidR="002723C2" w:rsidRPr="002F71DD">
        <w:rPr>
          <w:b w:val="0"/>
        </w:rPr>
        <w:t xml:space="preserve">ont </w:t>
      </w:r>
      <w:r w:rsidR="00C426B2" w:rsidRPr="002F71DD">
        <w:rPr>
          <w:b w:val="0"/>
        </w:rPr>
        <w:t xml:space="preserve">été </w:t>
      </w:r>
      <w:r w:rsidR="00A77B2E" w:rsidRPr="002F71DD">
        <w:rPr>
          <w:b w:val="0"/>
        </w:rPr>
        <w:t>enregistr</w:t>
      </w:r>
      <w:r w:rsidR="00C426B2" w:rsidRPr="002F71DD">
        <w:rPr>
          <w:b w:val="0"/>
        </w:rPr>
        <w:t>é pour l’année 2018</w:t>
      </w:r>
      <w:r w:rsidR="00DB0E84" w:rsidRPr="002F71DD">
        <w:rPr>
          <w:b w:val="0"/>
        </w:rPr>
        <w:t>. L</w:t>
      </w:r>
      <w:r w:rsidR="00082EC2" w:rsidRPr="002F71DD">
        <w:rPr>
          <w:b w:val="0"/>
        </w:rPr>
        <w:t xml:space="preserve">’analyse de la structure des dépenses </w:t>
      </w:r>
      <w:r w:rsidR="00C426B2" w:rsidRPr="002F71DD">
        <w:rPr>
          <w:b w:val="0"/>
        </w:rPr>
        <w:t>p</w:t>
      </w:r>
      <w:r w:rsidR="00B7670C" w:rsidRPr="002F71DD">
        <w:rPr>
          <w:b w:val="0"/>
        </w:rPr>
        <w:t>our</w:t>
      </w:r>
      <w:r w:rsidR="00C426B2" w:rsidRPr="002F71DD">
        <w:rPr>
          <w:b w:val="0"/>
        </w:rPr>
        <w:t xml:space="preserve"> ces deux</w:t>
      </w:r>
      <w:r w:rsidR="00B7670C" w:rsidRPr="002F71DD">
        <w:rPr>
          <w:b w:val="0"/>
        </w:rPr>
        <w:t xml:space="preserve"> catégories</w:t>
      </w:r>
      <w:r w:rsidR="00C426B2" w:rsidRPr="002F71DD">
        <w:rPr>
          <w:b w:val="0"/>
        </w:rPr>
        <w:t xml:space="preserve">, </w:t>
      </w:r>
      <w:r w:rsidR="00DB0E84" w:rsidRPr="002F71DD">
        <w:rPr>
          <w:b w:val="0"/>
        </w:rPr>
        <w:t xml:space="preserve">donne </w:t>
      </w:r>
      <w:r w:rsidR="00B7670C" w:rsidRPr="002F71DD">
        <w:rPr>
          <w:b w:val="0"/>
        </w:rPr>
        <w:t xml:space="preserve">13,4 milliards d’euros courants </w:t>
      </w:r>
      <w:r w:rsidR="00C426B2" w:rsidRPr="002F71DD">
        <w:rPr>
          <w:b w:val="0"/>
        </w:rPr>
        <w:t xml:space="preserve">pour la consommation de boissons et aliments hors restaurant et bar, </w:t>
      </w:r>
      <w:r w:rsidR="00DB0E84" w:rsidRPr="002F71DD">
        <w:rPr>
          <w:b w:val="0"/>
        </w:rPr>
        <w:t xml:space="preserve">selon la DGE </w:t>
      </w:r>
      <w:r w:rsidR="00A77B2E" w:rsidRPr="002F71DD">
        <w:rPr>
          <w:b w:val="0"/>
        </w:rPr>
        <w:t>(Direction Générale des Entreprises)</w:t>
      </w:r>
      <w:r w:rsidR="00B7670C" w:rsidRPr="002F71DD">
        <w:rPr>
          <w:b w:val="0"/>
        </w:rPr>
        <w:t>. Ce chiffre e</w:t>
      </w:r>
      <w:r w:rsidR="005265C1" w:rsidRPr="002F71DD">
        <w:rPr>
          <w:b w:val="0"/>
        </w:rPr>
        <w:t>st à pondérer au regard</w:t>
      </w:r>
      <w:r w:rsidR="00A77B2E" w:rsidRPr="002F71DD">
        <w:rPr>
          <w:b w:val="0"/>
        </w:rPr>
        <w:t xml:space="preserve"> de</w:t>
      </w:r>
      <w:r w:rsidR="00C426B2" w:rsidRPr="002F71DD">
        <w:rPr>
          <w:b w:val="0"/>
        </w:rPr>
        <w:t xml:space="preserve">s </w:t>
      </w:r>
      <w:r w:rsidR="00A02604" w:rsidRPr="002F71DD">
        <w:rPr>
          <w:b w:val="0"/>
        </w:rPr>
        <w:t xml:space="preserve">162,2 </w:t>
      </w:r>
      <w:r w:rsidR="00C426B2" w:rsidRPr="002F71DD">
        <w:rPr>
          <w:b w:val="0"/>
        </w:rPr>
        <w:t>milliards d’euros</w:t>
      </w:r>
      <w:r w:rsidR="00A77B2E" w:rsidRPr="002F71DD">
        <w:rPr>
          <w:b w:val="0"/>
        </w:rPr>
        <w:t xml:space="preserve"> </w:t>
      </w:r>
      <w:r w:rsidR="00A02604" w:rsidRPr="002F71DD">
        <w:rPr>
          <w:b w:val="0"/>
        </w:rPr>
        <w:t>de la</w:t>
      </w:r>
      <w:r w:rsidR="00A77B2E" w:rsidRPr="002F71DD">
        <w:rPr>
          <w:b w:val="0"/>
        </w:rPr>
        <w:t xml:space="preserve"> consommation </w:t>
      </w:r>
      <w:r w:rsidR="00A02604" w:rsidRPr="002F71DD">
        <w:rPr>
          <w:b w:val="0"/>
        </w:rPr>
        <w:t>alimentaire et boissons</w:t>
      </w:r>
      <w:r w:rsidR="00E232E9">
        <w:rPr>
          <w:b w:val="0"/>
        </w:rPr>
        <w:t xml:space="preserve"> au total France</w:t>
      </w:r>
      <w:r w:rsidR="00A02604" w:rsidRPr="002F71DD">
        <w:rPr>
          <w:b w:val="0"/>
        </w:rPr>
        <w:t xml:space="preserve"> (Insee)</w:t>
      </w:r>
      <w:r w:rsidR="002F71DD">
        <w:rPr>
          <w:b w:val="0"/>
        </w:rPr>
        <w:t xml:space="preserve">. </w:t>
      </w:r>
    </w:p>
    <w:p w14:paraId="60C3D634" w14:textId="73ABBABC" w:rsidR="00B7670C" w:rsidRPr="00AD5A4D" w:rsidRDefault="00B937D5" w:rsidP="00AD5A4D">
      <w:pPr>
        <w:pStyle w:val="ValrieN2"/>
        <w:spacing w:after="0"/>
        <w:ind w:left="426"/>
        <w:rPr>
          <w:b w:val="0"/>
        </w:rPr>
      </w:pPr>
      <w:r w:rsidRPr="00AD5A4D">
        <w:rPr>
          <w:b w:val="0"/>
        </w:rPr>
        <w:t xml:space="preserve">En conclusion, </w:t>
      </w:r>
      <w:r w:rsidR="002F71DD" w:rsidRPr="00AD5A4D">
        <w:rPr>
          <w:b w:val="0"/>
        </w:rPr>
        <w:t>la non</w:t>
      </w:r>
      <w:r w:rsidR="00AD5A4D">
        <w:rPr>
          <w:b w:val="0"/>
        </w:rPr>
        <w:t>-</w:t>
      </w:r>
      <w:r w:rsidR="002F71DD" w:rsidRPr="00AD5A4D">
        <w:rPr>
          <w:b w:val="0"/>
        </w:rPr>
        <w:t xml:space="preserve">prise en compte de ces ménages non ordinaires </w:t>
      </w:r>
      <w:r w:rsidR="00F61265" w:rsidRPr="00AD5A4D">
        <w:rPr>
          <w:b w:val="0"/>
        </w:rPr>
        <w:t xml:space="preserve">peut </w:t>
      </w:r>
      <w:r w:rsidR="00AD5A4D">
        <w:rPr>
          <w:b w:val="0"/>
        </w:rPr>
        <w:t xml:space="preserve">induire des écarts sur des catégories particulières notamment les catégories lardons poitrine bacon et saucisserie. </w:t>
      </w:r>
    </w:p>
    <w:p w14:paraId="6E5FAF8E" w14:textId="5569ED2C" w:rsidR="00261D08" w:rsidRDefault="00261D08" w:rsidP="00261D08">
      <w:pPr>
        <w:pStyle w:val="Titre4"/>
      </w:pPr>
      <w:bookmarkStart w:id="156" w:name="_Toc78131595"/>
      <w:r>
        <w:t>3.4.</w:t>
      </w:r>
      <w:r w:rsidR="0005199E">
        <w:t>3</w:t>
      </w:r>
      <w:r>
        <w:t xml:space="preserve">.2. Les biais liés à la diffusion par circuit </w:t>
      </w:r>
      <w:r w:rsidR="00F61265">
        <w:t>selon les catégories de</w:t>
      </w:r>
      <w:r>
        <w:t xml:space="preserve"> produits</w:t>
      </w:r>
      <w:bookmarkEnd w:id="156"/>
      <w:r>
        <w:t xml:space="preserve"> </w:t>
      </w:r>
    </w:p>
    <w:p w14:paraId="595D5AE8" w14:textId="6EE042CB" w:rsidR="00F61265" w:rsidRPr="00F61265" w:rsidRDefault="00261D08" w:rsidP="0002537E">
      <w:r>
        <w:t>Par ailleurs sur le plan des produits, Kantar estime que l</w:t>
      </w:r>
      <w:r w:rsidRPr="00B7670C">
        <w:t xml:space="preserve">e taux de </w:t>
      </w:r>
      <w:r>
        <w:t>c</w:t>
      </w:r>
      <w:r w:rsidRPr="00B7670C">
        <w:t xml:space="preserve">ouverture </w:t>
      </w:r>
      <w:r>
        <w:t xml:space="preserve">du panel </w:t>
      </w:r>
      <w:r w:rsidRPr="00B7670C">
        <w:t>n’est pas un indicateur de performance d</w:t>
      </w:r>
      <w:r>
        <w:t>e celui-ci</w:t>
      </w:r>
      <w:r w:rsidRPr="00B7670C">
        <w:t xml:space="preserve"> mais bien un indicateur du type de consommation d’une catégorie</w:t>
      </w:r>
      <w:r>
        <w:t xml:space="preserve"> </w:t>
      </w:r>
      <w:r w:rsidR="00E232E9">
        <w:t xml:space="preserve">de produits </w:t>
      </w:r>
      <w:r>
        <w:t xml:space="preserve">sur le </w:t>
      </w:r>
      <w:r w:rsidR="00E232E9">
        <w:t>marché</w:t>
      </w:r>
      <w:r>
        <w:t xml:space="preserve"> à domicile avec </w:t>
      </w:r>
      <w:r w:rsidR="00B7670C" w:rsidRPr="00B7670C">
        <w:t xml:space="preserve">des taux de couverture proches de 100 </w:t>
      </w:r>
      <w:r w:rsidR="00E232E9">
        <w:t>pour</w:t>
      </w:r>
      <w:r w:rsidR="00B7670C" w:rsidRPr="00B7670C">
        <w:t xml:space="preserve"> des </w:t>
      </w:r>
      <w:r w:rsidR="00E232E9">
        <w:t>produits</w:t>
      </w:r>
      <w:r w:rsidR="00B7670C" w:rsidRPr="00B7670C">
        <w:t xml:space="preserve"> « sédentaires »</w:t>
      </w:r>
      <w:r>
        <w:t xml:space="preserve"> ou</w:t>
      </w:r>
      <w:r w:rsidR="00B7670C" w:rsidRPr="00B7670C">
        <w:t xml:space="preserve"> faiblement achetés sur les lieux de vacances</w:t>
      </w:r>
      <w:r>
        <w:t xml:space="preserve"> et de</w:t>
      </w:r>
      <w:r w:rsidR="00B7670C" w:rsidRPr="00B7670C">
        <w:t xml:space="preserve"> </w:t>
      </w:r>
      <w:r>
        <w:t>week</w:t>
      </w:r>
      <w:r w:rsidR="007F4C88">
        <w:t>-</w:t>
      </w:r>
      <w:r>
        <w:t>end. Par opposition, les niveaux de couverture seraient</w:t>
      </w:r>
      <w:r w:rsidR="00B7670C" w:rsidRPr="00B7670C">
        <w:t xml:space="preserve"> moins élevés sur des marchés où la conso</w:t>
      </w:r>
      <w:r>
        <w:t>mmation</w:t>
      </w:r>
      <w:r w:rsidR="00B7670C" w:rsidRPr="00B7670C">
        <w:t xml:space="preserve"> hors domicile</w:t>
      </w:r>
      <w:r>
        <w:t xml:space="preserve">, </w:t>
      </w:r>
      <w:r w:rsidR="00B7670C" w:rsidRPr="00B7670C">
        <w:t xml:space="preserve">les achats </w:t>
      </w:r>
      <w:r>
        <w:t xml:space="preserve">en </w:t>
      </w:r>
      <w:r w:rsidR="00B7670C" w:rsidRPr="00B7670C">
        <w:t xml:space="preserve">vacances, </w:t>
      </w:r>
      <w:r w:rsidR="00F61265">
        <w:t>en week</w:t>
      </w:r>
      <w:r w:rsidR="007F4C88">
        <w:t>-</w:t>
      </w:r>
      <w:r w:rsidR="00F61265">
        <w:t>end, sont</w:t>
      </w:r>
      <w:r>
        <w:t xml:space="preserve"> importants. Ainsi, afin d’illustrer le propos, le taux de couverture des sandwiches serait inférieur à 50</w:t>
      </w:r>
      <w:r w:rsidR="00AD5A4D">
        <w:t> </w:t>
      </w:r>
      <w:r>
        <w:t>% alors que celui du jambon cuit atteindrait 90</w:t>
      </w:r>
      <w:r w:rsidR="00AD5A4D">
        <w:t> </w:t>
      </w:r>
      <w:r>
        <w:t xml:space="preserve">%. </w:t>
      </w:r>
      <w:r w:rsidR="00E232E9">
        <w:t>De même</w:t>
      </w:r>
      <w:r w:rsidR="00F61265">
        <w:t>, la saucisserie avec d</w:t>
      </w:r>
      <w:r w:rsidR="00F61265" w:rsidRPr="00F61265">
        <w:t xml:space="preserve">es produits plus saisonniers </w:t>
      </w:r>
      <w:r w:rsidR="00F61265">
        <w:t>et</w:t>
      </w:r>
      <w:r w:rsidR="00F61265" w:rsidRPr="00F61265">
        <w:t xml:space="preserve"> une consommation </w:t>
      </w:r>
      <w:r w:rsidR="0051573F">
        <w:t>plus</w:t>
      </w:r>
      <w:r w:rsidR="00F61265" w:rsidRPr="00F61265">
        <w:t xml:space="preserve"> forte en vacances</w:t>
      </w:r>
      <w:r w:rsidR="00F61265">
        <w:t>,</w:t>
      </w:r>
      <w:r w:rsidR="00F61265" w:rsidRPr="00F61265">
        <w:t xml:space="preserve"> </w:t>
      </w:r>
      <w:r w:rsidR="00F61265">
        <w:t>présenterait un</w:t>
      </w:r>
      <w:r w:rsidR="00F61265" w:rsidRPr="00F61265">
        <w:t xml:space="preserve"> taux de couverture</w:t>
      </w:r>
      <w:r w:rsidR="00F61265">
        <w:t xml:space="preserve"> de l’ordre de 60</w:t>
      </w:r>
      <w:r w:rsidR="00AD5A4D">
        <w:t> </w:t>
      </w:r>
      <w:r w:rsidR="00F61265">
        <w:t>%</w:t>
      </w:r>
      <w:r w:rsidR="00F61265" w:rsidRPr="00F61265">
        <w:t>.</w:t>
      </w:r>
      <w:r w:rsidR="0051573F">
        <w:t xml:space="preserve"> L’approche par enquête développée dans la seconde partie du rapport aura pour objectif de favoriser une approche du taux de couverture du marché des viandes et de la charcuterie salaison. </w:t>
      </w:r>
    </w:p>
    <w:p w14:paraId="4F71161B" w14:textId="4C52232E" w:rsidR="00261D08" w:rsidRPr="007A6133" w:rsidRDefault="00261D08" w:rsidP="0002537E">
      <w:pPr>
        <w:pStyle w:val="Titre3"/>
      </w:pPr>
      <w:bookmarkStart w:id="157" w:name="_Toc78131596"/>
      <w:r w:rsidRPr="001E3D08">
        <w:t>3.4.</w:t>
      </w:r>
      <w:r w:rsidR="003D0843">
        <w:t>4.</w:t>
      </w:r>
      <w:r w:rsidRPr="001E3D08">
        <w:t xml:space="preserve"> </w:t>
      </w:r>
      <w:r>
        <w:t xml:space="preserve">Les limites </w:t>
      </w:r>
      <w:r w:rsidR="00461F39">
        <w:t>liées à la nomenclature des produits</w:t>
      </w:r>
      <w:r>
        <w:t xml:space="preserve"> :</w:t>
      </w:r>
      <w:bookmarkEnd w:id="157"/>
      <w:r>
        <w:t xml:space="preserve"> </w:t>
      </w:r>
    </w:p>
    <w:p w14:paraId="32557523" w14:textId="41704787" w:rsidR="00335ECC" w:rsidRDefault="002B057C" w:rsidP="009A4423">
      <w:pPr>
        <w:pStyle w:val="ValrieN2"/>
        <w:spacing w:after="0"/>
        <w:ind w:left="0"/>
        <w:rPr>
          <w:b w:val="0"/>
        </w:rPr>
      </w:pPr>
      <w:r w:rsidRPr="002B057C">
        <w:rPr>
          <w:b w:val="0"/>
        </w:rPr>
        <w:t xml:space="preserve">Les données </w:t>
      </w:r>
      <w:r>
        <w:rPr>
          <w:b w:val="0"/>
        </w:rPr>
        <w:t>issues du panel Kantar s’inscrivent dans</w:t>
      </w:r>
      <w:r w:rsidRPr="002B057C">
        <w:rPr>
          <w:b w:val="0"/>
        </w:rPr>
        <w:t xml:space="preserve"> </w:t>
      </w:r>
      <w:r w:rsidR="002973DE">
        <w:rPr>
          <w:b w:val="0"/>
        </w:rPr>
        <w:t>une</w:t>
      </w:r>
      <w:r w:rsidRPr="002B057C">
        <w:rPr>
          <w:b w:val="0"/>
        </w:rPr>
        <w:t xml:space="preserve"> nomenclature </w:t>
      </w:r>
      <w:r w:rsidR="002973DE">
        <w:rPr>
          <w:b w:val="0"/>
        </w:rPr>
        <w:t xml:space="preserve">de produits </w:t>
      </w:r>
      <w:r>
        <w:rPr>
          <w:b w:val="0"/>
        </w:rPr>
        <w:t>qui présente de</w:t>
      </w:r>
      <w:r w:rsidR="002973DE">
        <w:rPr>
          <w:b w:val="0"/>
        </w:rPr>
        <w:t>s</w:t>
      </w:r>
      <w:r>
        <w:rPr>
          <w:b w:val="0"/>
        </w:rPr>
        <w:t xml:space="preserve"> limites</w:t>
      </w:r>
      <w:r w:rsidR="005C28D8">
        <w:rPr>
          <w:b w:val="0"/>
        </w:rPr>
        <w:t xml:space="preserve"> </w:t>
      </w:r>
      <w:r w:rsidR="00DC74A4">
        <w:rPr>
          <w:b w:val="0"/>
        </w:rPr>
        <w:t>et</w:t>
      </w:r>
      <w:r w:rsidR="009A4423">
        <w:rPr>
          <w:b w:val="0"/>
        </w:rPr>
        <w:t xml:space="preserve"> peut</w:t>
      </w:r>
      <w:r w:rsidR="005C28D8">
        <w:rPr>
          <w:b w:val="0"/>
        </w:rPr>
        <w:t xml:space="preserve"> par ailleurs</w:t>
      </w:r>
      <w:r w:rsidR="00DC74A4">
        <w:rPr>
          <w:b w:val="0"/>
        </w:rPr>
        <w:t xml:space="preserve"> être relativement éloignée de la segment</w:t>
      </w:r>
      <w:r w:rsidR="003B2C9B">
        <w:rPr>
          <w:b w:val="0"/>
        </w:rPr>
        <w:t>ation catégorielle telle que déployée par les enseignes</w:t>
      </w:r>
      <w:r w:rsidR="001E40E0">
        <w:rPr>
          <w:b w:val="0"/>
        </w:rPr>
        <w:t xml:space="preserve"> </w:t>
      </w:r>
      <w:r w:rsidR="00AE60A8">
        <w:rPr>
          <w:b w:val="0"/>
        </w:rPr>
        <w:t xml:space="preserve">de </w:t>
      </w:r>
      <w:r w:rsidR="009A4423">
        <w:rPr>
          <w:b w:val="0"/>
        </w:rPr>
        <w:t xml:space="preserve">la </w:t>
      </w:r>
      <w:r w:rsidR="00AE60A8">
        <w:rPr>
          <w:b w:val="0"/>
        </w:rPr>
        <w:t>grande distribution</w:t>
      </w:r>
      <w:r w:rsidR="009A4423">
        <w:rPr>
          <w:b w:val="0"/>
        </w:rPr>
        <w:t xml:space="preserve"> alimentaire</w:t>
      </w:r>
      <w:r w:rsidR="00AE60A8">
        <w:rPr>
          <w:b w:val="0"/>
        </w:rPr>
        <w:t xml:space="preserve"> </w:t>
      </w:r>
      <w:r w:rsidR="00335ECC">
        <w:rPr>
          <w:b w:val="0"/>
        </w:rPr>
        <w:t xml:space="preserve">: </w:t>
      </w:r>
    </w:p>
    <w:p w14:paraId="2AD2B6D8" w14:textId="19C7EAA9" w:rsidR="00BF0675" w:rsidRPr="00375D80" w:rsidRDefault="005D417F" w:rsidP="00375D80">
      <w:pPr>
        <w:pStyle w:val="ValrieN2"/>
        <w:spacing w:before="120" w:after="120"/>
        <w:ind w:left="0" w:firstLine="709"/>
        <w:rPr>
          <w:b w:val="0"/>
        </w:rPr>
      </w:pPr>
      <w:r>
        <w:rPr>
          <w:b w:val="0"/>
        </w:rPr>
        <w:t>a/</w:t>
      </w:r>
      <w:r w:rsidR="00335ECC">
        <w:rPr>
          <w:b w:val="0"/>
        </w:rPr>
        <w:t xml:space="preserve"> </w:t>
      </w:r>
      <w:r w:rsidR="00AD5A4D">
        <w:rPr>
          <w:b w:val="0"/>
        </w:rPr>
        <w:t>L</w:t>
      </w:r>
      <w:r w:rsidR="00DC74A4">
        <w:rPr>
          <w:b w:val="0"/>
        </w:rPr>
        <w:t xml:space="preserve">’agrégation </w:t>
      </w:r>
      <w:r w:rsidR="005C28D8">
        <w:rPr>
          <w:b w:val="0"/>
        </w:rPr>
        <w:t>de produits multi</w:t>
      </w:r>
      <w:r w:rsidR="00AD5A4D">
        <w:rPr>
          <w:b w:val="0"/>
        </w:rPr>
        <w:t>-</w:t>
      </w:r>
      <w:r w:rsidR="005C28D8">
        <w:rPr>
          <w:b w:val="0"/>
        </w:rPr>
        <w:t>espèces</w:t>
      </w:r>
      <w:r w:rsidR="00AD5A4D">
        <w:rPr>
          <w:b w:val="0"/>
        </w:rPr>
        <w:t xml:space="preserve"> </w:t>
      </w:r>
      <w:r w:rsidR="007D19D3">
        <w:rPr>
          <w:b w:val="0"/>
        </w:rPr>
        <w:t>qui concerne l</w:t>
      </w:r>
      <w:r w:rsidR="00D20B85">
        <w:rPr>
          <w:b w:val="0"/>
        </w:rPr>
        <w:t xml:space="preserve">es élaborés de viande </w:t>
      </w:r>
      <w:r w:rsidR="00771AF2">
        <w:rPr>
          <w:b w:val="0"/>
        </w:rPr>
        <w:t>représente</w:t>
      </w:r>
      <w:r w:rsidR="009A4423">
        <w:rPr>
          <w:b w:val="0"/>
        </w:rPr>
        <w:t xml:space="preserve"> </w:t>
      </w:r>
      <w:r w:rsidR="00375D80">
        <w:rPr>
          <w:b w:val="0"/>
        </w:rPr>
        <w:t>13</w:t>
      </w:r>
      <w:r w:rsidR="009A4423">
        <w:rPr>
          <w:b w:val="0"/>
        </w:rPr>
        <w:t>,</w:t>
      </w:r>
      <w:r w:rsidR="00375D80">
        <w:rPr>
          <w:b w:val="0"/>
        </w:rPr>
        <w:t>1</w:t>
      </w:r>
      <w:r w:rsidR="007C77D7">
        <w:rPr>
          <w:b w:val="0"/>
        </w:rPr>
        <w:t> </w:t>
      </w:r>
      <w:r w:rsidR="009A4423">
        <w:rPr>
          <w:b w:val="0"/>
        </w:rPr>
        <w:t>kt pour l’année 2018 à rapprocher des 53</w:t>
      </w:r>
      <w:r w:rsidR="007C77D7">
        <w:rPr>
          <w:b w:val="0"/>
        </w:rPr>
        <w:t> </w:t>
      </w:r>
      <w:r w:rsidR="009A4423">
        <w:rPr>
          <w:b w:val="0"/>
        </w:rPr>
        <w:t>kt du total viande de porc élaborée.</w:t>
      </w:r>
    </w:p>
    <w:tbl>
      <w:tblPr>
        <w:tblW w:w="6946" w:type="dxa"/>
        <w:jc w:val="center"/>
        <w:tblCellMar>
          <w:left w:w="70" w:type="dxa"/>
          <w:right w:w="70" w:type="dxa"/>
        </w:tblCellMar>
        <w:tblLook w:val="04A0" w:firstRow="1" w:lastRow="0" w:firstColumn="1" w:lastColumn="0" w:noHBand="0" w:noVBand="1"/>
      </w:tblPr>
      <w:tblGrid>
        <w:gridCol w:w="5352"/>
        <w:gridCol w:w="1594"/>
      </w:tblGrid>
      <w:tr w:rsidR="00BF0675" w:rsidRPr="00BF0675" w14:paraId="6D0BA50A" w14:textId="77777777" w:rsidTr="00375D80">
        <w:trPr>
          <w:trHeight w:val="315"/>
          <w:jc w:val="center"/>
        </w:trPr>
        <w:tc>
          <w:tcPr>
            <w:tcW w:w="5352" w:type="dxa"/>
            <w:tcBorders>
              <w:top w:val="single" w:sz="4" w:space="0" w:color="000000"/>
              <w:left w:val="single" w:sz="4" w:space="0" w:color="000000"/>
              <w:bottom w:val="single" w:sz="8" w:space="0" w:color="000000"/>
              <w:right w:val="single" w:sz="4" w:space="0" w:color="000000"/>
            </w:tcBorders>
            <w:shd w:val="clear" w:color="auto" w:fill="auto"/>
            <w:noWrap/>
            <w:vAlign w:val="center"/>
            <w:hideMark/>
          </w:tcPr>
          <w:p w14:paraId="1CA2933F" w14:textId="77777777" w:rsidR="00BF0675" w:rsidRPr="002A7AF4" w:rsidRDefault="00BF0675" w:rsidP="007C77D7">
            <w:pPr>
              <w:keepNext/>
              <w:spacing w:after="0" w:line="240" w:lineRule="auto"/>
              <w:jc w:val="left"/>
              <w:rPr>
                <w:rFonts w:eastAsia="Times New Roman" w:cs="Arial"/>
                <w:b/>
                <w:bCs/>
                <w:color w:val="000000"/>
                <w:sz w:val="20"/>
                <w:szCs w:val="20"/>
                <w:lang w:eastAsia="fr-FR"/>
              </w:rPr>
            </w:pPr>
            <w:r w:rsidRPr="002A7AF4">
              <w:rPr>
                <w:rFonts w:eastAsia="Times New Roman" w:cs="Arial"/>
                <w:b/>
                <w:bCs/>
                <w:color w:val="000000"/>
                <w:sz w:val="20"/>
                <w:szCs w:val="20"/>
                <w:lang w:eastAsia="fr-FR"/>
              </w:rPr>
              <w:lastRenderedPageBreak/>
              <w:t>Total Viandes élaborées multi espèces</w:t>
            </w:r>
          </w:p>
        </w:tc>
        <w:tc>
          <w:tcPr>
            <w:tcW w:w="1594" w:type="dxa"/>
            <w:tcBorders>
              <w:top w:val="single" w:sz="4" w:space="0" w:color="000000"/>
              <w:left w:val="nil"/>
              <w:bottom w:val="single" w:sz="8" w:space="0" w:color="000000"/>
              <w:right w:val="single" w:sz="4" w:space="0" w:color="000000"/>
            </w:tcBorders>
            <w:shd w:val="clear" w:color="auto" w:fill="auto"/>
            <w:noWrap/>
            <w:vAlign w:val="center"/>
            <w:hideMark/>
          </w:tcPr>
          <w:p w14:paraId="23F79B40" w14:textId="3BA37968" w:rsidR="00BF0675" w:rsidRPr="002A7AF4" w:rsidRDefault="00BF0675" w:rsidP="007C77D7">
            <w:pPr>
              <w:keepNext/>
              <w:spacing w:after="0" w:line="240" w:lineRule="auto"/>
              <w:jc w:val="center"/>
              <w:rPr>
                <w:rFonts w:eastAsia="Times New Roman" w:cs="Arial"/>
                <w:b/>
                <w:bCs/>
                <w:color w:val="000000"/>
                <w:sz w:val="20"/>
                <w:szCs w:val="20"/>
                <w:lang w:eastAsia="fr-FR"/>
              </w:rPr>
            </w:pPr>
            <w:r w:rsidRPr="002A7AF4">
              <w:rPr>
                <w:rFonts w:eastAsia="Times New Roman" w:cs="Arial"/>
                <w:b/>
                <w:bCs/>
                <w:color w:val="000000"/>
                <w:sz w:val="20"/>
                <w:szCs w:val="20"/>
                <w:lang w:eastAsia="fr-FR"/>
              </w:rPr>
              <w:t>13,1</w:t>
            </w:r>
          </w:p>
        </w:tc>
      </w:tr>
      <w:tr w:rsidR="00BF0675" w:rsidRPr="00BF0675" w14:paraId="65D4BACB" w14:textId="77777777" w:rsidTr="00375D80">
        <w:trPr>
          <w:trHeight w:val="300"/>
          <w:jc w:val="center"/>
        </w:trPr>
        <w:tc>
          <w:tcPr>
            <w:tcW w:w="5352" w:type="dxa"/>
            <w:tcBorders>
              <w:top w:val="nil"/>
              <w:left w:val="single" w:sz="4" w:space="0" w:color="000000"/>
              <w:bottom w:val="single" w:sz="4" w:space="0" w:color="000000"/>
              <w:right w:val="single" w:sz="4" w:space="0" w:color="000000"/>
            </w:tcBorders>
            <w:shd w:val="clear" w:color="D9D9D9" w:fill="D9D9D9"/>
            <w:noWrap/>
            <w:vAlign w:val="center"/>
            <w:hideMark/>
          </w:tcPr>
          <w:p w14:paraId="72C752B6" w14:textId="0EBC87F1"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Elabor</w:t>
            </w:r>
            <w:r w:rsidR="00E232E9">
              <w:rPr>
                <w:rFonts w:eastAsia="Times New Roman" w:cs="Arial"/>
                <w:color w:val="000000"/>
                <w:sz w:val="20"/>
                <w:szCs w:val="20"/>
                <w:lang w:eastAsia="fr-FR"/>
              </w:rPr>
              <w:t>é</w:t>
            </w:r>
            <w:r w:rsidRPr="002A7AF4">
              <w:rPr>
                <w:rFonts w:eastAsia="Times New Roman" w:cs="Arial"/>
                <w:color w:val="000000"/>
                <w:sz w:val="20"/>
                <w:szCs w:val="20"/>
                <w:lang w:eastAsia="fr-FR"/>
              </w:rPr>
              <w:t xml:space="preserve">s </w:t>
            </w:r>
            <w:r w:rsidR="00375D80" w:rsidRPr="002A7AF4">
              <w:rPr>
                <w:rFonts w:eastAsia="Times New Roman" w:cs="Arial"/>
                <w:color w:val="000000"/>
                <w:sz w:val="20"/>
                <w:szCs w:val="20"/>
                <w:lang w:eastAsia="fr-FR"/>
              </w:rPr>
              <w:t>d</w:t>
            </w:r>
            <w:r w:rsidRPr="002A7AF4">
              <w:rPr>
                <w:rFonts w:eastAsia="Times New Roman" w:cs="Arial"/>
                <w:color w:val="000000"/>
                <w:sz w:val="20"/>
                <w:szCs w:val="20"/>
                <w:lang w:eastAsia="fr-FR"/>
              </w:rPr>
              <w:t>e Viandes Saucisses - Assortiment</w:t>
            </w:r>
          </w:p>
        </w:tc>
        <w:tc>
          <w:tcPr>
            <w:tcW w:w="1594" w:type="dxa"/>
            <w:tcBorders>
              <w:top w:val="single" w:sz="4" w:space="0" w:color="000000"/>
              <w:left w:val="nil"/>
              <w:bottom w:val="single" w:sz="4" w:space="0" w:color="000000"/>
              <w:right w:val="single" w:sz="4" w:space="0" w:color="000000"/>
            </w:tcBorders>
            <w:shd w:val="clear" w:color="D9D9D9" w:fill="D9D9D9"/>
            <w:noWrap/>
            <w:vAlign w:val="center"/>
            <w:hideMark/>
          </w:tcPr>
          <w:p w14:paraId="63BD077A" w14:textId="09756320"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3,1</w:t>
            </w:r>
          </w:p>
        </w:tc>
      </w:tr>
      <w:tr w:rsidR="00BF0675" w:rsidRPr="00BF0675" w14:paraId="77A8AA4D" w14:textId="77777777" w:rsidTr="00375D80">
        <w:trPr>
          <w:trHeight w:val="300"/>
          <w:jc w:val="center"/>
        </w:trPr>
        <w:tc>
          <w:tcPr>
            <w:tcW w:w="5352" w:type="dxa"/>
            <w:tcBorders>
              <w:top w:val="nil"/>
              <w:left w:val="single" w:sz="4" w:space="0" w:color="auto"/>
              <w:bottom w:val="single" w:sz="4" w:space="0" w:color="auto"/>
              <w:right w:val="single" w:sz="4" w:space="0" w:color="auto"/>
            </w:tcBorders>
            <w:shd w:val="clear" w:color="auto" w:fill="auto"/>
            <w:noWrap/>
            <w:vAlign w:val="center"/>
            <w:hideMark/>
          </w:tcPr>
          <w:p w14:paraId="2D0EF808" w14:textId="6675D709"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 xml:space="preserve">Brochettes </w:t>
            </w:r>
            <w:r w:rsidR="00375D80" w:rsidRPr="002A7AF4">
              <w:rPr>
                <w:rFonts w:eastAsia="Times New Roman" w:cs="Arial"/>
                <w:color w:val="000000"/>
                <w:sz w:val="20"/>
                <w:szCs w:val="20"/>
                <w:lang w:eastAsia="fr-FR"/>
              </w:rPr>
              <w:t>–</w:t>
            </w:r>
            <w:r w:rsidRPr="002A7AF4">
              <w:rPr>
                <w:rFonts w:eastAsia="Times New Roman" w:cs="Arial"/>
                <w:color w:val="000000"/>
                <w:sz w:val="20"/>
                <w:szCs w:val="20"/>
                <w:lang w:eastAsia="fr-FR"/>
              </w:rPr>
              <w:t xml:space="preserve"> M</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lange</w:t>
            </w:r>
            <w:r w:rsidR="00375D80" w:rsidRPr="002A7AF4">
              <w:rPr>
                <w:rFonts w:eastAsia="Times New Roman" w:cs="Arial"/>
                <w:color w:val="000000"/>
                <w:sz w:val="20"/>
                <w:szCs w:val="20"/>
                <w:lang w:eastAsia="fr-FR"/>
              </w:rPr>
              <w:t xml:space="preserve"> de</w:t>
            </w:r>
            <w:r w:rsidRPr="002A7AF4">
              <w:rPr>
                <w:rFonts w:eastAsia="Times New Roman" w:cs="Arial"/>
                <w:color w:val="000000"/>
                <w:sz w:val="20"/>
                <w:szCs w:val="20"/>
                <w:lang w:eastAsia="fr-FR"/>
              </w:rPr>
              <w:t xml:space="preserve"> Viande</w:t>
            </w:r>
          </w:p>
        </w:tc>
        <w:tc>
          <w:tcPr>
            <w:tcW w:w="1594" w:type="dxa"/>
            <w:tcBorders>
              <w:top w:val="nil"/>
              <w:left w:val="nil"/>
              <w:bottom w:val="single" w:sz="4" w:space="0" w:color="000000"/>
              <w:right w:val="single" w:sz="4" w:space="0" w:color="000000"/>
            </w:tcBorders>
            <w:shd w:val="clear" w:color="auto" w:fill="auto"/>
            <w:noWrap/>
            <w:vAlign w:val="center"/>
            <w:hideMark/>
          </w:tcPr>
          <w:p w14:paraId="324E0F2B" w14:textId="77687C04"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1,0</w:t>
            </w:r>
          </w:p>
        </w:tc>
      </w:tr>
      <w:tr w:rsidR="00BF0675" w:rsidRPr="00BF0675" w14:paraId="0D59BD3C" w14:textId="77777777" w:rsidTr="00375D80">
        <w:trPr>
          <w:trHeight w:val="300"/>
          <w:jc w:val="center"/>
        </w:trPr>
        <w:tc>
          <w:tcPr>
            <w:tcW w:w="5352" w:type="dxa"/>
            <w:tcBorders>
              <w:top w:val="nil"/>
              <w:left w:val="single" w:sz="4" w:space="0" w:color="000000"/>
              <w:bottom w:val="single" w:sz="4" w:space="0" w:color="000000"/>
              <w:right w:val="single" w:sz="4" w:space="0" w:color="000000"/>
            </w:tcBorders>
            <w:shd w:val="clear" w:color="D9D9D9" w:fill="D9D9D9"/>
            <w:noWrap/>
            <w:vAlign w:val="center"/>
            <w:hideMark/>
          </w:tcPr>
          <w:p w14:paraId="1C9A4955" w14:textId="6C8421A1"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Plateau Grill/Barb</w:t>
            </w:r>
            <w:r w:rsidR="00375D80" w:rsidRPr="002A7AF4">
              <w:rPr>
                <w:rFonts w:eastAsia="Times New Roman" w:cs="Arial"/>
                <w:color w:val="000000"/>
                <w:sz w:val="20"/>
                <w:szCs w:val="20"/>
                <w:lang w:eastAsia="fr-FR"/>
              </w:rPr>
              <w:t>ecue</w:t>
            </w:r>
            <w:r w:rsidRPr="002A7AF4">
              <w:rPr>
                <w:rFonts w:eastAsia="Times New Roman" w:cs="Arial"/>
                <w:color w:val="000000"/>
                <w:sz w:val="20"/>
                <w:szCs w:val="20"/>
                <w:lang w:eastAsia="fr-FR"/>
              </w:rPr>
              <w:t xml:space="preserve"> - M</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 xml:space="preserve">lange </w:t>
            </w:r>
            <w:r w:rsidR="00375D80" w:rsidRPr="002A7AF4">
              <w:rPr>
                <w:rFonts w:eastAsia="Times New Roman" w:cs="Arial"/>
                <w:color w:val="000000"/>
                <w:sz w:val="20"/>
                <w:szCs w:val="20"/>
                <w:lang w:eastAsia="fr-FR"/>
              </w:rPr>
              <w:t xml:space="preserve">de </w:t>
            </w:r>
            <w:r w:rsidRPr="002A7AF4">
              <w:rPr>
                <w:rFonts w:eastAsia="Times New Roman" w:cs="Arial"/>
                <w:color w:val="000000"/>
                <w:sz w:val="20"/>
                <w:szCs w:val="20"/>
                <w:lang w:eastAsia="fr-FR"/>
              </w:rPr>
              <w:t>Viande</w:t>
            </w:r>
          </w:p>
        </w:tc>
        <w:tc>
          <w:tcPr>
            <w:tcW w:w="1594" w:type="dxa"/>
            <w:tcBorders>
              <w:top w:val="nil"/>
              <w:left w:val="nil"/>
              <w:bottom w:val="single" w:sz="4" w:space="0" w:color="000000"/>
              <w:right w:val="single" w:sz="4" w:space="0" w:color="000000"/>
            </w:tcBorders>
            <w:shd w:val="clear" w:color="D9D9D9" w:fill="D9D9D9"/>
            <w:noWrap/>
            <w:vAlign w:val="center"/>
            <w:hideMark/>
          </w:tcPr>
          <w:p w14:paraId="65FBF102" w14:textId="7E6AAAE6"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3,5</w:t>
            </w:r>
          </w:p>
        </w:tc>
      </w:tr>
      <w:tr w:rsidR="00BF0675" w:rsidRPr="00BF0675" w14:paraId="232E6F97" w14:textId="77777777" w:rsidTr="00375D80">
        <w:trPr>
          <w:trHeight w:val="300"/>
          <w:jc w:val="center"/>
        </w:trPr>
        <w:tc>
          <w:tcPr>
            <w:tcW w:w="5352" w:type="dxa"/>
            <w:tcBorders>
              <w:top w:val="nil"/>
              <w:left w:val="single" w:sz="4" w:space="0" w:color="000000"/>
              <w:bottom w:val="single" w:sz="4" w:space="0" w:color="000000"/>
              <w:right w:val="single" w:sz="4" w:space="0" w:color="000000"/>
            </w:tcBorders>
            <w:shd w:val="clear" w:color="D9D9D9" w:fill="D9D9D9"/>
            <w:noWrap/>
            <w:vAlign w:val="center"/>
            <w:hideMark/>
          </w:tcPr>
          <w:p w14:paraId="46BD62AA" w14:textId="1E967D21"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Plateaux Pierrade Et Fd - M</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 xml:space="preserve">lange </w:t>
            </w:r>
            <w:r w:rsidR="00375D80" w:rsidRPr="002A7AF4">
              <w:rPr>
                <w:rFonts w:eastAsia="Times New Roman" w:cs="Arial"/>
                <w:color w:val="000000"/>
                <w:sz w:val="20"/>
                <w:szCs w:val="20"/>
                <w:lang w:eastAsia="fr-FR"/>
              </w:rPr>
              <w:t xml:space="preserve">de </w:t>
            </w:r>
            <w:r w:rsidRPr="002A7AF4">
              <w:rPr>
                <w:rFonts w:eastAsia="Times New Roman" w:cs="Arial"/>
                <w:color w:val="000000"/>
                <w:sz w:val="20"/>
                <w:szCs w:val="20"/>
                <w:lang w:eastAsia="fr-FR"/>
              </w:rPr>
              <w:t>Viande</w:t>
            </w:r>
          </w:p>
        </w:tc>
        <w:tc>
          <w:tcPr>
            <w:tcW w:w="1594" w:type="dxa"/>
            <w:tcBorders>
              <w:top w:val="nil"/>
              <w:left w:val="nil"/>
              <w:bottom w:val="single" w:sz="4" w:space="0" w:color="auto"/>
              <w:right w:val="single" w:sz="4" w:space="0" w:color="000000"/>
            </w:tcBorders>
            <w:shd w:val="clear" w:color="D9D9D9" w:fill="D9D9D9"/>
            <w:noWrap/>
            <w:vAlign w:val="center"/>
            <w:hideMark/>
          </w:tcPr>
          <w:p w14:paraId="6A7EF29D" w14:textId="5D2B26B9"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0,5</w:t>
            </w:r>
          </w:p>
        </w:tc>
      </w:tr>
      <w:tr w:rsidR="00BF0675" w:rsidRPr="00BF0675" w14:paraId="37453555" w14:textId="77777777" w:rsidTr="00375D80">
        <w:trPr>
          <w:trHeight w:val="300"/>
          <w:jc w:val="center"/>
        </w:trPr>
        <w:tc>
          <w:tcPr>
            <w:tcW w:w="5352" w:type="dxa"/>
            <w:tcBorders>
              <w:top w:val="nil"/>
              <w:left w:val="single" w:sz="4" w:space="0" w:color="auto"/>
              <w:bottom w:val="single" w:sz="4" w:space="0" w:color="auto"/>
              <w:right w:val="single" w:sz="4" w:space="0" w:color="auto"/>
            </w:tcBorders>
            <w:shd w:val="clear" w:color="auto" w:fill="auto"/>
            <w:noWrap/>
            <w:vAlign w:val="center"/>
            <w:hideMark/>
          </w:tcPr>
          <w:p w14:paraId="477BC5AD" w14:textId="5245A6B3"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 xml:space="preserve">Produits Cuits - Viandes </w:t>
            </w:r>
            <w:r w:rsidR="00375D80" w:rsidRPr="002A7AF4">
              <w:rPr>
                <w:rFonts w:eastAsia="Times New Roman" w:cs="Arial"/>
                <w:color w:val="000000"/>
                <w:sz w:val="20"/>
                <w:szCs w:val="20"/>
                <w:lang w:eastAsia="fr-FR"/>
              </w:rPr>
              <w:t>e</w:t>
            </w:r>
            <w:r w:rsidRPr="002A7AF4">
              <w:rPr>
                <w:rFonts w:eastAsia="Times New Roman" w:cs="Arial"/>
                <w:color w:val="000000"/>
                <w:sz w:val="20"/>
                <w:szCs w:val="20"/>
                <w:lang w:eastAsia="fr-FR"/>
              </w:rPr>
              <w:t>n Sauce</w:t>
            </w:r>
          </w:p>
        </w:tc>
        <w:tc>
          <w:tcPr>
            <w:tcW w:w="1594" w:type="dxa"/>
            <w:tcBorders>
              <w:top w:val="nil"/>
              <w:left w:val="nil"/>
              <w:bottom w:val="single" w:sz="4" w:space="0" w:color="auto"/>
              <w:right w:val="single" w:sz="4" w:space="0" w:color="000000"/>
            </w:tcBorders>
            <w:shd w:val="clear" w:color="auto" w:fill="auto"/>
            <w:noWrap/>
            <w:vAlign w:val="center"/>
            <w:hideMark/>
          </w:tcPr>
          <w:p w14:paraId="725B652C" w14:textId="5B797A12"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1,4</w:t>
            </w:r>
          </w:p>
        </w:tc>
      </w:tr>
      <w:tr w:rsidR="00BF0675" w:rsidRPr="00BF0675" w14:paraId="10D2F7BD" w14:textId="77777777" w:rsidTr="00375D80">
        <w:trPr>
          <w:trHeight w:val="300"/>
          <w:jc w:val="center"/>
        </w:trPr>
        <w:tc>
          <w:tcPr>
            <w:tcW w:w="5352" w:type="dxa"/>
            <w:tcBorders>
              <w:top w:val="nil"/>
              <w:left w:val="single" w:sz="4" w:space="0" w:color="000000"/>
              <w:bottom w:val="single" w:sz="4" w:space="0" w:color="000000"/>
              <w:right w:val="single" w:sz="4" w:space="0" w:color="000000"/>
            </w:tcBorders>
            <w:shd w:val="clear" w:color="D9D9D9" w:fill="D9D9D9"/>
            <w:noWrap/>
            <w:vAlign w:val="center"/>
            <w:hideMark/>
          </w:tcPr>
          <w:p w14:paraId="751BCA87" w14:textId="04AC9CB6"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Produits Cuits - Abats Cuisin</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s</w:t>
            </w:r>
          </w:p>
        </w:tc>
        <w:tc>
          <w:tcPr>
            <w:tcW w:w="1594" w:type="dxa"/>
            <w:tcBorders>
              <w:top w:val="nil"/>
              <w:left w:val="nil"/>
              <w:bottom w:val="single" w:sz="4" w:space="0" w:color="auto"/>
              <w:right w:val="single" w:sz="4" w:space="0" w:color="000000"/>
            </w:tcBorders>
            <w:shd w:val="clear" w:color="D9D9D9" w:fill="D9D9D9"/>
            <w:noWrap/>
            <w:vAlign w:val="center"/>
            <w:hideMark/>
          </w:tcPr>
          <w:p w14:paraId="46359647" w14:textId="5E4CEFD6"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2,4</w:t>
            </w:r>
          </w:p>
        </w:tc>
      </w:tr>
      <w:tr w:rsidR="00BF0675" w:rsidRPr="00BF0675" w14:paraId="51E86B38" w14:textId="77777777" w:rsidTr="00375D80">
        <w:trPr>
          <w:trHeight w:val="300"/>
          <w:jc w:val="center"/>
        </w:trPr>
        <w:tc>
          <w:tcPr>
            <w:tcW w:w="5352" w:type="dxa"/>
            <w:tcBorders>
              <w:top w:val="nil"/>
              <w:left w:val="single" w:sz="4" w:space="0" w:color="auto"/>
              <w:bottom w:val="single" w:sz="4" w:space="0" w:color="auto"/>
              <w:right w:val="single" w:sz="4" w:space="0" w:color="auto"/>
            </w:tcBorders>
            <w:shd w:val="clear" w:color="auto" w:fill="auto"/>
            <w:noWrap/>
            <w:vAlign w:val="center"/>
            <w:hideMark/>
          </w:tcPr>
          <w:p w14:paraId="0876CE41" w14:textId="727D64F7" w:rsidR="00BF0675" w:rsidRPr="002A7AF4" w:rsidRDefault="00BF0675" w:rsidP="007C77D7">
            <w:pPr>
              <w:keepNext/>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Viandes Marin</w:t>
            </w:r>
            <w:r w:rsidR="00375D80" w:rsidRPr="002A7AF4">
              <w:rPr>
                <w:rFonts w:eastAsia="Times New Roman" w:cs="Arial"/>
                <w:color w:val="000000"/>
                <w:sz w:val="20"/>
                <w:szCs w:val="20"/>
                <w:lang w:eastAsia="fr-FR"/>
              </w:rPr>
              <w:t>ées</w:t>
            </w:r>
            <w:r w:rsidRPr="002A7AF4">
              <w:rPr>
                <w:rFonts w:eastAsia="Times New Roman" w:cs="Arial"/>
                <w:color w:val="000000"/>
                <w:sz w:val="20"/>
                <w:szCs w:val="20"/>
                <w:lang w:eastAsia="fr-FR"/>
              </w:rPr>
              <w:t xml:space="preserve"> Arom</w:t>
            </w:r>
            <w:r w:rsidR="00375D80" w:rsidRPr="002A7AF4">
              <w:rPr>
                <w:rFonts w:eastAsia="Times New Roman" w:cs="Arial"/>
                <w:color w:val="000000"/>
                <w:sz w:val="20"/>
                <w:szCs w:val="20"/>
                <w:lang w:eastAsia="fr-FR"/>
              </w:rPr>
              <w:t>atisées</w:t>
            </w:r>
            <w:r w:rsidRPr="002A7AF4">
              <w:rPr>
                <w:rFonts w:eastAsia="Times New Roman" w:cs="Arial"/>
                <w:color w:val="000000"/>
                <w:sz w:val="20"/>
                <w:szCs w:val="20"/>
                <w:lang w:eastAsia="fr-FR"/>
              </w:rPr>
              <w:t xml:space="preserve"> </w:t>
            </w:r>
            <w:r w:rsidR="00375D80" w:rsidRPr="002A7AF4">
              <w:rPr>
                <w:rFonts w:eastAsia="Times New Roman" w:cs="Arial"/>
                <w:color w:val="000000"/>
                <w:sz w:val="20"/>
                <w:szCs w:val="20"/>
                <w:lang w:eastAsia="fr-FR"/>
              </w:rPr>
              <w:t>–</w:t>
            </w:r>
            <w:r w:rsidRPr="002A7AF4">
              <w:rPr>
                <w:rFonts w:eastAsia="Times New Roman" w:cs="Arial"/>
                <w:color w:val="000000"/>
                <w:sz w:val="20"/>
                <w:szCs w:val="20"/>
                <w:lang w:eastAsia="fr-FR"/>
              </w:rPr>
              <w:t xml:space="preserve"> M</w:t>
            </w:r>
            <w:r w:rsidR="00375D80" w:rsidRPr="002A7AF4">
              <w:rPr>
                <w:rFonts w:eastAsia="Times New Roman" w:cs="Arial"/>
                <w:color w:val="000000"/>
                <w:sz w:val="20"/>
                <w:szCs w:val="20"/>
                <w:lang w:eastAsia="fr-FR"/>
              </w:rPr>
              <w:t>é</w:t>
            </w:r>
            <w:r w:rsidRPr="002A7AF4">
              <w:rPr>
                <w:rFonts w:eastAsia="Times New Roman" w:cs="Arial"/>
                <w:color w:val="000000"/>
                <w:sz w:val="20"/>
                <w:szCs w:val="20"/>
                <w:lang w:eastAsia="fr-FR"/>
              </w:rPr>
              <w:t>lange</w:t>
            </w:r>
            <w:r w:rsidR="00375D80" w:rsidRPr="002A7AF4">
              <w:rPr>
                <w:rFonts w:eastAsia="Times New Roman" w:cs="Arial"/>
                <w:color w:val="000000"/>
                <w:sz w:val="20"/>
                <w:szCs w:val="20"/>
                <w:lang w:eastAsia="fr-FR"/>
              </w:rPr>
              <w:t xml:space="preserve"> de</w:t>
            </w:r>
            <w:r w:rsidRPr="002A7AF4">
              <w:rPr>
                <w:rFonts w:eastAsia="Times New Roman" w:cs="Arial"/>
                <w:color w:val="000000"/>
                <w:sz w:val="20"/>
                <w:szCs w:val="20"/>
                <w:lang w:eastAsia="fr-FR"/>
              </w:rPr>
              <w:t xml:space="preserve"> Viande</w:t>
            </w:r>
          </w:p>
        </w:tc>
        <w:tc>
          <w:tcPr>
            <w:tcW w:w="1594" w:type="dxa"/>
            <w:tcBorders>
              <w:top w:val="nil"/>
              <w:left w:val="nil"/>
              <w:bottom w:val="single" w:sz="4" w:space="0" w:color="auto"/>
              <w:right w:val="single" w:sz="4" w:space="0" w:color="auto"/>
            </w:tcBorders>
            <w:shd w:val="clear" w:color="auto" w:fill="auto"/>
            <w:noWrap/>
            <w:vAlign w:val="center"/>
            <w:hideMark/>
          </w:tcPr>
          <w:p w14:paraId="50D336C1" w14:textId="4899C2C7" w:rsidR="00BF0675" w:rsidRPr="002A7AF4" w:rsidRDefault="00BF0675" w:rsidP="007C77D7">
            <w:pPr>
              <w:keepNext/>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1,1</w:t>
            </w:r>
          </w:p>
        </w:tc>
      </w:tr>
    </w:tbl>
    <w:p w14:paraId="704E68D8" w14:textId="3235C75C" w:rsidR="00DC2AB8" w:rsidRDefault="003F2547" w:rsidP="0002537E">
      <w:pPr>
        <w:pStyle w:val="figure"/>
      </w:pPr>
      <w:bookmarkStart w:id="158" w:name="_Ref70359500"/>
      <w:bookmarkStart w:id="159" w:name="_Toc72143377"/>
      <w:r w:rsidRPr="003F2547">
        <w:t xml:space="preserve">Tableau </w:t>
      </w:r>
      <w:r w:rsidRPr="00D54EC4">
        <w:fldChar w:fldCharType="begin"/>
      </w:r>
      <w:r w:rsidRPr="003F2547">
        <w:instrText xml:space="preserve"> SEQ Tableau \* ARABIC </w:instrText>
      </w:r>
      <w:r w:rsidRPr="00D54EC4">
        <w:fldChar w:fldCharType="separate"/>
      </w:r>
      <w:r w:rsidR="0007597F">
        <w:rPr>
          <w:i/>
          <w:noProof/>
        </w:rPr>
        <w:t>29</w:t>
      </w:r>
      <w:r w:rsidRPr="00D54EC4">
        <w:fldChar w:fldCharType="end"/>
      </w:r>
      <w:r>
        <w:rPr>
          <w:i/>
        </w:rPr>
        <w:t xml:space="preserve"> : </w:t>
      </w:r>
      <w:bookmarkEnd w:id="158"/>
      <w:r w:rsidR="00B970B0" w:rsidRPr="003F2547">
        <w:t xml:space="preserve">Volumes d’achats 2018 </w:t>
      </w:r>
      <w:r w:rsidR="002C1EFF" w:rsidRPr="003F2547">
        <w:t xml:space="preserve">en kt </w:t>
      </w:r>
      <w:r w:rsidR="00B970B0" w:rsidRPr="003F2547">
        <w:t>des produits de mélanges au sein des viandes élaborées</w:t>
      </w:r>
      <w:bookmarkEnd w:id="159"/>
      <w:r w:rsidR="00B970B0" w:rsidRPr="003F2547">
        <w:t xml:space="preserve"> </w:t>
      </w:r>
    </w:p>
    <w:p w14:paraId="08A9258A" w14:textId="542DE7E4" w:rsidR="00FB5336" w:rsidRDefault="00B970B0" w:rsidP="007C77D7">
      <w:pPr>
        <w:pStyle w:val="Lgende"/>
      </w:pPr>
      <w:r w:rsidRPr="007C77D7">
        <w:t>(</w:t>
      </w:r>
      <w:r w:rsidR="0051573F" w:rsidRPr="007C77D7">
        <w:t>S</w:t>
      </w:r>
      <w:r w:rsidRPr="007C77D7">
        <w:t>ource : KWp)</w:t>
      </w:r>
    </w:p>
    <w:p w14:paraId="27B5A830" w14:textId="41C7E810" w:rsidR="002973DE" w:rsidRDefault="00FB5336" w:rsidP="00F115CA">
      <w:pPr>
        <w:pStyle w:val="ValrieN2"/>
        <w:spacing w:before="120" w:after="120"/>
        <w:ind w:left="0"/>
        <w:rPr>
          <w:b w:val="0"/>
        </w:rPr>
      </w:pPr>
      <w:r>
        <w:rPr>
          <w:b w:val="0"/>
        </w:rPr>
        <w:t>L</w:t>
      </w:r>
      <w:r w:rsidR="00AE60A8">
        <w:rPr>
          <w:b w:val="0"/>
        </w:rPr>
        <w:t xml:space="preserve">a </w:t>
      </w:r>
      <w:r w:rsidR="00B970B0">
        <w:rPr>
          <w:b w:val="0"/>
        </w:rPr>
        <w:t>différenciation</w:t>
      </w:r>
      <w:r w:rsidR="00AE60A8">
        <w:rPr>
          <w:b w:val="0"/>
        </w:rPr>
        <w:t xml:space="preserve"> des produits par </w:t>
      </w:r>
      <w:r w:rsidR="009A4423">
        <w:rPr>
          <w:b w:val="0"/>
        </w:rPr>
        <w:t xml:space="preserve">espèce, </w:t>
      </w:r>
      <w:r w:rsidR="00B970B0">
        <w:rPr>
          <w:b w:val="0"/>
        </w:rPr>
        <w:t>s’effectue au travers de leur dénomination</w:t>
      </w:r>
      <w:r w:rsidR="009A4423">
        <w:rPr>
          <w:b w:val="0"/>
        </w:rPr>
        <w:t xml:space="preserve"> selon la réglementation du code des usages de la charcuterie</w:t>
      </w:r>
      <w:r w:rsidR="00B970B0">
        <w:rPr>
          <w:b w:val="0"/>
        </w:rPr>
        <w:t xml:space="preserve"> </w:t>
      </w:r>
      <w:r w:rsidR="0062064A">
        <w:rPr>
          <w:b w:val="0"/>
        </w:rPr>
        <w:t>et</w:t>
      </w:r>
      <w:r w:rsidR="00674377">
        <w:rPr>
          <w:b w:val="0"/>
        </w:rPr>
        <w:t xml:space="preserve"> a fait l’objet d</w:t>
      </w:r>
      <w:r w:rsidR="00251B8E">
        <w:rPr>
          <w:b w:val="0"/>
        </w:rPr>
        <w:t>’enquêtes</w:t>
      </w:r>
      <w:r w:rsidR="00771AF2">
        <w:rPr>
          <w:b w:val="0"/>
        </w:rPr>
        <w:t xml:space="preserve"> auprès de professionnels</w:t>
      </w:r>
      <w:r w:rsidR="00251B8E">
        <w:rPr>
          <w:b w:val="0"/>
        </w:rPr>
        <w:t xml:space="preserve"> dont les résultats sont développés en seconde partie</w:t>
      </w:r>
      <w:r w:rsidR="0051573F">
        <w:rPr>
          <w:b w:val="0"/>
        </w:rPr>
        <w:t xml:space="preserve"> du rapport.</w:t>
      </w:r>
    </w:p>
    <w:p w14:paraId="4D2AEEE1" w14:textId="2F4B1623" w:rsidR="007D19D3" w:rsidRPr="003575AC" w:rsidRDefault="005D417F" w:rsidP="00771AF2">
      <w:pPr>
        <w:pStyle w:val="ValrieN2"/>
        <w:spacing w:after="0"/>
        <w:ind w:left="0" w:firstLine="708"/>
        <w:rPr>
          <w:b w:val="0"/>
          <w:spacing w:val="-2"/>
        </w:rPr>
      </w:pPr>
      <w:r w:rsidRPr="003575AC">
        <w:rPr>
          <w:b w:val="0"/>
          <w:spacing w:val="-2"/>
        </w:rPr>
        <w:t>b/</w:t>
      </w:r>
      <w:r w:rsidR="00DC74A4" w:rsidRPr="003575AC">
        <w:rPr>
          <w:b w:val="0"/>
          <w:spacing w:val="-2"/>
        </w:rPr>
        <w:t xml:space="preserve"> </w:t>
      </w:r>
      <w:r w:rsidR="00AD5A4D">
        <w:rPr>
          <w:b w:val="0"/>
          <w:spacing w:val="-2"/>
        </w:rPr>
        <w:t>L</w:t>
      </w:r>
      <w:r w:rsidR="00DC74A4" w:rsidRPr="003575AC">
        <w:rPr>
          <w:b w:val="0"/>
          <w:spacing w:val="-2"/>
        </w:rPr>
        <w:t>’affectation de produits dan</w:t>
      </w:r>
      <w:r w:rsidR="005631AE" w:rsidRPr="003575AC">
        <w:rPr>
          <w:b w:val="0"/>
          <w:spacing w:val="-2"/>
        </w:rPr>
        <w:t xml:space="preserve">s des </w:t>
      </w:r>
      <w:r w:rsidR="00DC74A4" w:rsidRPr="003575AC">
        <w:rPr>
          <w:b w:val="0"/>
          <w:spacing w:val="-2"/>
        </w:rPr>
        <w:t>catégories</w:t>
      </w:r>
      <w:r w:rsidR="0067583B" w:rsidRPr="003575AC">
        <w:rPr>
          <w:b w:val="0"/>
          <w:spacing w:val="-2"/>
        </w:rPr>
        <w:t xml:space="preserve"> </w:t>
      </w:r>
      <w:r w:rsidR="005631AE" w:rsidRPr="003575AC">
        <w:rPr>
          <w:b w:val="0"/>
          <w:spacing w:val="-2"/>
        </w:rPr>
        <w:t xml:space="preserve">de produits indéterminées </w:t>
      </w:r>
      <w:r w:rsidR="0062064A" w:rsidRPr="003575AC">
        <w:rPr>
          <w:b w:val="0"/>
          <w:spacing w:val="-2"/>
        </w:rPr>
        <w:t>pour un total d’environ 209</w:t>
      </w:r>
      <w:r w:rsidR="00AD5A4D">
        <w:rPr>
          <w:b w:val="0"/>
          <w:spacing w:val="-2"/>
        </w:rPr>
        <w:t> </w:t>
      </w:r>
      <w:r w:rsidR="0062064A" w:rsidRPr="003575AC">
        <w:rPr>
          <w:b w:val="0"/>
          <w:spacing w:val="-2"/>
        </w:rPr>
        <w:t>kt soit moins de 25</w:t>
      </w:r>
      <w:r w:rsidR="003575AC" w:rsidRPr="003575AC">
        <w:rPr>
          <w:b w:val="0"/>
          <w:spacing w:val="-2"/>
        </w:rPr>
        <w:t> </w:t>
      </w:r>
      <w:r w:rsidR="0062064A" w:rsidRPr="003575AC">
        <w:rPr>
          <w:b w:val="0"/>
          <w:spacing w:val="-2"/>
        </w:rPr>
        <w:t>% des volumes de produits</w:t>
      </w:r>
      <w:r w:rsidR="0099243D" w:rsidRPr="003575AC">
        <w:rPr>
          <w:b w:val="0"/>
          <w:spacing w:val="-2"/>
        </w:rPr>
        <w:t xml:space="preserve"> du tota</w:t>
      </w:r>
      <w:r w:rsidR="00F658B2" w:rsidRPr="003575AC">
        <w:rPr>
          <w:b w:val="0"/>
          <w:spacing w:val="-2"/>
        </w:rPr>
        <w:t>l viande et charcuterie de porc</w:t>
      </w:r>
      <w:r w:rsidR="0062064A" w:rsidRPr="003575AC">
        <w:rPr>
          <w:b w:val="0"/>
          <w:spacing w:val="-2"/>
        </w:rPr>
        <w:t>.</w:t>
      </w:r>
    </w:p>
    <w:tbl>
      <w:tblPr>
        <w:tblW w:w="6662" w:type="dxa"/>
        <w:tblInd w:w="1271" w:type="dxa"/>
        <w:tblCellMar>
          <w:left w:w="70" w:type="dxa"/>
          <w:right w:w="70" w:type="dxa"/>
        </w:tblCellMar>
        <w:tblLook w:val="04A0" w:firstRow="1" w:lastRow="0" w:firstColumn="1" w:lastColumn="0" w:noHBand="0" w:noVBand="1"/>
      </w:tblPr>
      <w:tblGrid>
        <w:gridCol w:w="4678"/>
        <w:gridCol w:w="1984"/>
      </w:tblGrid>
      <w:tr w:rsidR="00865526" w:rsidRPr="00865526" w14:paraId="45E3459A" w14:textId="77777777" w:rsidTr="003575AC">
        <w:trPr>
          <w:trHeight w:val="300"/>
        </w:trPr>
        <w:tc>
          <w:tcPr>
            <w:tcW w:w="467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EB24BD7" w14:textId="77777777" w:rsidR="00865526" w:rsidRPr="002A7AF4" w:rsidRDefault="00865526" w:rsidP="00865526">
            <w:pPr>
              <w:spacing w:after="0" w:line="240" w:lineRule="auto"/>
              <w:jc w:val="left"/>
              <w:rPr>
                <w:rFonts w:eastAsia="Times New Roman" w:cs="Arial"/>
                <w:b/>
                <w:bCs/>
                <w:color w:val="000000"/>
                <w:sz w:val="20"/>
                <w:szCs w:val="20"/>
                <w:lang w:eastAsia="fr-FR"/>
              </w:rPr>
            </w:pPr>
            <w:r w:rsidRPr="002A7AF4">
              <w:rPr>
                <w:rFonts w:eastAsia="Times New Roman" w:cs="Arial"/>
                <w:b/>
                <w:bCs/>
                <w:color w:val="000000"/>
                <w:sz w:val="20"/>
                <w:szCs w:val="20"/>
                <w:lang w:eastAsia="fr-FR"/>
              </w:rPr>
              <w:t>Total produits autres</w:t>
            </w:r>
          </w:p>
        </w:tc>
        <w:tc>
          <w:tcPr>
            <w:tcW w:w="198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9142BDA" w14:textId="61C7A99C" w:rsidR="00865526" w:rsidRPr="002A7AF4" w:rsidRDefault="00865526" w:rsidP="00865526">
            <w:pPr>
              <w:spacing w:after="0" w:line="240" w:lineRule="auto"/>
              <w:jc w:val="center"/>
              <w:rPr>
                <w:rFonts w:eastAsia="Times New Roman" w:cs="Arial"/>
                <w:b/>
                <w:bCs/>
                <w:color w:val="000000"/>
                <w:sz w:val="20"/>
                <w:szCs w:val="20"/>
                <w:lang w:eastAsia="fr-FR"/>
              </w:rPr>
            </w:pPr>
            <w:r w:rsidRPr="002A7AF4">
              <w:rPr>
                <w:rFonts w:eastAsia="Times New Roman" w:cs="Arial"/>
                <w:b/>
                <w:bCs/>
                <w:color w:val="000000"/>
                <w:sz w:val="20"/>
                <w:szCs w:val="20"/>
                <w:lang w:eastAsia="fr-FR"/>
              </w:rPr>
              <w:t>209</w:t>
            </w:r>
          </w:p>
        </w:tc>
      </w:tr>
      <w:tr w:rsidR="00865526" w:rsidRPr="00865526" w14:paraId="0CBB529E"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3AF20501" w14:textId="77777777" w:rsidR="00865526" w:rsidRPr="002A7AF4" w:rsidRDefault="00865526" w:rsidP="00865526">
            <w:pPr>
              <w:spacing w:after="0" w:line="240" w:lineRule="auto"/>
              <w:jc w:val="left"/>
              <w:rPr>
                <w:rFonts w:eastAsia="Times New Roman" w:cs="Arial"/>
                <w:color w:val="000000"/>
                <w:sz w:val="20"/>
                <w:szCs w:val="20"/>
                <w:lang w:eastAsia="fr-FR"/>
              </w:rPr>
            </w:pPr>
            <w:bookmarkStart w:id="160" w:name="_Hlk68428562"/>
            <w:r w:rsidRPr="002A7AF4">
              <w:rPr>
                <w:rFonts w:eastAsia="Times New Roman" w:cs="Arial"/>
                <w:color w:val="000000"/>
                <w:sz w:val="20"/>
                <w:szCs w:val="20"/>
                <w:lang w:eastAsia="fr-FR"/>
              </w:rPr>
              <w:t>Viandes de porc- autres type de porc</w:t>
            </w:r>
          </w:p>
        </w:tc>
        <w:tc>
          <w:tcPr>
            <w:tcW w:w="1984"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1B6CBF4" w14:textId="1C5FD6E9"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28</w:t>
            </w:r>
          </w:p>
        </w:tc>
      </w:tr>
      <w:tr w:rsidR="00865526" w:rsidRPr="00865526" w14:paraId="55462252"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5D3E5C" w14:textId="77777777" w:rsidR="00865526" w:rsidRPr="002A7AF4" w:rsidRDefault="00865526" w:rsidP="00865526">
            <w:pPr>
              <w:spacing w:after="0" w:line="240" w:lineRule="auto"/>
              <w:jc w:val="left"/>
              <w:rPr>
                <w:rFonts w:eastAsia="Times New Roman" w:cs="Arial"/>
                <w:color w:val="000000"/>
                <w:sz w:val="20"/>
                <w:szCs w:val="20"/>
                <w:lang w:eastAsia="fr-FR"/>
              </w:rPr>
            </w:pPr>
            <w:r w:rsidRPr="002A7AF4">
              <w:rPr>
                <w:rFonts w:eastAsia="Times New Roman" w:cs="Arial"/>
                <w:color w:val="000000"/>
                <w:sz w:val="20"/>
                <w:szCs w:val="20"/>
                <w:lang w:eastAsia="fr-FR"/>
              </w:rPr>
              <w:t>Viande de porc abats - autre abat</w:t>
            </w:r>
          </w:p>
        </w:tc>
        <w:tc>
          <w:tcPr>
            <w:tcW w:w="1984" w:type="dxa"/>
            <w:tcBorders>
              <w:top w:val="nil"/>
              <w:left w:val="nil"/>
              <w:bottom w:val="single" w:sz="4" w:space="0" w:color="auto"/>
              <w:right w:val="single" w:sz="4" w:space="0" w:color="auto"/>
            </w:tcBorders>
            <w:shd w:val="clear" w:color="auto" w:fill="auto"/>
            <w:noWrap/>
            <w:vAlign w:val="bottom"/>
            <w:hideMark/>
          </w:tcPr>
          <w:p w14:paraId="592E036C" w14:textId="42142025"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4</w:t>
            </w:r>
          </w:p>
        </w:tc>
      </w:tr>
      <w:bookmarkEnd w:id="160"/>
      <w:tr w:rsidR="00865526" w:rsidRPr="00865526" w14:paraId="00351A22"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E9F86B1" w14:textId="77777777" w:rsidR="00865526" w:rsidRPr="002A7AF4" w:rsidRDefault="00865526" w:rsidP="00865526">
            <w:pPr>
              <w:spacing w:after="0" w:line="240" w:lineRule="auto"/>
              <w:jc w:val="left"/>
              <w:rPr>
                <w:rFonts w:eastAsia="Times New Roman" w:cs="Arial"/>
                <w:color w:val="000000"/>
                <w:sz w:val="20"/>
                <w:szCs w:val="20"/>
                <w:lang w:eastAsia="fr-FR"/>
              </w:rPr>
            </w:pPr>
            <w:r w:rsidRPr="002A7AF4">
              <w:rPr>
                <w:rFonts w:eastAsia="Times New Roman" w:cs="Arial"/>
                <w:color w:val="000000"/>
                <w:sz w:val="20"/>
                <w:szCs w:val="20"/>
                <w:lang w:eastAsia="fr-FR"/>
              </w:rPr>
              <w:t>Charcuterie - autres produits</w:t>
            </w:r>
          </w:p>
        </w:tc>
        <w:tc>
          <w:tcPr>
            <w:tcW w:w="1984"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48FF2B83" w14:textId="49B886C0"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96</w:t>
            </w:r>
          </w:p>
        </w:tc>
      </w:tr>
      <w:tr w:rsidR="00865526" w:rsidRPr="00865526" w14:paraId="37557D4E"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384027" w14:textId="447C4505" w:rsidR="00865526" w:rsidRPr="002A7AF4" w:rsidRDefault="00865526" w:rsidP="0051573F">
            <w:pPr>
              <w:spacing w:after="0" w:line="240" w:lineRule="auto"/>
              <w:jc w:val="right"/>
              <w:rPr>
                <w:rFonts w:eastAsia="Times New Roman" w:cs="Arial"/>
                <w:color w:val="000000"/>
                <w:sz w:val="20"/>
                <w:szCs w:val="20"/>
                <w:lang w:eastAsia="fr-FR"/>
              </w:rPr>
            </w:pPr>
            <w:r w:rsidRPr="002A7AF4">
              <w:rPr>
                <w:rFonts w:eastAsia="Times New Roman" w:cs="Arial"/>
                <w:color w:val="000000"/>
                <w:sz w:val="20"/>
                <w:szCs w:val="20"/>
                <w:lang w:eastAsia="fr-FR"/>
              </w:rPr>
              <w:t xml:space="preserve">dont autres produits </w:t>
            </w:r>
            <w:r w:rsidR="0051573F" w:rsidRPr="002A7AF4">
              <w:rPr>
                <w:rFonts w:eastAsia="Times New Roman" w:cs="Arial"/>
                <w:color w:val="000000"/>
                <w:sz w:val="20"/>
                <w:szCs w:val="20"/>
                <w:lang w:eastAsia="fr-FR"/>
              </w:rPr>
              <w:t>–</w:t>
            </w:r>
            <w:r w:rsidRPr="002A7AF4">
              <w:rPr>
                <w:rFonts w:eastAsia="Times New Roman" w:cs="Arial"/>
                <w:color w:val="000000"/>
                <w:sz w:val="20"/>
                <w:szCs w:val="20"/>
                <w:lang w:eastAsia="fr-FR"/>
              </w:rPr>
              <w:t xml:space="preserve"> coupe</w:t>
            </w:r>
          </w:p>
        </w:tc>
        <w:tc>
          <w:tcPr>
            <w:tcW w:w="1984" w:type="dxa"/>
            <w:tcBorders>
              <w:top w:val="nil"/>
              <w:left w:val="nil"/>
              <w:bottom w:val="single" w:sz="4" w:space="0" w:color="auto"/>
              <w:right w:val="single" w:sz="4" w:space="0" w:color="auto"/>
            </w:tcBorders>
            <w:shd w:val="clear" w:color="auto" w:fill="auto"/>
            <w:noWrap/>
            <w:vAlign w:val="bottom"/>
            <w:hideMark/>
          </w:tcPr>
          <w:p w14:paraId="5901DBAE" w14:textId="3D524F89"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51</w:t>
            </w:r>
          </w:p>
        </w:tc>
      </w:tr>
      <w:tr w:rsidR="00865526" w:rsidRPr="00865526" w14:paraId="4149A9B9" w14:textId="77777777" w:rsidTr="003575AC">
        <w:trPr>
          <w:trHeight w:val="300"/>
        </w:trPr>
        <w:tc>
          <w:tcPr>
            <w:tcW w:w="4678"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5B4F63F" w14:textId="5729CCAD" w:rsidR="00865526" w:rsidRPr="002A7AF4" w:rsidRDefault="00865526" w:rsidP="00865526">
            <w:pPr>
              <w:spacing w:after="0" w:line="240" w:lineRule="auto"/>
              <w:jc w:val="left"/>
              <w:rPr>
                <w:rFonts w:eastAsia="Times New Roman" w:cs="Arial"/>
                <w:color w:val="000000"/>
                <w:sz w:val="20"/>
                <w:szCs w:val="20"/>
                <w:lang w:eastAsia="fr-FR"/>
              </w:rPr>
            </w:pPr>
            <w:r w:rsidRPr="002A7AF4">
              <w:rPr>
                <w:rFonts w:eastAsia="Times New Roman" w:cs="Arial"/>
                <w:color w:val="000000"/>
                <w:sz w:val="20"/>
                <w:szCs w:val="20"/>
                <w:lang w:eastAsia="fr-FR"/>
              </w:rPr>
              <w:t>Charcuterie tranch</w:t>
            </w:r>
            <w:r w:rsidR="00F95F7F" w:rsidRPr="002A7AF4">
              <w:rPr>
                <w:rFonts w:eastAsia="Times New Roman" w:cs="Arial"/>
                <w:color w:val="000000"/>
                <w:sz w:val="20"/>
                <w:szCs w:val="20"/>
                <w:lang w:eastAsia="fr-FR"/>
              </w:rPr>
              <w:t>é</w:t>
            </w:r>
            <w:r w:rsidRPr="002A7AF4">
              <w:rPr>
                <w:rFonts w:eastAsia="Times New Roman" w:cs="Arial"/>
                <w:color w:val="000000"/>
                <w:sz w:val="20"/>
                <w:szCs w:val="20"/>
                <w:lang w:eastAsia="fr-FR"/>
              </w:rPr>
              <w:t xml:space="preserve">es </w:t>
            </w:r>
            <w:r w:rsidR="0051573F" w:rsidRPr="002A7AF4">
              <w:rPr>
                <w:rFonts w:eastAsia="Times New Roman" w:cs="Arial"/>
                <w:color w:val="000000"/>
                <w:sz w:val="20"/>
                <w:szCs w:val="20"/>
                <w:lang w:eastAsia="fr-FR"/>
              </w:rPr>
              <w:t>–</w:t>
            </w:r>
            <w:r w:rsidRPr="002A7AF4">
              <w:rPr>
                <w:rFonts w:eastAsia="Times New Roman" w:cs="Arial"/>
                <w:color w:val="000000"/>
                <w:sz w:val="20"/>
                <w:szCs w:val="20"/>
                <w:lang w:eastAsia="fr-FR"/>
              </w:rPr>
              <w:t xml:space="preserve"> autre</w:t>
            </w:r>
          </w:p>
        </w:tc>
        <w:tc>
          <w:tcPr>
            <w:tcW w:w="1984"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A57B1B7" w14:textId="47720143" w:rsidR="00865526" w:rsidRPr="002A7AF4" w:rsidRDefault="00865526" w:rsidP="00865526">
            <w:pPr>
              <w:spacing w:after="0" w:line="240" w:lineRule="auto"/>
              <w:jc w:val="center"/>
              <w:rPr>
                <w:rFonts w:eastAsia="Times New Roman" w:cs="Arial"/>
                <w:color w:val="000000"/>
                <w:sz w:val="20"/>
                <w:szCs w:val="20"/>
                <w:lang w:eastAsia="fr-FR"/>
              </w:rPr>
            </w:pPr>
            <w:r w:rsidRPr="002A7AF4">
              <w:rPr>
                <w:rFonts w:eastAsia="Times New Roman" w:cs="Arial"/>
                <w:color w:val="000000"/>
                <w:sz w:val="20"/>
                <w:szCs w:val="20"/>
                <w:lang w:eastAsia="fr-FR"/>
              </w:rPr>
              <w:t>29</w:t>
            </w:r>
          </w:p>
        </w:tc>
      </w:tr>
    </w:tbl>
    <w:p w14:paraId="371BE439" w14:textId="4A1999AD" w:rsidR="00B0396D" w:rsidRDefault="003F2547" w:rsidP="0002537E">
      <w:pPr>
        <w:pStyle w:val="figure"/>
      </w:pPr>
      <w:bookmarkStart w:id="161" w:name="_Toc72143378"/>
      <w:r w:rsidRPr="00B0396D">
        <w:t>T</w:t>
      </w:r>
      <w:r w:rsidRPr="003F2547">
        <w:t xml:space="preserve">ableau </w:t>
      </w:r>
      <w:r w:rsidRPr="00D54EC4">
        <w:fldChar w:fldCharType="begin"/>
      </w:r>
      <w:r w:rsidRPr="003F2547">
        <w:instrText xml:space="preserve"> SEQ Tableau \* ARABIC </w:instrText>
      </w:r>
      <w:r w:rsidRPr="00D54EC4">
        <w:fldChar w:fldCharType="separate"/>
      </w:r>
      <w:r w:rsidR="0007597F">
        <w:rPr>
          <w:i/>
          <w:noProof/>
        </w:rPr>
        <w:t>30</w:t>
      </w:r>
      <w:r w:rsidRPr="00D54EC4">
        <w:fldChar w:fldCharType="end"/>
      </w:r>
      <w:r w:rsidRPr="003F2547">
        <w:t xml:space="preserve"> </w:t>
      </w:r>
      <w:r w:rsidR="007C77D7" w:rsidRPr="003F2547">
        <w:t xml:space="preserve">: </w:t>
      </w:r>
      <w:r w:rsidR="002C1EFF" w:rsidRPr="003F2547">
        <w:t xml:space="preserve">Volumes d’achats en kt 2018 des </w:t>
      </w:r>
      <w:r w:rsidR="0062064A" w:rsidRPr="003F2547">
        <w:t xml:space="preserve">catégories de </w:t>
      </w:r>
      <w:r w:rsidR="002C1EFF" w:rsidRPr="003F2547">
        <w:t xml:space="preserve">produits </w:t>
      </w:r>
      <w:r w:rsidR="0062064A" w:rsidRPr="003F2547">
        <w:t>« autres »</w:t>
      </w:r>
      <w:bookmarkEnd w:id="161"/>
    </w:p>
    <w:p w14:paraId="2CA3AFFF" w14:textId="454CA023" w:rsidR="007D19D3" w:rsidRDefault="0062064A" w:rsidP="003F2547">
      <w:pPr>
        <w:pStyle w:val="Lgende"/>
      </w:pPr>
      <w:r w:rsidRPr="003F2547">
        <w:rPr>
          <w:b/>
          <w:bCs w:val="0"/>
          <w:iCs w:val="0"/>
        </w:rPr>
        <w:t xml:space="preserve"> </w:t>
      </w:r>
      <w:r w:rsidR="002C1EFF" w:rsidRPr="007C77D7">
        <w:t>(</w:t>
      </w:r>
      <w:r w:rsidR="00006925" w:rsidRPr="007C77D7">
        <w:t>S</w:t>
      </w:r>
      <w:r w:rsidR="002C1EFF" w:rsidRPr="007C77D7">
        <w:t>ource : KWp).</w:t>
      </w:r>
    </w:p>
    <w:p w14:paraId="0549F867" w14:textId="7DDC3DAE" w:rsidR="0062064A" w:rsidRDefault="00831685" w:rsidP="0062064A">
      <w:pPr>
        <w:spacing w:after="0"/>
        <w:rPr>
          <w:rFonts w:eastAsia="Times New Roman"/>
        </w:rPr>
      </w:pPr>
      <w:r>
        <w:rPr>
          <w:rFonts w:eastAsia="Times New Roman"/>
        </w:rPr>
        <w:t>Les informations recueillies auprès de Kantar</w:t>
      </w:r>
      <w:r w:rsidR="00D97951">
        <w:rPr>
          <w:rFonts w:eastAsia="Times New Roman"/>
        </w:rPr>
        <w:t xml:space="preserve"> concernant les principaux types de produits affectés dans ces catégories</w:t>
      </w:r>
      <w:r w:rsidR="00802ADF">
        <w:rPr>
          <w:rFonts w:eastAsia="Times New Roman"/>
        </w:rPr>
        <w:t xml:space="preserve"> </w:t>
      </w:r>
      <w:r w:rsidR="00404879">
        <w:rPr>
          <w:rFonts w:eastAsia="Times New Roman"/>
        </w:rPr>
        <w:t>tel que mention</w:t>
      </w:r>
      <w:r w:rsidR="00A81ACE">
        <w:rPr>
          <w:rFonts w:eastAsia="Times New Roman"/>
        </w:rPr>
        <w:t>n</w:t>
      </w:r>
      <w:r w:rsidR="00404879">
        <w:rPr>
          <w:rFonts w:eastAsia="Times New Roman"/>
        </w:rPr>
        <w:t>é</w:t>
      </w:r>
      <w:r w:rsidR="00802ADF">
        <w:rPr>
          <w:rFonts w:eastAsia="Times New Roman"/>
        </w:rPr>
        <w:t xml:space="preserve"> ci-après</w:t>
      </w:r>
      <w:r w:rsidR="00D97951">
        <w:rPr>
          <w:rFonts w:eastAsia="Times New Roman"/>
        </w:rPr>
        <w:t>,</w:t>
      </w:r>
      <w:r>
        <w:rPr>
          <w:rFonts w:eastAsia="Times New Roman"/>
        </w:rPr>
        <w:t xml:space="preserve"> ne permettent pas</w:t>
      </w:r>
      <w:r w:rsidR="00D97951">
        <w:rPr>
          <w:rFonts w:eastAsia="Times New Roman"/>
        </w:rPr>
        <w:t xml:space="preserve"> </w:t>
      </w:r>
      <w:r w:rsidR="0062064A">
        <w:rPr>
          <w:rFonts w:eastAsia="Times New Roman"/>
        </w:rPr>
        <w:t>de</w:t>
      </w:r>
      <w:r w:rsidR="00D97951">
        <w:rPr>
          <w:rFonts w:eastAsia="Times New Roman"/>
        </w:rPr>
        <w:t xml:space="preserve"> les</w:t>
      </w:r>
      <w:r w:rsidR="0062064A">
        <w:rPr>
          <w:rFonts w:eastAsia="Times New Roman"/>
        </w:rPr>
        <w:t xml:space="preserve"> qualifier</w:t>
      </w:r>
      <w:r w:rsidR="00C414B0">
        <w:rPr>
          <w:rFonts w:eastAsia="Times New Roman"/>
        </w:rPr>
        <w:t> :</w:t>
      </w:r>
    </w:p>
    <w:p w14:paraId="7EF66706" w14:textId="764D2C12" w:rsidR="0062064A" w:rsidRPr="00EB1101" w:rsidRDefault="005A77EB" w:rsidP="00EB1101">
      <w:pPr>
        <w:pStyle w:val="Paragraphedeliste"/>
        <w:numPr>
          <w:ilvl w:val="0"/>
          <w:numId w:val="7"/>
        </w:numPr>
        <w:spacing w:before="0"/>
        <w:ind w:left="283" w:hanging="357"/>
        <w:jc w:val="left"/>
        <w:rPr>
          <w:rFonts w:eastAsia="Times New Roman" w:cstheme="minorBidi"/>
          <w:kern w:val="0"/>
          <w:szCs w:val="22"/>
          <w:lang w:eastAsia="en-US"/>
        </w:rPr>
      </w:pPr>
      <w:r>
        <w:rPr>
          <w:rFonts w:eastAsia="Times New Roman" w:cstheme="minorBidi"/>
          <w:kern w:val="0"/>
          <w:szCs w:val="22"/>
          <w:lang w:eastAsia="en-US"/>
        </w:rPr>
        <w:t>« </w:t>
      </w:r>
      <w:r w:rsidR="0062064A" w:rsidRPr="005A77EB">
        <w:rPr>
          <w:rFonts w:eastAsia="Times New Roman" w:cstheme="minorBidi"/>
          <w:kern w:val="0"/>
          <w:szCs w:val="22"/>
          <w:lang w:eastAsia="en-US"/>
        </w:rPr>
        <w:t>Viandes de porc- autres type de porc</w:t>
      </w:r>
      <w:r>
        <w:rPr>
          <w:rFonts w:eastAsia="Times New Roman" w:cstheme="minorBidi"/>
          <w:kern w:val="0"/>
          <w:szCs w:val="22"/>
          <w:lang w:eastAsia="en-US"/>
        </w:rPr>
        <w:t> »</w:t>
      </w:r>
      <w:r w:rsidR="00A20F11">
        <w:rPr>
          <w:rFonts w:eastAsia="Times New Roman" w:cstheme="minorBidi"/>
          <w:kern w:val="0"/>
          <w:szCs w:val="22"/>
          <w:lang w:eastAsia="en-US"/>
        </w:rPr>
        <w:t> </w:t>
      </w:r>
      <w:r w:rsidRPr="00EB1101">
        <w:rPr>
          <w:rFonts w:eastAsia="Times New Roman"/>
        </w:rPr>
        <w:t>« </w:t>
      </w:r>
      <w:r w:rsidR="0062064A" w:rsidRPr="00EB1101">
        <w:rPr>
          <w:rFonts w:eastAsia="Times New Roman"/>
        </w:rPr>
        <w:t>Viande de porc abats - autre</w:t>
      </w:r>
      <w:r w:rsidRPr="00EB1101">
        <w:rPr>
          <w:rFonts w:eastAsia="Times New Roman"/>
        </w:rPr>
        <w:t>s</w:t>
      </w:r>
      <w:r w:rsidR="0062064A" w:rsidRPr="00EB1101">
        <w:rPr>
          <w:rFonts w:eastAsia="Times New Roman"/>
        </w:rPr>
        <w:t xml:space="preserve"> abat</w:t>
      </w:r>
      <w:r w:rsidRPr="00EB1101">
        <w:rPr>
          <w:rFonts w:eastAsia="Times New Roman"/>
        </w:rPr>
        <w:t>s </w:t>
      </w:r>
      <w:r w:rsidR="00F95F7F" w:rsidRPr="00EB1101">
        <w:rPr>
          <w:rFonts w:eastAsia="Times New Roman"/>
        </w:rPr>
        <w:t>» </w:t>
      </w:r>
      <w:r w:rsidR="00C414B0" w:rsidRPr="00EB1101">
        <w:rPr>
          <w:rFonts w:eastAsia="Times New Roman"/>
        </w:rPr>
        <w:t xml:space="preserve">avec une grande diversité de produits </w:t>
      </w:r>
      <w:r w:rsidR="008B71BF">
        <w:t>crépinettes</w:t>
      </w:r>
      <w:r w:rsidR="00C414B0">
        <w:t>,</w:t>
      </w:r>
      <w:r w:rsidR="008B71BF">
        <w:t xml:space="preserve"> pavé</w:t>
      </w:r>
      <w:r w:rsidR="00C414B0">
        <w:t>,</w:t>
      </w:r>
      <w:r w:rsidR="008B71BF">
        <w:t xml:space="preserve"> carré</w:t>
      </w:r>
      <w:r w:rsidR="00C414B0">
        <w:t>,</w:t>
      </w:r>
      <w:r w:rsidR="008B71BF">
        <w:t xml:space="preserve"> sauté</w:t>
      </w:r>
      <w:r w:rsidR="00C414B0">
        <w:t xml:space="preserve">. </w:t>
      </w:r>
    </w:p>
    <w:p w14:paraId="5DA40AAC" w14:textId="7E509B72" w:rsidR="00802ADF" w:rsidRPr="00802ADF" w:rsidRDefault="0062064A" w:rsidP="00802ADF">
      <w:pPr>
        <w:pStyle w:val="Paragraphedeliste"/>
        <w:numPr>
          <w:ilvl w:val="0"/>
          <w:numId w:val="7"/>
        </w:numPr>
        <w:ind w:left="284"/>
        <w:rPr>
          <w:rFonts w:eastAsia="Times New Roman"/>
        </w:rPr>
      </w:pPr>
      <w:r w:rsidRPr="0062064A">
        <w:rPr>
          <w:rFonts w:eastAsia="Times New Roman"/>
        </w:rPr>
        <w:t>« </w:t>
      </w:r>
      <w:r w:rsidRPr="00D020DB">
        <w:rPr>
          <w:rFonts w:eastAsia="Times New Roman"/>
        </w:rPr>
        <w:t>Charcuterie - autres p</w:t>
      </w:r>
      <w:r w:rsidRPr="0062064A">
        <w:rPr>
          <w:rFonts w:eastAsia="Times New Roman"/>
        </w:rPr>
        <w:t>roduits » recouvrent</w:t>
      </w:r>
      <w:r w:rsidR="00831685" w:rsidRPr="0062064A">
        <w:rPr>
          <w:rFonts w:eastAsia="Times New Roman"/>
        </w:rPr>
        <w:t xml:space="preserve"> les assortiments, la coppa, le rôti de porc</w:t>
      </w:r>
      <w:r w:rsidRPr="0062064A">
        <w:rPr>
          <w:rFonts w:eastAsia="Times New Roman"/>
        </w:rPr>
        <w:t xml:space="preserve"> cuit</w:t>
      </w:r>
      <w:r w:rsidR="00831685" w:rsidRPr="0062064A">
        <w:rPr>
          <w:rFonts w:eastAsia="Times New Roman"/>
        </w:rPr>
        <w:t>, la roulade de jambon, la viande de grison, les saucisses fumées.</w:t>
      </w:r>
      <w:r w:rsidR="00802ADF">
        <w:rPr>
          <w:rFonts w:eastAsia="Times New Roman"/>
        </w:rPr>
        <w:t xml:space="preserve"> Or</w:t>
      </w:r>
      <w:r w:rsidR="00A81ACE">
        <w:rPr>
          <w:rFonts w:eastAsia="Times New Roman"/>
        </w:rPr>
        <w:t>,</w:t>
      </w:r>
      <w:r w:rsidR="00802ADF">
        <w:rPr>
          <w:rFonts w:eastAsia="Times New Roman"/>
        </w:rPr>
        <w:t xml:space="preserve"> les viandes cuites sont affectées également au sein des viandes de porc cuites.</w:t>
      </w:r>
    </w:p>
    <w:p w14:paraId="1D86ECD2" w14:textId="0F5067FB" w:rsidR="00D97951" w:rsidRDefault="0062064A" w:rsidP="00C63D42">
      <w:pPr>
        <w:pStyle w:val="Paragraphedeliste"/>
        <w:numPr>
          <w:ilvl w:val="0"/>
          <w:numId w:val="7"/>
        </w:numPr>
        <w:spacing w:after="120"/>
        <w:ind w:left="283" w:hanging="357"/>
        <w:rPr>
          <w:rFonts w:eastAsia="Times New Roman"/>
        </w:rPr>
      </w:pPr>
      <w:r>
        <w:rPr>
          <w:rFonts w:eastAsia="Times New Roman"/>
        </w:rPr>
        <w:t>« </w:t>
      </w:r>
      <w:r w:rsidR="00D97951" w:rsidRPr="00D020DB">
        <w:rPr>
          <w:rFonts w:eastAsia="Times New Roman"/>
        </w:rPr>
        <w:t>Charcuterie</w:t>
      </w:r>
      <w:r w:rsidR="00802ADF">
        <w:rPr>
          <w:rFonts w:eastAsia="Times New Roman"/>
        </w:rPr>
        <w:t>s</w:t>
      </w:r>
      <w:r w:rsidR="00D97951" w:rsidRPr="00D020DB">
        <w:rPr>
          <w:rFonts w:eastAsia="Times New Roman"/>
        </w:rPr>
        <w:t xml:space="preserve"> tranch</w:t>
      </w:r>
      <w:r w:rsidR="00D97951" w:rsidRPr="00D97951">
        <w:rPr>
          <w:rFonts w:eastAsia="Times New Roman"/>
        </w:rPr>
        <w:t>é</w:t>
      </w:r>
      <w:r w:rsidR="00D97951" w:rsidRPr="00D020DB">
        <w:rPr>
          <w:rFonts w:eastAsia="Times New Roman"/>
        </w:rPr>
        <w:t xml:space="preserve">es </w:t>
      </w:r>
      <w:r w:rsidR="00D97951" w:rsidRPr="00D97951">
        <w:rPr>
          <w:rFonts w:eastAsia="Times New Roman"/>
        </w:rPr>
        <w:t>–</w:t>
      </w:r>
      <w:r w:rsidR="00D97951" w:rsidRPr="00D020DB">
        <w:rPr>
          <w:rFonts w:eastAsia="Times New Roman"/>
        </w:rPr>
        <w:t xml:space="preserve"> autre</w:t>
      </w:r>
      <w:r w:rsidR="003F029D">
        <w:rPr>
          <w:rFonts w:eastAsia="Times New Roman"/>
        </w:rPr>
        <w:t>s</w:t>
      </w:r>
      <w:r w:rsidR="00D97951">
        <w:rPr>
          <w:rFonts w:eastAsia="Times New Roman"/>
        </w:rPr>
        <w:t> » recouvre l</w:t>
      </w:r>
      <w:r w:rsidR="00802ADF">
        <w:rPr>
          <w:rFonts w:eastAsia="Times New Roman"/>
        </w:rPr>
        <w:t>es</w:t>
      </w:r>
      <w:r w:rsidR="00D97951">
        <w:rPr>
          <w:rFonts w:eastAsia="Times New Roman"/>
        </w:rPr>
        <w:t xml:space="preserve"> charcuterie</w:t>
      </w:r>
      <w:r w:rsidR="00802ADF">
        <w:rPr>
          <w:rFonts w:eastAsia="Times New Roman"/>
        </w:rPr>
        <w:t>s</w:t>
      </w:r>
      <w:r w:rsidR="00F95F7F">
        <w:rPr>
          <w:rFonts w:eastAsia="Times New Roman"/>
        </w:rPr>
        <w:t xml:space="preserve"> tranchées</w:t>
      </w:r>
      <w:r w:rsidR="00D97951">
        <w:rPr>
          <w:rFonts w:eastAsia="Times New Roman"/>
        </w:rPr>
        <w:t xml:space="preserve"> hors jambon soient les </w:t>
      </w:r>
      <w:r w:rsidRPr="0062064A">
        <w:rPr>
          <w:rFonts w:eastAsia="Times New Roman"/>
        </w:rPr>
        <w:t>saucissons secs</w:t>
      </w:r>
      <w:r w:rsidR="00D97951">
        <w:rPr>
          <w:rFonts w:eastAsia="Times New Roman"/>
        </w:rPr>
        <w:t>,</w:t>
      </w:r>
      <w:r w:rsidRPr="0062064A">
        <w:rPr>
          <w:rFonts w:eastAsia="Times New Roman"/>
        </w:rPr>
        <w:t xml:space="preserve"> salamis</w:t>
      </w:r>
      <w:r w:rsidR="00D97951">
        <w:rPr>
          <w:rFonts w:eastAsia="Times New Roman"/>
        </w:rPr>
        <w:t xml:space="preserve">, </w:t>
      </w:r>
      <w:r w:rsidRPr="0062064A">
        <w:rPr>
          <w:rFonts w:eastAsia="Times New Roman"/>
        </w:rPr>
        <w:t>lardons</w:t>
      </w:r>
      <w:r w:rsidR="00D97951">
        <w:rPr>
          <w:rFonts w:eastAsia="Times New Roman"/>
        </w:rPr>
        <w:t xml:space="preserve">, </w:t>
      </w:r>
      <w:r w:rsidRPr="0062064A">
        <w:rPr>
          <w:rFonts w:eastAsia="Times New Roman"/>
        </w:rPr>
        <w:t>poitrines</w:t>
      </w:r>
      <w:r w:rsidR="00F95F7F">
        <w:rPr>
          <w:rFonts w:eastAsia="Times New Roman"/>
        </w:rPr>
        <w:t>,</w:t>
      </w:r>
      <w:r w:rsidR="00D97951">
        <w:rPr>
          <w:rFonts w:eastAsia="Times New Roman"/>
        </w:rPr>
        <w:t xml:space="preserve"> </w:t>
      </w:r>
      <w:r w:rsidRPr="0062064A">
        <w:rPr>
          <w:rFonts w:eastAsia="Times New Roman"/>
        </w:rPr>
        <w:t>bacon</w:t>
      </w:r>
      <w:r w:rsidR="00F95F7F">
        <w:rPr>
          <w:rFonts w:eastAsia="Times New Roman"/>
        </w:rPr>
        <w:t xml:space="preserve"> mais également une part de produits mal affectés tels que les rôtis cuits à rapprocher de la catégorie des jambons. Le tranché en charcuterie représente moins de 7</w:t>
      </w:r>
      <w:r w:rsidR="00AD5A4D">
        <w:rPr>
          <w:rFonts w:eastAsia="Times New Roman"/>
        </w:rPr>
        <w:t> </w:t>
      </w:r>
      <w:r w:rsidR="00F95F7F">
        <w:rPr>
          <w:rFonts w:eastAsia="Times New Roman"/>
        </w:rPr>
        <w:t>% du total charcuteries.</w:t>
      </w:r>
    </w:p>
    <w:p w14:paraId="63B3CEAE" w14:textId="666CB00B" w:rsidR="003F029D" w:rsidRPr="003F029D" w:rsidRDefault="003F029D" w:rsidP="003F029D">
      <w:pPr>
        <w:spacing w:after="120"/>
        <w:rPr>
          <w:rFonts w:eastAsia="Times New Roman"/>
        </w:rPr>
      </w:pPr>
      <w:r w:rsidRPr="003F029D">
        <w:rPr>
          <w:rFonts w:eastAsia="Times New Roman"/>
        </w:rPr>
        <w:t xml:space="preserve">c/ Le fait d’introduire une clé de segmentation </w:t>
      </w:r>
      <w:r>
        <w:rPr>
          <w:rFonts w:eastAsia="Times New Roman"/>
        </w:rPr>
        <w:t xml:space="preserve">entre libre-service et coupe qui soit </w:t>
      </w:r>
      <w:r w:rsidRPr="003F029D">
        <w:rPr>
          <w:rFonts w:eastAsia="Times New Roman"/>
        </w:rPr>
        <w:t xml:space="preserve">liée à la notion de poids fixe par rapport au poids variable </w:t>
      </w:r>
      <w:r>
        <w:rPr>
          <w:rFonts w:eastAsia="Times New Roman"/>
        </w:rPr>
        <w:t>alors que les produits frais emballé de la coupe avec un positionnement dédié et différentiant, ne permet pas d’avoir une bonne lecture de la volumétrie du marché.</w:t>
      </w:r>
    </w:p>
    <w:p w14:paraId="7240A4FE" w14:textId="09309DF6" w:rsidR="00E8088E" w:rsidRPr="0045229F" w:rsidRDefault="003F029D" w:rsidP="003F029D">
      <w:pPr>
        <w:pStyle w:val="Paragraphedeliste"/>
        <w:numPr>
          <w:ilvl w:val="0"/>
          <w:numId w:val="0"/>
        </w:numPr>
        <w:rPr>
          <w:rFonts w:eastAsia="Times New Roman"/>
        </w:rPr>
      </w:pPr>
      <w:r>
        <w:rPr>
          <w:rFonts w:eastAsia="Times New Roman"/>
        </w:rPr>
        <w:t>d</w:t>
      </w:r>
      <w:r w:rsidR="005D417F">
        <w:rPr>
          <w:rFonts w:eastAsia="Times New Roman"/>
        </w:rPr>
        <w:t xml:space="preserve">/ </w:t>
      </w:r>
      <w:r w:rsidR="00D94FB3">
        <w:rPr>
          <w:rFonts w:eastAsia="Times New Roman"/>
        </w:rPr>
        <w:t>L</w:t>
      </w:r>
      <w:r w:rsidR="00404879" w:rsidRPr="0062064A">
        <w:rPr>
          <w:rFonts w:eastAsia="Times New Roman"/>
        </w:rPr>
        <w:t xml:space="preserve">a non significativité </w:t>
      </w:r>
      <w:r w:rsidR="00404879">
        <w:rPr>
          <w:rFonts w:eastAsia="Times New Roman"/>
        </w:rPr>
        <w:t>en volume des</w:t>
      </w:r>
      <w:r w:rsidR="00DC74A4" w:rsidRPr="0062064A">
        <w:rPr>
          <w:rFonts w:eastAsia="Times New Roman"/>
        </w:rPr>
        <w:t xml:space="preserve"> </w:t>
      </w:r>
      <w:r w:rsidR="005631AE" w:rsidRPr="0062064A">
        <w:rPr>
          <w:rFonts w:eastAsia="Times New Roman"/>
        </w:rPr>
        <w:t>segments de produits</w:t>
      </w:r>
      <w:r w:rsidR="00404879">
        <w:rPr>
          <w:rFonts w:eastAsia="Times New Roman"/>
        </w:rPr>
        <w:t xml:space="preserve"> peu représentatifs concerne les gros achats de viande </w:t>
      </w:r>
      <w:r w:rsidR="007D7893">
        <w:rPr>
          <w:rFonts w:eastAsia="Times New Roman"/>
        </w:rPr>
        <w:t>(</w:t>
      </w:r>
      <w:r w:rsidR="00BC76F1">
        <w:rPr>
          <w:rFonts w:eastAsia="Times New Roman"/>
        </w:rPr>
        <w:t>&lt;1</w:t>
      </w:r>
      <w:r w:rsidR="00AD5A4D">
        <w:rPr>
          <w:rFonts w:eastAsia="Times New Roman"/>
        </w:rPr>
        <w:t> </w:t>
      </w:r>
      <w:r w:rsidR="00BC76F1">
        <w:rPr>
          <w:rFonts w:eastAsia="Times New Roman"/>
        </w:rPr>
        <w:t>kt</w:t>
      </w:r>
      <w:r w:rsidR="00F12A2A">
        <w:rPr>
          <w:rFonts w:eastAsia="Times New Roman"/>
        </w:rPr>
        <w:t xml:space="preserve"> en 2018</w:t>
      </w:r>
      <w:r w:rsidR="00BC76F1">
        <w:rPr>
          <w:rFonts w:eastAsia="Times New Roman"/>
        </w:rPr>
        <w:t xml:space="preserve">) </w:t>
      </w:r>
      <w:r w:rsidR="00404879">
        <w:rPr>
          <w:rFonts w:eastAsia="Times New Roman"/>
        </w:rPr>
        <w:t>qui correspondent la plupart du temps</w:t>
      </w:r>
      <w:r w:rsidR="00E8088E">
        <w:rPr>
          <w:rFonts w:eastAsia="Times New Roman"/>
        </w:rPr>
        <w:t xml:space="preserve"> à</w:t>
      </w:r>
      <w:r w:rsidR="00404879">
        <w:rPr>
          <w:rFonts w:eastAsia="Times New Roman"/>
        </w:rPr>
        <w:t xml:space="preserve"> des mises en avant promotionnelle de caissettes de viande</w:t>
      </w:r>
      <w:r w:rsidR="004F39B8" w:rsidRPr="00E8088E">
        <w:rPr>
          <w:rFonts w:eastAsia="Times New Roman"/>
        </w:rPr>
        <w:t>.</w:t>
      </w:r>
      <w:r w:rsidR="00F95F7F">
        <w:rPr>
          <w:rFonts w:eastAsia="Times New Roman"/>
        </w:rPr>
        <w:t xml:space="preserve"> Les achats en direct de professionnels (restaurateurs, supérettes...) auprès de rayons dédiés dans les grandes surfaces alimentaires aux gros volumes sont des approches qui ont désormais quasiment totalement disparu.</w:t>
      </w:r>
    </w:p>
    <w:p w14:paraId="6A91190C" w14:textId="77777777" w:rsidR="0005199E" w:rsidRPr="00865526" w:rsidRDefault="0005199E" w:rsidP="00E8088E">
      <w:pPr>
        <w:pStyle w:val="Paragraphedeliste"/>
        <w:numPr>
          <w:ilvl w:val="0"/>
          <w:numId w:val="0"/>
        </w:numPr>
        <w:ind w:firstLine="709"/>
        <w:rPr>
          <w:rFonts w:eastAsia="Times New Roman"/>
        </w:rPr>
      </w:pPr>
    </w:p>
    <w:p w14:paraId="7D283B71" w14:textId="1227FB59" w:rsidR="002B19D5" w:rsidRDefault="004F39B8" w:rsidP="00A63F35">
      <w:pPr>
        <w:pStyle w:val="Titre2"/>
        <w:numPr>
          <w:ilvl w:val="0"/>
          <w:numId w:val="0"/>
        </w:numPr>
        <w:ind w:left="1019"/>
      </w:pPr>
      <w:bookmarkStart w:id="162" w:name="_Toc78131597"/>
      <w:r w:rsidRPr="008150C6">
        <w:t>3.</w:t>
      </w:r>
      <w:r w:rsidR="009D3C55">
        <w:t>5</w:t>
      </w:r>
      <w:r w:rsidRPr="008150C6">
        <w:t>.</w:t>
      </w:r>
      <w:r w:rsidRPr="008150C6">
        <w:tab/>
        <w:t xml:space="preserve">Enquête </w:t>
      </w:r>
      <w:r w:rsidR="00F15FB2" w:rsidRPr="003D0843">
        <w:t>Gira</w:t>
      </w:r>
      <w:r w:rsidR="00F15FB2">
        <w:t xml:space="preserve"> Foodservice</w:t>
      </w:r>
      <w:bookmarkEnd w:id="162"/>
    </w:p>
    <w:p w14:paraId="7DE3759F" w14:textId="13320A63" w:rsidR="002A2A55" w:rsidRDefault="00737AC7" w:rsidP="003575AC">
      <w:r>
        <w:rPr>
          <w:lang w:eastAsia="fr-FR"/>
        </w:rPr>
        <w:t>Dans les années 70</w:t>
      </w:r>
      <w:r w:rsidR="002A2A55">
        <w:rPr>
          <w:lang w:eastAsia="fr-FR"/>
        </w:rPr>
        <w:t>,</w:t>
      </w:r>
      <w:r w:rsidR="00A81ACE">
        <w:rPr>
          <w:lang w:eastAsia="fr-FR"/>
        </w:rPr>
        <w:t xml:space="preserve"> l</w:t>
      </w:r>
      <w:r w:rsidR="00C63D42">
        <w:rPr>
          <w:lang w:eastAsia="fr-FR"/>
        </w:rPr>
        <w:t>e fait de consommer en dehors du domicile</w:t>
      </w:r>
      <w:r w:rsidR="00A81ACE">
        <w:rPr>
          <w:lang w:eastAsia="fr-FR"/>
        </w:rPr>
        <w:t xml:space="preserve"> </w:t>
      </w:r>
      <w:r>
        <w:rPr>
          <w:lang w:eastAsia="fr-FR"/>
        </w:rPr>
        <w:t xml:space="preserve">s’est développé </w:t>
      </w:r>
      <w:r w:rsidR="002A2A55">
        <w:rPr>
          <w:lang w:eastAsia="fr-FR"/>
        </w:rPr>
        <w:t xml:space="preserve">sous l’impulsion du développement du travail des femmes </w:t>
      </w:r>
      <w:r>
        <w:rPr>
          <w:lang w:eastAsia="fr-FR"/>
        </w:rPr>
        <w:t>(</w:t>
      </w:r>
      <w:r>
        <w:t xml:space="preserve">Marchand, 2010), </w:t>
      </w:r>
      <w:r w:rsidR="002A2A55">
        <w:rPr>
          <w:lang w:eastAsia="fr-FR"/>
        </w:rPr>
        <w:t xml:space="preserve">et de </w:t>
      </w:r>
      <w:r w:rsidR="00FB2253">
        <w:rPr>
          <w:lang w:eastAsia="fr-FR"/>
        </w:rPr>
        <w:t>l’</w:t>
      </w:r>
      <w:r>
        <w:rPr>
          <w:lang w:eastAsia="fr-FR"/>
        </w:rPr>
        <w:t xml:space="preserve">éloignement croissant </w:t>
      </w:r>
      <w:r w:rsidR="004D79D0">
        <w:rPr>
          <w:lang w:eastAsia="fr-FR"/>
        </w:rPr>
        <w:t xml:space="preserve">entre domicile et travail </w:t>
      </w:r>
      <w:r>
        <w:rPr>
          <w:lang w:eastAsia="fr-FR"/>
        </w:rPr>
        <w:t>(</w:t>
      </w:r>
      <w:r>
        <w:t>Hubert, Madre, Meissonnier, Roux, 2012).</w:t>
      </w:r>
    </w:p>
    <w:p w14:paraId="3A441806" w14:textId="7AC13CD6" w:rsidR="00BE6F4C" w:rsidRDefault="00BE6F4C" w:rsidP="003575AC">
      <w:pPr>
        <w:rPr>
          <w:lang w:eastAsia="fr-FR"/>
        </w:rPr>
      </w:pPr>
      <w:r>
        <w:lastRenderedPageBreak/>
        <w:t>Le marché global de la restauration collective</w:t>
      </w:r>
      <w:r w:rsidR="00DA4BFD">
        <w:t xml:space="preserve"> et commerciale dont les circuits de vente alternatifs</w:t>
      </w:r>
      <w:r w:rsidR="00E52F20">
        <w:t xml:space="preserve"> (CVA)</w:t>
      </w:r>
      <w:r>
        <w:t xml:space="preserve"> </w:t>
      </w:r>
      <w:r w:rsidR="00F15FB2">
        <w:t>est</w:t>
      </w:r>
      <w:r>
        <w:t xml:space="preserve"> estimé en 2018 à </w:t>
      </w:r>
      <w:r w:rsidR="002E596C">
        <w:t xml:space="preserve">76,2 Mrds </w:t>
      </w:r>
      <w:r>
        <w:t>€ HT</w:t>
      </w:r>
      <w:r w:rsidR="00DA4BFD">
        <w:t>,</w:t>
      </w:r>
      <w:r w:rsidR="002E596C">
        <w:t xml:space="preserve"> tous produits confondus selon Gira Food Service.</w:t>
      </w:r>
    </w:p>
    <w:p w14:paraId="2964DAEF" w14:textId="0F0DCC4E" w:rsidR="00137535" w:rsidRPr="0009762A" w:rsidRDefault="00C63D42" w:rsidP="003543E6">
      <w:pPr>
        <w:pStyle w:val="Titre3"/>
        <w:spacing w:before="240" w:after="120"/>
        <w:rPr>
          <w:color w:val="000000" w:themeColor="text1"/>
          <w:szCs w:val="22"/>
        </w:rPr>
      </w:pPr>
      <w:bookmarkStart w:id="163" w:name="_Toc78131598"/>
      <w:r w:rsidRPr="0009762A">
        <w:rPr>
          <w:color w:val="000000" w:themeColor="text1"/>
          <w:szCs w:val="22"/>
        </w:rPr>
        <w:t>3.</w:t>
      </w:r>
      <w:r w:rsidR="009D3C55" w:rsidRPr="0009762A">
        <w:rPr>
          <w:color w:val="000000" w:themeColor="text1"/>
          <w:szCs w:val="22"/>
        </w:rPr>
        <w:t>5</w:t>
      </w:r>
      <w:r w:rsidRPr="0009762A">
        <w:rPr>
          <w:color w:val="000000" w:themeColor="text1"/>
          <w:szCs w:val="22"/>
        </w:rPr>
        <w:t>.1. Objectifs et méthode du</w:t>
      </w:r>
      <w:r w:rsidR="00E37AB5">
        <w:rPr>
          <w:color w:val="000000" w:themeColor="text1"/>
          <w:szCs w:val="22"/>
        </w:rPr>
        <w:t xml:space="preserve"> panorama de la distribution hors </w:t>
      </w:r>
      <w:r w:rsidRPr="0009762A">
        <w:rPr>
          <w:color w:val="000000" w:themeColor="text1"/>
          <w:szCs w:val="22"/>
        </w:rPr>
        <w:t>domicile</w:t>
      </w:r>
      <w:bookmarkEnd w:id="163"/>
    </w:p>
    <w:p w14:paraId="7F7144A2" w14:textId="5ACED47A" w:rsidR="001D076C" w:rsidRPr="001D076C" w:rsidRDefault="004C32D6" w:rsidP="00E37AB5">
      <w:pPr>
        <w:pStyle w:val="NormalWeb"/>
        <w:shd w:val="clear" w:color="auto" w:fill="FFFFFF"/>
        <w:spacing w:before="0" w:beforeAutospacing="0" w:after="0" w:afterAutospacing="0"/>
        <w:rPr>
          <w:rFonts w:ascii="Arial" w:hAnsi="Arial" w:cs="Arial"/>
          <w:iCs/>
          <w:sz w:val="22"/>
          <w:szCs w:val="22"/>
        </w:rPr>
      </w:pPr>
      <w:r>
        <w:rPr>
          <w:rFonts w:ascii="Arial" w:eastAsiaTheme="minorHAnsi" w:hAnsi="Arial" w:cstheme="minorBidi"/>
          <w:sz w:val="22"/>
          <w:szCs w:val="22"/>
          <w:lang w:eastAsia="en-US"/>
        </w:rPr>
        <w:t>Bien que</w:t>
      </w:r>
      <w:r w:rsidR="001D076C">
        <w:rPr>
          <w:rFonts w:ascii="Arial" w:hAnsi="Arial" w:cs="Arial"/>
          <w:iCs/>
          <w:sz w:val="22"/>
          <w:szCs w:val="22"/>
        </w:rPr>
        <w:t xml:space="preserve"> la méthodologie et la représentativité des </w:t>
      </w:r>
      <w:r w:rsidR="005771F1">
        <w:rPr>
          <w:rFonts w:ascii="Arial" w:hAnsi="Arial" w:cs="Arial"/>
          <w:iCs/>
          <w:sz w:val="22"/>
          <w:szCs w:val="22"/>
        </w:rPr>
        <w:t xml:space="preserve">produits et </w:t>
      </w:r>
      <w:r w:rsidR="001D076C">
        <w:rPr>
          <w:rFonts w:ascii="Arial" w:hAnsi="Arial" w:cs="Arial"/>
          <w:iCs/>
          <w:sz w:val="22"/>
          <w:szCs w:val="22"/>
        </w:rPr>
        <w:t xml:space="preserve">opérateurs enquêtés </w:t>
      </w:r>
      <w:r w:rsidR="00DA3F1D">
        <w:rPr>
          <w:rFonts w:ascii="Arial" w:hAnsi="Arial" w:cs="Arial"/>
          <w:iCs/>
          <w:sz w:val="22"/>
          <w:szCs w:val="22"/>
        </w:rPr>
        <w:t xml:space="preserve">par Gira Foodservice </w:t>
      </w:r>
      <w:r w:rsidR="001D076C">
        <w:rPr>
          <w:rFonts w:ascii="Arial" w:hAnsi="Arial" w:cs="Arial"/>
          <w:iCs/>
          <w:sz w:val="22"/>
          <w:szCs w:val="22"/>
        </w:rPr>
        <w:t>ne so</w:t>
      </w:r>
      <w:r w:rsidR="00DA3F1D">
        <w:rPr>
          <w:rFonts w:ascii="Arial" w:hAnsi="Arial" w:cs="Arial"/>
          <w:iCs/>
          <w:sz w:val="22"/>
          <w:szCs w:val="22"/>
        </w:rPr>
        <w:t>ie</w:t>
      </w:r>
      <w:r w:rsidR="001D076C">
        <w:rPr>
          <w:rFonts w:ascii="Arial" w:hAnsi="Arial" w:cs="Arial"/>
          <w:iCs/>
          <w:sz w:val="22"/>
          <w:szCs w:val="22"/>
        </w:rPr>
        <w:t xml:space="preserve">nt pas </w:t>
      </w:r>
      <w:r w:rsidR="005771F1">
        <w:rPr>
          <w:rFonts w:ascii="Arial" w:hAnsi="Arial" w:cs="Arial"/>
          <w:iCs/>
          <w:sz w:val="22"/>
          <w:szCs w:val="22"/>
        </w:rPr>
        <w:t xml:space="preserve">précisément </w:t>
      </w:r>
      <w:r w:rsidR="001D076C">
        <w:rPr>
          <w:rFonts w:ascii="Arial" w:hAnsi="Arial" w:cs="Arial"/>
          <w:iCs/>
          <w:sz w:val="22"/>
          <w:szCs w:val="22"/>
        </w:rPr>
        <w:t>communiquées</w:t>
      </w:r>
      <w:r w:rsidR="00DA3F1D">
        <w:rPr>
          <w:rFonts w:ascii="Arial" w:hAnsi="Arial" w:cs="Arial"/>
          <w:iCs/>
          <w:sz w:val="22"/>
          <w:szCs w:val="22"/>
        </w:rPr>
        <w:t xml:space="preserve">, de premiers </w:t>
      </w:r>
      <w:r w:rsidR="005771F1">
        <w:rPr>
          <w:rFonts w:ascii="Arial" w:hAnsi="Arial" w:cs="Arial"/>
          <w:iCs/>
          <w:sz w:val="22"/>
          <w:szCs w:val="22"/>
        </w:rPr>
        <w:t>éléments ont été relevés (</w:t>
      </w:r>
      <w:r w:rsidR="00DA3F1D" w:rsidRPr="00DA3F1D">
        <w:rPr>
          <w:rFonts w:ascii="Arial" w:hAnsi="Arial" w:cs="Arial"/>
          <w:iCs/>
          <w:sz w:val="22"/>
          <w:szCs w:val="22"/>
        </w:rPr>
        <w:t>B. Carlhian, 20</w:t>
      </w:r>
      <w:r w:rsidR="00DA3F1D">
        <w:rPr>
          <w:rFonts w:ascii="Arial" w:hAnsi="Arial" w:cs="Arial"/>
          <w:iCs/>
          <w:sz w:val="22"/>
          <w:szCs w:val="22"/>
        </w:rPr>
        <w:t>20</w:t>
      </w:r>
      <w:r w:rsidR="00DA3F1D" w:rsidRPr="00DA3F1D">
        <w:rPr>
          <w:rFonts w:ascii="Arial" w:hAnsi="Arial" w:cs="Arial"/>
          <w:iCs/>
          <w:sz w:val="22"/>
          <w:szCs w:val="22"/>
        </w:rPr>
        <w:t>)</w:t>
      </w:r>
      <w:r w:rsidR="00DA3F1D">
        <w:rPr>
          <w:rFonts w:ascii="Arial" w:hAnsi="Arial" w:cs="Arial"/>
          <w:iCs/>
          <w:sz w:val="22"/>
          <w:szCs w:val="22"/>
        </w:rPr>
        <w:t>.</w:t>
      </w:r>
    </w:p>
    <w:p w14:paraId="6A50FDDB" w14:textId="6D65E31A" w:rsidR="00DA3F1D" w:rsidRDefault="00DA3F1D" w:rsidP="00695518">
      <w:pPr>
        <w:pStyle w:val="NormalWeb"/>
        <w:numPr>
          <w:ilvl w:val="0"/>
          <w:numId w:val="7"/>
        </w:numPr>
        <w:shd w:val="clear" w:color="auto" w:fill="FFFFFF"/>
        <w:spacing w:before="0" w:beforeAutospacing="0" w:after="0" w:afterAutospacing="0"/>
        <w:rPr>
          <w:rFonts w:ascii="Arial" w:hAnsi="Arial" w:cs="Arial"/>
          <w:iCs/>
          <w:sz w:val="22"/>
          <w:szCs w:val="22"/>
        </w:rPr>
      </w:pPr>
      <w:r w:rsidRPr="00695518">
        <w:rPr>
          <w:rFonts w:ascii="Arial" w:eastAsiaTheme="minorHAnsi" w:hAnsi="Arial" w:cstheme="minorBidi"/>
          <w:sz w:val="22"/>
          <w:szCs w:val="22"/>
          <w:u w:val="single"/>
          <w:lang w:eastAsia="en-US"/>
        </w:rPr>
        <w:t>L</w:t>
      </w:r>
      <w:r w:rsidR="00E37AB5" w:rsidRPr="00695518">
        <w:rPr>
          <w:rFonts w:ascii="Arial" w:hAnsi="Arial" w:cs="Arial"/>
          <w:iCs/>
          <w:sz w:val="22"/>
          <w:szCs w:val="22"/>
          <w:u w:val="single"/>
        </w:rPr>
        <w:t>es différentes catégories de produits carnés</w:t>
      </w:r>
      <w:r w:rsidR="00E37AB5" w:rsidRPr="00E37AB5">
        <w:rPr>
          <w:rFonts w:ascii="Arial" w:hAnsi="Arial" w:cs="Arial"/>
          <w:iCs/>
          <w:sz w:val="22"/>
          <w:szCs w:val="22"/>
        </w:rPr>
        <w:t xml:space="preserve"> </w:t>
      </w:r>
      <w:r>
        <w:rPr>
          <w:rFonts w:ascii="Arial" w:hAnsi="Arial" w:cs="Arial"/>
          <w:iCs/>
          <w:sz w:val="22"/>
          <w:szCs w:val="22"/>
        </w:rPr>
        <w:t xml:space="preserve">suivies sont les </w:t>
      </w:r>
      <w:r w:rsidR="00E37AB5" w:rsidRPr="00E37AB5">
        <w:rPr>
          <w:rFonts w:ascii="Arial" w:hAnsi="Arial" w:cs="Arial"/>
          <w:iCs/>
          <w:sz w:val="22"/>
          <w:szCs w:val="22"/>
        </w:rPr>
        <w:t>viandes fra</w:t>
      </w:r>
      <w:r>
        <w:rPr>
          <w:rFonts w:ascii="Arial" w:hAnsi="Arial" w:cs="Arial"/>
          <w:iCs/>
          <w:sz w:val="22"/>
          <w:szCs w:val="22"/>
        </w:rPr>
        <w:t>î</w:t>
      </w:r>
      <w:r w:rsidR="00E37AB5" w:rsidRPr="00E37AB5">
        <w:rPr>
          <w:rFonts w:ascii="Arial" w:hAnsi="Arial" w:cs="Arial"/>
          <w:iCs/>
          <w:sz w:val="22"/>
          <w:szCs w:val="22"/>
        </w:rPr>
        <w:t>ches</w:t>
      </w:r>
      <w:r w:rsidR="00E37AB5">
        <w:rPr>
          <w:rFonts w:ascii="Arial" w:hAnsi="Arial" w:cs="Arial"/>
          <w:iCs/>
          <w:sz w:val="22"/>
          <w:szCs w:val="22"/>
        </w:rPr>
        <w:t xml:space="preserve"> et </w:t>
      </w:r>
      <w:r w:rsidR="00E37AB5" w:rsidRPr="00E37AB5">
        <w:rPr>
          <w:rFonts w:ascii="Arial" w:hAnsi="Arial" w:cs="Arial"/>
          <w:iCs/>
          <w:sz w:val="22"/>
          <w:szCs w:val="22"/>
        </w:rPr>
        <w:t>surgelées</w:t>
      </w:r>
      <w:r>
        <w:rPr>
          <w:rFonts w:ascii="Arial" w:hAnsi="Arial" w:cs="Arial"/>
          <w:iCs/>
          <w:sz w:val="22"/>
          <w:szCs w:val="22"/>
        </w:rPr>
        <w:t xml:space="preserve"> toutes espèces</w:t>
      </w:r>
      <w:r w:rsidR="00E37AB5" w:rsidRPr="00E37AB5">
        <w:rPr>
          <w:rFonts w:ascii="Arial" w:hAnsi="Arial" w:cs="Arial"/>
          <w:iCs/>
          <w:sz w:val="22"/>
          <w:szCs w:val="22"/>
        </w:rPr>
        <w:t xml:space="preserve">, </w:t>
      </w:r>
      <w:r>
        <w:rPr>
          <w:rFonts w:ascii="Arial" w:hAnsi="Arial" w:cs="Arial"/>
          <w:iCs/>
          <w:sz w:val="22"/>
          <w:szCs w:val="22"/>
        </w:rPr>
        <w:t xml:space="preserve">la </w:t>
      </w:r>
      <w:r w:rsidR="00E37AB5" w:rsidRPr="00E37AB5">
        <w:rPr>
          <w:rFonts w:ascii="Arial" w:hAnsi="Arial" w:cs="Arial"/>
          <w:iCs/>
          <w:sz w:val="22"/>
          <w:szCs w:val="22"/>
        </w:rPr>
        <w:t>charcuterie-salaison</w:t>
      </w:r>
      <w:r>
        <w:rPr>
          <w:rFonts w:ascii="Arial" w:hAnsi="Arial" w:cs="Arial"/>
          <w:iCs/>
          <w:sz w:val="22"/>
          <w:szCs w:val="22"/>
        </w:rPr>
        <w:t xml:space="preserve"> fraîche, surgelée et appertisée</w:t>
      </w:r>
      <w:r w:rsidR="002D754A">
        <w:rPr>
          <w:rFonts w:ascii="Arial" w:hAnsi="Arial" w:cs="Arial"/>
          <w:iCs/>
          <w:sz w:val="22"/>
          <w:szCs w:val="22"/>
        </w:rPr>
        <w:t xml:space="preserve"> ainsi que les produits tripiers frais, surgelés, en conserve. </w:t>
      </w:r>
    </w:p>
    <w:p w14:paraId="72366A60" w14:textId="1F4D06AD" w:rsidR="00695518" w:rsidRDefault="00DA3F1D" w:rsidP="00524147">
      <w:pPr>
        <w:pStyle w:val="NormalWeb"/>
        <w:numPr>
          <w:ilvl w:val="0"/>
          <w:numId w:val="7"/>
        </w:numPr>
        <w:shd w:val="clear" w:color="auto" w:fill="FFFFFF"/>
        <w:spacing w:before="0" w:beforeAutospacing="0" w:after="0" w:afterAutospacing="0"/>
        <w:rPr>
          <w:rFonts w:ascii="Arial" w:hAnsi="Arial" w:cs="Arial"/>
          <w:iCs/>
          <w:sz w:val="22"/>
          <w:szCs w:val="22"/>
        </w:rPr>
      </w:pPr>
      <w:r w:rsidRPr="00695518">
        <w:rPr>
          <w:rFonts w:ascii="Arial" w:hAnsi="Arial" w:cs="Arial"/>
          <w:iCs/>
          <w:sz w:val="22"/>
          <w:szCs w:val="22"/>
          <w:u w:val="single"/>
        </w:rPr>
        <w:t>L</w:t>
      </w:r>
      <w:r w:rsidR="00AF6FFE" w:rsidRPr="00695518">
        <w:rPr>
          <w:rFonts w:ascii="Arial" w:hAnsi="Arial" w:cs="Arial"/>
          <w:iCs/>
          <w:sz w:val="22"/>
          <w:szCs w:val="22"/>
          <w:u w:val="single"/>
        </w:rPr>
        <w:t>e</w:t>
      </w:r>
      <w:r w:rsidR="00695518" w:rsidRPr="00695518">
        <w:rPr>
          <w:rFonts w:ascii="Arial" w:hAnsi="Arial" w:cs="Arial"/>
          <w:iCs/>
          <w:sz w:val="22"/>
          <w:szCs w:val="22"/>
          <w:u w:val="single"/>
        </w:rPr>
        <w:t xml:space="preserve">s indicateurs </w:t>
      </w:r>
      <w:r w:rsidR="00AB2AF4" w:rsidRPr="00695518">
        <w:rPr>
          <w:rFonts w:ascii="Arial" w:hAnsi="Arial" w:cs="Arial"/>
          <w:iCs/>
          <w:sz w:val="22"/>
          <w:szCs w:val="22"/>
          <w:u w:val="single"/>
        </w:rPr>
        <w:t>quantitati</w:t>
      </w:r>
      <w:r w:rsidR="00695518" w:rsidRPr="00695518">
        <w:rPr>
          <w:rFonts w:ascii="Arial" w:hAnsi="Arial" w:cs="Arial"/>
          <w:iCs/>
          <w:sz w:val="22"/>
          <w:szCs w:val="22"/>
          <w:u w:val="single"/>
        </w:rPr>
        <w:t>f</w:t>
      </w:r>
      <w:r w:rsidR="00695518">
        <w:rPr>
          <w:rFonts w:ascii="Arial" w:hAnsi="Arial" w:cs="Arial"/>
          <w:iCs/>
          <w:sz w:val="22"/>
          <w:szCs w:val="22"/>
          <w:u w:val="single"/>
        </w:rPr>
        <w:t>s</w:t>
      </w:r>
      <w:r w:rsidR="00695518">
        <w:rPr>
          <w:rFonts w:ascii="Arial" w:hAnsi="Arial" w:cs="Arial"/>
          <w:iCs/>
          <w:sz w:val="22"/>
          <w:szCs w:val="22"/>
        </w:rPr>
        <w:t xml:space="preserve"> pour évaluer le marché sont</w:t>
      </w:r>
      <w:r w:rsidR="002D754A">
        <w:rPr>
          <w:rFonts w:ascii="Arial" w:hAnsi="Arial" w:cs="Arial"/>
          <w:iCs/>
          <w:sz w:val="22"/>
          <w:szCs w:val="22"/>
        </w:rPr>
        <w:t xml:space="preserve"> </w:t>
      </w:r>
      <w:r w:rsidR="00695518">
        <w:rPr>
          <w:rFonts w:ascii="Arial" w:hAnsi="Arial" w:cs="Arial"/>
          <w:iCs/>
          <w:sz w:val="22"/>
          <w:szCs w:val="22"/>
        </w:rPr>
        <w:t>l</w:t>
      </w:r>
      <w:r w:rsidR="00E37AB5" w:rsidRPr="00E37AB5">
        <w:rPr>
          <w:rFonts w:ascii="Arial" w:hAnsi="Arial" w:cs="Arial"/>
          <w:iCs/>
          <w:sz w:val="22"/>
          <w:szCs w:val="22"/>
        </w:rPr>
        <w:t>e</w:t>
      </w:r>
      <w:r w:rsidR="00695518">
        <w:rPr>
          <w:rFonts w:ascii="Arial" w:hAnsi="Arial" w:cs="Arial"/>
          <w:iCs/>
          <w:sz w:val="22"/>
          <w:szCs w:val="22"/>
        </w:rPr>
        <w:t>s</w:t>
      </w:r>
      <w:r w:rsidR="00E37AB5" w:rsidRPr="00E37AB5">
        <w:rPr>
          <w:rFonts w:ascii="Arial" w:hAnsi="Arial" w:cs="Arial"/>
          <w:iCs/>
          <w:sz w:val="22"/>
          <w:szCs w:val="22"/>
        </w:rPr>
        <w:t xml:space="preserve"> grammages par prestation</w:t>
      </w:r>
      <w:r w:rsidR="00876943">
        <w:rPr>
          <w:rFonts w:ascii="Arial" w:hAnsi="Arial" w:cs="Arial"/>
          <w:iCs/>
          <w:sz w:val="22"/>
          <w:szCs w:val="22"/>
        </w:rPr>
        <w:t xml:space="preserve"> auprès des établissements</w:t>
      </w:r>
      <w:r w:rsidR="00AB2AF4">
        <w:rPr>
          <w:rFonts w:ascii="Arial" w:hAnsi="Arial" w:cs="Arial"/>
          <w:iCs/>
          <w:sz w:val="22"/>
          <w:szCs w:val="22"/>
        </w:rPr>
        <w:t xml:space="preserve"> </w:t>
      </w:r>
      <w:r w:rsidR="0029418C">
        <w:rPr>
          <w:rFonts w:ascii="Arial" w:hAnsi="Arial" w:cs="Arial"/>
          <w:iCs/>
          <w:sz w:val="22"/>
          <w:szCs w:val="22"/>
        </w:rPr>
        <w:t>de restauration r</w:t>
      </w:r>
      <w:r w:rsidR="00E37AB5" w:rsidRPr="00E37AB5">
        <w:rPr>
          <w:rFonts w:ascii="Arial" w:hAnsi="Arial" w:cs="Arial"/>
          <w:iCs/>
          <w:sz w:val="22"/>
          <w:szCs w:val="22"/>
        </w:rPr>
        <w:t>apporté</w:t>
      </w:r>
      <w:r w:rsidR="00876943">
        <w:rPr>
          <w:rFonts w:ascii="Arial" w:hAnsi="Arial" w:cs="Arial"/>
          <w:iCs/>
          <w:sz w:val="22"/>
          <w:szCs w:val="22"/>
        </w:rPr>
        <w:t>s</w:t>
      </w:r>
      <w:r w:rsidR="00E37AB5" w:rsidRPr="00E37AB5">
        <w:rPr>
          <w:rFonts w:ascii="Arial" w:hAnsi="Arial" w:cs="Arial"/>
          <w:iCs/>
          <w:sz w:val="22"/>
          <w:szCs w:val="22"/>
        </w:rPr>
        <w:t xml:space="preserve"> aux volumes de prestations de l'année. Les volumes </w:t>
      </w:r>
      <w:r w:rsidR="00AF6FFE">
        <w:rPr>
          <w:rFonts w:ascii="Arial" w:hAnsi="Arial" w:cs="Arial"/>
          <w:iCs/>
          <w:sz w:val="22"/>
          <w:szCs w:val="22"/>
        </w:rPr>
        <w:t>s</w:t>
      </w:r>
      <w:r w:rsidR="00DE54BD">
        <w:rPr>
          <w:rFonts w:ascii="Arial" w:hAnsi="Arial" w:cs="Arial"/>
          <w:iCs/>
          <w:sz w:val="22"/>
          <w:szCs w:val="22"/>
        </w:rPr>
        <w:t>eraien</w:t>
      </w:r>
      <w:r w:rsidR="00E37AB5" w:rsidRPr="00E37AB5">
        <w:rPr>
          <w:rFonts w:ascii="Arial" w:hAnsi="Arial" w:cs="Arial"/>
          <w:iCs/>
          <w:sz w:val="22"/>
          <w:szCs w:val="22"/>
        </w:rPr>
        <w:t xml:space="preserve">t ajustés à partir des </w:t>
      </w:r>
      <w:r w:rsidR="00AB2AF4">
        <w:rPr>
          <w:rFonts w:ascii="Arial" w:hAnsi="Arial" w:cs="Arial"/>
          <w:iCs/>
          <w:sz w:val="22"/>
          <w:szCs w:val="22"/>
        </w:rPr>
        <w:t>volumes d’achat</w:t>
      </w:r>
      <w:r w:rsidR="00E37AB5" w:rsidRPr="00E37AB5">
        <w:rPr>
          <w:rFonts w:ascii="Arial" w:hAnsi="Arial" w:cs="Arial"/>
          <w:iCs/>
          <w:sz w:val="22"/>
          <w:szCs w:val="22"/>
        </w:rPr>
        <w:t xml:space="preserve"> de distributeurs. La valeur des marchés</w:t>
      </w:r>
      <w:r w:rsidR="00DE54BD">
        <w:rPr>
          <w:rFonts w:ascii="Arial" w:hAnsi="Arial" w:cs="Arial"/>
          <w:iCs/>
          <w:sz w:val="22"/>
          <w:szCs w:val="22"/>
        </w:rPr>
        <w:t xml:space="preserve">, quant à elle, serait </w:t>
      </w:r>
      <w:r w:rsidR="00E37AB5" w:rsidRPr="00E37AB5">
        <w:rPr>
          <w:rFonts w:ascii="Arial" w:hAnsi="Arial" w:cs="Arial"/>
          <w:iCs/>
          <w:sz w:val="22"/>
          <w:szCs w:val="22"/>
        </w:rPr>
        <w:t>réévaluée à partir de l'évolution des prix moyens par famille de produits observé</w:t>
      </w:r>
      <w:r w:rsidR="00AF6FFE">
        <w:rPr>
          <w:rFonts w:ascii="Arial" w:hAnsi="Arial" w:cs="Arial"/>
          <w:iCs/>
          <w:sz w:val="22"/>
          <w:szCs w:val="22"/>
        </w:rPr>
        <w:t>e</w:t>
      </w:r>
      <w:r w:rsidR="00E37AB5" w:rsidRPr="00E37AB5">
        <w:rPr>
          <w:rFonts w:ascii="Arial" w:hAnsi="Arial" w:cs="Arial"/>
          <w:iCs/>
          <w:sz w:val="22"/>
          <w:szCs w:val="22"/>
        </w:rPr>
        <w:t xml:space="preserve"> </w:t>
      </w:r>
      <w:r w:rsidR="00DE54BD">
        <w:rPr>
          <w:rFonts w:ascii="Arial" w:hAnsi="Arial" w:cs="Arial"/>
          <w:iCs/>
          <w:sz w:val="22"/>
          <w:szCs w:val="22"/>
        </w:rPr>
        <w:t>au travers de</w:t>
      </w:r>
      <w:r w:rsidR="00E37AB5" w:rsidRPr="00E37AB5">
        <w:rPr>
          <w:rFonts w:ascii="Arial" w:hAnsi="Arial" w:cs="Arial"/>
          <w:iCs/>
          <w:sz w:val="22"/>
          <w:szCs w:val="22"/>
        </w:rPr>
        <w:t xml:space="preserve"> l'analyse des ventes des distributeurs.</w:t>
      </w:r>
    </w:p>
    <w:p w14:paraId="2055C570" w14:textId="05CECC6D" w:rsidR="00695518" w:rsidRDefault="00DA3F1D" w:rsidP="00524147">
      <w:pPr>
        <w:pStyle w:val="NormalWeb"/>
        <w:numPr>
          <w:ilvl w:val="0"/>
          <w:numId w:val="7"/>
        </w:numPr>
        <w:shd w:val="clear" w:color="auto" w:fill="FFFFFF"/>
        <w:spacing w:before="0" w:beforeAutospacing="0" w:after="0" w:afterAutospacing="0"/>
        <w:rPr>
          <w:rFonts w:ascii="Arial" w:hAnsi="Arial" w:cs="Arial"/>
          <w:iCs/>
          <w:sz w:val="22"/>
          <w:szCs w:val="22"/>
        </w:rPr>
      </w:pPr>
      <w:r w:rsidRPr="00695518">
        <w:rPr>
          <w:rFonts w:ascii="Arial" w:hAnsi="Arial" w:cs="Arial"/>
          <w:iCs/>
          <w:sz w:val="22"/>
          <w:szCs w:val="22"/>
          <w:u w:val="single"/>
        </w:rPr>
        <w:t>L</w:t>
      </w:r>
      <w:r w:rsidR="00D83E58" w:rsidRPr="00695518">
        <w:rPr>
          <w:rFonts w:ascii="Arial" w:hAnsi="Arial" w:cs="Arial"/>
          <w:iCs/>
          <w:sz w:val="22"/>
          <w:szCs w:val="22"/>
          <w:u w:val="single"/>
        </w:rPr>
        <w:t>es opérateurs</w:t>
      </w:r>
      <w:r w:rsidR="00F15FB2" w:rsidRPr="00695518">
        <w:rPr>
          <w:rFonts w:ascii="Arial" w:hAnsi="Arial" w:cs="Arial"/>
          <w:iCs/>
          <w:sz w:val="22"/>
          <w:szCs w:val="22"/>
          <w:u w:val="single"/>
        </w:rPr>
        <w:t xml:space="preserve"> </w:t>
      </w:r>
      <w:r w:rsidR="00AB2AF4" w:rsidRPr="00695518">
        <w:rPr>
          <w:rFonts w:ascii="Arial" w:hAnsi="Arial" w:cs="Arial"/>
          <w:iCs/>
          <w:sz w:val="22"/>
          <w:szCs w:val="22"/>
          <w:u w:val="single"/>
        </w:rPr>
        <w:t xml:space="preserve">pris en compte </w:t>
      </w:r>
      <w:r w:rsidR="00F15FB2" w:rsidRPr="00695518">
        <w:rPr>
          <w:rFonts w:ascii="Arial" w:hAnsi="Arial" w:cs="Arial"/>
          <w:iCs/>
          <w:sz w:val="22"/>
          <w:szCs w:val="22"/>
          <w:u w:val="single"/>
        </w:rPr>
        <w:t xml:space="preserve">s’articulent en </w:t>
      </w:r>
      <w:r w:rsidR="00712B08">
        <w:rPr>
          <w:rFonts w:ascii="Arial" w:hAnsi="Arial" w:cs="Arial"/>
          <w:iCs/>
          <w:sz w:val="22"/>
          <w:szCs w:val="22"/>
          <w:u w:val="single"/>
        </w:rPr>
        <w:t>plusieurs</w:t>
      </w:r>
      <w:r w:rsidR="00F15FB2" w:rsidRPr="00695518">
        <w:rPr>
          <w:rFonts w:ascii="Arial" w:hAnsi="Arial" w:cs="Arial"/>
          <w:iCs/>
          <w:sz w:val="22"/>
          <w:szCs w:val="22"/>
          <w:u w:val="single"/>
        </w:rPr>
        <w:t xml:space="preserve"> pôles</w:t>
      </w:r>
      <w:r w:rsidR="00F15FB2" w:rsidRPr="00695518">
        <w:rPr>
          <w:rFonts w:ascii="Arial" w:hAnsi="Arial" w:cs="Arial"/>
          <w:iCs/>
          <w:sz w:val="22"/>
          <w:szCs w:val="22"/>
        </w:rPr>
        <w:t xml:space="preserve"> </w:t>
      </w:r>
      <w:r w:rsidR="00851DD3" w:rsidRPr="00695518">
        <w:rPr>
          <w:rFonts w:ascii="Arial" w:hAnsi="Arial" w:cs="Arial"/>
          <w:iCs/>
          <w:sz w:val="22"/>
          <w:szCs w:val="22"/>
        </w:rPr>
        <w:t>:</w:t>
      </w:r>
      <w:r w:rsidR="00D83E58" w:rsidRPr="00695518">
        <w:rPr>
          <w:rFonts w:ascii="Arial" w:hAnsi="Arial" w:cs="Arial"/>
          <w:iCs/>
          <w:sz w:val="22"/>
          <w:szCs w:val="22"/>
        </w:rPr>
        <w:t xml:space="preserve"> </w:t>
      </w:r>
    </w:p>
    <w:p w14:paraId="7C4F1F88" w14:textId="2FD52662" w:rsidR="00712B08" w:rsidRDefault="0069551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 xml:space="preserve">Les </w:t>
      </w:r>
      <w:r w:rsidR="00D83E58" w:rsidRPr="00695518">
        <w:rPr>
          <w:rFonts w:ascii="Arial" w:hAnsi="Arial" w:cs="Arial"/>
          <w:iCs/>
          <w:sz w:val="22"/>
          <w:szCs w:val="22"/>
        </w:rPr>
        <w:t>distributeurs spécialisés dans l'approvisionnement des restaurateurs</w:t>
      </w:r>
      <w:r>
        <w:rPr>
          <w:rFonts w:ascii="Arial" w:hAnsi="Arial" w:cs="Arial"/>
          <w:iCs/>
          <w:sz w:val="22"/>
          <w:szCs w:val="22"/>
        </w:rPr>
        <w:t xml:space="preserve"> au travers d’un échantillon</w:t>
      </w:r>
      <w:r w:rsidRPr="00695518">
        <w:rPr>
          <w:rFonts w:ascii="Arial" w:hAnsi="Arial" w:cs="Arial"/>
          <w:iCs/>
          <w:sz w:val="22"/>
          <w:szCs w:val="22"/>
        </w:rPr>
        <w:t xml:space="preserve">, les cash </w:t>
      </w:r>
      <w:r>
        <w:rPr>
          <w:rFonts w:ascii="Arial" w:hAnsi="Arial" w:cs="Arial"/>
          <w:iCs/>
          <w:sz w:val="22"/>
          <w:szCs w:val="22"/>
        </w:rPr>
        <w:t xml:space="preserve">and </w:t>
      </w:r>
      <w:r w:rsidRPr="00695518">
        <w:rPr>
          <w:rFonts w:ascii="Arial" w:hAnsi="Arial" w:cs="Arial"/>
          <w:iCs/>
          <w:sz w:val="22"/>
          <w:szCs w:val="22"/>
        </w:rPr>
        <w:t>carry et une dizaine de prestataires logistiques approvisionnant les grandes enseignes de la restauration chaînée ou livrant les plates-formes de sociétés de restauration collective</w:t>
      </w:r>
      <w:r w:rsidR="00712B08">
        <w:rPr>
          <w:rFonts w:ascii="Arial" w:hAnsi="Arial" w:cs="Arial"/>
          <w:iCs/>
          <w:sz w:val="22"/>
          <w:szCs w:val="22"/>
        </w:rPr>
        <w:t>,</w:t>
      </w:r>
    </w:p>
    <w:p w14:paraId="0624F3FE" w14:textId="7B906061" w:rsidR="00695518" w:rsidRPr="00695518" w:rsidRDefault="00712B0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 xml:space="preserve">La distribution en </w:t>
      </w:r>
      <w:r w:rsidR="00695518" w:rsidRPr="00695518">
        <w:rPr>
          <w:rFonts w:ascii="Arial" w:hAnsi="Arial" w:cs="Arial"/>
          <w:iCs/>
          <w:sz w:val="22"/>
          <w:szCs w:val="22"/>
        </w:rPr>
        <w:t>ventes directes réalisées par les industriels</w:t>
      </w:r>
      <w:r>
        <w:rPr>
          <w:rFonts w:ascii="Arial" w:hAnsi="Arial" w:cs="Arial"/>
          <w:iCs/>
          <w:sz w:val="22"/>
          <w:szCs w:val="22"/>
        </w:rPr>
        <w:t xml:space="preserve">, les </w:t>
      </w:r>
      <w:r w:rsidR="00695518" w:rsidRPr="00695518">
        <w:rPr>
          <w:rFonts w:ascii="Arial" w:hAnsi="Arial" w:cs="Arial"/>
          <w:iCs/>
          <w:sz w:val="22"/>
          <w:szCs w:val="22"/>
        </w:rPr>
        <w:t>producteurs</w:t>
      </w:r>
      <w:r w:rsidR="003208DB">
        <w:rPr>
          <w:rFonts w:ascii="Arial" w:hAnsi="Arial" w:cs="Arial"/>
          <w:iCs/>
          <w:sz w:val="22"/>
          <w:szCs w:val="22"/>
        </w:rPr>
        <w:t xml:space="preserve"> ou</w:t>
      </w:r>
      <w:r>
        <w:rPr>
          <w:rFonts w:ascii="Arial" w:hAnsi="Arial" w:cs="Arial"/>
          <w:iCs/>
          <w:sz w:val="22"/>
          <w:szCs w:val="22"/>
        </w:rPr>
        <w:t xml:space="preserve"> les </w:t>
      </w:r>
      <w:r w:rsidR="00695518" w:rsidRPr="00695518">
        <w:rPr>
          <w:rFonts w:ascii="Arial" w:hAnsi="Arial" w:cs="Arial"/>
          <w:iCs/>
          <w:sz w:val="22"/>
          <w:szCs w:val="22"/>
        </w:rPr>
        <w:t>circuit</w:t>
      </w:r>
      <w:r>
        <w:rPr>
          <w:rFonts w:ascii="Arial" w:hAnsi="Arial" w:cs="Arial"/>
          <w:iCs/>
          <w:sz w:val="22"/>
          <w:szCs w:val="22"/>
        </w:rPr>
        <w:t>s</w:t>
      </w:r>
      <w:r w:rsidR="00695518" w:rsidRPr="00695518">
        <w:rPr>
          <w:rFonts w:ascii="Arial" w:hAnsi="Arial" w:cs="Arial"/>
          <w:iCs/>
          <w:sz w:val="22"/>
          <w:szCs w:val="22"/>
        </w:rPr>
        <w:t xml:space="preserve"> </w:t>
      </w:r>
      <w:r>
        <w:rPr>
          <w:rFonts w:ascii="Arial" w:hAnsi="Arial" w:cs="Arial"/>
          <w:iCs/>
          <w:sz w:val="22"/>
          <w:szCs w:val="22"/>
        </w:rPr>
        <w:t xml:space="preserve">de </w:t>
      </w:r>
      <w:r w:rsidR="00695518" w:rsidRPr="00695518">
        <w:rPr>
          <w:rFonts w:ascii="Arial" w:hAnsi="Arial" w:cs="Arial"/>
          <w:iCs/>
          <w:sz w:val="22"/>
          <w:szCs w:val="22"/>
        </w:rPr>
        <w:t xml:space="preserve">détail </w:t>
      </w:r>
      <w:r>
        <w:rPr>
          <w:rFonts w:ascii="Arial" w:hAnsi="Arial" w:cs="Arial"/>
          <w:iCs/>
          <w:sz w:val="22"/>
          <w:szCs w:val="22"/>
        </w:rPr>
        <w:t>(</w:t>
      </w:r>
      <w:r w:rsidR="00695518" w:rsidRPr="00695518">
        <w:rPr>
          <w:rFonts w:ascii="Arial" w:hAnsi="Arial" w:cs="Arial"/>
          <w:iCs/>
          <w:sz w:val="22"/>
          <w:szCs w:val="22"/>
        </w:rPr>
        <w:t>GSA ou magasins spécialisés</w:t>
      </w:r>
      <w:r>
        <w:rPr>
          <w:rFonts w:ascii="Arial" w:hAnsi="Arial" w:cs="Arial"/>
          <w:iCs/>
          <w:sz w:val="22"/>
          <w:szCs w:val="22"/>
        </w:rPr>
        <w:t>),</w:t>
      </w:r>
    </w:p>
    <w:p w14:paraId="7DF706AB" w14:textId="44CF404B" w:rsidR="00695518" w:rsidRDefault="0069551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L</w:t>
      </w:r>
      <w:r w:rsidR="00D83E58" w:rsidRPr="00695518">
        <w:rPr>
          <w:rFonts w:ascii="Arial" w:hAnsi="Arial" w:cs="Arial"/>
          <w:iCs/>
          <w:sz w:val="22"/>
          <w:szCs w:val="22"/>
        </w:rPr>
        <w:t>e</w:t>
      </w:r>
      <w:r>
        <w:rPr>
          <w:rFonts w:ascii="Arial" w:hAnsi="Arial" w:cs="Arial"/>
          <w:iCs/>
          <w:sz w:val="22"/>
          <w:szCs w:val="22"/>
        </w:rPr>
        <w:t>s</w:t>
      </w:r>
      <w:r w:rsidR="00166D09" w:rsidRPr="00695518">
        <w:rPr>
          <w:rFonts w:ascii="Arial" w:hAnsi="Arial" w:cs="Arial"/>
          <w:iCs/>
          <w:sz w:val="22"/>
          <w:szCs w:val="22"/>
        </w:rPr>
        <w:t xml:space="preserve"> grands comptes </w:t>
      </w:r>
      <w:r w:rsidR="00BE6F4C" w:rsidRPr="00695518">
        <w:rPr>
          <w:rFonts w:ascii="Arial" w:hAnsi="Arial" w:cs="Arial"/>
          <w:iCs/>
          <w:sz w:val="22"/>
          <w:szCs w:val="22"/>
        </w:rPr>
        <w:t>structuré</w:t>
      </w:r>
      <w:r w:rsidR="00851DD3" w:rsidRPr="00695518">
        <w:rPr>
          <w:rFonts w:ascii="Arial" w:hAnsi="Arial" w:cs="Arial"/>
          <w:iCs/>
          <w:sz w:val="22"/>
          <w:szCs w:val="22"/>
        </w:rPr>
        <w:t>s</w:t>
      </w:r>
      <w:r>
        <w:rPr>
          <w:rFonts w:ascii="Arial" w:hAnsi="Arial" w:cs="Arial"/>
          <w:iCs/>
          <w:sz w:val="22"/>
          <w:szCs w:val="22"/>
        </w:rPr>
        <w:t xml:space="preserve"> de la restauration commerciale et collective,</w:t>
      </w:r>
    </w:p>
    <w:p w14:paraId="52E68718" w14:textId="144AEA75" w:rsidR="00695518" w:rsidRDefault="0069551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 xml:space="preserve">Les </w:t>
      </w:r>
      <w:r w:rsidR="00285119" w:rsidRPr="00695518">
        <w:rPr>
          <w:rFonts w:ascii="Arial" w:hAnsi="Arial" w:cs="Arial"/>
          <w:iCs/>
          <w:sz w:val="22"/>
          <w:szCs w:val="22"/>
        </w:rPr>
        <w:t>établiss</w:t>
      </w:r>
      <w:r w:rsidR="003F38B9" w:rsidRPr="00695518">
        <w:rPr>
          <w:rFonts w:ascii="Arial" w:hAnsi="Arial" w:cs="Arial"/>
          <w:iCs/>
          <w:sz w:val="22"/>
          <w:szCs w:val="22"/>
        </w:rPr>
        <w:t>e</w:t>
      </w:r>
      <w:r w:rsidR="00285119" w:rsidRPr="00695518">
        <w:rPr>
          <w:rFonts w:ascii="Arial" w:hAnsi="Arial" w:cs="Arial"/>
          <w:iCs/>
          <w:sz w:val="22"/>
          <w:szCs w:val="22"/>
        </w:rPr>
        <w:t>ment</w:t>
      </w:r>
      <w:r w:rsidR="003F38B9" w:rsidRPr="00695518">
        <w:rPr>
          <w:rFonts w:ascii="Arial" w:hAnsi="Arial" w:cs="Arial"/>
          <w:iCs/>
          <w:sz w:val="22"/>
          <w:szCs w:val="22"/>
        </w:rPr>
        <w:t>s</w:t>
      </w:r>
      <w:r w:rsidR="00285119" w:rsidRPr="00695518">
        <w:rPr>
          <w:rFonts w:ascii="Arial" w:hAnsi="Arial" w:cs="Arial"/>
          <w:iCs/>
          <w:sz w:val="22"/>
          <w:szCs w:val="22"/>
        </w:rPr>
        <w:t xml:space="preserve"> </w:t>
      </w:r>
      <w:r w:rsidR="00851DD3" w:rsidRPr="00695518">
        <w:rPr>
          <w:rFonts w:ascii="Arial" w:hAnsi="Arial" w:cs="Arial"/>
          <w:iCs/>
          <w:sz w:val="22"/>
          <w:szCs w:val="22"/>
        </w:rPr>
        <w:t xml:space="preserve">indépendants ou autogérés </w:t>
      </w:r>
      <w:r w:rsidR="00D83E58" w:rsidRPr="00695518">
        <w:rPr>
          <w:rFonts w:ascii="Arial" w:hAnsi="Arial" w:cs="Arial"/>
          <w:iCs/>
          <w:sz w:val="22"/>
          <w:szCs w:val="22"/>
        </w:rPr>
        <w:t>de la restauration</w:t>
      </w:r>
      <w:r w:rsidR="00851DD3" w:rsidRPr="00695518">
        <w:rPr>
          <w:rFonts w:ascii="Arial" w:hAnsi="Arial" w:cs="Arial"/>
          <w:iCs/>
          <w:sz w:val="22"/>
          <w:szCs w:val="22"/>
        </w:rPr>
        <w:t xml:space="preserve"> commerciale et collective</w:t>
      </w:r>
      <w:r w:rsidR="00712B08">
        <w:rPr>
          <w:rFonts w:ascii="Arial" w:hAnsi="Arial" w:cs="Arial"/>
          <w:iCs/>
          <w:sz w:val="22"/>
          <w:szCs w:val="22"/>
        </w:rPr>
        <w:t>,</w:t>
      </w:r>
    </w:p>
    <w:p w14:paraId="6D85893D" w14:textId="6E43659F" w:rsidR="0096302B" w:rsidRPr="00695518" w:rsidRDefault="00695518" w:rsidP="00695518">
      <w:pPr>
        <w:pStyle w:val="NormalWeb"/>
        <w:numPr>
          <w:ilvl w:val="1"/>
          <w:numId w:val="7"/>
        </w:numPr>
        <w:shd w:val="clear" w:color="auto" w:fill="FFFFFF"/>
        <w:spacing w:before="0" w:beforeAutospacing="0" w:after="0" w:afterAutospacing="0"/>
        <w:rPr>
          <w:rFonts w:ascii="Arial" w:hAnsi="Arial" w:cs="Arial"/>
          <w:iCs/>
          <w:sz w:val="22"/>
          <w:szCs w:val="22"/>
        </w:rPr>
      </w:pPr>
      <w:r>
        <w:rPr>
          <w:rFonts w:ascii="Arial" w:hAnsi="Arial" w:cs="Arial"/>
          <w:iCs/>
          <w:sz w:val="22"/>
          <w:szCs w:val="22"/>
        </w:rPr>
        <w:t>L</w:t>
      </w:r>
      <w:r w:rsidRPr="00695518">
        <w:rPr>
          <w:rFonts w:ascii="Arial" w:hAnsi="Arial" w:cs="Arial"/>
          <w:iCs/>
          <w:sz w:val="22"/>
          <w:szCs w:val="22"/>
        </w:rPr>
        <w:t>es circuits de vente alternatifs aux grandes surfaces pour lesquels il n’existe pas de réelle définition</w:t>
      </w:r>
      <w:r>
        <w:rPr>
          <w:rFonts w:ascii="Arial" w:hAnsi="Arial" w:cs="Arial"/>
          <w:iCs/>
          <w:sz w:val="22"/>
          <w:szCs w:val="22"/>
        </w:rPr>
        <w:t xml:space="preserve">, </w:t>
      </w:r>
      <w:r w:rsidR="003208DB">
        <w:rPr>
          <w:rFonts w:ascii="Arial" w:hAnsi="Arial" w:cs="Arial"/>
          <w:iCs/>
          <w:sz w:val="22"/>
          <w:szCs w:val="22"/>
        </w:rPr>
        <w:t xml:space="preserve">seraient </w:t>
      </w:r>
      <w:r w:rsidR="003F38B9" w:rsidRPr="00695518">
        <w:rPr>
          <w:rFonts w:ascii="Arial" w:hAnsi="Arial" w:cs="Arial"/>
          <w:iCs/>
          <w:sz w:val="22"/>
          <w:szCs w:val="22"/>
        </w:rPr>
        <w:t>couverts</w:t>
      </w:r>
      <w:r w:rsidR="00876943" w:rsidRPr="00695518">
        <w:rPr>
          <w:rFonts w:ascii="Arial" w:hAnsi="Arial" w:cs="Arial"/>
          <w:iCs/>
          <w:sz w:val="22"/>
          <w:szCs w:val="22"/>
        </w:rPr>
        <w:t xml:space="preserve"> </w:t>
      </w:r>
      <w:r w:rsidR="003208DB">
        <w:rPr>
          <w:rFonts w:ascii="Arial" w:hAnsi="Arial" w:cs="Arial"/>
          <w:iCs/>
          <w:sz w:val="22"/>
          <w:szCs w:val="22"/>
        </w:rPr>
        <w:t xml:space="preserve">par </w:t>
      </w:r>
      <w:r w:rsidR="00876943" w:rsidRPr="00695518">
        <w:rPr>
          <w:rFonts w:ascii="Arial" w:hAnsi="Arial" w:cs="Arial"/>
          <w:iCs/>
          <w:sz w:val="22"/>
          <w:szCs w:val="22"/>
        </w:rPr>
        <w:t>enquête téléphonique</w:t>
      </w:r>
      <w:r w:rsidR="003208DB">
        <w:rPr>
          <w:rFonts w:ascii="Arial" w:hAnsi="Arial" w:cs="Arial"/>
          <w:iCs/>
          <w:sz w:val="22"/>
          <w:szCs w:val="22"/>
        </w:rPr>
        <w:t xml:space="preserve"> sur la base d’un échantillon</w:t>
      </w:r>
      <w:r w:rsidR="007C5545">
        <w:rPr>
          <w:rFonts w:ascii="Arial" w:hAnsi="Arial" w:cs="Arial"/>
          <w:iCs/>
          <w:sz w:val="22"/>
          <w:szCs w:val="22"/>
        </w:rPr>
        <w:t>. Concernant les produits carnés, seul est pris en compte le segment de la boulangerie viennoiserie pâtisserie (BVP</w:t>
      </w:r>
      <w:r w:rsidR="00B67F3C">
        <w:rPr>
          <w:rFonts w:ascii="Arial" w:hAnsi="Arial" w:cs="Arial"/>
          <w:iCs/>
          <w:sz w:val="22"/>
          <w:szCs w:val="22"/>
        </w:rPr>
        <w:t>). Ne sont pas prises en compte les « </w:t>
      </w:r>
      <w:r w:rsidR="0096302B" w:rsidRPr="00695518">
        <w:rPr>
          <w:rFonts w:ascii="Arial" w:eastAsiaTheme="minorHAnsi" w:hAnsi="Arial" w:cstheme="minorBidi"/>
          <w:sz w:val="22"/>
          <w:szCs w:val="22"/>
          <w:lang w:eastAsia="en-US"/>
        </w:rPr>
        <w:t>ambulants et saisonniers</w:t>
      </w:r>
      <w:r w:rsidR="00B67F3C">
        <w:rPr>
          <w:rFonts w:ascii="Arial" w:eastAsiaTheme="minorHAnsi" w:hAnsi="Arial" w:cstheme="minorBidi"/>
          <w:sz w:val="22"/>
          <w:szCs w:val="22"/>
          <w:lang w:eastAsia="en-US"/>
        </w:rPr>
        <w:t xml:space="preserve"> » </w:t>
      </w:r>
      <w:r w:rsidR="003208DB">
        <w:rPr>
          <w:rFonts w:ascii="Arial" w:eastAsiaTheme="minorHAnsi" w:hAnsi="Arial" w:cstheme="minorBidi"/>
          <w:sz w:val="22"/>
          <w:szCs w:val="22"/>
          <w:lang w:eastAsia="en-US"/>
        </w:rPr>
        <w:t xml:space="preserve">(21 000 établissements) </w:t>
      </w:r>
      <w:r w:rsidR="00B67F3C">
        <w:rPr>
          <w:rFonts w:ascii="Arial" w:eastAsiaTheme="minorHAnsi" w:hAnsi="Arial" w:cstheme="minorBidi"/>
          <w:sz w:val="22"/>
          <w:szCs w:val="22"/>
          <w:lang w:eastAsia="en-US"/>
        </w:rPr>
        <w:t>de type food trucks</w:t>
      </w:r>
      <w:r w:rsidR="0096302B" w:rsidRPr="00695518">
        <w:rPr>
          <w:rFonts w:ascii="Arial" w:eastAsiaTheme="minorHAnsi" w:hAnsi="Arial" w:cstheme="minorBidi"/>
          <w:sz w:val="22"/>
          <w:szCs w:val="22"/>
          <w:lang w:eastAsia="en-US"/>
        </w:rPr>
        <w:t xml:space="preserve"> </w:t>
      </w:r>
      <w:r w:rsidR="003208DB">
        <w:rPr>
          <w:rFonts w:ascii="Arial" w:eastAsiaTheme="minorHAnsi" w:hAnsi="Arial" w:cstheme="minorBidi"/>
          <w:sz w:val="22"/>
          <w:szCs w:val="22"/>
          <w:lang w:eastAsia="en-US"/>
        </w:rPr>
        <w:t>dont il faut noter qu’ils sont en développement</w:t>
      </w:r>
      <w:r w:rsidR="0096302B" w:rsidRPr="00695518">
        <w:rPr>
          <w:rFonts w:ascii="Arial" w:eastAsiaTheme="minorHAnsi" w:hAnsi="Arial" w:cstheme="minorBidi"/>
          <w:sz w:val="22"/>
          <w:szCs w:val="22"/>
          <w:lang w:eastAsia="en-US"/>
        </w:rPr>
        <w:t xml:space="preserve">. </w:t>
      </w:r>
    </w:p>
    <w:p w14:paraId="68334E13" w14:textId="0B1D241B" w:rsidR="00712B08" w:rsidRDefault="00712B08" w:rsidP="009D3C55">
      <w:pPr>
        <w:pStyle w:val="NormalWeb"/>
        <w:shd w:val="clear" w:color="auto" w:fill="FFFFFF"/>
        <w:spacing w:before="0" w:beforeAutospacing="0" w:after="0" w:afterAutospacing="0"/>
        <w:rPr>
          <w:rFonts w:ascii="Arial" w:hAnsi="Arial" w:cs="Arial"/>
          <w:iCs/>
          <w:sz w:val="22"/>
          <w:szCs w:val="22"/>
        </w:rPr>
      </w:pPr>
      <w:r>
        <w:rPr>
          <w:rFonts w:ascii="Arial" w:eastAsiaTheme="minorHAnsi" w:hAnsi="Arial" w:cstheme="minorBidi"/>
          <w:sz w:val="22"/>
          <w:szCs w:val="22"/>
          <w:lang w:eastAsia="en-US"/>
        </w:rPr>
        <w:t xml:space="preserve">Ces pôles sont </w:t>
      </w:r>
      <w:r w:rsidR="00524147" w:rsidRPr="00F15FB2">
        <w:rPr>
          <w:rFonts w:ascii="Arial" w:eastAsiaTheme="minorHAnsi" w:hAnsi="Arial" w:cstheme="minorBidi"/>
          <w:sz w:val="22"/>
          <w:szCs w:val="22"/>
          <w:lang w:eastAsia="en-US"/>
        </w:rPr>
        <w:t>segment</w:t>
      </w:r>
      <w:r>
        <w:rPr>
          <w:rFonts w:ascii="Arial" w:eastAsiaTheme="minorHAnsi" w:hAnsi="Arial" w:cstheme="minorBidi"/>
          <w:sz w:val="22"/>
          <w:szCs w:val="22"/>
          <w:lang w:eastAsia="en-US"/>
        </w:rPr>
        <w:t>é</w:t>
      </w:r>
      <w:r w:rsidR="002041F2">
        <w:rPr>
          <w:rFonts w:ascii="Arial" w:eastAsiaTheme="minorHAnsi" w:hAnsi="Arial" w:cstheme="minorBidi"/>
          <w:sz w:val="22"/>
          <w:szCs w:val="22"/>
          <w:lang w:eastAsia="en-US"/>
        </w:rPr>
        <w:t>s</w:t>
      </w:r>
      <w:r w:rsidR="00524147">
        <w:rPr>
          <w:rFonts w:ascii="Arial" w:eastAsiaTheme="minorHAnsi" w:hAnsi="Arial" w:cstheme="minorBidi"/>
          <w:sz w:val="22"/>
          <w:szCs w:val="22"/>
          <w:lang w:eastAsia="en-US"/>
        </w:rPr>
        <w:t xml:space="preserve"> de manière très</w:t>
      </w:r>
      <w:r w:rsidR="00524147" w:rsidRPr="00F15FB2">
        <w:rPr>
          <w:rFonts w:ascii="Arial" w:eastAsiaTheme="minorHAnsi" w:hAnsi="Arial" w:cstheme="minorBidi"/>
          <w:sz w:val="22"/>
          <w:szCs w:val="22"/>
          <w:lang w:eastAsia="en-US"/>
        </w:rPr>
        <w:t xml:space="preserve"> fine à partir d'un découpage par typologies d'établissements ayant un profil relativement homogène</w:t>
      </w:r>
      <w:r w:rsidR="00876943">
        <w:rPr>
          <w:rFonts w:ascii="Arial" w:eastAsiaTheme="minorHAnsi" w:hAnsi="Arial" w:cstheme="minorBidi"/>
          <w:sz w:val="22"/>
          <w:szCs w:val="22"/>
          <w:lang w:eastAsia="en-US"/>
        </w:rPr>
        <w:t>.</w:t>
      </w:r>
    </w:p>
    <w:p w14:paraId="63B58C40" w14:textId="18A0B2F3" w:rsidR="009D3C55" w:rsidRPr="0009762A" w:rsidRDefault="009D3C55" w:rsidP="003543E6">
      <w:pPr>
        <w:pStyle w:val="Titre3"/>
        <w:spacing w:before="120" w:after="120"/>
        <w:rPr>
          <w:color w:val="000000" w:themeColor="text1"/>
          <w:szCs w:val="22"/>
        </w:rPr>
      </w:pPr>
      <w:bookmarkStart w:id="164" w:name="_Toc78131599"/>
      <w:r w:rsidRPr="0009762A">
        <w:rPr>
          <w:color w:val="000000" w:themeColor="text1"/>
          <w:szCs w:val="22"/>
        </w:rPr>
        <w:t>3.5.2</w:t>
      </w:r>
      <w:r w:rsidR="0009762A" w:rsidRPr="0009762A">
        <w:rPr>
          <w:color w:val="000000" w:themeColor="text1"/>
          <w:szCs w:val="22"/>
        </w:rPr>
        <w:t>.</w:t>
      </w:r>
      <w:r w:rsidR="00B51BC5">
        <w:rPr>
          <w:color w:val="000000" w:themeColor="text1"/>
          <w:szCs w:val="22"/>
        </w:rPr>
        <w:t xml:space="preserve"> </w:t>
      </w:r>
      <w:r w:rsidRPr="0009762A">
        <w:rPr>
          <w:color w:val="000000" w:themeColor="text1"/>
          <w:szCs w:val="22"/>
        </w:rPr>
        <w:t>Ré</w:t>
      </w:r>
      <w:r w:rsidR="00DE54BD">
        <w:rPr>
          <w:color w:val="000000" w:themeColor="text1"/>
          <w:szCs w:val="22"/>
        </w:rPr>
        <w:t>sultats</w:t>
      </w:r>
      <w:bookmarkEnd w:id="164"/>
      <w:r w:rsidR="00DE54BD">
        <w:rPr>
          <w:color w:val="000000" w:themeColor="text1"/>
          <w:szCs w:val="22"/>
        </w:rPr>
        <w:t xml:space="preserve"> </w:t>
      </w:r>
    </w:p>
    <w:p w14:paraId="12E429C7" w14:textId="1C28D9D7" w:rsidR="00AC5F88" w:rsidRPr="00AC5F88" w:rsidRDefault="00AC5F88" w:rsidP="0029418C">
      <w:pPr>
        <w:pStyle w:val="Titre4"/>
        <w:tabs>
          <w:tab w:val="clear" w:pos="1980"/>
        </w:tabs>
        <w:ind w:left="1843"/>
      </w:pPr>
      <w:bookmarkStart w:id="165" w:name="_Toc78131600"/>
      <w:r>
        <w:t>3.5.2.1. Les segments de marché couverts par l</w:t>
      </w:r>
      <w:r w:rsidR="00DE54BD">
        <w:t>es produits du porc en</w:t>
      </w:r>
      <w:r>
        <w:t xml:space="preserve"> restauration hors</w:t>
      </w:r>
      <w:r w:rsidR="00706784">
        <w:t xml:space="preserve"> </w:t>
      </w:r>
      <w:r>
        <w:t>domicile</w:t>
      </w:r>
      <w:bookmarkEnd w:id="165"/>
    </w:p>
    <w:p w14:paraId="292CEF02" w14:textId="566D7A9D" w:rsidR="00AE66AC" w:rsidRDefault="008D74C7" w:rsidP="00AE66AC">
      <w:pPr>
        <w:pStyle w:val="NormalWeb"/>
        <w:shd w:val="clear" w:color="auto" w:fill="FFFFFF"/>
        <w:spacing w:before="0" w:beforeAutospacing="0" w:after="0" w:afterAutospacing="0"/>
        <w:rPr>
          <w:rFonts w:ascii="Arial" w:hAnsi="Arial" w:cs="Arial"/>
          <w:iCs/>
          <w:sz w:val="22"/>
          <w:szCs w:val="22"/>
        </w:rPr>
      </w:pPr>
      <w:r>
        <w:rPr>
          <w:rFonts w:ascii="Arial" w:hAnsi="Arial" w:cs="Arial"/>
          <w:iCs/>
          <w:sz w:val="22"/>
          <w:szCs w:val="22"/>
        </w:rPr>
        <w:t xml:space="preserve">Les produits du porc </w:t>
      </w:r>
      <w:r w:rsidR="00C429CC">
        <w:rPr>
          <w:rFonts w:ascii="Arial" w:hAnsi="Arial" w:cs="Arial"/>
          <w:iCs/>
          <w:sz w:val="22"/>
          <w:szCs w:val="22"/>
        </w:rPr>
        <w:t>n’étant pas diffusés sur l’ensemble des marchés de la restauration hors domicile, il s’agit de définir à partir de</w:t>
      </w:r>
      <w:r w:rsidR="00E24928">
        <w:rPr>
          <w:rFonts w:ascii="Arial" w:hAnsi="Arial" w:cs="Arial"/>
          <w:iCs/>
          <w:sz w:val="22"/>
          <w:szCs w:val="22"/>
        </w:rPr>
        <w:t xml:space="preserve"> la segmentation </w:t>
      </w:r>
      <w:r w:rsidR="00FB1F2C">
        <w:rPr>
          <w:rFonts w:ascii="Arial" w:hAnsi="Arial" w:cs="Arial"/>
          <w:iCs/>
          <w:sz w:val="22"/>
          <w:szCs w:val="22"/>
        </w:rPr>
        <w:t>du marché selon</w:t>
      </w:r>
      <w:r w:rsidR="00C429CC">
        <w:rPr>
          <w:rFonts w:ascii="Arial" w:hAnsi="Arial" w:cs="Arial"/>
          <w:iCs/>
          <w:sz w:val="22"/>
          <w:szCs w:val="22"/>
        </w:rPr>
        <w:t xml:space="preserve"> </w:t>
      </w:r>
      <w:r w:rsidR="00F15FB2">
        <w:rPr>
          <w:rFonts w:ascii="Arial" w:hAnsi="Arial" w:cs="Arial"/>
          <w:iCs/>
          <w:sz w:val="22"/>
          <w:szCs w:val="22"/>
        </w:rPr>
        <w:t>Gira Foodservice</w:t>
      </w:r>
      <w:r w:rsidR="00524147">
        <w:rPr>
          <w:rFonts w:ascii="Arial" w:hAnsi="Arial" w:cs="Arial"/>
          <w:iCs/>
          <w:sz w:val="22"/>
          <w:szCs w:val="22"/>
        </w:rPr>
        <w:t xml:space="preserve">, </w:t>
      </w:r>
      <w:r w:rsidR="00F803A3">
        <w:rPr>
          <w:rFonts w:ascii="Arial" w:hAnsi="Arial" w:cs="Arial"/>
          <w:iCs/>
          <w:sz w:val="22"/>
          <w:szCs w:val="22"/>
        </w:rPr>
        <w:t>le périmètre du marché potentiel.</w:t>
      </w:r>
      <w:r w:rsidR="006D5836">
        <w:rPr>
          <w:rFonts w:ascii="Arial" w:hAnsi="Arial" w:cs="Arial"/>
          <w:iCs/>
          <w:sz w:val="22"/>
          <w:szCs w:val="22"/>
        </w:rPr>
        <w:t xml:space="preserve"> </w:t>
      </w:r>
      <w:r w:rsidR="00706D93">
        <w:rPr>
          <w:rFonts w:ascii="Arial" w:hAnsi="Arial" w:cs="Arial"/>
          <w:iCs/>
          <w:sz w:val="22"/>
          <w:szCs w:val="22"/>
        </w:rPr>
        <w:t>C</w:t>
      </w:r>
      <w:r w:rsidR="006D5836">
        <w:rPr>
          <w:rFonts w:ascii="Arial" w:hAnsi="Arial" w:cs="Arial"/>
          <w:iCs/>
          <w:sz w:val="22"/>
          <w:szCs w:val="22"/>
        </w:rPr>
        <w:t xml:space="preserve">elui-ci </w:t>
      </w:r>
      <w:r w:rsidR="00CA172E">
        <w:rPr>
          <w:rFonts w:ascii="Arial" w:hAnsi="Arial" w:cs="Arial"/>
          <w:iCs/>
          <w:sz w:val="22"/>
          <w:szCs w:val="22"/>
        </w:rPr>
        <w:t xml:space="preserve">est représenté par un total </w:t>
      </w:r>
      <w:r w:rsidR="00706D93">
        <w:rPr>
          <w:rFonts w:ascii="Arial" w:hAnsi="Arial" w:cs="Arial"/>
          <w:iCs/>
          <w:sz w:val="22"/>
          <w:szCs w:val="22"/>
        </w:rPr>
        <w:t>d</w:t>
      </w:r>
      <w:r w:rsidR="00356993">
        <w:rPr>
          <w:rFonts w:ascii="Arial" w:hAnsi="Arial" w:cs="Arial"/>
          <w:iCs/>
          <w:sz w:val="22"/>
          <w:szCs w:val="22"/>
        </w:rPr>
        <w:t>’à peine</w:t>
      </w:r>
      <w:r w:rsidR="00706D93">
        <w:rPr>
          <w:rFonts w:ascii="Arial" w:hAnsi="Arial" w:cs="Arial"/>
          <w:iCs/>
          <w:sz w:val="22"/>
          <w:szCs w:val="22"/>
        </w:rPr>
        <w:t xml:space="preserve"> </w:t>
      </w:r>
      <w:r w:rsidR="004C5BDF">
        <w:rPr>
          <w:rFonts w:ascii="Arial" w:hAnsi="Arial" w:cs="Arial"/>
          <w:iCs/>
          <w:sz w:val="22"/>
          <w:szCs w:val="22"/>
        </w:rPr>
        <w:t>3</w:t>
      </w:r>
      <w:r w:rsidR="00356993">
        <w:rPr>
          <w:rFonts w:ascii="Arial" w:hAnsi="Arial" w:cs="Arial"/>
          <w:iCs/>
          <w:sz w:val="22"/>
          <w:szCs w:val="22"/>
        </w:rPr>
        <w:t>0</w:t>
      </w:r>
      <w:r w:rsidR="004C5BDF">
        <w:rPr>
          <w:rFonts w:ascii="Arial" w:hAnsi="Arial" w:cs="Arial"/>
          <w:iCs/>
          <w:sz w:val="22"/>
          <w:szCs w:val="22"/>
        </w:rPr>
        <w:t>0</w:t>
      </w:r>
      <w:r w:rsidR="00295F87">
        <w:rPr>
          <w:rFonts w:ascii="Arial" w:hAnsi="Arial" w:cs="Arial"/>
          <w:iCs/>
          <w:sz w:val="22"/>
          <w:szCs w:val="22"/>
        </w:rPr>
        <w:t> </w:t>
      </w:r>
      <w:r w:rsidR="00CA172E">
        <w:rPr>
          <w:rFonts w:ascii="Arial" w:hAnsi="Arial" w:cs="Arial"/>
          <w:iCs/>
          <w:sz w:val="22"/>
          <w:szCs w:val="22"/>
        </w:rPr>
        <w:t xml:space="preserve">000 établissements </w:t>
      </w:r>
      <w:r w:rsidR="005139F0">
        <w:rPr>
          <w:rFonts w:ascii="Arial" w:hAnsi="Arial" w:cs="Arial"/>
          <w:iCs/>
          <w:sz w:val="22"/>
          <w:szCs w:val="22"/>
        </w:rPr>
        <w:t xml:space="preserve">dont </w:t>
      </w:r>
      <w:r w:rsidR="00AB778B">
        <w:rPr>
          <w:rFonts w:ascii="Arial" w:hAnsi="Arial" w:cs="Arial"/>
          <w:iCs/>
          <w:sz w:val="22"/>
          <w:szCs w:val="22"/>
        </w:rPr>
        <w:t>54,5</w:t>
      </w:r>
      <w:r w:rsidR="00295F87">
        <w:rPr>
          <w:rFonts w:ascii="Arial" w:hAnsi="Arial" w:cs="Arial"/>
          <w:iCs/>
          <w:sz w:val="22"/>
          <w:szCs w:val="22"/>
        </w:rPr>
        <w:t> </w:t>
      </w:r>
      <w:r w:rsidR="005139F0">
        <w:rPr>
          <w:rFonts w:ascii="Arial" w:hAnsi="Arial" w:cs="Arial"/>
          <w:iCs/>
          <w:sz w:val="22"/>
          <w:szCs w:val="22"/>
        </w:rPr>
        <w:t xml:space="preserve">% </w:t>
      </w:r>
      <w:r w:rsidR="00CA172E">
        <w:rPr>
          <w:rFonts w:ascii="Arial" w:hAnsi="Arial" w:cs="Arial"/>
          <w:iCs/>
          <w:sz w:val="22"/>
          <w:szCs w:val="22"/>
        </w:rPr>
        <w:t xml:space="preserve">en restauration commerciale, </w:t>
      </w:r>
      <w:r w:rsidR="0021352E">
        <w:rPr>
          <w:rFonts w:ascii="Arial" w:hAnsi="Arial" w:cs="Arial"/>
          <w:iCs/>
          <w:sz w:val="22"/>
          <w:szCs w:val="22"/>
        </w:rPr>
        <w:t>2</w:t>
      </w:r>
      <w:r w:rsidR="00AB778B">
        <w:rPr>
          <w:rFonts w:ascii="Arial" w:hAnsi="Arial" w:cs="Arial"/>
          <w:iCs/>
          <w:sz w:val="22"/>
          <w:szCs w:val="22"/>
        </w:rPr>
        <w:t>9,3</w:t>
      </w:r>
      <w:r w:rsidR="00295F87">
        <w:rPr>
          <w:rFonts w:ascii="Arial" w:hAnsi="Arial" w:cs="Arial"/>
          <w:iCs/>
          <w:sz w:val="22"/>
          <w:szCs w:val="22"/>
        </w:rPr>
        <w:t> </w:t>
      </w:r>
      <w:r w:rsidR="00CA172E">
        <w:rPr>
          <w:rFonts w:ascii="Arial" w:hAnsi="Arial" w:cs="Arial"/>
          <w:iCs/>
          <w:sz w:val="22"/>
          <w:szCs w:val="22"/>
        </w:rPr>
        <w:t xml:space="preserve">% en restauration collective et </w:t>
      </w:r>
      <w:r w:rsidR="00AB778B">
        <w:rPr>
          <w:rFonts w:ascii="Arial" w:hAnsi="Arial" w:cs="Arial"/>
          <w:iCs/>
          <w:sz w:val="22"/>
          <w:szCs w:val="22"/>
        </w:rPr>
        <w:t>16,2</w:t>
      </w:r>
      <w:r w:rsidR="00295F87">
        <w:rPr>
          <w:rFonts w:ascii="Arial" w:hAnsi="Arial" w:cs="Arial"/>
          <w:iCs/>
          <w:sz w:val="22"/>
          <w:szCs w:val="22"/>
        </w:rPr>
        <w:t> </w:t>
      </w:r>
      <w:r w:rsidR="00CA172E">
        <w:rPr>
          <w:rFonts w:ascii="Arial" w:hAnsi="Arial" w:cs="Arial"/>
          <w:iCs/>
          <w:sz w:val="22"/>
          <w:szCs w:val="22"/>
        </w:rPr>
        <w:t xml:space="preserve">% </w:t>
      </w:r>
      <w:r w:rsidR="005139F0">
        <w:rPr>
          <w:rFonts w:ascii="Arial" w:hAnsi="Arial" w:cs="Arial"/>
          <w:iCs/>
          <w:sz w:val="22"/>
          <w:szCs w:val="22"/>
        </w:rPr>
        <w:t>au travers d</w:t>
      </w:r>
      <w:r w:rsidR="00CA172E">
        <w:rPr>
          <w:rFonts w:ascii="Arial" w:hAnsi="Arial" w:cs="Arial"/>
          <w:iCs/>
          <w:sz w:val="22"/>
          <w:szCs w:val="22"/>
        </w:rPr>
        <w:t>es circuits de vente alternatifs</w:t>
      </w:r>
      <w:r w:rsidR="00295F87">
        <w:rPr>
          <w:rFonts w:ascii="Arial" w:hAnsi="Arial" w:cs="Arial"/>
          <w:iCs/>
          <w:sz w:val="22"/>
          <w:szCs w:val="22"/>
        </w:rPr>
        <w:t>.</w:t>
      </w:r>
    </w:p>
    <w:p w14:paraId="19489325" w14:textId="5F10F8FD" w:rsidR="00AE66AC" w:rsidRDefault="00F803A3" w:rsidP="00AE66AC">
      <w:pPr>
        <w:pStyle w:val="NormalWeb"/>
        <w:shd w:val="clear" w:color="auto" w:fill="FFFFFF"/>
        <w:spacing w:before="0" w:beforeAutospacing="0" w:after="0" w:afterAutospacing="0"/>
        <w:rPr>
          <w:rFonts w:ascii="Arial" w:hAnsi="Arial" w:cs="Arial"/>
          <w:iCs/>
          <w:sz w:val="22"/>
          <w:szCs w:val="22"/>
        </w:rPr>
      </w:pPr>
      <w:r>
        <w:rPr>
          <w:rFonts w:ascii="Arial" w:hAnsi="Arial" w:cs="Arial"/>
          <w:iCs/>
          <w:sz w:val="22"/>
          <w:szCs w:val="22"/>
        </w:rPr>
        <w:t>Ainsi, ne sont pas</w:t>
      </w:r>
      <w:r w:rsidR="00924AB6">
        <w:rPr>
          <w:rFonts w:ascii="Arial" w:hAnsi="Arial" w:cs="Arial"/>
          <w:iCs/>
          <w:sz w:val="22"/>
          <w:szCs w:val="22"/>
        </w:rPr>
        <w:t xml:space="preserve"> </w:t>
      </w:r>
      <w:r w:rsidR="00FB1F2C">
        <w:rPr>
          <w:rFonts w:ascii="Arial" w:hAnsi="Arial" w:cs="Arial"/>
          <w:iCs/>
          <w:sz w:val="22"/>
          <w:szCs w:val="22"/>
        </w:rPr>
        <w:t>pris en compte</w:t>
      </w:r>
      <w:r w:rsidR="00F715AC">
        <w:rPr>
          <w:rFonts w:ascii="Arial" w:hAnsi="Arial" w:cs="Arial"/>
          <w:iCs/>
          <w:sz w:val="22"/>
          <w:szCs w:val="22"/>
        </w:rPr>
        <w:t xml:space="preserve"> les établissements suivants</w:t>
      </w:r>
      <w:r w:rsidR="00F00FE6">
        <w:rPr>
          <w:rFonts w:ascii="Arial" w:hAnsi="Arial" w:cs="Arial"/>
          <w:iCs/>
          <w:sz w:val="22"/>
          <w:szCs w:val="22"/>
        </w:rPr>
        <w:t xml:space="preserve"> : </w:t>
      </w:r>
    </w:p>
    <w:p w14:paraId="6D8C8EE2" w14:textId="3F3219FB" w:rsidR="00AD1388" w:rsidRDefault="00355166" w:rsidP="00AE66AC">
      <w:pPr>
        <w:pStyle w:val="NormalWeb"/>
        <w:numPr>
          <w:ilvl w:val="0"/>
          <w:numId w:val="7"/>
        </w:numPr>
        <w:shd w:val="clear" w:color="auto" w:fill="FFFFFF"/>
        <w:spacing w:before="0" w:beforeAutospacing="0" w:after="0" w:afterAutospacing="0"/>
        <w:ind w:left="709"/>
        <w:rPr>
          <w:rFonts w:ascii="Arial" w:hAnsi="Arial" w:cs="Arial"/>
          <w:iCs/>
          <w:sz w:val="22"/>
          <w:szCs w:val="22"/>
        </w:rPr>
      </w:pPr>
      <w:r>
        <w:rPr>
          <w:rFonts w:ascii="Arial" w:hAnsi="Arial" w:cs="Arial"/>
          <w:iCs/>
          <w:sz w:val="22"/>
          <w:szCs w:val="22"/>
        </w:rPr>
        <w:t xml:space="preserve">la restauration de concession </w:t>
      </w:r>
      <w:r w:rsidR="00581716">
        <w:rPr>
          <w:rFonts w:ascii="Arial" w:hAnsi="Arial" w:cs="Arial"/>
          <w:iCs/>
          <w:sz w:val="22"/>
          <w:szCs w:val="22"/>
        </w:rPr>
        <w:t xml:space="preserve">(musées, casinos…) soient </w:t>
      </w:r>
      <w:r w:rsidR="00BA6DCD">
        <w:rPr>
          <w:rFonts w:ascii="Arial" w:hAnsi="Arial" w:cs="Arial"/>
          <w:iCs/>
          <w:sz w:val="22"/>
          <w:szCs w:val="22"/>
        </w:rPr>
        <w:t>3</w:t>
      </w:r>
      <w:r w:rsidR="00295F87">
        <w:rPr>
          <w:rFonts w:ascii="Arial" w:hAnsi="Arial" w:cs="Arial"/>
          <w:iCs/>
          <w:sz w:val="22"/>
          <w:szCs w:val="22"/>
        </w:rPr>
        <w:t> </w:t>
      </w:r>
      <w:r w:rsidR="00BA6DCD">
        <w:rPr>
          <w:rFonts w:ascii="Arial" w:hAnsi="Arial" w:cs="Arial"/>
          <w:iCs/>
          <w:sz w:val="22"/>
          <w:szCs w:val="22"/>
        </w:rPr>
        <w:t>935</w:t>
      </w:r>
      <w:r w:rsidR="00810B55">
        <w:rPr>
          <w:rFonts w:ascii="Arial" w:hAnsi="Arial" w:cs="Arial"/>
          <w:iCs/>
          <w:sz w:val="22"/>
          <w:szCs w:val="22"/>
        </w:rPr>
        <w:t xml:space="preserve"> </w:t>
      </w:r>
      <w:r w:rsidR="006E62CA">
        <w:rPr>
          <w:rFonts w:ascii="Arial" w:hAnsi="Arial" w:cs="Arial"/>
          <w:iCs/>
          <w:sz w:val="22"/>
          <w:szCs w:val="22"/>
        </w:rPr>
        <w:t>établissements</w:t>
      </w:r>
      <w:r w:rsidR="00AD1388">
        <w:rPr>
          <w:rFonts w:ascii="Arial" w:hAnsi="Arial" w:cs="Arial"/>
          <w:iCs/>
          <w:sz w:val="22"/>
          <w:szCs w:val="22"/>
        </w:rPr>
        <w:t>,</w:t>
      </w:r>
    </w:p>
    <w:p w14:paraId="367C9CD8" w14:textId="78E98B9D" w:rsidR="00AD1388" w:rsidRDefault="00810B55" w:rsidP="00AD1388">
      <w:pPr>
        <w:pStyle w:val="NormalWeb"/>
        <w:numPr>
          <w:ilvl w:val="0"/>
          <w:numId w:val="7"/>
        </w:numPr>
        <w:shd w:val="clear" w:color="auto" w:fill="FFFFFF"/>
        <w:spacing w:before="0" w:beforeAutospacing="0" w:after="0" w:afterAutospacing="0"/>
        <w:ind w:left="709"/>
        <w:rPr>
          <w:rFonts w:ascii="Arial" w:hAnsi="Arial" w:cs="Arial"/>
          <w:iCs/>
          <w:sz w:val="22"/>
          <w:szCs w:val="22"/>
        </w:rPr>
      </w:pPr>
      <w:r>
        <w:rPr>
          <w:rFonts w:ascii="Arial" w:hAnsi="Arial" w:cs="Arial"/>
          <w:iCs/>
          <w:sz w:val="22"/>
          <w:szCs w:val="22"/>
        </w:rPr>
        <w:t xml:space="preserve">les cafés et débits de boisson </w:t>
      </w:r>
      <w:r w:rsidR="00581716">
        <w:rPr>
          <w:rFonts w:ascii="Arial" w:hAnsi="Arial" w:cs="Arial"/>
          <w:iCs/>
          <w:sz w:val="22"/>
          <w:szCs w:val="22"/>
        </w:rPr>
        <w:t xml:space="preserve">soient </w:t>
      </w:r>
      <w:r w:rsidR="00861D11">
        <w:rPr>
          <w:rFonts w:ascii="Arial" w:hAnsi="Arial" w:cs="Arial"/>
          <w:iCs/>
          <w:sz w:val="22"/>
          <w:szCs w:val="22"/>
        </w:rPr>
        <w:t>23</w:t>
      </w:r>
      <w:r>
        <w:rPr>
          <w:rFonts w:ascii="Arial" w:hAnsi="Arial" w:cs="Arial"/>
          <w:iCs/>
          <w:sz w:val="22"/>
          <w:szCs w:val="22"/>
        </w:rPr>
        <w:t> </w:t>
      </w:r>
      <w:r w:rsidR="00861D11">
        <w:rPr>
          <w:rFonts w:ascii="Arial" w:hAnsi="Arial" w:cs="Arial"/>
          <w:iCs/>
          <w:sz w:val="22"/>
          <w:szCs w:val="22"/>
        </w:rPr>
        <w:t>7</w:t>
      </w:r>
      <w:r>
        <w:rPr>
          <w:rFonts w:ascii="Arial" w:hAnsi="Arial" w:cs="Arial"/>
          <w:iCs/>
          <w:sz w:val="22"/>
          <w:szCs w:val="22"/>
        </w:rPr>
        <w:t xml:space="preserve">00 </w:t>
      </w:r>
      <w:r w:rsidR="006E62CA">
        <w:rPr>
          <w:rFonts w:ascii="Arial" w:hAnsi="Arial" w:cs="Arial"/>
          <w:iCs/>
          <w:sz w:val="22"/>
          <w:szCs w:val="22"/>
        </w:rPr>
        <w:t>établissements</w:t>
      </w:r>
      <w:r>
        <w:rPr>
          <w:rFonts w:ascii="Arial" w:hAnsi="Arial" w:cs="Arial"/>
          <w:iCs/>
          <w:sz w:val="22"/>
          <w:szCs w:val="22"/>
        </w:rPr>
        <w:t>,</w:t>
      </w:r>
    </w:p>
    <w:p w14:paraId="63F0DB8D" w14:textId="50953E39" w:rsidR="00E43983" w:rsidRDefault="004E16B0" w:rsidP="00E43983">
      <w:pPr>
        <w:pStyle w:val="NormalWeb"/>
        <w:numPr>
          <w:ilvl w:val="0"/>
          <w:numId w:val="7"/>
        </w:numPr>
        <w:shd w:val="clear" w:color="auto" w:fill="FFFFFF"/>
        <w:spacing w:before="0" w:beforeAutospacing="0" w:after="0" w:afterAutospacing="0"/>
        <w:ind w:left="709"/>
        <w:rPr>
          <w:rFonts w:ascii="Arial" w:hAnsi="Arial" w:cs="Arial"/>
          <w:iCs/>
          <w:sz w:val="22"/>
          <w:szCs w:val="22"/>
        </w:rPr>
      </w:pPr>
      <w:r>
        <w:rPr>
          <w:rFonts w:ascii="Arial" w:hAnsi="Arial" w:cs="Arial"/>
          <w:iCs/>
          <w:sz w:val="22"/>
          <w:szCs w:val="22"/>
        </w:rPr>
        <w:t xml:space="preserve">les </w:t>
      </w:r>
      <w:r w:rsidR="006E62CA">
        <w:rPr>
          <w:rFonts w:ascii="Arial" w:hAnsi="Arial" w:cs="Arial"/>
          <w:iCs/>
          <w:sz w:val="22"/>
          <w:szCs w:val="22"/>
        </w:rPr>
        <w:t>établissement</w:t>
      </w:r>
      <w:r w:rsidR="00295F87">
        <w:rPr>
          <w:rFonts w:ascii="Arial" w:hAnsi="Arial" w:cs="Arial"/>
          <w:iCs/>
          <w:sz w:val="22"/>
          <w:szCs w:val="22"/>
        </w:rPr>
        <w:t>s</w:t>
      </w:r>
      <w:r w:rsidR="006E62CA">
        <w:rPr>
          <w:rFonts w:ascii="Arial" w:hAnsi="Arial" w:cs="Arial"/>
          <w:iCs/>
          <w:sz w:val="22"/>
          <w:szCs w:val="22"/>
        </w:rPr>
        <w:t xml:space="preserve"> commercialisant des sushis </w:t>
      </w:r>
      <w:r w:rsidR="00581716">
        <w:rPr>
          <w:rFonts w:ascii="Arial" w:hAnsi="Arial" w:cs="Arial"/>
          <w:iCs/>
          <w:sz w:val="22"/>
          <w:szCs w:val="22"/>
        </w:rPr>
        <w:t xml:space="preserve">soient </w:t>
      </w:r>
      <w:r w:rsidR="006E62CA">
        <w:rPr>
          <w:rFonts w:ascii="Arial" w:hAnsi="Arial" w:cs="Arial"/>
          <w:iCs/>
          <w:sz w:val="22"/>
          <w:szCs w:val="22"/>
        </w:rPr>
        <w:t>1</w:t>
      </w:r>
      <w:r w:rsidR="00295F87">
        <w:rPr>
          <w:rFonts w:ascii="Arial" w:hAnsi="Arial" w:cs="Arial"/>
          <w:iCs/>
          <w:sz w:val="22"/>
          <w:szCs w:val="22"/>
        </w:rPr>
        <w:t> </w:t>
      </w:r>
      <w:r w:rsidR="006E62CA">
        <w:rPr>
          <w:rFonts w:ascii="Arial" w:hAnsi="Arial" w:cs="Arial"/>
          <w:iCs/>
          <w:sz w:val="22"/>
          <w:szCs w:val="22"/>
        </w:rPr>
        <w:t>5</w:t>
      </w:r>
      <w:r w:rsidR="00515CED">
        <w:rPr>
          <w:rFonts w:ascii="Arial" w:hAnsi="Arial" w:cs="Arial"/>
          <w:iCs/>
          <w:sz w:val="22"/>
          <w:szCs w:val="22"/>
        </w:rPr>
        <w:t>5</w:t>
      </w:r>
      <w:r w:rsidR="006E62CA">
        <w:rPr>
          <w:rFonts w:ascii="Arial" w:hAnsi="Arial" w:cs="Arial"/>
          <w:iCs/>
          <w:sz w:val="22"/>
          <w:szCs w:val="22"/>
        </w:rPr>
        <w:t>0 établissements</w:t>
      </w:r>
      <w:r w:rsidR="00581716">
        <w:rPr>
          <w:rFonts w:ascii="Arial" w:hAnsi="Arial" w:cs="Arial"/>
          <w:iCs/>
          <w:sz w:val="22"/>
          <w:szCs w:val="22"/>
        </w:rPr>
        <w:t>,</w:t>
      </w:r>
    </w:p>
    <w:p w14:paraId="2410A7D5" w14:textId="40169313" w:rsidR="00DF7E41" w:rsidRDefault="00A045E9" w:rsidP="00524147">
      <w:pPr>
        <w:pStyle w:val="NormalWeb"/>
        <w:numPr>
          <w:ilvl w:val="0"/>
          <w:numId w:val="7"/>
        </w:numPr>
        <w:shd w:val="clear" w:color="auto" w:fill="FFFFFF"/>
        <w:spacing w:before="0" w:beforeAutospacing="0" w:after="120" w:afterAutospacing="0"/>
        <w:ind w:left="709" w:hanging="357"/>
        <w:rPr>
          <w:rFonts w:ascii="Arial" w:hAnsi="Arial" w:cs="Arial"/>
          <w:iCs/>
          <w:sz w:val="22"/>
          <w:szCs w:val="22"/>
        </w:rPr>
      </w:pPr>
      <w:r w:rsidRPr="00E43983">
        <w:rPr>
          <w:rFonts w:ascii="Arial" w:hAnsi="Arial" w:cs="Arial"/>
          <w:iCs/>
          <w:sz w:val="22"/>
          <w:szCs w:val="22"/>
        </w:rPr>
        <w:t xml:space="preserve">les </w:t>
      </w:r>
      <w:r w:rsidR="004E16B0" w:rsidRPr="00E43983">
        <w:rPr>
          <w:rFonts w:ascii="Arial" w:hAnsi="Arial" w:cs="Arial"/>
          <w:iCs/>
          <w:sz w:val="22"/>
          <w:szCs w:val="22"/>
        </w:rPr>
        <w:t>ta</w:t>
      </w:r>
      <w:r w:rsidRPr="00E43983">
        <w:rPr>
          <w:rFonts w:ascii="Arial" w:hAnsi="Arial" w:cs="Arial"/>
          <w:iCs/>
          <w:sz w:val="22"/>
          <w:szCs w:val="22"/>
        </w:rPr>
        <w:t xml:space="preserve">bacs presse et </w:t>
      </w:r>
      <w:r w:rsidR="004E16B0" w:rsidRPr="00E43983">
        <w:rPr>
          <w:rFonts w:ascii="Arial" w:hAnsi="Arial" w:cs="Arial"/>
          <w:iCs/>
          <w:sz w:val="22"/>
          <w:szCs w:val="22"/>
        </w:rPr>
        <w:t xml:space="preserve">les </w:t>
      </w:r>
      <w:r w:rsidRPr="00E43983">
        <w:rPr>
          <w:rFonts w:ascii="Arial" w:hAnsi="Arial" w:cs="Arial"/>
          <w:iCs/>
          <w:sz w:val="22"/>
          <w:szCs w:val="22"/>
        </w:rPr>
        <w:t>confiseries</w:t>
      </w:r>
      <w:r w:rsidR="006E62CA" w:rsidRPr="00E43983">
        <w:rPr>
          <w:rFonts w:ascii="Arial" w:hAnsi="Arial" w:cs="Arial"/>
          <w:iCs/>
          <w:sz w:val="22"/>
          <w:szCs w:val="22"/>
        </w:rPr>
        <w:t xml:space="preserve"> </w:t>
      </w:r>
      <w:r w:rsidR="00581716" w:rsidRPr="00E43983">
        <w:rPr>
          <w:rFonts w:ascii="Arial" w:hAnsi="Arial" w:cs="Arial"/>
          <w:iCs/>
          <w:sz w:val="22"/>
          <w:szCs w:val="22"/>
        </w:rPr>
        <w:t xml:space="preserve">soient </w:t>
      </w:r>
      <w:r w:rsidR="00515CED" w:rsidRPr="00E43983">
        <w:rPr>
          <w:rFonts w:ascii="Arial" w:hAnsi="Arial" w:cs="Arial"/>
          <w:iCs/>
          <w:sz w:val="22"/>
          <w:szCs w:val="22"/>
        </w:rPr>
        <w:t>16 830 établissements.</w:t>
      </w:r>
    </w:p>
    <w:tbl>
      <w:tblPr>
        <w:tblW w:w="7513" w:type="dxa"/>
        <w:jc w:val="center"/>
        <w:tblCellMar>
          <w:left w:w="70" w:type="dxa"/>
          <w:right w:w="70" w:type="dxa"/>
        </w:tblCellMar>
        <w:tblLook w:val="04A0" w:firstRow="1" w:lastRow="0" w:firstColumn="1" w:lastColumn="0" w:noHBand="0" w:noVBand="1"/>
      </w:tblPr>
      <w:tblGrid>
        <w:gridCol w:w="2552"/>
        <w:gridCol w:w="1578"/>
        <w:gridCol w:w="1257"/>
        <w:gridCol w:w="2126"/>
      </w:tblGrid>
      <w:tr w:rsidR="00115EE5" w:rsidRPr="00295F87" w14:paraId="079A8903" w14:textId="77777777" w:rsidTr="00295F87">
        <w:trPr>
          <w:trHeight w:val="289"/>
          <w:jc w:val="center"/>
        </w:trPr>
        <w:tc>
          <w:tcPr>
            <w:tcW w:w="2552" w:type="dxa"/>
            <w:tcBorders>
              <w:top w:val="nil"/>
              <w:left w:val="nil"/>
              <w:bottom w:val="nil"/>
              <w:right w:val="nil"/>
            </w:tcBorders>
            <w:shd w:val="clear" w:color="auto" w:fill="auto"/>
            <w:noWrap/>
            <w:hideMark/>
          </w:tcPr>
          <w:p w14:paraId="6EDBDE94" w14:textId="77777777" w:rsidR="00115EE5" w:rsidRPr="00295F87" w:rsidRDefault="00115EE5" w:rsidP="003575AC">
            <w:pPr>
              <w:keepNext/>
              <w:spacing w:after="0" w:line="240" w:lineRule="auto"/>
              <w:jc w:val="left"/>
              <w:rPr>
                <w:rFonts w:ascii="Times New Roman" w:eastAsia="Times New Roman" w:hAnsi="Times New Roman" w:cs="Times New Roman"/>
                <w:sz w:val="18"/>
                <w:szCs w:val="18"/>
                <w:lang w:eastAsia="fr-FR"/>
              </w:rPr>
            </w:pPr>
          </w:p>
        </w:tc>
        <w:tc>
          <w:tcPr>
            <w:tcW w:w="2835" w:type="dxa"/>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03F6D8FE" w14:textId="1595A138"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Nombre d’établissements</w:t>
            </w:r>
          </w:p>
        </w:tc>
        <w:tc>
          <w:tcPr>
            <w:tcW w:w="2126" w:type="dxa"/>
            <w:tcBorders>
              <w:top w:val="single" w:sz="4" w:space="0" w:color="auto"/>
              <w:left w:val="nil"/>
              <w:bottom w:val="single" w:sz="4" w:space="0" w:color="auto"/>
              <w:right w:val="single" w:sz="4" w:space="0" w:color="auto"/>
            </w:tcBorders>
            <w:shd w:val="clear" w:color="000000" w:fill="BFBFBF"/>
            <w:vAlign w:val="center"/>
            <w:hideMark/>
          </w:tcPr>
          <w:p w14:paraId="2FEF3A40" w14:textId="77777777"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Prestations (mios)</w:t>
            </w:r>
          </w:p>
        </w:tc>
      </w:tr>
      <w:tr w:rsidR="00115EE5" w:rsidRPr="00295F87" w14:paraId="27DCDAE9" w14:textId="77777777" w:rsidTr="00295F87">
        <w:trPr>
          <w:trHeight w:val="138"/>
          <w:jc w:val="center"/>
        </w:trPr>
        <w:tc>
          <w:tcPr>
            <w:tcW w:w="2552" w:type="dxa"/>
            <w:tcBorders>
              <w:top w:val="single" w:sz="4" w:space="0" w:color="auto"/>
              <w:left w:val="single" w:sz="4" w:space="0" w:color="auto"/>
              <w:bottom w:val="single" w:sz="4" w:space="0" w:color="auto"/>
              <w:right w:val="nil"/>
            </w:tcBorders>
            <w:shd w:val="clear" w:color="000000" w:fill="BFBFBF"/>
            <w:vAlign w:val="center"/>
            <w:hideMark/>
          </w:tcPr>
          <w:p w14:paraId="4E86F0CF" w14:textId="77777777" w:rsidR="00115EE5" w:rsidRPr="00295F87" w:rsidRDefault="00115EE5" w:rsidP="003575AC">
            <w:pPr>
              <w:keepNext/>
              <w:spacing w:after="0" w:line="240" w:lineRule="auto"/>
              <w:jc w:val="left"/>
              <w:rPr>
                <w:rFonts w:eastAsia="Times New Roman" w:cs="Arial"/>
                <w:b/>
                <w:bCs/>
                <w:color w:val="000000"/>
                <w:sz w:val="18"/>
                <w:szCs w:val="18"/>
                <w:lang w:eastAsia="fr-FR"/>
              </w:rPr>
            </w:pPr>
            <w:r w:rsidRPr="00295F87">
              <w:rPr>
                <w:rFonts w:eastAsia="Times New Roman" w:cs="Arial"/>
                <w:b/>
                <w:bCs/>
                <w:color w:val="000000"/>
                <w:sz w:val="18"/>
                <w:szCs w:val="18"/>
                <w:lang w:eastAsia="fr-FR"/>
              </w:rPr>
              <w:t>Restauration Collective</w:t>
            </w:r>
          </w:p>
        </w:tc>
        <w:tc>
          <w:tcPr>
            <w:tcW w:w="1578" w:type="dxa"/>
            <w:tcBorders>
              <w:top w:val="nil"/>
              <w:left w:val="single" w:sz="4" w:space="0" w:color="auto"/>
              <w:bottom w:val="single" w:sz="4" w:space="0" w:color="auto"/>
              <w:right w:val="nil"/>
            </w:tcBorders>
            <w:shd w:val="clear" w:color="000000" w:fill="BFBFBF"/>
            <w:noWrap/>
            <w:vAlign w:val="center"/>
            <w:hideMark/>
          </w:tcPr>
          <w:p w14:paraId="29D1224C" w14:textId="77777777"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81 451</w:t>
            </w:r>
          </w:p>
        </w:tc>
        <w:tc>
          <w:tcPr>
            <w:tcW w:w="1257" w:type="dxa"/>
            <w:tcBorders>
              <w:top w:val="nil"/>
              <w:left w:val="single" w:sz="4" w:space="0" w:color="auto"/>
              <w:bottom w:val="single" w:sz="4" w:space="0" w:color="auto"/>
              <w:right w:val="nil"/>
            </w:tcBorders>
            <w:shd w:val="clear" w:color="000000" w:fill="BFBFBF"/>
            <w:noWrap/>
            <w:vAlign w:val="center"/>
            <w:hideMark/>
          </w:tcPr>
          <w:p w14:paraId="571D8311" w14:textId="77777777"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100%</w:t>
            </w:r>
          </w:p>
        </w:tc>
        <w:tc>
          <w:tcPr>
            <w:tcW w:w="2126" w:type="dxa"/>
            <w:tcBorders>
              <w:top w:val="nil"/>
              <w:left w:val="single" w:sz="4" w:space="0" w:color="auto"/>
              <w:bottom w:val="single" w:sz="4" w:space="0" w:color="auto"/>
              <w:right w:val="single" w:sz="4" w:space="0" w:color="auto"/>
            </w:tcBorders>
            <w:shd w:val="clear" w:color="000000" w:fill="BFBFBF"/>
            <w:noWrap/>
            <w:vAlign w:val="center"/>
            <w:hideMark/>
          </w:tcPr>
          <w:p w14:paraId="223A0BA1" w14:textId="77777777" w:rsidR="00115EE5" w:rsidRPr="00295F87" w:rsidRDefault="00115EE5" w:rsidP="003575AC">
            <w:pPr>
              <w:keepNext/>
              <w:spacing w:after="0" w:line="240" w:lineRule="auto"/>
              <w:jc w:val="center"/>
              <w:rPr>
                <w:rFonts w:eastAsia="Times New Roman" w:cs="Arial"/>
                <w:b/>
                <w:bCs/>
                <w:color w:val="000000"/>
                <w:sz w:val="18"/>
                <w:szCs w:val="18"/>
                <w:lang w:eastAsia="fr-FR"/>
              </w:rPr>
            </w:pPr>
            <w:r w:rsidRPr="00295F87">
              <w:rPr>
                <w:rFonts w:eastAsia="Times New Roman" w:cs="Arial"/>
                <w:b/>
                <w:bCs/>
                <w:color w:val="000000"/>
                <w:sz w:val="18"/>
                <w:szCs w:val="18"/>
                <w:lang w:eastAsia="fr-FR"/>
              </w:rPr>
              <w:t>3 692</w:t>
            </w:r>
          </w:p>
        </w:tc>
      </w:tr>
      <w:tr w:rsidR="00115EE5" w:rsidRPr="00115EE5" w14:paraId="04F25BD6"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5EC6D1B1"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Travail</w:t>
            </w:r>
          </w:p>
        </w:tc>
        <w:tc>
          <w:tcPr>
            <w:tcW w:w="1578" w:type="dxa"/>
            <w:tcBorders>
              <w:top w:val="nil"/>
              <w:left w:val="nil"/>
              <w:bottom w:val="nil"/>
              <w:right w:val="nil"/>
            </w:tcBorders>
            <w:shd w:val="clear" w:color="auto" w:fill="auto"/>
            <w:noWrap/>
            <w:vAlign w:val="center"/>
            <w:hideMark/>
          </w:tcPr>
          <w:p w14:paraId="0C676439"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11 105</w:t>
            </w:r>
          </w:p>
        </w:tc>
        <w:tc>
          <w:tcPr>
            <w:tcW w:w="1257" w:type="dxa"/>
            <w:tcBorders>
              <w:top w:val="single" w:sz="4" w:space="0" w:color="auto"/>
              <w:left w:val="single" w:sz="4" w:space="0" w:color="auto"/>
              <w:bottom w:val="nil"/>
              <w:right w:val="single" w:sz="4" w:space="0" w:color="auto"/>
            </w:tcBorders>
            <w:shd w:val="clear" w:color="auto" w:fill="auto"/>
            <w:noWrap/>
            <w:hideMark/>
          </w:tcPr>
          <w:p w14:paraId="757C87EA"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14%</w:t>
            </w:r>
          </w:p>
        </w:tc>
        <w:tc>
          <w:tcPr>
            <w:tcW w:w="2126" w:type="dxa"/>
            <w:tcBorders>
              <w:top w:val="nil"/>
              <w:left w:val="single" w:sz="4" w:space="0" w:color="auto"/>
              <w:bottom w:val="nil"/>
              <w:right w:val="single" w:sz="4" w:space="0" w:color="auto"/>
            </w:tcBorders>
            <w:shd w:val="clear" w:color="auto" w:fill="auto"/>
            <w:noWrap/>
            <w:vAlign w:val="center"/>
            <w:hideMark/>
          </w:tcPr>
          <w:p w14:paraId="45771877"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426</w:t>
            </w:r>
          </w:p>
        </w:tc>
      </w:tr>
      <w:tr w:rsidR="00115EE5" w:rsidRPr="00115EE5" w14:paraId="29C764B4"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60B9C29C"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Enseignement</w:t>
            </w:r>
          </w:p>
        </w:tc>
        <w:tc>
          <w:tcPr>
            <w:tcW w:w="1578" w:type="dxa"/>
            <w:tcBorders>
              <w:top w:val="nil"/>
              <w:left w:val="nil"/>
              <w:bottom w:val="nil"/>
              <w:right w:val="nil"/>
            </w:tcBorders>
            <w:shd w:val="clear" w:color="auto" w:fill="auto"/>
            <w:noWrap/>
            <w:vAlign w:val="center"/>
            <w:hideMark/>
          </w:tcPr>
          <w:p w14:paraId="516BB868"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33 285</w:t>
            </w:r>
          </w:p>
        </w:tc>
        <w:tc>
          <w:tcPr>
            <w:tcW w:w="1257" w:type="dxa"/>
            <w:tcBorders>
              <w:top w:val="nil"/>
              <w:left w:val="single" w:sz="4" w:space="0" w:color="auto"/>
              <w:bottom w:val="nil"/>
              <w:right w:val="single" w:sz="4" w:space="0" w:color="auto"/>
            </w:tcBorders>
            <w:shd w:val="clear" w:color="auto" w:fill="auto"/>
            <w:noWrap/>
            <w:hideMark/>
          </w:tcPr>
          <w:p w14:paraId="2C8E508A"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41%</w:t>
            </w:r>
          </w:p>
        </w:tc>
        <w:tc>
          <w:tcPr>
            <w:tcW w:w="2126" w:type="dxa"/>
            <w:tcBorders>
              <w:top w:val="nil"/>
              <w:left w:val="nil"/>
              <w:bottom w:val="nil"/>
              <w:right w:val="single" w:sz="4" w:space="0" w:color="auto"/>
            </w:tcBorders>
            <w:shd w:val="clear" w:color="auto" w:fill="auto"/>
            <w:noWrap/>
            <w:vAlign w:val="center"/>
            <w:hideMark/>
          </w:tcPr>
          <w:p w14:paraId="6AB4810B"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1 256</w:t>
            </w:r>
          </w:p>
        </w:tc>
      </w:tr>
      <w:tr w:rsidR="00115EE5" w:rsidRPr="00115EE5" w14:paraId="1482602C"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616F21D5"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Santé</w:t>
            </w:r>
          </w:p>
        </w:tc>
        <w:tc>
          <w:tcPr>
            <w:tcW w:w="1578" w:type="dxa"/>
            <w:tcBorders>
              <w:top w:val="nil"/>
              <w:left w:val="nil"/>
              <w:bottom w:val="nil"/>
              <w:right w:val="nil"/>
            </w:tcBorders>
            <w:shd w:val="clear" w:color="auto" w:fill="auto"/>
            <w:noWrap/>
            <w:vAlign w:val="center"/>
            <w:hideMark/>
          </w:tcPr>
          <w:p w14:paraId="7F71DD6A"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2 730</w:t>
            </w:r>
          </w:p>
        </w:tc>
        <w:tc>
          <w:tcPr>
            <w:tcW w:w="1257" w:type="dxa"/>
            <w:tcBorders>
              <w:top w:val="nil"/>
              <w:left w:val="single" w:sz="4" w:space="0" w:color="auto"/>
              <w:bottom w:val="nil"/>
              <w:right w:val="single" w:sz="4" w:space="0" w:color="auto"/>
            </w:tcBorders>
            <w:shd w:val="clear" w:color="auto" w:fill="auto"/>
            <w:noWrap/>
            <w:hideMark/>
          </w:tcPr>
          <w:p w14:paraId="4E482112"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3%</w:t>
            </w:r>
          </w:p>
        </w:tc>
        <w:tc>
          <w:tcPr>
            <w:tcW w:w="2126" w:type="dxa"/>
            <w:tcBorders>
              <w:top w:val="nil"/>
              <w:left w:val="nil"/>
              <w:bottom w:val="nil"/>
              <w:right w:val="single" w:sz="4" w:space="0" w:color="auto"/>
            </w:tcBorders>
            <w:shd w:val="clear" w:color="auto" w:fill="auto"/>
            <w:noWrap/>
            <w:vAlign w:val="center"/>
            <w:hideMark/>
          </w:tcPr>
          <w:p w14:paraId="4029893B"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482</w:t>
            </w:r>
          </w:p>
        </w:tc>
      </w:tr>
      <w:tr w:rsidR="00115EE5" w:rsidRPr="00115EE5" w14:paraId="64BBC268"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68B03340"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Social</w:t>
            </w:r>
          </w:p>
        </w:tc>
        <w:tc>
          <w:tcPr>
            <w:tcW w:w="1578" w:type="dxa"/>
            <w:tcBorders>
              <w:top w:val="nil"/>
              <w:left w:val="nil"/>
              <w:bottom w:val="nil"/>
              <w:right w:val="nil"/>
            </w:tcBorders>
            <w:shd w:val="clear" w:color="auto" w:fill="auto"/>
            <w:noWrap/>
            <w:vAlign w:val="center"/>
            <w:hideMark/>
          </w:tcPr>
          <w:p w14:paraId="4AAB1217"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26 770</w:t>
            </w:r>
          </w:p>
        </w:tc>
        <w:tc>
          <w:tcPr>
            <w:tcW w:w="1257" w:type="dxa"/>
            <w:tcBorders>
              <w:top w:val="nil"/>
              <w:left w:val="single" w:sz="4" w:space="0" w:color="auto"/>
              <w:bottom w:val="nil"/>
              <w:right w:val="single" w:sz="4" w:space="0" w:color="auto"/>
            </w:tcBorders>
            <w:shd w:val="clear" w:color="auto" w:fill="auto"/>
            <w:noWrap/>
            <w:hideMark/>
          </w:tcPr>
          <w:p w14:paraId="1FE1CF27"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33%</w:t>
            </w:r>
          </w:p>
        </w:tc>
        <w:tc>
          <w:tcPr>
            <w:tcW w:w="2126" w:type="dxa"/>
            <w:tcBorders>
              <w:top w:val="nil"/>
              <w:left w:val="nil"/>
              <w:bottom w:val="nil"/>
              <w:right w:val="single" w:sz="4" w:space="0" w:color="auto"/>
            </w:tcBorders>
            <w:shd w:val="clear" w:color="auto" w:fill="auto"/>
            <w:noWrap/>
            <w:vAlign w:val="center"/>
            <w:hideMark/>
          </w:tcPr>
          <w:p w14:paraId="34D4D9FE"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1 198</w:t>
            </w:r>
          </w:p>
        </w:tc>
      </w:tr>
      <w:tr w:rsidR="00115EE5" w:rsidRPr="00115EE5" w14:paraId="33CEAED0" w14:textId="77777777" w:rsidTr="00295F87">
        <w:trPr>
          <w:trHeight w:val="255"/>
          <w:jc w:val="center"/>
        </w:trPr>
        <w:tc>
          <w:tcPr>
            <w:tcW w:w="2552" w:type="dxa"/>
            <w:tcBorders>
              <w:top w:val="nil"/>
              <w:left w:val="single" w:sz="4" w:space="0" w:color="auto"/>
              <w:bottom w:val="nil"/>
              <w:right w:val="single" w:sz="4" w:space="0" w:color="606264"/>
            </w:tcBorders>
            <w:shd w:val="clear" w:color="auto" w:fill="auto"/>
            <w:vAlign w:val="center"/>
            <w:hideMark/>
          </w:tcPr>
          <w:p w14:paraId="121E0785"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Loisirs</w:t>
            </w:r>
          </w:p>
        </w:tc>
        <w:tc>
          <w:tcPr>
            <w:tcW w:w="1578" w:type="dxa"/>
            <w:tcBorders>
              <w:top w:val="nil"/>
              <w:left w:val="nil"/>
              <w:bottom w:val="nil"/>
              <w:right w:val="nil"/>
            </w:tcBorders>
            <w:shd w:val="clear" w:color="auto" w:fill="auto"/>
            <w:noWrap/>
            <w:vAlign w:val="center"/>
            <w:hideMark/>
          </w:tcPr>
          <w:p w14:paraId="251336D6"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5 505</w:t>
            </w:r>
          </w:p>
        </w:tc>
        <w:tc>
          <w:tcPr>
            <w:tcW w:w="1257" w:type="dxa"/>
            <w:tcBorders>
              <w:top w:val="nil"/>
              <w:left w:val="single" w:sz="4" w:space="0" w:color="auto"/>
              <w:bottom w:val="nil"/>
              <w:right w:val="single" w:sz="4" w:space="0" w:color="auto"/>
            </w:tcBorders>
            <w:shd w:val="clear" w:color="auto" w:fill="auto"/>
            <w:noWrap/>
            <w:hideMark/>
          </w:tcPr>
          <w:p w14:paraId="6D2B6816"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7%</w:t>
            </w:r>
          </w:p>
        </w:tc>
        <w:tc>
          <w:tcPr>
            <w:tcW w:w="2126" w:type="dxa"/>
            <w:tcBorders>
              <w:top w:val="nil"/>
              <w:left w:val="nil"/>
              <w:bottom w:val="nil"/>
              <w:right w:val="single" w:sz="4" w:space="0" w:color="auto"/>
            </w:tcBorders>
            <w:shd w:val="clear" w:color="auto" w:fill="auto"/>
            <w:noWrap/>
            <w:vAlign w:val="center"/>
            <w:hideMark/>
          </w:tcPr>
          <w:p w14:paraId="3545049C"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152</w:t>
            </w:r>
          </w:p>
        </w:tc>
      </w:tr>
      <w:tr w:rsidR="00115EE5" w:rsidRPr="00115EE5" w14:paraId="1D7EC3E9" w14:textId="77777777" w:rsidTr="00295F87">
        <w:trPr>
          <w:trHeight w:val="267"/>
          <w:jc w:val="center"/>
        </w:trPr>
        <w:tc>
          <w:tcPr>
            <w:tcW w:w="2552" w:type="dxa"/>
            <w:tcBorders>
              <w:top w:val="nil"/>
              <w:left w:val="single" w:sz="4" w:space="0" w:color="auto"/>
              <w:bottom w:val="single" w:sz="4" w:space="0" w:color="auto"/>
              <w:right w:val="single" w:sz="4" w:space="0" w:color="606264"/>
            </w:tcBorders>
            <w:shd w:val="clear" w:color="auto" w:fill="auto"/>
            <w:vAlign w:val="center"/>
            <w:hideMark/>
          </w:tcPr>
          <w:p w14:paraId="1B1528BF" w14:textId="77777777" w:rsidR="00115EE5" w:rsidRPr="00115EE5" w:rsidRDefault="00115EE5" w:rsidP="003575AC">
            <w:pPr>
              <w:keepNext/>
              <w:spacing w:after="0" w:line="240" w:lineRule="auto"/>
              <w:jc w:val="right"/>
              <w:rPr>
                <w:rFonts w:eastAsia="Times New Roman" w:cs="Arial"/>
                <w:color w:val="000000"/>
                <w:sz w:val="20"/>
                <w:szCs w:val="20"/>
                <w:lang w:eastAsia="fr-FR"/>
              </w:rPr>
            </w:pPr>
            <w:r w:rsidRPr="00115EE5">
              <w:rPr>
                <w:rFonts w:eastAsia="Times New Roman" w:cs="Arial"/>
                <w:color w:val="000000"/>
                <w:sz w:val="20"/>
                <w:szCs w:val="20"/>
                <w:lang w:eastAsia="fr-FR"/>
              </w:rPr>
              <w:t>Autres collectivités</w:t>
            </w:r>
          </w:p>
        </w:tc>
        <w:tc>
          <w:tcPr>
            <w:tcW w:w="1578" w:type="dxa"/>
            <w:tcBorders>
              <w:top w:val="nil"/>
              <w:left w:val="nil"/>
              <w:bottom w:val="single" w:sz="4" w:space="0" w:color="auto"/>
              <w:right w:val="nil"/>
            </w:tcBorders>
            <w:shd w:val="clear" w:color="auto" w:fill="auto"/>
            <w:noWrap/>
            <w:vAlign w:val="center"/>
            <w:hideMark/>
          </w:tcPr>
          <w:p w14:paraId="15C8F04B"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2 056</w:t>
            </w:r>
          </w:p>
        </w:tc>
        <w:tc>
          <w:tcPr>
            <w:tcW w:w="1257" w:type="dxa"/>
            <w:tcBorders>
              <w:top w:val="nil"/>
              <w:left w:val="single" w:sz="4" w:space="0" w:color="auto"/>
              <w:bottom w:val="single" w:sz="4" w:space="0" w:color="auto"/>
              <w:right w:val="single" w:sz="4" w:space="0" w:color="auto"/>
            </w:tcBorders>
            <w:shd w:val="clear" w:color="auto" w:fill="auto"/>
            <w:noWrap/>
            <w:hideMark/>
          </w:tcPr>
          <w:p w14:paraId="58B73CF8" w14:textId="77777777" w:rsidR="00115EE5" w:rsidRPr="00115EE5" w:rsidRDefault="00115EE5" w:rsidP="003575AC">
            <w:pPr>
              <w:keepNext/>
              <w:spacing w:after="0" w:line="240" w:lineRule="auto"/>
              <w:jc w:val="center"/>
              <w:rPr>
                <w:rFonts w:ascii="Calibri" w:eastAsia="Times New Roman" w:hAnsi="Calibri" w:cs="Times New Roman"/>
                <w:color w:val="000000"/>
                <w:lang w:eastAsia="fr-FR"/>
              </w:rPr>
            </w:pPr>
            <w:r w:rsidRPr="00115EE5">
              <w:rPr>
                <w:rFonts w:ascii="Calibri" w:eastAsia="Times New Roman" w:hAnsi="Calibri" w:cs="Times New Roman"/>
                <w:color w:val="000000"/>
                <w:lang w:eastAsia="fr-FR"/>
              </w:rPr>
              <w:t>3%</w:t>
            </w:r>
          </w:p>
        </w:tc>
        <w:tc>
          <w:tcPr>
            <w:tcW w:w="2126" w:type="dxa"/>
            <w:tcBorders>
              <w:top w:val="nil"/>
              <w:left w:val="nil"/>
              <w:bottom w:val="single" w:sz="4" w:space="0" w:color="auto"/>
              <w:right w:val="single" w:sz="4" w:space="0" w:color="auto"/>
            </w:tcBorders>
            <w:shd w:val="clear" w:color="auto" w:fill="auto"/>
            <w:noWrap/>
            <w:vAlign w:val="center"/>
            <w:hideMark/>
          </w:tcPr>
          <w:p w14:paraId="08AADA20" w14:textId="77777777" w:rsidR="00115EE5" w:rsidRPr="00115EE5" w:rsidRDefault="00115EE5" w:rsidP="003575AC">
            <w:pPr>
              <w:keepNext/>
              <w:spacing w:after="0" w:line="240" w:lineRule="auto"/>
              <w:jc w:val="center"/>
              <w:rPr>
                <w:rFonts w:eastAsia="Times New Roman" w:cs="Arial"/>
                <w:color w:val="000000"/>
                <w:sz w:val="20"/>
                <w:szCs w:val="20"/>
                <w:lang w:eastAsia="fr-FR"/>
              </w:rPr>
            </w:pPr>
            <w:r w:rsidRPr="00115EE5">
              <w:rPr>
                <w:rFonts w:eastAsia="Times New Roman" w:cs="Arial"/>
                <w:color w:val="000000"/>
                <w:sz w:val="20"/>
                <w:szCs w:val="20"/>
                <w:lang w:eastAsia="fr-FR"/>
              </w:rPr>
              <w:t>178</w:t>
            </w:r>
          </w:p>
        </w:tc>
      </w:tr>
    </w:tbl>
    <w:p w14:paraId="3795F162" w14:textId="7F6EB2A4" w:rsidR="00DC2AB8" w:rsidRPr="0002537E" w:rsidRDefault="003F2547">
      <w:pPr>
        <w:pStyle w:val="figure"/>
      </w:pPr>
      <w:bookmarkStart w:id="166" w:name="_Toc72143379"/>
      <w:r w:rsidRPr="003F2547">
        <w:t xml:space="preserve">Tableau </w:t>
      </w:r>
      <w:r w:rsidRPr="00D54EC4">
        <w:fldChar w:fldCharType="begin"/>
      </w:r>
      <w:r w:rsidRPr="003F2547">
        <w:instrText xml:space="preserve"> SEQ Tableau \* ARABIC </w:instrText>
      </w:r>
      <w:r w:rsidRPr="00D54EC4">
        <w:fldChar w:fldCharType="separate"/>
      </w:r>
      <w:r w:rsidR="0007597F">
        <w:rPr>
          <w:i/>
          <w:noProof/>
        </w:rPr>
        <w:t>31</w:t>
      </w:r>
      <w:r w:rsidRPr="00D54EC4">
        <w:fldChar w:fldCharType="end"/>
      </w:r>
      <w:r w:rsidRPr="003F2547">
        <w:t xml:space="preserve"> </w:t>
      </w:r>
      <w:r w:rsidR="00212C19" w:rsidRPr="003F2547">
        <w:t>: Marché potentiel des produits du porc en nombre d’établissement</w:t>
      </w:r>
      <w:r w:rsidR="00E232E9" w:rsidRPr="003F2547">
        <w:t>s</w:t>
      </w:r>
      <w:r w:rsidR="00212C19" w:rsidRPr="003F2547">
        <w:t xml:space="preserve"> </w:t>
      </w:r>
      <w:r w:rsidR="00115EE5" w:rsidRPr="003F2547">
        <w:t>en 2018</w:t>
      </w:r>
      <w:bookmarkEnd w:id="166"/>
      <w:r w:rsidR="00115EE5" w:rsidRPr="003F2547">
        <w:t xml:space="preserve"> </w:t>
      </w:r>
    </w:p>
    <w:p w14:paraId="6BEC069B" w14:textId="6EC9B7E3" w:rsidR="005D5913" w:rsidRDefault="00212C19" w:rsidP="003F2547">
      <w:pPr>
        <w:pStyle w:val="Lgende"/>
        <w:rPr>
          <w:lang w:val="en-US"/>
        </w:rPr>
      </w:pPr>
      <w:r w:rsidRPr="00094834">
        <w:rPr>
          <w:lang w:val="en-US"/>
        </w:rPr>
        <w:t>(</w:t>
      </w:r>
      <w:r w:rsidR="00F67B51" w:rsidRPr="00094834">
        <w:rPr>
          <w:lang w:val="en-US"/>
        </w:rPr>
        <w:t>Ifip</w:t>
      </w:r>
      <w:r w:rsidRPr="00094834">
        <w:rPr>
          <w:lang w:val="en-US"/>
        </w:rPr>
        <w:t> </w:t>
      </w:r>
      <w:r w:rsidR="00F67B51" w:rsidRPr="00094834">
        <w:rPr>
          <w:lang w:val="en-US"/>
        </w:rPr>
        <w:t>d’après</w:t>
      </w:r>
      <w:r w:rsidRPr="00094834">
        <w:rPr>
          <w:lang w:val="en-US"/>
        </w:rPr>
        <w:t xml:space="preserve"> Gira</w:t>
      </w:r>
      <w:r w:rsidR="00F67B51" w:rsidRPr="00094834">
        <w:rPr>
          <w:lang w:val="en-US"/>
        </w:rPr>
        <w:t xml:space="preserve"> F</w:t>
      </w:r>
      <w:r w:rsidRPr="00094834">
        <w:rPr>
          <w:lang w:val="en-US"/>
        </w:rPr>
        <w:t>ood Service)</w:t>
      </w:r>
    </w:p>
    <w:p w14:paraId="36ADCAC0" w14:textId="70998696" w:rsidR="004D1394" w:rsidRPr="00212C19" w:rsidRDefault="002063D2" w:rsidP="00524147">
      <w:pPr>
        <w:pStyle w:val="NormalWeb"/>
        <w:shd w:val="clear" w:color="auto" w:fill="FFFFFF"/>
        <w:spacing w:before="0" w:beforeAutospacing="0" w:after="120" w:afterAutospacing="0"/>
        <w:rPr>
          <w:rFonts w:ascii="Arial" w:hAnsi="Arial" w:cs="Arial"/>
          <w:iCs/>
          <w:sz w:val="22"/>
          <w:szCs w:val="22"/>
        </w:rPr>
      </w:pPr>
      <w:r w:rsidRPr="00F15FB2">
        <w:rPr>
          <w:rFonts w:ascii="Arial" w:eastAsiaTheme="minorHAnsi" w:hAnsi="Arial" w:cstheme="minorBidi"/>
          <w:sz w:val="22"/>
          <w:szCs w:val="22"/>
          <w:lang w:eastAsia="en-US"/>
        </w:rPr>
        <w:t>La première catégorie, celle de la restauration collective, est présente dans six secteurs d’activité</w:t>
      </w:r>
      <w:r w:rsidR="00295F87">
        <w:rPr>
          <w:rFonts w:ascii="Arial" w:eastAsiaTheme="minorHAnsi" w:hAnsi="Arial" w:cstheme="minorBidi"/>
          <w:sz w:val="22"/>
          <w:szCs w:val="22"/>
          <w:lang w:eastAsia="en-US"/>
        </w:rPr>
        <w:t> </w:t>
      </w:r>
      <w:r w:rsidRPr="00F15FB2">
        <w:rPr>
          <w:rFonts w:ascii="Arial" w:eastAsiaTheme="minorHAnsi" w:hAnsi="Arial" w:cstheme="minorBidi"/>
          <w:sz w:val="22"/>
          <w:szCs w:val="22"/>
          <w:lang w:eastAsia="en-US"/>
        </w:rPr>
        <w:t>: le travail, l’enseignement, la santé, le social, les loisirs sociaux et enfin les « captifs » (armées, sécurité civile, établissements pénitentiaires…). Le pôle compte 81</w:t>
      </w:r>
      <w:r w:rsidR="00295F87">
        <w:rPr>
          <w:rFonts w:ascii="Arial" w:eastAsiaTheme="minorHAnsi" w:hAnsi="Arial" w:cstheme="minorBidi"/>
          <w:sz w:val="22"/>
          <w:szCs w:val="22"/>
          <w:lang w:eastAsia="en-US"/>
        </w:rPr>
        <w:t> </w:t>
      </w:r>
      <w:r w:rsidRPr="00F15FB2">
        <w:rPr>
          <w:rFonts w:ascii="Arial" w:eastAsiaTheme="minorHAnsi" w:hAnsi="Arial" w:cstheme="minorBidi"/>
          <w:sz w:val="22"/>
          <w:szCs w:val="22"/>
          <w:lang w:eastAsia="en-US"/>
        </w:rPr>
        <w:t xml:space="preserve">451 établissements, pour un chiffre d’affaire de 21,48 </w:t>
      </w:r>
      <w:r w:rsidR="00AD5A4D" w:rsidRPr="00F15FB2">
        <w:rPr>
          <w:rFonts w:ascii="Arial" w:eastAsiaTheme="minorHAnsi" w:hAnsi="Arial" w:cstheme="minorBidi"/>
          <w:sz w:val="22"/>
          <w:szCs w:val="22"/>
          <w:lang w:eastAsia="en-US"/>
        </w:rPr>
        <w:t>M</w:t>
      </w:r>
      <w:r w:rsidR="00AD5A4D">
        <w:rPr>
          <w:rFonts w:ascii="Arial" w:eastAsiaTheme="minorHAnsi" w:hAnsi="Arial" w:cstheme="minorBidi"/>
          <w:sz w:val="22"/>
          <w:szCs w:val="22"/>
          <w:lang w:eastAsia="en-US"/>
        </w:rPr>
        <w:t>r</w:t>
      </w:r>
      <w:r w:rsidR="00AD5A4D" w:rsidRPr="00F15FB2">
        <w:rPr>
          <w:rFonts w:ascii="Arial" w:eastAsiaTheme="minorHAnsi" w:hAnsi="Arial" w:cstheme="minorBidi"/>
          <w:sz w:val="22"/>
          <w:szCs w:val="22"/>
          <w:lang w:eastAsia="en-US"/>
        </w:rPr>
        <w:t>ds</w:t>
      </w:r>
      <w:r w:rsidRPr="00F15FB2">
        <w:rPr>
          <w:rFonts w:ascii="Arial" w:eastAsiaTheme="minorHAnsi" w:hAnsi="Arial" w:cstheme="minorBidi"/>
          <w:sz w:val="22"/>
          <w:szCs w:val="22"/>
          <w:lang w:eastAsia="en-US"/>
        </w:rPr>
        <w:t xml:space="preserve"> d’</w:t>
      </w:r>
      <w:r w:rsidR="00706784">
        <w:rPr>
          <w:rFonts w:ascii="Arial" w:eastAsiaTheme="minorHAnsi" w:hAnsi="Arial" w:cstheme="minorBidi"/>
          <w:sz w:val="22"/>
          <w:szCs w:val="22"/>
          <w:lang w:eastAsia="en-US"/>
        </w:rPr>
        <w:t>euros</w:t>
      </w:r>
      <w:r w:rsidR="009216AE">
        <w:rPr>
          <w:rFonts w:ascii="Arial" w:eastAsiaTheme="minorHAnsi" w:hAnsi="Arial" w:cstheme="minorBidi"/>
          <w:sz w:val="22"/>
          <w:szCs w:val="22"/>
          <w:lang w:eastAsia="en-US"/>
        </w:rPr>
        <w:t xml:space="preserve"> en 2018</w:t>
      </w:r>
      <w:r w:rsidRPr="00F15FB2">
        <w:rPr>
          <w:rFonts w:ascii="Arial" w:eastAsiaTheme="minorHAnsi" w:hAnsi="Arial" w:cstheme="minorBidi"/>
          <w:sz w:val="22"/>
          <w:szCs w:val="22"/>
          <w:lang w:eastAsia="en-US"/>
        </w:rPr>
        <w:t>.</w:t>
      </w:r>
    </w:p>
    <w:tbl>
      <w:tblPr>
        <w:tblW w:w="9498" w:type="dxa"/>
        <w:jc w:val="center"/>
        <w:tblCellMar>
          <w:left w:w="70" w:type="dxa"/>
          <w:right w:w="70" w:type="dxa"/>
        </w:tblCellMar>
        <w:tblLook w:val="04A0" w:firstRow="1" w:lastRow="0" w:firstColumn="1" w:lastColumn="0" w:noHBand="0" w:noVBand="1"/>
      </w:tblPr>
      <w:tblGrid>
        <w:gridCol w:w="3940"/>
        <w:gridCol w:w="1355"/>
        <w:gridCol w:w="1226"/>
        <w:gridCol w:w="2977"/>
      </w:tblGrid>
      <w:tr w:rsidR="004D1394" w:rsidRPr="004D1394" w14:paraId="0E0DA1A5" w14:textId="77777777" w:rsidTr="00295F87">
        <w:trPr>
          <w:trHeight w:val="510"/>
          <w:jc w:val="center"/>
        </w:trPr>
        <w:tc>
          <w:tcPr>
            <w:tcW w:w="3940" w:type="dxa"/>
            <w:tcBorders>
              <w:top w:val="nil"/>
              <w:left w:val="nil"/>
              <w:bottom w:val="nil"/>
              <w:right w:val="nil"/>
            </w:tcBorders>
            <w:shd w:val="clear" w:color="auto" w:fill="auto"/>
            <w:noWrap/>
            <w:vAlign w:val="bottom"/>
            <w:hideMark/>
          </w:tcPr>
          <w:p w14:paraId="6E012222" w14:textId="77777777" w:rsidR="004D1394" w:rsidRPr="004D1394" w:rsidRDefault="004D1394" w:rsidP="004D1394">
            <w:pPr>
              <w:spacing w:after="0" w:line="240" w:lineRule="auto"/>
              <w:jc w:val="left"/>
              <w:rPr>
                <w:rFonts w:ascii="Times New Roman" w:eastAsia="Times New Roman" w:hAnsi="Times New Roman" w:cs="Times New Roman"/>
                <w:sz w:val="24"/>
                <w:szCs w:val="24"/>
                <w:lang w:eastAsia="fr-FR"/>
              </w:rPr>
            </w:pPr>
          </w:p>
        </w:tc>
        <w:tc>
          <w:tcPr>
            <w:tcW w:w="2581" w:type="dxa"/>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3C876C1C" w14:textId="7A727F96" w:rsidR="004D1394" w:rsidRPr="004D1394" w:rsidRDefault="00115EE5" w:rsidP="004D1394">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Nombre d’é</w:t>
            </w:r>
            <w:r w:rsidRPr="00115EE5">
              <w:rPr>
                <w:rFonts w:eastAsia="Times New Roman" w:cs="Arial"/>
                <w:b/>
                <w:bCs/>
                <w:color w:val="000000"/>
                <w:sz w:val="20"/>
                <w:szCs w:val="20"/>
                <w:lang w:eastAsia="fr-FR"/>
              </w:rPr>
              <w:t>tablissemen</w:t>
            </w:r>
            <w:r>
              <w:rPr>
                <w:rFonts w:eastAsia="Times New Roman" w:cs="Arial"/>
                <w:b/>
                <w:bCs/>
                <w:color w:val="000000"/>
                <w:sz w:val="20"/>
                <w:szCs w:val="20"/>
                <w:lang w:eastAsia="fr-FR"/>
              </w:rPr>
              <w:t>ts</w:t>
            </w:r>
          </w:p>
        </w:tc>
        <w:tc>
          <w:tcPr>
            <w:tcW w:w="2977" w:type="dxa"/>
            <w:tcBorders>
              <w:top w:val="single" w:sz="4" w:space="0" w:color="auto"/>
              <w:left w:val="nil"/>
              <w:bottom w:val="single" w:sz="4" w:space="0" w:color="auto"/>
              <w:right w:val="single" w:sz="4" w:space="0" w:color="auto"/>
            </w:tcBorders>
            <w:shd w:val="clear" w:color="000000" w:fill="BFBFBF"/>
            <w:vAlign w:val="center"/>
            <w:hideMark/>
          </w:tcPr>
          <w:p w14:paraId="324B4E75" w14:textId="187ECB07" w:rsidR="004D1394" w:rsidRPr="004D1394" w:rsidRDefault="00212C19" w:rsidP="004D1394">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 xml:space="preserve">Nombre de </w:t>
            </w:r>
            <w:r w:rsidR="004D1394" w:rsidRPr="004D1394">
              <w:rPr>
                <w:rFonts w:eastAsia="Times New Roman" w:cs="Arial"/>
                <w:b/>
                <w:bCs/>
                <w:color w:val="000000"/>
                <w:sz w:val="20"/>
                <w:szCs w:val="20"/>
                <w:lang w:eastAsia="fr-FR"/>
              </w:rPr>
              <w:t>Prestations (</w:t>
            </w:r>
            <w:r>
              <w:rPr>
                <w:rFonts w:eastAsia="Times New Roman" w:cs="Arial"/>
                <w:b/>
                <w:bCs/>
                <w:color w:val="000000"/>
                <w:sz w:val="20"/>
                <w:szCs w:val="20"/>
                <w:lang w:eastAsia="fr-FR"/>
              </w:rPr>
              <w:t>Mios</w:t>
            </w:r>
            <w:r w:rsidR="004D1394" w:rsidRPr="004D1394">
              <w:rPr>
                <w:rFonts w:eastAsia="Times New Roman" w:cs="Arial"/>
                <w:b/>
                <w:bCs/>
                <w:color w:val="000000"/>
                <w:sz w:val="20"/>
                <w:szCs w:val="20"/>
                <w:lang w:eastAsia="fr-FR"/>
              </w:rPr>
              <w:t>)</w:t>
            </w:r>
          </w:p>
        </w:tc>
      </w:tr>
      <w:tr w:rsidR="004D1394" w:rsidRPr="004D1394" w14:paraId="66370DD2" w14:textId="77777777" w:rsidTr="00295F87">
        <w:trPr>
          <w:trHeight w:val="300"/>
          <w:jc w:val="center"/>
        </w:trPr>
        <w:tc>
          <w:tcPr>
            <w:tcW w:w="3940" w:type="dxa"/>
            <w:tcBorders>
              <w:top w:val="single" w:sz="4" w:space="0" w:color="auto"/>
              <w:left w:val="single" w:sz="4" w:space="0" w:color="auto"/>
              <w:bottom w:val="nil"/>
              <w:right w:val="nil"/>
            </w:tcBorders>
            <w:shd w:val="clear" w:color="000000" w:fill="BFBFBF"/>
            <w:vAlign w:val="center"/>
            <w:hideMark/>
          </w:tcPr>
          <w:p w14:paraId="3BFEE0D4"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Marché de la restauration commerciale</w:t>
            </w:r>
          </w:p>
        </w:tc>
        <w:tc>
          <w:tcPr>
            <w:tcW w:w="1355" w:type="dxa"/>
            <w:tcBorders>
              <w:top w:val="single" w:sz="4" w:space="0" w:color="auto"/>
              <w:left w:val="single" w:sz="4" w:space="0" w:color="auto"/>
              <w:bottom w:val="nil"/>
              <w:right w:val="single" w:sz="4" w:space="0" w:color="auto"/>
            </w:tcBorders>
            <w:shd w:val="clear" w:color="000000" w:fill="BFBFBF"/>
            <w:noWrap/>
            <w:vAlign w:val="center"/>
            <w:hideMark/>
          </w:tcPr>
          <w:p w14:paraId="3C03ED19"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151 460</w:t>
            </w:r>
          </w:p>
        </w:tc>
        <w:tc>
          <w:tcPr>
            <w:tcW w:w="1226" w:type="dxa"/>
            <w:tcBorders>
              <w:top w:val="single" w:sz="4" w:space="0" w:color="auto"/>
              <w:left w:val="nil"/>
              <w:bottom w:val="nil"/>
              <w:right w:val="single" w:sz="4" w:space="0" w:color="auto"/>
            </w:tcBorders>
            <w:shd w:val="clear" w:color="000000" w:fill="BFBFBF"/>
            <w:noWrap/>
            <w:vAlign w:val="center"/>
            <w:hideMark/>
          </w:tcPr>
          <w:p w14:paraId="7DABA7E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100%</w:t>
            </w:r>
          </w:p>
        </w:tc>
        <w:tc>
          <w:tcPr>
            <w:tcW w:w="2977" w:type="dxa"/>
            <w:tcBorders>
              <w:top w:val="single" w:sz="4" w:space="0" w:color="auto"/>
              <w:left w:val="nil"/>
              <w:bottom w:val="nil"/>
              <w:right w:val="single" w:sz="4" w:space="0" w:color="auto"/>
            </w:tcBorders>
            <w:shd w:val="clear" w:color="000000" w:fill="BFBFBF"/>
            <w:noWrap/>
            <w:vAlign w:val="center"/>
            <w:hideMark/>
          </w:tcPr>
          <w:p w14:paraId="3D544DBD"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3 746</w:t>
            </w:r>
          </w:p>
        </w:tc>
      </w:tr>
      <w:tr w:rsidR="004D1394" w:rsidRPr="004D1394" w14:paraId="1CB91612" w14:textId="77777777" w:rsidTr="00295F87">
        <w:trPr>
          <w:trHeight w:val="300"/>
          <w:jc w:val="center"/>
        </w:trPr>
        <w:tc>
          <w:tcPr>
            <w:tcW w:w="3940" w:type="dxa"/>
            <w:tcBorders>
              <w:top w:val="nil"/>
              <w:left w:val="single" w:sz="4" w:space="0" w:color="auto"/>
              <w:bottom w:val="nil"/>
              <w:right w:val="nil"/>
            </w:tcBorders>
            <w:shd w:val="clear" w:color="000000" w:fill="BFBFBF"/>
            <w:vAlign w:val="center"/>
            <w:hideMark/>
          </w:tcPr>
          <w:p w14:paraId="691A1A09"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Restaurants Service à Table</w:t>
            </w:r>
          </w:p>
        </w:tc>
        <w:tc>
          <w:tcPr>
            <w:tcW w:w="1355" w:type="dxa"/>
            <w:tcBorders>
              <w:top w:val="nil"/>
              <w:left w:val="single" w:sz="4" w:space="0" w:color="auto"/>
              <w:bottom w:val="nil"/>
              <w:right w:val="single" w:sz="4" w:space="0" w:color="auto"/>
            </w:tcBorders>
            <w:shd w:val="clear" w:color="000000" w:fill="BFBFBF"/>
            <w:noWrap/>
            <w:vAlign w:val="center"/>
            <w:hideMark/>
          </w:tcPr>
          <w:p w14:paraId="2965C8ED"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92 810</w:t>
            </w:r>
          </w:p>
        </w:tc>
        <w:tc>
          <w:tcPr>
            <w:tcW w:w="1226" w:type="dxa"/>
            <w:tcBorders>
              <w:top w:val="nil"/>
              <w:left w:val="nil"/>
              <w:bottom w:val="nil"/>
              <w:right w:val="single" w:sz="4" w:space="0" w:color="auto"/>
            </w:tcBorders>
            <w:shd w:val="clear" w:color="000000" w:fill="BFBFBF"/>
            <w:noWrap/>
            <w:vAlign w:val="center"/>
            <w:hideMark/>
          </w:tcPr>
          <w:p w14:paraId="40D9F707"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61%</w:t>
            </w:r>
          </w:p>
        </w:tc>
        <w:tc>
          <w:tcPr>
            <w:tcW w:w="2977" w:type="dxa"/>
            <w:tcBorders>
              <w:top w:val="nil"/>
              <w:left w:val="nil"/>
              <w:bottom w:val="nil"/>
              <w:right w:val="single" w:sz="4" w:space="0" w:color="auto"/>
            </w:tcBorders>
            <w:shd w:val="clear" w:color="000000" w:fill="BFBFBF"/>
            <w:noWrap/>
            <w:vAlign w:val="center"/>
            <w:hideMark/>
          </w:tcPr>
          <w:p w14:paraId="04E69399"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957</w:t>
            </w:r>
          </w:p>
        </w:tc>
      </w:tr>
      <w:tr w:rsidR="004D1394" w:rsidRPr="004D1394" w14:paraId="02784E66"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039080F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 Restauration traditionnelle</w:t>
            </w:r>
          </w:p>
        </w:tc>
        <w:tc>
          <w:tcPr>
            <w:tcW w:w="1355" w:type="dxa"/>
            <w:tcBorders>
              <w:top w:val="nil"/>
              <w:left w:val="single" w:sz="4" w:space="0" w:color="auto"/>
              <w:bottom w:val="nil"/>
              <w:right w:val="single" w:sz="4" w:space="0" w:color="auto"/>
            </w:tcBorders>
            <w:shd w:val="clear" w:color="auto" w:fill="auto"/>
            <w:noWrap/>
            <w:vAlign w:val="center"/>
            <w:hideMark/>
          </w:tcPr>
          <w:p w14:paraId="59AF4D34"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65 600</w:t>
            </w:r>
          </w:p>
        </w:tc>
        <w:tc>
          <w:tcPr>
            <w:tcW w:w="1226" w:type="dxa"/>
            <w:tcBorders>
              <w:top w:val="nil"/>
              <w:left w:val="nil"/>
              <w:bottom w:val="nil"/>
              <w:right w:val="single" w:sz="4" w:space="0" w:color="auto"/>
            </w:tcBorders>
            <w:shd w:val="clear" w:color="auto" w:fill="auto"/>
            <w:noWrap/>
            <w:vAlign w:val="center"/>
            <w:hideMark/>
          </w:tcPr>
          <w:p w14:paraId="3531B1D0"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43%</w:t>
            </w:r>
          </w:p>
        </w:tc>
        <w:tc>
          <w:tcPr>
            <w:tcW w:w="2977" w:type="dxa"/>
            <w:tcBorders>
              <w:top w:val="nil"/>
              <w:left w:val="nil"/>
              <w:bottom w:val="nil"/>
              <w:right w:val="single" w:sz="4" w:space="0" w:color="auto"/>
            </w:tcBorders>
            <w:shd w:val="clear" w:color="auto" w:fill="auto"/>
            <w:noWrap/>
            <w:vAlign w:val="center"/>
            <w:hideMark/>
          </w:tcPr>
          <w:p w14:paraId="4E7F3DF2" w14:textId="77777777" w:rsidR="004D1394" w:rsidRPr="004D1394" w:rsidRDefault="004D1394" w:rsidP="004D1394">
            <w:pPr>
              <w:spacing w:after="0" w:line="240" w:lineRule="auto"/>
              <w:jc w:val="right"/>
              <w:rPr>
                <w:rFonts w:eastAsia="Times New Roman" w:cs="Arial"/>
                <w:b/>
                <w:bCs/>
                <w:color w:val="000000"/>
                <w:sz w:val="20"/>
                <w:szCs w:val="20"/>
                <w:lang w:eastAsia="fr-FR"/>
              </w:rPr>
            </w:pPr>
            <w:r w:rsidRPr="004D1394">
              <w:rPr>
                <w:rFonts w:eastAsia="Times New Roman" w:cs="Arial"/>
                <w:b/>
                <w:bCs/>
                <w:color w:val="000000"/>
                <w:sz w:val="20"/>
                <w:szCs w:val="20"/>
                <w:lang w:eastAsia="fr-FR"/>
              </w:rPr>
              <w:t>483</w:t>
            </w:r>
          </w:p>
        </w:tc>
      </w:tr>
      <w:tr w:rsidR="004D1394" w:rsidRPr="004D1394" w14:paraId="2A08D693"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5C645E98"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 Restauration à thème</w:t>
            </w:r>
          </w:p>
        </w:tc>
        <w:tc>
          <w:tcPr>
            <w:tcW w:w="1355" w:type="dxa"/>
            <w:tcBorders>
              <w:top w:val="nil"/>
              <w:left w:val="single" w:sz="4" w:space="0" w:color="auto"/>
              <w:bottom w:val="nil"/>
              <w:right w:val="single" w:sz="4" w:space="0" w:color="auto"/>
            </w:tcBorders>
            <w:shd w:val="clear" w:color="auto" w:fill="auto"/>
            <w:noWrap/>
            <w:vAlign w:val="center"/>
            <w:hideMark/>
          </w:tcPr>
          <w:p w14:paraId="118DC843"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27 210</w:t>
            </w:r>
          </w:p>
        </w:tc>
        <w:tc>
          <w:tcPr>
            <w:tcW w:w="1226" w:type="dxa"/>
            <w:tcBorders>
              <w:top w:val="nil"/>
              <w:left w:val="nil"/>
              <w:bottom w:val="nil"/>
              <w:right w:val="single" w:sz="4" w:space="0" w:color="auto"/>
            </w:tcBorders>
            <w:shd w:val="clear" w:color="auto" w:fill="auto"/>
            <w:noWrap/>
            <w:vAlign w:val="center"/>
            <w:hideMark/>
          </w:tcPr>
          <w:p w14:paraId="0748710F"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18%</w:t>
            </w:r>
          </w:p>
        </w:tc>
        <w:tc>
          <w:tcPr>
            <w:tcW w:w="2977" w:type="dxa"/>
            <w:tcBorders>
              <w:top w:val="nil"/>
              <w:left w:val="nil"/>
              <w:bottom w:val="nil"/>
              <w:right w:val="single" w:sz="4" w:space="0" w:color="auto"/>
            </w:tcBorders>
            <w:shd w:val="clear" w:color="auto" w:fill="auto"/>
            <w:noWrap/>
            <w:vAlign w:val="center"/>
            <w:hideMark/>
          </w:tcPr>
          <w:p w14:paraId="01260134"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474</w:t>
            </w:r>
          </w:p>
        </w:tc>
      </w:tr>
      <w:tr w:rsidR="004D1394" w:rsidRPr="004D1394" w14:paraId="613C0034"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301C7F19"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pizzerias</w:t>
            </w:r>
          </w:p>
        </w:tc>
        <w:tc>
          <w:tcPr>
            <w:tcW w:w="1355" w:type="dxa"/>
            <w:tcBorders>
              <w:top w:val="nil"/>
              <w:left w:val="single" w:sz="4" w:space="0" w:color="auto"/>
              <w:bottom w:val="nil"/>
              <w:right w:val="single" w:sz="4" w:space="0" w:color="auto"/>
            </w:tcBorders>
            <w:shd w:val="clear" w:color="auto" w:fill="auto"/>
            <w:noWrap/>
            <w:vAlign w:val="center"/>
            <w:hideMark/>
          </w:tcPr>
          <w:p w14:paraId="5044C22D"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9 950</w:t>
            </w:r>
          </w:p>
        </w:tc>
        <w:tc>
          <w:tcPr>
            <w:tcW w:w="1226" w:type="dxa"/>
            <w:tcBorders>
              <w:top w:val="nil"/>
              <w:left w:val="nil"/>
              <w:bottom w:val="nil"/>
              <w:right w:val="single" w:sz="4" w:space="0" w:color="auto"/>
            </w:tcBorders>
            <w:shd w:val="clear" w:color="auto" w:fill="auto"/>
            <w:noWrap/>
            <w:vAlign w:val="center"/>
            <w:hideMark/>
          </w:tcPr>
          <w:p w14:paraId="78DA239B"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7%</w:t>
            </w:r>
          </w:p>
        </w:tc>
        <w:tc>
          <w:tcPr>
            <w:tcW w:w="2977" w:type="dxa"/>
            <w:tcBorders>
              <w:top w:val="nil"/>
              <w:left w:val="nil"/>
              <w:bottom w:val="nil"/>
              <w:right w:val="single" w:sz="4" w:space="0" w:color="auto"/>
            </w:tcBorders>
            <w:shd w:val="clear" w:color="auto" w:fill="auto"/>
            <w:noWrap/>
            <w:vAlign w:val="center"/>
            <w:hideMark/>
          </w:tcPr>
          <w:p w14:paraId="6394DF00"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178</w:t>
            </w:r>
          </w:p>
        </w:tc>
      </w:tr>
      <w:tr w:rsidR="004D1394" w:rsidRPr="004D1394" w14:paraId="05A2A7E4"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55E0B8BC"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grills</w:t>
            </w:r>
          </w:p>
        </w:tc>
        <w:tc>
          <w:tcPr>
            <w:tcW w:w="1355" w:type="dxa"/>
            <w:tcBorders>
              <w:top w:val="nil"/>
              <w:left w:val="single" w:sz="4" w:space="0" w:color="auto"/>
              <w:bottom w:val="nil"/>
              <w:right w:val="single" w:sz="4" w:space="0" w:color="auto"/>
            </w:tcBorders>
            <w:shd w:val="clear" w:color="auto" w:fill="auto"/>
            <w:noWrap/>
            <w:vAlign w:val="center"/>
            <w:hideMark/>
          </w:tcPr>
          <w:p w14:paraId="291BE914"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1 920</w:t>
            </w:r>
          </w:p>
        </w:tc>
        <w:tc>
          <w:tcPr>
            <w:tcW w:w="1226" w:type="dxa"/>
            <w:tcBorders>
              <w:top w:val="nil"/>
              <w:left w:val="nil"/>
              <w:bottom w:val="nil"/>
              <w:right w:val="single" w:sz="4" w:space="0" w:color="auto"/>
            </w:tcBorders>
            <w:shd w:val="clear" w:color="auto" w:fill="auto"/>
            <w:noWrap/>
            <w:vAlign w:val="center"/>
            <w:hideMark/>
          </w:tcPr>
          <w:p w14:paraId="2EC96382"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w:t>
            </w:r>
          </w:p>
        </w:tc>
        <w:tc>
          <w:tcPr>
            <w:tcW w:w="2977" w:type="dxa"/>
            <w:tcBorders>
              <w:top w:val="nil"/>
              <w:left w:val="nil"/>
              <w:bottom w:val="nil"/>
              <w:right w:val="single" w:sz="4" w:space="0" w:color="auto"/>
            </w:tcBorders>
            <w:shd w:val="clear" w:color="auto" w:fill="auto"/>
            <w:noWrap/>
            <w:vAlign w:val="center"/>
            <w:hideMark/>
          </w:tcPr>
          <w:p w14:paraId="7EFB3163"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96</w:t>
            </w:r>
          </w:p>
        </w:tc>
      </w:tr>
      <w:tr w:rsidR="004D1394" w:rsidRPr="004D1394" w14:paraId="3566BDA8"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4C0F924B"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brasseries</w:t>
            </w:r>
          </w:p>
        </w:tc>
        <w:tc>
          <w:tcPr>
            <w:tcW w:w="1355" w:type="dxa"/>
            <w:tcBorders>
              <w:top w:val="nil"/>
              <w:left w:val="single" w:sz="4" w:space="0" w:color="auto"/>
              <w:bottom w:val="nil"/>
              <w:right w:val="single" w:sz="4" w:space="0" w:color="auto"/>
            </w:tcBorders>
            <w:shd w:val="clear" w:color="auto" w:fill="auto"/>
            <w:noWrap/>
            <w:vAlign w:val="center"/>
            <w:hideMark/>
          </w:tcPr>
          <w:p w14:paraId="0C6C377E"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2 340</w:t>
            </w:r>
          </w:p>
        </w:tc>
        <w:tc>
          <w:tcPr>
            <w:tcW w:w="1226" w:type="dxa"/>
            <w:tcBorders>
              <w:top w:val="nil"/>
              <w:left w:val="nil"/>
              <w:bottom w:val="nil"/>
              <w:right w:val="single" w:sz="4" w:space="0" w:color="auto"/>
            </w:tcBorders>
            <w:shd w:val="clear" w:color="auto" w:fill="auto"/>
            <w:noWrap/>
            <w:vAlign w:val="center"/>
            <w:hideMark/>
          </w:tcPr>
          <w:p w14:paraId="2E9993FF"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w:t>
            </w:r>
          </w:p>
        </w:tc>
        <w:tc>
          <w:tcPr>
            <w:tcW w:w="2977" w:type="dxa"/>
            <w:tcBorders>
              <w:top w:val="nil"/>
              <w:left w:val="nil"/>
              <w:bottom w:val="nil"/>
              <w:right w:val="single" w:sz="4" w:space="0" w:color="auto"/>
            </w:tcBorders>
            <w:shd w:val="clear" w:color="auto" w:fill="auto"/>
            <w:noWrap/>
            <w:vAlign w:val="center"/>
            <w:hideMark/>
          </w:tcPr>
          <w:p w14:paraId="54CF7274"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42</w:t>
            </w:r>
          </w:p>
        </w:tc>
      </w:tr>
      <w:tr w:rsidR="004D1394" w:rsidRPr="004D1394" w14:paraId="191C88D0"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4186B6FD" w14:textId="132B9F42"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Autres restauration à thème (asiatique</w:t>
            </w:r>
            <w:r w:rsidR="00524147">
              <w:rPr>
                <w:rFonts w:eastAsia="Times New Roman" w:cs="Arial"/>
                <w:color w:val="000000"/>
                <w:sz w:val="20"/>
                <w:szCs w:val="20"/>
                <w:lang w:eastAsia="fr-FR"/>
              </w:rPr>
              <w:t>.</w:t>
            </w:r>
            <w:r w:rsidRPr="004D1394">
              <w:rPr>
                <w:rFonts w:eastAsia="Times New Roman" w:cs="Arial"/>
                <w:color w:val="000000"/>
                <w:sz w:val="20"/>
                <w:szCs w:val="20"/>
                <w:lang w:eastAsia="fr-FR"/>
              </w:rPr>
              <w:t>..)</w:t>
            </w:r>
          </w:p>
        </w:tc>
        <w:tc>
          <w:tcPr>
            <w:tcW w:w="1355" w:type="dxa"/>
            <w:tcBorders>
              <w:top w:val="nil"/>
              <w:left w:val="single" w:sz="4" w:space="0" w:color="auto"/>
              <w:bottom w:val="nil"/>
              <w:right w:val="single" w:sz="4" w:space="0" w:color="auto"/>
            </w:tcBorders>
            <w:shd w:val="clear" w:color="auto" w:fill="auto"/>
            <w:noWrap/>
            <w:vAlign w:val="center"/>
            <w:hideMark/>
          </w:tcPr>
          <w:p w14:paraId="6826E365" w14:textId="77777777" w:rsidR="004D1394" w:rsidRPr="004D1394" w:rsidRDefault="004D1394" w:rsidP="004D1394">
            <w:pPr>
              <w:spacing w:after="0" w:line="240" w:lineRule="auto"/>
              <w:jc w:val="right"/>
              <w:rPr>
                <w:rFonts w:eastAsia="Times New Roman" w:cs="Arial"/>
                <w:i/>
                <w:iCs/>
                <w:color w:val="000000"/>
                <w:sz w:val="20"/>
                <w:szCs w:val="20"/>
                <w:lang w:eastAsia="fr-FR"/>
              </w:rPr>
            </w:pPr>
            <w:r w:rsidRPr="004D1394">
              <w:rPr>
                <w:rFonts w:eastAsia="Times New Roman" w:cs="Arial"/>
                <w:i/>
                <w:iCs/>
                <w:color w:val="000000"/>
                <w:sz w:val="20"/>
                <w:szCs w:val="20"/>
                <w:lang w:eastAsia="fr-FR"/>
              </w:rPr>
              <w:t>13 000</w:t>
            </w:r>
          </w:p>
        </w:tc>
        <w:tc>
          <w:tcPr>
            <w:tcW w:w="1226" w:type="dxa"/>
            <w:tcBorders>
              <w:top w:val="nil"/>
              <w:left w:val="nil"/>
              <w:bottom w:val="nil"/>
              <w:right w:val="single" w:sz="4" w:space="0" w:color="auto"/>
            </w:tcBorders>
            <w:shd w:val="clear" w:color="auto" w:fill="auto"/>
            <w:noWrap/>
            <w:vAlign w:val="center"/>
            <w:hideMark/>
          </w:tcPr>
          <w:p w14:paraId="36EE9194" w14:textId="77777777" w:rsidR="004D1394" w:rsidRPr="004D1394" w:rsidRDefault="004D1394" w:rsidP="004D1394">
            <w:pPr>
              <w:spacing w:after="0" w:line="240" w:lineRule="auto"/>
              <w:jc w:val="right"/>
              <w:rPr>
                <w:rFonts w:eastAsia="Times New Roman" w:cs="Arial"/>
                <w:i/>
                <w:iCs/>
                <w:color w:val="000000"/>
                <w:sz w:val="20"/>
                <w:szCs w:val="20"/>
                <w:lang w:eastAsia="fr-FR"/>
              </w:rPr>
            </w:pPr>
            <w:r w:rsidRPr="004D1394">
              <w:rPr>
                <w:rFonts w:eastAsia="Times New Roman" w:cs="Arial"/>
                <w:i/>
                <w:iCs/>
                <w:color w:val="000000"/>
                <w:sz w:val="20"/>
                <w:szCs w:val="20"/>
                <w:lang w:eastAsia="fr-FR"/>
              </w:rPr>
              <w:t>9%</w:t>
            </w:r>
          </w:p>
        </w:tc>
        <w:tc>
          <w:tcPr>
            <w:tcW w:w="2977" w:type="dxa"/>
            <w:tcBorders>
              <w:top w:val="nil"/>
              <w:left w:val="nil"/>
              <w:bottom w:val="nil"/>
              <w:right w:val="single" w:sz="4" w:space="0" w:color="auto"/>
            </w:tcBorders>
            <w:shd w:val="clear" w:color="auto" w:fill="auto"/>
            <w:noWrap/>
            <w:vAlign w:val="center"/>
            <w:hideMark/>
          </w:tcPr>
          <w:p w14:paraId="7953A637"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157</w:t>
            </w:r>
          </w:p>
        </w:tc>
      </w:tr>
      <w:tr w:rsidR="004D1394" w:rsidRPr="004D1394" w14:paraId="7A83003E" w14:textId="77777777" w:rsidTr="00295F87">
        <w:trPr>
          <w:trHeight w:val="300"/>
          <w:jc w:val="center"/>
        </w:trPr>
        <w:tc>
          <w:tcPr>
            <w:tcW w:w="3940" w:type="dxa"/>
            <w:tcBorders>
              <w:top w:val="single" w:sz="4" w:space="0" w:color="auto"/>
              <w:left w:val="single" w:sz="4" w:space="0" w:color="auto"/>
              <w:bottom w:val="nil"/>
              <w:right w:val="nil"/>
            </w:tcBorders>
            <w:shd w:val="clear" w:color="000000" w:fill="BFBFBF"/>
            <w:vAlign w:val="center"/>
            <w:hideMark/>
          </w:tcPr>
          <w:p w14:paraId="76B95EB6"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Restaurants self-service</w:t>
            </w:r>
          </w:p>
        </w:tc>
        <w:tc>
          <w:tcPr>
            <w:tcW w:w="1355" w:type="dxa"/>
            <w:tcBorders>
              <w:top w:val="single" w:sz="4" w:space="0" w:color="auto"/>
              <w:left w:val="single" w:sz="4" w:space="0" w:color="auto"/>
              <w:bottom w:val="nil"/>
              <w:right w:val="single" w:sz="4" w:space="0" w:color="auto"/>
            </w:tcBorders>
            <w:shd w:val="clear" w:color="000000" w:fill="BFBFBF"/>
            <w:noWrap/>
            <w:vAlign w:val="center"/>
            <w:hideMark/>
          </w:tcPr>
          <w:p w14:paraId="40737370"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805</w:t>
            </w:r>
          </w:p>
        </w:tc>
        <w:tc>
          <w:tcPr>
            <w:tcW w:w="1226" w:type="dxa"/>
            <w:tcBorders>
              <w:top w:val="single" w:sz="4" w:space="0" w:color="auto"/>
              <w:left w:val="nil"/>
              <w:bottom w:val="nil"/>
              <w:right w:val="single" w:sz="4" w:space="0" w:color="auto"/>
            </w:tcBorders>
            <w:shd w:val="clear" w:color="000000" w:fill="BFBFBF"/>
            <w:noWrap/>
            <w:vAlign w:val="center"/>
            <w:hideMark/>
          </w:tcPr>
          <w:p w14:paraId="28206B54"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w:t>
            </w:r>
          </w:p>
        </w:tc>
        <w:tc>
          <w:tcPr>
            <w:tcW w:w="2977" w:type="dxa"/>
            <w:tcBorders>
              <w:top w:val="single" w:sz="4" w:space="0" w:color="auto"/>
              <w:left w:val="nil"/>
              <w:bottom w:val="nil"/>
              <w:right w:val="single" w:sz="4" w:space="0" w:color="auto"/>
            </w:tcBorders>
            <w:shd w:val="clear" w:color="000000" w:fill="BFBFBF"/>
            <w:noWrap/>
            <w:vAlign w:val="center"/>
            <w:hideMark/>
          </w:tcPr>
          <w:p w14:paraId="7EC22E9C"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116</w:t>
            </w:r>
          </w:p>
        </w:tc>
      </w:tr>
      <w:tr w:rsidR="004D1394" w:rsidRPr="004D1394" w14:paraId="1B0EDC35" w14:textId="77777777" w:rsidTr="00295F87">
        <w:trPr>
          <w:trHeight w:val="300"/>
          <w:jc w:val="center"/>
        </w:trPr>
        <w:tc>
          <w:tcPr>
            <w:tcW w:w="3940" w:type="dxa"/>
            <w:tcBorders>
              <w:top w:val="nil"/>
              <w:left w:val="single" w:sz="4" w:space="0" w:color="auto"/>
              <w:bottom w:val="nil"/>
              <w:right w:val="nil"/>
            </w:tcBorders>
            <w:shd w:val="clear" w:color="000000" w:fill="BFBFBF"/>
            <w:vAlign w:val="center"/>
            <w:hideMark/>
          </w:tcPr>
          <w:p w14:paraId="0EAD482E"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Restauration rapide</w:t>
            </w:r>
          </w:p>
        </w:tc>
        <w:tc>
          <w:tcPr>
            <w:tcW w:w="1355" w:type="dxa"/>
            <w:tcBorders>
              <w:top w:val="nil"/>
              <w:left w:val="single" w:sz="4" w:space="0" w:color="auto"/>
              <w:bottom w:val="nil"/>
              <w:right w:val="single" w:sz="4" w:space="0" w:color="auto"/>
            </w:tcBorders>
            <w:shd w:val="clear" w:color="000000" w:fill="BFBFBF"/>
            <w:noWrap/>
            <w:vAlign w:val="center"/>
            <w:hideMark/>
          </w:tcPr>
          <w:p w14:paraId="28B6D7B7"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31 510</w:t>
            </w:r>
          </w:p>
        </w:tc>
        <w:tc>
          <w:tcPr>
            <w:tcW w:w="1226" w:type="dxa"/>
            <w:tcBorders>
              <w:top w:val="nil"/>
              <w:left w:val="nil"/>
              <w:bottom w:val="nil"/>
              <w:right w:val="single" w:sz="4" w:space="0" w:color="auto"/>
            </w:tcBorders>
            <w:shd w:val="clear" w:color="000000" w:fill="BFBFBF"/>
            <w:noWrap/>
            <w:vAlign w:val="center"/>
            <w:hideMark/>
          </w:tcPr>
          <w:p w14:paraId="097E5A8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21%</w:t>
            </w:r>
          </w:p>
        </w:tc>
        <w:tc>
          <w:tcPr>
            <w:tcW w:w="2977" w:type="dxa"/>
            <w:tcBorders>
              <w:top w:val="nil"/>
              <w:left w:val="nil"/>
              <w:bottom w:val="nil"/>
              <w:right w:val="single" w:sz="4" w:space="0" w:color="auto"/>
            </w:tcBorders>
            <w:shd w:val="clear" w:color="000000" w:fill="BFBFBF"/>
            <w:noWrap/>
            <w:vAlign w:val="center"/>
            <w:hideMark/>
          </w:tcPr>
          <w:p w14:paraId="4F62C43B"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2082</w:t>
            </w:r>
          </w:p>
        </w:tc>
      </w:tr>
      <w:tr w:rsidR="004D1394" w:rsidRPr="004D1394" w14:paraId="3DC3FF21"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2422AFC1"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fast-food hamburger</w:t>
            </w:r>
          </w:p>
        </w:tc>
        <w:tc>
          <w:tcPr>
            <w:tcW w:w="1355" w:type="dxa"/>
            <w:tcBorders>
              <w:top w:val="nil"/>
              <w:left w:val="single" w:sz="4" w:space="0" w:color="auto"/>
              <w:bottom w:val="nil"/>
              <w:right w:val="single" w:sz="4" w:space="0" w:color="auto"/>
            </w:tcBorders>
            <w:shd w:val="clear" w:color="auto" w:fill="auto"/>
            <w:noWrap/>
            <w:vAlign w:val="center"/>
            <w:hideMark/>
          </w:tcPr>
          <w:p w14:paraId="61BD3210"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3 130</w:t>
            </w:r>
          </w:p>
        </w:tc>
        <w:tc>
          <w:tcPr>
            <w:tcW w:w="1226" w:type="dxa"/>
            <w:tcBorders>
              <w:top w:val="nil"/>
              <w:left w:val="nil"/>
              <w:bottom w:val="nil"/>
              <w:right w:val="single" w:sz="4" w:space="0" w:color="auto"/>
            </w:tcBorders>
            <w:shd w:val="clear" w:color="auto" w:fill="auto"/>
            <w:noWrap/>
            <w:vAlign w:val="center"/>
            <w:hideMark/>
          </w:tcPr>
          <w:p w14:paraId="32367D6F"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w:t>
            </w:r>
          </w:p>
        </w:tc>
        <w:tc>
          <w:tcPr>
            <w:tcW w:w="2977" w:type="dxa"/>
            <w:tcBorders>
              <w:top w:val="nil"/>
              <w:left w:val="nil"/>
              <w:bottom w:val="nil"/>
              <w:right w:val="single" w:sz="4" w:space="0" w:color="auto"/>
            </w:tcBorders>
            <w:shd w:val="clear" w:color="auto" w:fill="auto"/>
            <w:noWrap/>
            <w:vAlign w:val="center"/>
            <w:hideMark/>
          </w:tcPr>
          <w:p w14:paraId="6F76DB32"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1 007</w:t>
            </w:r>
          </w:p>
        </w:tc>
      </w:tr>
      <w:tr w:rsidR="004D1394" w:rsidRPr="004D1394" w14:paraId="444C8C2C"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231F7978"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fast-food viennoiserie/sandwicherie</w:t>
            </w:r>
          </w:p>
        </w:tc>
        <w:tc>
          <w:tcPr>
            <w:tcW w:w="1355" w:type="dxa"/>
            <w:tcBorders>
              <w:top w:val="nil"/>
              <w:left w:val="single" w:sz="4" w:space="0" w:color="auto"/>
              <w:bottom w:val="nil"/>
              <w:right w:val="single" w:sz="4" w:space="0" w:color="auto"/>
            </w:tcBorders>
            <w:shd w:val="clear" w:color="auto" w:fill="auto"/>
            <w:noWrap/>
            <w:vAlign w:val="center"/>
            <w:hideMark/>
          </w:tcPr>
          <w:p w14:paraId="0983BA54"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14 500</w:t>
            </w:r>
          </w:p>
        </w:tc>
        <w:tc>
          <w:tcPr>
            <w:tcW w:w="1226" w:type="dxa"/>
            <w:tcBorders>
              <w:top w:val="nil"/>
              <w:left w:val="nil"/>
              <w:bottom w:val="nil"/>
              <w:right w:val="single" w:sz="4" w:space="0" w:color="auto"/>
            </w:tcBorders>
            <w:shd w:val="clear" w:color="auto" w:fill="auto"/>
            <w:noWrap/>
            <w:vAlign w:val="center"/>
            <w:hideMark/>
          </w:tcPr>
          <w:p w14:paraId="1D8FD1CE"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10%</w:t>
            </w:r>
          </w:p>
        </w:tc>
        <w:tc>
          <w:tcPr>
            <w:tcW w:w="2977" w:type="dxa"/>
            <w:tcBorders>
              <w:top w:val="nil"/>
              <w:left w:val="nil"/>
              <w:bottom w:val="nil"/>
              <w:right w:val="single" w:sz="4" w:space="0" w:color="auto"/>
            </w:tcBorders>
            <w:shd w:val="clear" w:color="auto" w:fill="auto"/>
            <w:noWrap/>
            <w:vAlign w:val="center"/>
            <w:hideMark/>
          </w:tcPr>
          <w:p w14:paraId="31708289"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461</w:t>
            </w:r>
          </w:p>
        </w:tc>
      </w:tr>
      <w:tr w:rsidR="004D1394" w:rsidRPr="004D1394" w14:paraId="78527D83"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47AA5BFC"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livraison pizzas</w:t>
            </w:r>
          </w:p>
        </w:tc>
        <w:tc>
          <w:tcPr>
            <w:tcW w:w="1355" w:type="dxa"/>
            <w:tcBorders>
              <w:top w:val="nil"/>
              <w:left w:val="single" w:sz="4" w:space="0" w:color="auto"/>
              <w:bottom w:val="nil"/>
              <w:right w:val="single" w:sz="4" w:space="0" w:color="auto"/>
            </w:tcBorders>
            <w:shd w:val="clear" w:color="auto" w:fill="auto"/>
            <w:noWrap/>
            <w:vAlign w:val="center"/>
            <w:hideMark/>
          </w:tcPr>
          <w:p w14:paraId="6D97B0E1"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2 980</w:t>
            </w:r>
          </w:p>
        </w:tc>
        <w:tc>
          <w:tcPr>
            <w:tcW w:w="1226" w:type="dxa"/>
            <w:tcBorders>
              <w:top w:val="nil"/>
              <w:left w:val="nil"/>
              <w:bottom w:val="nil"/>
              <w:right w:val="single" w:sz="4" w:space="0" w:color="auto"/>
            </w:tcBorders>
            <w:shd w:val="clear" w:color="auto" w:fill="auto"/>
            <w:noWrap/>
            <w:vAlign w:val="center"/>
            <w:hideMark/>
          </w:tcPr>
          <w:p w14:paraId="6F699BE0"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2%</w:t>
            </w:r>
          </w:p>
        </w:tc>
        <w:tc>
          <w:tcPr>
            <w:tcW w:w="2977" w:type="dxa"/>
            <w:tcBorders>
              <w:top w:val="nil"/>
              <w:left w:val="nil"/>
              <w:bottom w:val="nil"/>
              <w:right w:val="single" w:sz="4" w:space="0" w:color="auto"/>
            </w:tcBorders>
            <w:shd w:val="clear" w:color="auto" w:fill="auto"/>
            <w:noWrap/>
            <w:vAlign w:val="center"/>
            <w:hideMark/>
          </w:tcPr>
          <w:p w14:paraId="418DCF32"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71</w:t>
            </w:r>
          </w:p>
        </w:tc>
      </w:tr>
      <w:tr w:rsidR="004D1394" w:rsidRPr="004D1394" w14:paraId="3A40B5FE" w14:textId="77777777" w:rsidTr="00295F87">
        <w:trPr>
          <w:trHeight w:val="300"/>
          <w:jc w:val="center"/>
        </w:trPr>
        <w:tc>
          <w:tcPr>
            <w:tcW w:w="3940" w:type="dxa"/>
            <w:tcBorders>
              <w:top w:val="nil"/>
              <w:left w:val="single" w:sz="4" w:space="0" w:color="auto"/>
              <w:bottom w:val="nil"/>
              <w:right w:val="nil"/>
            </w:tcBorders>
            <w:shd w:val="clear" w:color="auto" w:fill="auto"/>
            <w:vAlign w:val="center"/>
            <w:hideMark/>
          </w:tcPr>
          <w:p w14:paraId="0FA60E51"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 snacking divers et à thème</w:t>
            </w:r>
          </w:p>
        </w:tc>
        <w:tc>
          <w:tcPr>
            <w:tcW w:w="1355" w:type="dxa"/>
            <w:tcBorders>
              <w:top w:val="nil"/>
              <w:left w:val="single" w:sz="4" w:space="0" w:color="auto"/>
              <w:bottom w:val="nil"/>
              <w:right w:val="single" w:sz="4" w:space="0" w:color="auto"/>
            </w:tcBorders>
            <w:shd w:val="clear" w:color="auto" w:fill="auto"/>
            <w:noWrap/>
            <w:vAlign w:val="center"/>
            <w:hideMark/>
          </w:tcPr>
          <w:p w14:paraId="707FF97D"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10 900</w:t>
            </w:r>
          </w:p>
        </w:tc>
        <w:tc>
          <w:tcPr>
            <w:tcW w:w="1226" w:type="dxa"/>
            <w:tcBorders>
              <w:top w:val="nil"/>
              <w:left w:val="nil"/>
              <w:bottom w:val="nil"/>
              <w:right w:val="single" w:sz="4" w:space="0" w:color="auto"/>
            </w:tcBorders>
            <w:shd w:val="clear" w:color="auto" w:fill="auto"/>
            <w:noWrap/>
            <w:vAlign w:val="center"/>
            <w:hideMark/>
          </w:tcPr>
          <w:p w14:paraId="789315DC"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7%</w:t>
            </w:r>
          </w:p>
        </w:tc>
        <w:tc>
          <w:tcPr>
            <w:tcW w:w="2977" w:type="dxa"/>
            <w:tcBorders>
              <w:top w:val="nil"/>
              <w:left w:val="nil"/>
              <w:bottom w:val="nil"/>
              <w:right w:val="single" w:sz="4" w:space="0" w:color="auto"/>
            </w:tcBorders>
            <w:shd w:val="clear" w:color="auto" w:fill="auto"/>
            <w:noWrap/>
            <w:vAlign w:val="center"/>
            <w:hideMark/>
          </w:tcPr>
          <w:p w14:paraId="3DBA9707" w14:textId="77777777" w:rsidR="004D1394" w:rsidRPr="004D1394" w:rsidRDefault="004D1394" w:rsidP="004D1394">
            <w:pPr>
              <w:spacing w:after="0" w:line="240" w:lineRule="auto"/>
              <w:jc w:val="right"/>
              <w:rPr>
                <w:rFonts w:eastAsia="Times New Roman" w:cs="Arial"/>
                <w:color w:val="000000"/>
                <w:sz w:val="20"/>
                <w:szCs w:val="20"/>
                <w:lang w:eastAsia="fr-FR"/>
              </w:rPr>
            </w:pPr>
            <w:r w:rsidRPr="004D1394">
              <w:rPr>
                <w:rFonts w:eastAsia="Times New Roman" w:cs="Arial"/>
                <w:color w:val="000000"/>
                <w:sz w:val="20"/>
                <w:szCs w:val="20"/>
                <w:lang w:eastAsia="fr-FR"/>
              </w:rPr>
              <w:t>191</w:t>
            </w:r>
          </w:p>
        </w:tc>
      </w:tr>
      <w:tr w:rsidR="004D1394" w:rsidRPr="004D1394" w14:paraId="2F373AF4" w14:textId="77777777" w:rsidTr="00295F87">
        <w:trPr>
          <w:trHeight w:val="300"/>
          <w:jc w:val="center"/>
        </w:trPr>
        <w:tc>
          <w:tcPr>
            <w:tcW w:w="3940" w:type="dxa"/>
            <w:tcBorders>
              <w:top w:val="single" w:sz="4" w:space="0" w:color="auto"/>
              <w:left w:val="single" w:sz="4" w:space="0" w:color="auto"/>
              <w:bottom w:val="nil"/>
              <w:right w:val="nil"/>
            </w:tcBorders>
            <w:shd w:val="clear" w:color="000000" w:fill="BFBFBF"/>
            <w:vAlign w:val="center"/>
            <w:hideMark/>
          </w:tcPr>
          <w:p w14:paraId="5F92B1EE"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Restaurants d'hébergement</w:t>
            </w:r>
          </w:p>
        </w:tc>
        <w:tc>
          <w:tcPr>
            <w:tcW w:w="1355" w:type="dxa"/>
            <w:tcBorders>
              <w:top w:val="single" w:sz="4" w:space="0" w:color="auto"/>
              <w:left w:val="single" w:sz="4" w:space="0" w:color="auto"/>
              <w:bottom w:val="nil"/>
              <w:right w:val="single" w:sz="4" w:space="0" w:color="auto"/>
            </w:tcBorders>
            <w:shd w:val="clear" w:color="000000" w:fill="BFBFBF"/>
            <w:noWrap/>
            <w:vAlign w:val="center"/>
            <w:hideMark/>
          </w:tcPr>
          <w:p w14:paraId="19C0DD7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25 530</w:t>
            </w:r>
          </w:p>
        </w:tc>
        <w:tc>
          <w:tcPr>
            <w:tcW w:w="1226" w:type="dxa"/>
            <w:tcBorders>
              <w:top w:val="single" w:sz="4" w:space="0" w:color="auto"/>
              <w:left w:val="nil"/>
              <w:bottom w:val="nil"/>
              <w:right w:val="single" w:sz="4" w:space="0" w:color="auto"/>
            </w:tcBorders>
            <w:shd w:val="clear" w:color="000000" w:fill="BFBFBF"/>
            <w:noWrap/>
            <w:vAlign w:val="center"/>
            <w:hideMark/>
          </w:tcPr>
          <w:p w14:paraId="16FBF3B2"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17%</w:t>
            </w:r>
          </w:p>
        </w:tc>
        <w:tc>
          <w:tcPr>
            <w:tcW w:w="2977" w:type="dxa"/>
            <w:tcBorders>
              <w:top w:val="single" w:sz="4" w:space="0" w:color="auto"/>
              <w:left w:val="nil"/>
              <w:bottom w:val="nil"/>
              <w:right w:val="single" w:sz="4" w:space="0" w:color="auto"/>
            </w:tcBorders>
            <w:shd w:val="clear" w:color="000000" w:fill="BFBFBF"/>
            <w:noWrap/>
            <w:vAlign w:val="center"/>
            <w:hideMark/>
          </w:tcPr>
          <w:p w14:paraId="5AC0BD9E"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431</w:t>
            </w:r>
          </w:p>
        </w:tc>
      </w:tr>
      <w:tr w:rsidR="004D1394" w:rsidRPr="004D1394" w14:paraId="5278A8F8" w14:textId="77777777" w:rsidTr="00295F87">
        <w:trPr>
          <w:trHeight w:val="300"/>
          <w:jc w:val="center"/>
        </w:trPr>
        <w:tc>
          <w:tcPr>
            <w:tcW w:w="3940" w:type="dxa"/>
            <w:tcBorders>
              <w:top w:val="nil"/>
              <w:left w:val="single" w:sz="4" w:space="0" w:color="auto"/>
              <w:bottom w:val="single" w:sz="4" w:space="0" w:color="auto"/>
              <w:right w:val="nil"/>
            </w:tcBorders>
            <w:shd w:val="clear" w:color="000000" w:fill="BFBFBF"/>
            <w:vAlign w:val="center"/>
            <w:hideMark/>
          </w:tcPr>
          <w:p w14:paraId="74DD7356"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Restauration de transport (avion, train)</w:t>
            </w:r>
          </w:p>
        </w:tc>
        <w:tc>
          <w:tcPr>
            <w:tcW w:w="1355" w:type="dxa"/>
            <w:tcBorders>
              <w:top w:val="nil"/>
              <w:left w:val="single" w:sz="4" w:space="0" w:color="auto"/>
              <w:bottom w:val="single" w:sz="4" w:space="0" w:color="auto"/>
              <w:right w:val="single" w:sz="4" w:space="0" w:color="auto"/>
            </w:tcBorders>
            <w:shd w:val="clear" w:color="000000" w:fill="BFBFBF"/>
            <w:noWrap/>
            <w:vAlign w:val="center"/>
            <w:hideMark/>
          </w:tcPr>
          <w:p w14:paraId="6E9E9C21"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805</w:t>
            </w:r>
          </w:p>
        </w:tc>
        <w:tc>
          <w:tcPr>
            <w:tcW w:w="1226" w:type="dxa"/>
            <w:tcBorders>
              <w:top w:val="nil"/>
              <w:left w:val="nil"/>
              <w:bottom w:val="single" w:sz="4" w:space="0" w:color="auto"/>
              <w:right w:val="single" w:sz="4" w:space="0" w:color="auto"/>
            </w:tcBorders>
            <w:shd w:val="clear" w:color="000000" w:fill="BFBFBF"/>
            <w:noWrap/>
            <w:vAlign w:val="center"/>
            <w:hideMark/>
          </w:tcPr>
          <w:p w14:paraId="55D8A1C9"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w:t>
            </w:r>
          </w:p>
        </w:tc>
        <w:tc>
          <w:tcPr>
            <w:tcW w:w="2977" w:type="dxa"/>
            <w:tcBorders>
              <w:top w:val="nil"/>
              <w:left w:val="nil"/>
              <w:bottom w:val="single" w:sz="4" w:space="0" w:color="auto"/>
              <w:right w:val="single" w:sz="4" w:space="0" w:color="auto"/>
            </w:tcBorders>
            <w:shd w:val="clear" w:color="000000" w:fill="BFBFBF"/>
            <w:noWrap/>
            <w:vAlign w:val="center"/>
            <w:hideMark/>
          </w:tcPr>
          <w:p w14:paraId="72C38956" w14:textId="77777777" w:rsidR="004D1394" w:rsidRPr="004D1394" w:rsidRDefault="004D1394" w:rsidP="004D1394">
            <w:pPr>
              <w:spacing w:after="0" w:line="240" w:lineRule="auto"/>
              <w:jc w:val="left"/>
              <w:rPr>
                <w:rFonts w:eastAsia="Times New Roman" w:cs="Arial"/>
                <w:b/>
                <w:bCs/>
                <w:color w:val="000000"/>
                <w:sz w:val="20"/>
                <w:szCs w:val="20"/>
                <w:lang w:eastAsia="fr-FR"/>
              </w:rPr>
            </w:pPr>
            <w:r w:rsidRPr="004D1394">
              <w:rPr>
                <w:rFonts w:eastAsia="Times New Roman" w:cs="Arial"/>
                <w:b/>
                <w:bCs/>
                <w:color w:val="000000"/>
                <w:sz w:val="20"/>
                <w:szCs w:val="20"/>
                <w:lang w:eastAsia="fr-FR"/>
              </w:rPr>
              <w:t>160</w:t>
            </w:r>
          </w:p>
        </w:tc>
      </w:tr>
    </w:tbl>
    <w:p w14:paraId="20239A09" w14:textId="54C83CCE" w:rsidR="00295F87" w:rsidRDefault="00CF7BAE" w:rsidP="00295F87">
      <w:pPr>
        <w:pStyle w:val="figure"/>
        <w:rPr>
          <w:i/>
        </w:rPr>
      </w:pPr>
      <w:bookmarkStart w:id="167" w:name="_Toc72143380"/>
      <w:r w:rsidRPr="00EC117C">
        <w:t xml:space="preserve">Tableau </w:t>
      </w:r>
      <w:r w:rsidR="00E27D6E">
        <w:fldChar w:fldCharType="begin"/>
      </w:r>
      <w:r w:rsidR="00E27D6E">
        <w:instrText xml:space="preserve"> SEQ Tableau \* ARABIC </w:instrText>
      </w:r>
      <w:r w:rsidR="00E27D6E">
        <w:fldChar w:fldCharType="separate"/>
      </w:r>
      <w:r w:rsidR="0007597F">
        <w:rPr>
          <w:noProof/>
        </w:rPr>
        <w:t>32</w:t>
      </w:r>
      <w:r w:rsidR="00E27D6E">
        <w:rPr>
          <w:noProof/>
        </w:rPr>
        <w:fldChar w:fldCharType="end"/>
      </w:r>
      <w:r>
        <w:t xml:space="preserve"> : Marché </w:t>
      </w:r>
      <w:r w:rsidR="009216AE">
        <w:t>potentiel des produits du porc en restauration commerciale</w:t>
      </w:r>
      <w:r w:rsidR="00295F87">
        <w:rPr>
          <w:i/>
        </w:rPr>
        <w:t xml:space="preserve"> </w:t>
      </w:r>
      <w:r w:rsidR="00212C19" w:rsidRPr="00F67B51">
        <w:t xml:space="preserve">et en nombre </w:t>
      </w:r>
      <w:r w:rsidR="00F67B51" w:rsidRPr="00115EE5">
        <w:t xml:space="preserve">de prestations </w:t>
      </w:r>
      <w:r w:rsidR="00115EE5" w:rsidRPr="00115EE5">
        <w:t>en 2018</w:t>
      </w:r>
      <w:bookmarkEnd w:id="167"/>
    </w:p>
    <w:p w14:paraId="7991E68C" w14:textId="4CCD1E0E" w:rsidR="00CF7BAE" w:rsidRPr="00094834" w:rsidRDefault="00CF7BAE" w:rsidP="00295F87">
      <w:pPr>
        <w:pStyle w:val="Lgende"/>
        <w:rPr>
          <w:lang w:val="en-US"/>
        </w:rPr>
      </w:pPr>
      <w:r w:rsidRPr="00094834">
        <w:rPr>
          <w:lang w:val="en-US"/>
        </w:rPr>
        <w:t>(</w:t>
      </w:r>
      <w:r w:rsidR="00F67B51" w:rsidRPr="00094834">
        <w:rPr>
          <w:lang w:val="en-US"/>
        </w:rPr>
        <w:t>Ifip d’après</w:t>
      </w:r>
      <w:r w:rsidRPr="00094834">
        <w:rPr>
          <w:lang w:val="en-US"/>
        </w:rPr>
        <w:t xml:space="preserve"> Gira</w:t>
      </w:r>
      <w:r w:rsidR="00F67B51" w:rsidRPr="00094834">
        <w:rPr>
          <w:lang w:val="en-US"/>
        </w:rPr>
        <w:t xml:space="preserve"> </w:t>
      </w:r>
      <w:r w:rsidR="00AD4DBB" w:rsidRPr="00094834">
        <w:rPr>
          <w:lang w:val="en-US"/>
        </w:rPr>
        <w:t>F</w:t>
      </w:r>
      <w:r w:rsidRPr="00094834">
        <w:rPr>
          <w:lang w:val="en-US"/>
        </w:rPr>
        <w:t>ood Service)</w:t>
      </w:r>
    </w:p>
    <w:p w14:paraId="1DDCCCAE" w14:textId="60B0FDAB" w:rsidR="0073350F" w:rsidRPr="001967EA" w:rsidRDefault="002063D2" w:rsidP="00AB778B">
      <w:pPr>
        <w:pStyle w:val="NormalWeb"/>
        <w:shd w:val="clear" w:color="auto" w:fill="FFFFFF"/>
        <w:spacing w:before="0" w:beforeAutospacing="0" w:after="120" w:afterAutospacing="0"/>
        <w:rPr>
          <w:rFonts w:cs="Arial"/>
          <w:iCs/>
          <w:highlight w:val="yellow"/>
        </w:rPr>
      </w:pPr>
      <w:r w:rsidRPr="00F15FB2">
        <w:rPr>
          <w:rFonts w:ascii="Arial" w:eastAsiaTheme="minorHAnsi" w:hAnsi="Arial" w:cstheme="minorBidi"/>
          <w:sz w:val="22"/>
          <w:szCs w:val="22"/>
          <w:lang w:eastAsia="en-US"/>
        </w:rPr>
        <w:t xml:space="preserve">La </w:t>
      </w:r>
      <w:r w:rsidR="009216AE">
        <w:rPr>
          <w:rFonts w:ascii="Arial" w:eastAsiaTheme="minorHAnsi" w:hAnsi="Arial" w:cstheme="minorBidi"/>
          <w:sz w:val="22"/>
          <w:szCs w:val="22"/>
          <w:lang w:eastAsia="en-US"/>
        </w:rPr>
        <w:t>seconde</w:t>
      </w:r>
      <w:r w:rsidRPr="00F15FB2">
        <w:rPr>
          <w:rFonts w:ascii="Arial" w:eastAsiaTheme="minorHAnsi" w:hAnsi="Arial" w:cstheme="minorBidi"/>
          <w:sz w:val="22"/>
          <w:szCs w:val="22"/>
          <w:lang w:eastAsia="en-US"/>
        </w:rPr>
        <w:t>, celle de la restauration commerciale recouvre sept secteurs : les restaurants de service à table, les self-services, la restauration rapide, les restaurations d’hébergement</w:t>
      </w:r>
      <w:r w:rsidR="009216AE">
        <w:rPr>
          <w:rFonts w:ascii="Arial" w:eastAsiaTheme="minorHAnsi" w:hAnsi="Arial" w:cstheme="minorBidi"/>
          <w:sz w:val="22"/>
          <w:szCs w:val="22"/>
          <w:lang w:eastAsia="en-US"/>
        </w:rPr>
        <w:t xml:space="preserve"> et</w:t>
      </w:r>
      <w:r w:rsidRPr="00F15FB2">
        <w:rPr>
          <w:rFonts w:ascii="Arial" w:eastAsiaTheme="minorHAnsi" w:hAnsi="Arial" w:cstheme="minorBidi"/>
          <w:sz w:val="22"/>
          <w:szCs w:val="22"/>
          <w:lang w:eastAsia="en-US"/>
        </w:rPr>
        <w:t xml:space="preserve"> de transport. Le pôle compte </w:t>
      </w:r>
      <w:r w:rsidR="00AD4DBB">
        <w:rPr>
          <w:rFonts w:ascii="Arial" w:eastAsiaTheme="minorHAnsi" w:hAnsi="Arial" w:cstheme="minorBidi"/>
          <w:sz w:val="22"/>
          <w:szCs w:val="22"/>
          <w:lang w:eastAsia="en-US"/>
        </w:rPr>
        <w:t>1</w:t>
      </w:r>
      <w:r w:rsidR="00DE54BD">
        <w:rPr>
          <w:rFonts w:ascii="Arial" w:eastAsiaTheme="minorHAnsi" w:hAnsi="Arial" w:cstheme="minorBidi"/>
          <w:sz w:val="22"/>
          <w:szCs w:val="22"/>
          <w:lang w:eastAsia="en-US"/>
        </w:rPr>
        <w:t>51</w:t>
      </w:r>
      <w:r w:rsidRPr="00F15FB2">
        <w:rPr>
          <w:rFonts w:ascii="Arial" w:eastAsiaTheme="minorHAnsi" w:hAnsi="Arial" w:cstheme="minorBidi"/>
          <w:sz w:val="22"/>
          <w:szCs w:val="22"/>
          <w:lang w:eastAsia="en-US"/>
        </w:rPr>
        <w:t xml:space="preserve"> </w:t>
      </w:r>
      <w:r w:rsidR="00DE54BD">
        <w:rPr>
          <w:rFonts w:ascii="Arial" w:eastAsiaTheme="minorHAnsi" w:hAnsi="Arial" w:cstheme="minorBidi"/>
          <w:sz w:val="22"/>
          <w:szCs w:val="22"/>
          <w:lang w:eastAsia="en-US"/>
        </w:rPr>
        <w:t>460</w:t>
      </w:r>
      <w:r w:rsidRPr="00F15FB2">
        <w:rPr>
          <w:rFonts w:ascii="Arial" w:eastAsiaTheme="minorHAnsi" w:hAnsi="Arial" w:cstheme="minorBidi"/>
          <w:sz w:val="22"/>
          <w:szCs w:val="22"/>
          <w:lang w:eastAsia="en-US"/>
        </w:rPr>
        <w:t xml:space="preserve"> établissements, pour </w:t>
      </w:r>
      <w:r w:rsidR="00AB778B">
        <w:rPr>
          <w:rFonts w:ascii="Arial" w:eastAsiaTheme="minorHAnsi" w:hAnsi="Arial" w:cstheme="minorBidi"/>
          <w:sz w:val="22"/>
          <w:szCs w:val="22"/>
          <w:lang w:eastAsia="en-US"/>
        </w:rPr>
        <w:t xml:space="preserve">3,746 </w:t>
      </w:r>
      <w:r w:rsidR="00AD5A4D">
        <w:rPr>
          <w:rFonts w:ascii="Arial" w:eastAsiaTheme="minorHAnsi" w:hAnsi="Arial" w:cstheme="minorBidi"/>
          <w:sz w:val="22"/>
          <w:szCs w:val="22"/>
          <w:lang w:eastAsia="en-US"/>
        </w:rPr>
        <w:t>Mrds</w:t>
      </w:r>
      <w:r w:rsidR="00AB778B">
        <w:rPr>
          <w:rFonts w:ascii="Arial" w:eastAsiaTheme="minorHAnsi" w:hAnsi="Arial" w:cstheme="minorBidi"/>
          <w:sz w:val="22"/>
          <w:szCs w:val="22"/>
          <w:lang w:eastAsia="en-US"/>
        </w:rPr>
        <w:t xml:space="preserve"> de prestations en 2018</w:t>
      </w:r>
      <w:r w:rsidRPr="00F15FB2">
        <w:rPr>
          <w:rFonts w:ascii="Arial" w:eastAsiaTheme="minorHAnsi" w:hAnsi="Arial" w:cstheme="minorBidi"/>
          <w:sz w:val="22"/>
          <w:szCs w:val="22"/>
          <w:lang w:eastAsia="en-US"/>
        </w:rPr>
        <w:t>.</w:t>
      </w:r>
    </w:p>
    <w:tbl>
      <w:tblPr>
        <w:tblW w:w="5560" w:type="dxa"/>
        <w:jc w:val="center"/>
        <w:tblCellMar>
          <w:left w:w="70" w:type="dxa"/>
          <w:right w:w="70" w:type="dxa"/>
        </w:tblCellMar>
        <w:tblLook w:val="04A0" w:firstRow="1" w:lastRow="0" w:firstColumn="1" w:lastColumn="0" w:noHBand="0" w:noVBand="1"/>
      </w:tblPr>
      <w:tblGrid>
        <w:gridCol w:w="3160"/>
        <w:gridCol w:w="1305"/>
        <w:gridCol w:w="1095"/>
      </w:tblGrid>
      <w:tr w:rsidR="00356993" w:rsidRPr="00356993" w14:paraId="2AB11597" w14:textId="77777777" w:rsidTr="00356993">
        <w:trPr>
          <w:trHeight w:val="300"/>
          <w:jc w:val="center"/>
        </w:trPr>
        <w:tc>
          <w:tcPr>
            <w:tcW w:w="3160" w:type="dxa"/>
            <w:tcBorders>
              <w:top w:val="single" w:sz="4" w:space="0" w:color="auto"/>
              <w:left w:val="single" w:sz="4" w:space="0" w:color="auto"/>
              <w:bottom w:val="nil"/>
              <w:right w:val="nil"/>
            </w:tcBorders>
            <w:shd w:val="clear" w:color="000000" w:fill="BFBFBF"/>
            <w:vAlign w:val="center"/>
            <w:hideMark/>
          </w:tcPr>
          <w:p w14:paraId="78F8F658"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lastRenderedPageBreak/>
              <w:t xml:space="preserve">Nombre d'établissements </w:t>
            </w:r>
          </w:p>
        </w:tc>
        <w:tc>
          <w:tcPr>
            <w:tcW w:w="2400" w:type="dxa"/>
            <w:gridSpan w:val="2"/>
            <w:tcBorders>
              <w:top w:val="single" w:sz="4" w:space="0" w:color="auto"/>
              <w:left w:val="single" w:sz="4" w:space="0" w:color="auto"/>
              <w:bottom w:val="single" w:sz="4" w:space="0" w:color="auto"/>
              <w:right w:val="single" w:sz="4" w:space="0" w:color="000000"/>
            </w:tcBorders>
            <w:shd w:val="clear" w:color="000000" w:fill="BFBFBF"/>
            <w:noWrap/>
            <w:vAlign w:val="center"/>
            <w:hideMark/>
          </w:tcPr>
          <w:p w14:paraId="020F9418" w14:textId="77777777" w:rsidR="00356993" w:rsidRPr="00356993" w:rsidRDefault="00356993" w:rsidP="003575AC">
            <w:pPr>
              <w:keepNext/>
              <w:spacing w:after="0" w:line="240" w:lineRule="auto"/>
              <w:jc w:val="center"/>
              <w:rPr>
                <w:rFonts w:eastAsia="Times New Roman" w:cs="Arial"/>
                <w:b/>
                <w:bCs/>
                <w:color w:val="000000"/>
                <w:sz w:val="20"/>
                <w:szCs w:val="20"/>
                <w:lang w:eastAsia="fr-FR"/>
              </w:rPr>
            </w:pPr>
            <w:r w:rsidRPr="00356993">
              <w:rPr>
                <w:rFonts w:eastAsia="Times New Roman" w:cs="Arial"/>
                <w:b/>
                <w:bCs/>
                <w:color w:val="000000"/>
                <w:sz w:val="20"/>
                <w:szCs w:val="20"/>
                <w:lang w:eastAsia="fr-FR"/>
              </w:rPr>
              <w:t>2 018</w:t>
            </w:r>
          </w:p>
        </w:tc>
      </w:tr>
      <w:tr w:rsidR="00356993" w:rsidRPr="00356993" w14:paraId="23543485" w14:textId="77777777" w:rsidTr="00356993">
        <w:trPr>
          <w:trHeight w:val="300"/>
          <w:jc w:val="center"/>
        </w:trPr>
        <w:tc>
          <w:tcPr>
            <w:tcW w:w="3160" w:type="dxa"/>
            <w:tcBorders>
              <w:top w:val="single" w:sz="4" w:space="0" w:color="auto"/>
              <w:left w:val="single" w:sz="4" w:space="0" w:color="auto"/>
              <w:bottom w:val="nil"/>
              <w:right w:val="nil"/>
            </w:tcBorders>
            <w:shd w:val="clear" w:color="000000" w:fill="BFBFBF"/>
            <w:vAlign w:val="center"/>
            <w:hideMark/>
          </w:tcPr>
          <w:p w14:paraId="66961686"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Marché des CVA</w:t>
            </w:r>
          </w:p>
        </w:tc>
        <w:tc>
          <w:tcPr>
            <w:tcW w:w="1305" w:type="dxa"/>
            <w:tcBorders>
              <w:top w:val="single" w:sz="4" w:space="0" w:color="auto"/>
              <w:left w:val="single" w:sz="4" w:space="0" w:color="auto"/>
              <w:bottom w:val="nil"/>
              <w:right w:val="single" w:sz="4" w:space="0" w:color="auto"/>
            </w:tcBorders>
            <w:shd w:val="clear" w:color="000000" w:fill="BFBFBF"/>
            <w:noWrap/>
            <w:vAlign w:val="center"/>
            <w:hideMark/>
          </w:tcPr>
          <w:p w14:paraId="26EB0D44"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66 160</w:t>
            </w:r>
          </w:p>
        </w:tc>
        <w:tc>
          <w:tcPr>
            <w:tcW w:w="1095" w:type="dxa"/>
            <w:tcBorders>
              <w:top w:val="single" w:sz="4" w:space="0" w:color="auto"/>
              <w:left w:val="nil"/>
              <w:bottom w:val="nil"/>
              <w:right w:val="single" w:sz="4" w:space="0" w:color="auto"/>
            </w:tcBorders>
            <w:shd w:val="clear" w:color="000000" w:fill="BFBFBF"/>
            <w:noWrap/>
            <w:vAlign w:val="center"/>
            <w:hideMark/>
          </w:tcPr>
          <w:p w14:paraId="2268A37A"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100%</w:t>
            </w:r>
          </w:p>
        </w:tc>
      </w:tr>
      <w:tr w:rsidR="00356993" w:rsidRPr="00356993" w14:paraId="507534BB" w14:textId="77777777" w:rsidTr="00356993">
        <w:trPr>
          <w:trHeight w:val="300"/>
          <w:jc w:val="center"/>
        </w:trPr>
        <w:tc>
          <w:tcPr>
            <w:tcW w:w="316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706FAACE"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BVP</w:t>
            </w:r>
          </w:p>
        </w:tc>
        <w:tc>
          <w:tcPr>
            <w:tcW w:w="1305" w:type="dxa"/>
            <w:tcBorders>
              <w:top w:val="single" w:sz="4" w:space="0" w:color="auto"/>
              <w:left w:val="nil"/>
              <w:bottom w:val="single" w:sz="4" w:space="0" w:color="auto"/>
              <w:right w:val="single" w:sz="4" w:space="0" w:color="auto"/>
            </w:tcBorders>
            <w:shd w:val="clear" w:color="000000" w:fill="BFBFBF"/>
            <w:noWrap/>
            <w:vAlign w:val="center"/>
            <w:hideMark/>
          </w:tcPr>
          <w:p w14:paraId="06F88E89"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45 160</w:t>
            </w:r>
          </w:p>
        </w:tc>
        <w:tc>
          <w:tcPr>
            <w:tcW w:w="1095" w:type="dxa"/>
            <w:tcBorders>
              <w:top w:val="single" w:sz="4" w:space="0" w:color="auto"/>
              <w:left w:val="nil"/>
              <w:bottom w:val="single" w:sz="4" w:space="0" w:color="auto"/>
              <w:right w:val="single" w:sz="4" w:space="0" w:color="auto"/>
            </w:tcBorders>
            <w:shd w:val="clear" w:color="000000" w:fill="BFBFBF"/>
            <w:noWrap/>
            <w:vAlign w:val="center"/>
            <w:hideMark/>
          </w:tcPr>
          <w:p w14:paraId="0880CE40"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68%</w:t>
            </w:r>
          </w:p>
        </w:tc>
      </w:tr>
      <w:tr w:rsidR="00356993" w:rsidRPr="00356993" w14:paraId="3E1F7C12" w14:textId="77777777" w:rsidTr="00356993">
        <w:trPr>
          <w:trHeight w:val="300"/>
          <w:jc w:val="center"/>
        </w:trPr>
        <w:tc>
          <w:tcPr>
            <w:tcW w:w="3160" w:type="dxa"/>
            <w:tcBorders>
              <w:top w:val="nil"/>
              <w:left w:val="single" w:sz="4" w:space="0" w:color="auto"/>
              <w:bottom w:val="nil"/>
              <w:right w:val="nil"/>
            </w:tcBorders>
            <w:shd w:val="clear" w:color="auto" w:fill="auto"/>
            <w:vAlign w:val="center"/>
            <w:hideMark/>
          </w:tcPr>
          <w:p w14:paraId="3B74CEB6"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boulangeries-pâtisseries</w:t>
            </w:r>
          </w:p>
        </w:tc>
        <w:tc>
          <w:tcPr>
            <w:tcW w:w="1305" w:type="dxa"/>
            <w:tcBorders>
              <w:top w:val="nil"/>
              <w:left w:val="single" w:sz="4" w:space="0" w:color="auto"/>
              <w:bottom w:val="nil"/>
              <w:right w:val="nil"/>
            </w:tcBorders>
            <w:shd w:val="clear" w:color="auto" w:fill="auto"/>
            <w:noWrap/>
            <w:vAlign w:val="center"/>
            <w:hideMark/>
          </w:tcPr>
          <w:p w14:paraId="0B2B01B9"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41 700</w:t>
            </w:r>
          </w:p>
        </w:tc>
        <w:tc>
          <w:tcPr>
            <w:tcW w:w="1095" w:type="dxa"/>
            <w:tcBorders>
              <w:top w:val="nil"/>
              <w:left w:val="single" w:sz="4" w:space="0" w:color="auto"/>
              <w:bottom w:val="nil"/>
              <w:right w:val="single" w:sz="4" w:space="0" w:color="auto"/>
            </w:tcBorders>
            <w:shd w:val="clear" w:color="auto" w:fill="auto"/>
            <w:noWrap/>
            <w:vAlign w:val="center"/>
            <w:hideMark/>
          </w:tcPr>
          <w:p w14:paraId="0BEDD560"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39%</w:t>
            </w:r>
          </w:p>
        </w:tc>
      </w:tr>
      <w:tr w:rsidR="00356993" w:rsidRPr="00356993" w14:paraId="2ADEF56C" w14:textId="77777777" w:rsidTr="00356993">
        <w:trPr>
          <w:trHeight w:val="300"/>
          <w:jc w:val="center"/>
        </w:trPr>
        <w:tc>
          <w:tcPr>
            <w:tcW w:w="3160" w:type="dxa"/>
            <w:tcBorders>
              <w:top w:val="nil"/>
              <w:left w:val="single" w:sz="4" w:space="0" w:color="auto"/>
              <w:bottom w:val="nil"/>
              <w:right w:val="nil"/>
            </w:tcBorders>
            <w:shd w:val="clear" w:color="auto" w:fill="auto"/>
            <w:vAlign w:val="center"/>
            <w:hideMark/>
          </w:tcPr>
          <w:p w14:paraId="58E7A138"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terminaux de cuisson</w:t>
            </w:r>
          </w:p>
        </w:tc>
        <w:tc>
          <w:tcPr>
            <w:tcW w:w="1305" w:type="dxa"/>
            <w:tcBorders>
              <w:top w:val="nil"/>
              <w:left w:val="single" w:sz="4" w:space="0" w:color="auto"/>
              <w:bottom w:val="nil"/>
              <w:right w:val="nil"/>
            </w:tcBorders>
            <w:shd w:val="clear" w:color="auto" w:fill="auto"/>
            <w:noWrap/>
            <w:vAlign w:val="center"/>
            <w:hideMark/>
          </w:tcPr>
          <w:p w14:paraId="4920C3A6"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3 460</w:t>
            </w:r>
          </w:p>
        </w:tc>
        <w:tc>
          <w:tcPr>
            <w:tcW w:w="1095" w:type="dxa"/>
            <w:tcBorders>
              <w:top w:val="nil"/>
              <w:left w:val="single" w:sz="4" w:space="0" w:color="auto"/>
              <w:bottom w:val="nil"/>
              <w:right w:val="single" w:sz="4" w:space="0" w:color="auto"/>
            </w:tcBorders>
            <w:shd w:val="clear" w:color="auto" w:fill="auto"/>
            <w:noWrap/>
            <w:vAlign w:val="center"/>
            <w:hideMark/>
          </w:tcPr>
          <w:p w14:paraId="08FE9D23" w14:textId="77777777" w:rsidR="00356993" w:rsidRPr="00356993" w:rsidRDefault="00356993" w:rsidP="003575AC">
            <w:pPr>
              <w:keepNext/>
              <w:spacing w:after="0" w:line="240" w:lineRule="auto"/>
              <w:jc w:val="center"/>
              <w:rPr>
                <w:rFonts w:eastAsia="Times New Roman" w:cs="Arial"/>
                <w:i/>
                <w:iCs/>
                <w:color w:val="000000"/>
                <w:sz w:val="19"/>
                <w:szCs w:val="19"/>
                <w:lang w:eastAsia="fr-FR"/>
              </w:rPr>
            </w:pPr>
            <w:r w:rsidRPr="00356993">
              <w:rPr>
                <w:rFonts w:eastAsia="Times New Roman" w:cs="Arial"/>
                <w:i/>
                <w:iCs/>
                <w:color w:val="000000"/>
                <w:sz w:val="19"/>
                <w:szCs w:val="19"/>
                <w:lang w:eastAsia="fr-FR"/>
              </w:rPr>
              <w:t>3%</w:t>
            </w:r>
          </w:p>
        </w:tc>
      </w:tr>
      <w:tr w:rsidR="00356993" w:rsidRPr="00356993" w14:paraId="6FAF5149" w14:textId="77777777" w:rsidTr="00356993">
        <w:trPr>
          <w:trHeight w:val="300"/>
          <w:jc w:val="center"/>
        </w:trPr>
        <w:tc>
          <w:tcPr>
            <w:tcW w:w="316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67A026E"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Ambulants et saisonniers</w:t>
            </w:r>
          </w:p>
        </w:tc>
        <w:tc>
          <w:tcPr>
            <w:tcW w:w="1305" w:type="dxa"/>
            <w:tcBorders>
              <w:top w:val="single" w:sz="4" w:space="0" w:color="auto"/>
              <w:left w:val="nil"/>
              <w:bottom w:val="single" w:sz="4" w:space="0" w:color="auto"/>
              <w:right w:val="single" w:sz="4" w:space="0" w:color="auto"/>
            </w:tcBorders>
            <w:shd w:val="clear" w:color="000000" w:fill="BFBFBF"/>
            <w:noWrap/>
            <w:vAlign w:val="center"/>
            <w:hideMark/>
          </w:tcPr>
          <w:p w14:paraId="51BC19C4"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21 000</w:t>
            </w:r>
          </w:p>
        </w:tc>
        <w:tc>
          <w:tcPr>
            <w:tcW w:w="1095" w:type="dxa"/>
            <w:tcBorders>
              <w:top w:val="single" w:sz="4" w:space="0" w:color="auto"/>
              <w:left w:val="nil"/>
              <w:bottom w:val="single" w:sz="4" w:space="0" w:color="auto"/>
              <w:right w:val="single" w:sz="4" w:space="0" w:color="auto"/>
            </w:tcBorders>
            <w:shd w:val="clear" w:color="000000" w:fill="BFBFBF"/>
            <w:noWrap/>
            <w:vAlign w:val="center"/>
            <w:hideMark/>
          </w:tcPr>
          <w:p w14:paraId="38354BF2" w14:textId="77777777" w:rsidR="00356993" w:rsidRPr="00356993" w:rsidRDefault="00356993" w:rsidP="003575AC">
            <w:pPr>
              <w:keepNext/>
              <w:spacing w:after="0" w:line="240" w:lineRule="auto"/>
              <w:jc w:val="left"/>
              <w:rPr>
                <w:rFonts w:eastAsia="Times New Roman" w:cs="Arial"/>
                <w:b/>
                <w:bCs/>
                <w:color w:val="000000"/>
                <w:sz w:val="20"/>
                <w:szCs w:val="20"/>
                <w:lang w:eastAsia="fr-FR"/>
              </w:rPr>
            </w:pPr>
            <w:r w:rsidRPr="00356993">
              <w:rPr>
                <w:rFonts w:eastAsia="Times New Roman" w:cs="Arial"/>
                <w:b/>
                <w:bCs/>
                <w:color w:val="000000"/>
                <w:sz w:val="20"/>
                <w:szCs w:val="20"/>
                <w:lang w:eastAsia="fr-FR"/>
              </w:rPr>
              <w:t>32%</w:t>
            </w:r>
          </w:p>
        </w:tc>
      </w:tr>
      <w:tr w:rsidR="00356993" w:rsidRPr="00356993" w14:paraId="659661B2" w14:textId="77777777" w:rsidTr="00AB778B">
        <w:trPr>
          <w:trHeight w:val="300"/>
          <w:jc w:val="center"/>
        </w:trPr>
        <w:tc>
          <w:tcPr>
            <w:tcW w:w="3160" w:type="dxa"/>
            <w:tcBorders>
              <w:top w:val="nil"/>
              <w:left w:val="single" w:sz="4" w:space="0" w:color="auto"/>
              <w:bottom w:val="nil"/>
              <w:right w:val="nil"/>
            </w:tcBorders>
            <w:shd w:val="clear" w:color="auto" w:fill="D9D9D9" w:themeFill="background1" w:themeFillShade="D9"/>
            <w:vAlign w:val="center"/>
            <w:hideMark/>
          </w:tcPr>
          <w:p w14:paraId="33CE5D93"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vendeurs saisonniers</w:t>
            </w:r>
          </w:p>
        </w:tc>
        <w:tc>
          <w:tcPr>
            <w:tcW w:w="1305" w:type="dxa"/>
            <w:tcBorders>
              <w:top w:val="nil"/>
              <w:left w:val="single" w:sz="4" w:space="0" w:color="auto"/>
              <w:bottom w:val="nil"/>
              <w:right w:val="nil"/>
            </w:tcBorders>
            <w:shd w:val="clear" w:color="auto" w:fill="D9D9D9" w:themeFill="background1" w:themeFillShade="D9"/>
            <w:noWrap/>
            <w:vAlign w:val="center"/>
            <w:hideMark/>
          </w:tcPr>
          <w:p w14:paraId="0EE89437"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3 100</w:t>
            </w:r>
          </w:p>
        </w:tc>
        <w:tc>
          <w:tcPr>
            <w:tcW w:w="1095" w:type="dxa"/>
            <w:tcBorders>
              <w:top w:val="nil"/>
              <w:left w:val="single" w:sz="4" w:space="0" w:color="auto"/>
              <w:bottom w:val="nil"/>
              <w:right w:val="single" w:sz="4" w:space="0" w:color="auto"/>
            </w:tcBorders>
            <w:shd w:val="clear" w:color="auto" w:fill="D9D9D9" w:themeFill="background1" w:themeFillShade="D9"/>
            <w:noWrap/>
            <w:vAlign w:val="center"/>
            <w:hideMark/>
          </w:tcPr>
          <w:p w14:paraId="0B8AC438"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3%</w:t>
            </w:r>
          </w:p>
        </w:tc>
      </w:tr>
      <w:tr w:rsidR="00356993" w:rsidRPr="00356993" w14:paraId="2B3F5AE5" w14:textId="77777777" w:rsidTr="00AB778B">
        <w:trPr>
          <w:trHeight w:val="300"/>
          <w:jc w:val="center"/>
        </w:trPr>
        <w:tc>
          <w:tcPr>
            <w:tcW w:w="3160" w:type="dxa"/>
            <w:tcBorders>
              <w:top w:val="nil"/>
              <w:left w:val="single" w:sz="4" w:space="0" w:color="auto"/>
              <w:bottom w:val="nil"/>
              <w:right w:val="nil"/>
            </w:tcBorders>
            <w:shd w:val="clear" w:color="auto" w:fill="D9D9D9" w:themeFill="background1" w:themeFillShade="D9"/>
            <w:vAlign w:val="center"/>
            <w:hideMark/>
          </w:tcPr>
          <w:p w14:paraId="552EE332"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ambulants sur marché</w:t>
            </w:r>
          </w:p>
        </w:tc>
        <w:tc>
          <w:tcPr>
            <w:tcW w:w="1305" w:type="dxa"/>
            <w:tcBorders>
              <w:top w:val="nil"/>
              <w:left w:val="single" w:sz="4" w:space="0" w:color="auto"/>
              <w:bottom w:val="nil"/>
              <w:right w:val="nil"/>
            </w:tcBorders>
            <w:shd w:val="clear" w:color="auto" w:fill="D9D9D9" w:themeFill="background1" w:themeFillShade="D9"/>
            <w:noWrap/>
            <w:vAlign w:val="center"/>
            <w:hideMark/>
          </w:tcPr>
          <w:p w14:paraId="02CEE6D6"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8 700</w:t>
            </w:r>
          </w:p>
        </w:tc>
        <w:tc>
          <w:tcPr>
            <w:tcW w:w="1095" w:type="dxa"/>
            <w:tcBorders>
              <w:top w:val="nil"/>
              <w:left w:val="single" w:sz="4" w:space="0" w:color="auto"/>
              <w:bottom w:val="nil"/>
              <w:right w:val="single" w:sz="4" w:space="0" w:color="auto"/>
            </w:tcBorders>
            <w:shd w:val="clear" w:color="auto" w:fill="D9D9D9" w:themeFill="background1" w:themeFillShade="D9"/>
            <w:noWrap/>
            <w:vAlign w:val="center"/>
            <w:hideMark/>
          </w:tcPr>
          <w:p w14:paraId="567A41E9"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8%</w:t>
            </w:r>
          </w:p>
        </w:tc>
      </w:tr>
      <w:tr w:rsidR="00356993" w:rsidRPr="00356993" w14:paraId="2A05EEB6" w14:textId="77777777" w:rsidTr="00AB778B">
        <w:trPr>
          <w:trHeight w:val="300"/>
          <w:jc w:val="center"/>
        </w:trPr>
        <w:tc>
          <w:tcPr>
            <w:tcW w:w="3160" w:type="dxa"/>
            <w:tcBorders>
              <w:top w:val="nil"/>
              <w:left w:val="single" w:sz="4" w:space="0" w:color="auto"/>
              <w:bottom w:val="nil"/>
              <w:right w:val="nil"/>
            </w:tcBorders>
            <w:shd w:val="clear" w:color="auto" w:fill="D9D9D9" w:themeFill="background1" w:themeFillShade="D9"/>
            <w:vAlign w:val="center"/>
            <w:hideMark/>
          </w:tcPr>
          <w:p w14:paraId="388EC61A"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friteries</w:t>
            </w:r>
          </w:p>
        </w:tc>
        <w:tc>
          <w:tcPr>
            <w:tcW w:w="1305" w:type="dxa"/>
            <w:tcBorders>
              <w:top w:val="nil"/>
              <w:left w:val="single" w:sz="4" w:space="0" w:color="auto"/>
              <w:bottom w:val="nil"/>
              <w:right w:val="nil"/>
            </w:tcBorders>
            <w:shd w:val="clear" w:color="auto" w:fill="D9D9D9" w:themeFill="background1" w:themeFillShade="D9"/>
            <w:noWrap/>
            <w:vAlign w:val="center"/>
            <w:hideMark/>
          </w:tcPr>
          <w:p w14:paraId="5852B527"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1 300</w:t>
            </w:r>
          </w:p>
        </w:tc>
        <w:tc>
          <w:tcPr>
            <w:tcW w:w="1095" w:type="dxa"/>
            <w:tcBorders>
              <w:top w:val="nil"/>
              <w:left w:val="single" w:sz="4" w:space="0" w:color="auto"/>
              <w:bottom w:val="nil"/>
              <w:right w:val="single" w:sz="4" w:space="0" w:color="auto"/>
            </w:tcBorders>
            <w:shd w:val="clear" w:color="auto" w:fill="D9D9D9" w:themeFill="background1" w:themeFillShade="D9"/>
            <w:noWrap/>
            <w:vAlign w:val="center"/>
            <w:hideMark/>
          </w:tcPr>
          <w:p w14:paraId="77FC6D9C"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1%</w:t>
            </w:r>
          </w:p>
        </w:tc>
      </w:tr>
      <w:tr w:rsidR="00356993" w:rsidRPr="00356993" w14:paraId="2DB9B500" w14:textId="77777777" w:rsidTr="00AB778B">
        <w:trPr>
          <w:trHeight w:val="300"/>
          <w:jc w:val="center"/>
        </w:trPr>
        <w:tc>
          <w:tcPr>
            <w:tcW w:w="3160" w:type="dxa"/>
            <w:tcBorders>
              <w:top w:val="nil"/>
              <w:left w:val="single" w:sz="4" w:space="0" w:color="auto"/>
              <w:bottom w:val="nil"/>
              <w:right w:val="nil"/>
            </w:tcBorders>
            <w:shd w:val="clear" w:color="auto" w:fill="D9D9D9" w:themeFill="background1" w:themeFillShade="D9"/>
            <w:vAlign w:val="center"/>
            <w:hideMark/>
          </w:tcPr>
          <w:p w14:paraId="40A38B77"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camions pizza</w:t>
            </w:r>
          </w:p>
        </w:tc>
        <w:tc>
          <w:tcPr>
            <w:tcW w:w="1305" w:type="dxa"/>
            <w:tcBorders>
              <w:top w:val="nil"/>
              <w:left w:val="single" w:sz="4" w:space="0" w:color="auto"/>
              <w:bottom w:val="nil"/>
              <w:right w:val="nil"/>
            </w:tcBorders>
            <w:shd w:val="clear" w:color="auto" w:fill="D9D9D9" w:themeFill="background1" w:themeFillShade="D9"/>
            <w:noWrap/>
            <w:vAlign w:val="center"/>
            <w:hideMark/>
          </w:tcPr>
          <w:p w14:paraId="5D2A3BC8"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5 400</w:t>
            </w:r>
          </w:p>
        </w:tc>
        <w:tc>
          <w:tcPr>
            <w:tcW w:w="1095" w:type="dxa"/>
            <w:tcBorders>
              <w:top w:val="nil"/>
              <w:left w:val="single" w:sz="4" w:space="0" w:color="auto"/>
              <w:bottom w:val="nil"/>
              <w:right w:val="single" w:sz="4" w:space="0" w:color="auto"/>
            </w:tcBorders>
            <w:shd w:val="clear" w:color="auto" w:fill="D9D9D9" w:themeFill="background1" w:themeFillShade="D9"/>
            <w:noWrap/>
            <w:vAlign w:val="center"/>
            <w:hideMark/>
          </w:tcPr>
          <w:p w14:paraId="3844428C"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5%</w:t>
            </w:r>
          </w:p>
        </w:tc>
      </w:tr>
      <w:tr w:rsidR="00356993" w:rsidRPr="00356993" w14:paraId="4D8F8445" w14:textId="77777777" w:rsidTr="00AB778B">
        <w:trPr>
          <w:trHeight w:val="300"/>
          <w:jc w:val="center"/>
        </w:trPr>
        <w:tc>
          <w:tcPr>
            <w:tcW w:w="3160" w:type="dxa"/>
            <w:tcBorders>
              <w:top w:val="nil"/>
              <w:left w:val="single" w:sz="4" w:space="0" w:color="auto"/>
              <w:bottom w:val="single" w:sz="4" w:space="0" w:color="auto"/>
              <w:right w:val="nil"/>
            </w:tcBorders>
            <w:shd w:val="clear" w:color="auto" w:fill="D9D9D9" w:themeFill="background1" w:themeFillShade="D9"/>
            <w:vAlign w:val="center"/>
            <w:hideMark/>
          </w:tcPr>
          <w:p w14:paraId="4861870F" w14:textId="77777777" w:rsidR="00356993" w:rsidRPr="00356993" w:rsidRDefault="00356993" w:rsidP="003575AC">
            <w:pPr>
              <w:keepNext/>
              <w:spacing w:after="0" w:line="240" w:lineRule="auto"/>
              <w:jc w:val="right"/>
              <w:rPr>
                <w:rFonts w:eastAsia="Times New Roman" w:cs="Arial"/>
                <w:color w:val="000000"/>
                <w:sz w:val="19"/>
                <w:szCs w:val="19"/>
                <w:lang w:eastAsia="fr-FR"/>
              </w:rPr>
            </w:pPr>
            <w:r w:rsidRPr="00356993">
              <w:rPr>
                <w:rFonts w:eastAsia="Times New Roman" w:cs="Arial"/>
                <w:color w:val="000000"/>
                <w:sz w:val="19"/>
                <w:szCs w:val="19"/>
                <w:lang w:eastAsia="fr-FR"/>
              </w:rPr>
              <w:t>•  camions ambulants</w:t>
            </w:r>
          </w:p>
        </w:tc>
        <w:tc>
          <w:tcPr>
            <w:tcW w:w="1305" w:type="dxa"/>
            <w:tcBorders>
              <w:top w:val="nil"/>
              <w:left w:val="single" w:sz="4" w:space="0" w:color="auto"/>
              <w:bottom w:val="single" w:sz="4" w:space="0" w:color="auto"/>
              <w:right w:val="nil"/>
            </w:tcBorders>
            <w:shd w:val="clear" w:color="auto" w:fill="D9D9D9" w:themeFill="background1" w:themeFillShade="D9"/>
            <w:noWrap/>
            <w:vAlign w:val="center"/>
            <w:hideMark/>
          </w:tcPr>
          <w:p w14:paraId="60871DEB"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2 500</w:t>
            </w:r>
          </w:p>
        </w:tc>
        <w:tc>
          <w:tcPr>
            <w:tcW w:w="1095"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3A93A78C" w14:textId="77777777" w:rsidR="00356993" w:rsidRPr="00356993" w:rsidRDefault="00356993" w:rsidP="003575AC">
            <w:pPr>
              <w:keepNext/>
              <w:spacing w:after="0" w:line="240" w:lineRule="auto"/>
              <w:jc w:val="center"/>
              <w:rPr>
                <w:rFonts w:eastAsia="Times New Roman" w:cs="Arial"/>
                <w:color w:val="000000"/>
                <w:sz w:val="19"/>
                <w:szCs w:val="19"/>
                <w:lang w:eastAsia="fr-FR"/>
              </w:rPr>
            </w:pPr>
            <w:r w:rsidRPr="00356993">
              <w:rPr>
                <w:rFonts w:eastAsia="Times New Roman" w:cs="Arial"/>
                <w:color w:val="000000"/>
                <w:sz w:val="19"/>
                <w:szCs w:val="19"/>
                <w:lang w:eastAsia="fr-FR"/>
              </w:rPr>
              <w:t>2%</w:t>
            </w:r>
          </w:p>
        </w:tc>
      </w:tr>
    </w:tbl>
    <w:p w14:paraId="76A66D02" w14:textId="723F44CE" w:rsidR="00AC5F88" w:rsidRPr="00837707" w:rsidRDefault="00526690" w:rsidP="00837707">
      <w:pPr>
        <w:pStyle w:val="figure"/>
        <w:rPr>
          <w:b w:val="0"/>
          <w:i/>
        </w:rPr>
      </w:pPr>
      <w:bookmarkStart w:id="168" w:name="_Toc72143381"/>
      <w:r w:rsidRPr="00526690">
        <w:t xml:space="preserve">Tableau </w:t>
      </w:r>
      <w:r w:rsidR="00E27D6E">
        <w:fldChar w:fldCharType="begin"/>
      </w:r>
      <w:r w:rsidR="00E27D6E">
        <w:instrText xml:space="preserve"> SEQ Tableau \* ARABIC </w:instrText>
      </w:r>
      <w:r w:rsidR="00E27D6E">
        <w:fldChar w:fldCharType="separate"/>
      </w:r>
      <w:r w:rsidR="0007597F">
        <w:rPr>
          <w:noProof/>
        </w:rPr>
        <w:t>33</w:t>
      </w:r>
      <w:r w:rsidR="00E27D6E">
        <w:rPr>
          <w:noProof/>
        </w:rPr>
        <w:fldChar w:fldCharType="end"/>
      </w:r>
      <w:r>
        <w:t xml:space="preserve"> : Marché potentiel des produits du porc </w:t>
      </w:r>
      <w:r w:rsidR="009216AE">
        <w:t xml:space="preserve">sur les circuits de vente alternatif </w:t>
      </w:r>
      <w:r>
        <w:t xml:space="preserve">en nombre d’établissement </w:t>
      </w:r>
      <w:r w:rsidR="00115EE5" w:rsidRPr="00115EE5">
        <w:t>en 2018</w:t>
      </w:r>
      <w:r w:rsidR="00837707">
        <w:t xml:space="preserve"> </w:t>
      </w:r>
      <w:r w:rsidRPr="00837707">
        <w:rPr>
          <w:b w:val="0"/>
        </w:rPr>
        <w:t>(</w:t>
      </w:r>
      <w:r w:rsidR="00F67B51" w:rsidRPr="00837707">
        <w:rPr>
          <w:b w:val="0"/>
        </w:rPr>
        <w:t xml:space="preserve">Ifip d’après </w:t>
      </w:r>
      <w:r w:rsidRPr="00837707">
        <w:rPr>
          <w:b w:val="0"/>
        </w:rPr>
        <w:t>Gira</w:t>
      </w:r>
      <w:r w:rsidR="00F67B51" w:rsidRPr="00837707">
        <w:rPr>
          <w:b w:val="0"/>
        </w:rPr>
        <w:t xml:space="preserve"> F</w:t>
      </w:r>
      <w:r w:rsidRPr="00837707">
        <w:rPr>
          <w:b w:val="0"/>
        </w:rPr>
        <w:t>ood Service)</w:t>
      </w:r>
      <w:bookmarkEnd w:id="168"/>
    </w:p>
    <w:p w14:paraId="4CF18A17" w14:textId="71A5E95E" w:rsidR="00763092" w:rsidRPr="00437313" w:rsidRDefault="009216AE" w:rsidP="00763092">
      <w:r w:rsidRPr="00F15FB2">
        <w:t>Enfin</w:t>
      </w:r>
      <w:r w:rsidR="00D5613C">
        <w:t>,</w:t>
      </w:r>
      <w:r w:rsidRPr="00F15FB2">
        <w:t xml:space="preserve"> le pôle</w:t>
      </w:r>
      <w:r w:rsidR="00D12EDC">
        <w:t xml:space="preserve"> des circuits de vente alternatifs</w:t>
      </w:r>
      <w:r w:rsidRPr="00F15FB2">
        <w:t xml:space="preserve"> compte </w:t>
      </w:r>
      <w:r w:rsidR="00AB778B">
        <w:t>66</w:t>
      </w:r>
      <w:r w:rsidR="00295F87">
        <w:t> </w:t>
      </w:r>
      <w:r w:rsidR="00AB778B">
        <w:t>160</w:t>
      </w:r>
      <w:r w:rsidRPr="00F15FB2">
        <w:t xml:space="preserve"> établissements</w:t>
      </w:r>
      <w:r w:rsidR="006F7A2B">
        <w:t xml:space="preserve"> dont seul le pér</w:t>
      </w:r>
      <w:r w:rsidR="00437313">
        <w:t>i</w:t>
      </w:r>
      <w:r w:rsidR="006F7A2B">
        <w:t>mètre de la BVP est pris en compte dans la quantification des produits du porc</w:t>
      </w:r>
      <w:r w:rsidR="00D5613C">
        <w:t xml:space="preserve">. </w:t>
      </w:r>
    </w:p>
    <w:p w14:paraId="22467C2F" w14:textId="28D5FB37" w:rsidR="00AC5F88" w:rsidRDefault="00AC5F88" w:rsidP="00AC5F88">
      <w:pPr>
        <w:pStyle w:val="Titre4"/>
        <w:rPr>
          <w:sz w:val="22"/>
          <w:szCs w:val="22"/>
        </w:rPr>
      </w:pPr>
      <w:bookmarkStart w:id="169" w:name="_Toc78131601"/>
      <w:r w:rsidRPr="0038225F">
        <w:rPr>
          <w:sz w:val="22"/>
          <w:szCs w:val="22"/>
        </w:rPr>
        <w:t>3.5.2.2.</w:t>
      </w:r>
      <w:r w:rsidR="0038225F">
        <w:rPr>
          <w:sz w:val="22"/>
          <w:szCs w:val="22"/>
        </w:rPr>
        <w:t xml:space="preserve"> La charcuterie domine </w:t>
      </w:r>
      <w:r w:rsidR="00E76650">
        <w:rPr>
          <w:sz w:val="22"/>
          <w:szCs w:val="22"/>
        </w:rPr>
        <w:t>avec 73</w:t>
      </w:r>
      <w:r w:rsidR="003575AC">
        <w:rPr>
          <w:sz w:val="22"/>
          <w:szCs w:val="22"/>
        </w:rPr>
        <w:t> </w:t>
      </w:r>
      <w:r w:rsidR="00E76650">
        <w:rPr>
          <w:sz w:val="22"/>
          <w:szCs w:val="22"/>
        </w:rPr>
        <w:t xml:space="preserve">% des produits </w:t>
      </w:r>
      <w:r w:rsidR="004C5B54">
        <w:rPr>
          <w:sz w:val="22"/>
          <w:szCs w:val="22"/>
        </w:rPr>
        <w:t xml:space="preserve">du porc </w:t>
      </w:r>
      <w:r w:rsidR="00E76650">
        <w:rPr>
          <w:sz w:val="22"/>
          <w:szCs w:val="22"/>
        </w:rPr>
        <w:t xml:space="preserve">distribués </w:t>
      </w:r>
      <w:r w:rsidR="00897915">
        <w:rPr>
          <w:sz w:val="22"/>
          <w:szCs w:val="22"/>
        </w:rPr>
        <w:t>en restauration hors domicile</w:t>
      </w:r>
      <w:bookmarkEnd w:id="169"/>
    </w:p>
    <w:tbl>
      <w:tblPr>
        <w:tblW w:w="8260" w:type="dxa"/>
        <w:jc w:val="center"/>
        <w:tblCellMar>
          <w:left w:w="70" w:type="dxa"/>
          <w:right w:w="70" w:type="dxa"/>
        </w:tblCellMar>
        <w:tblLook w:val="04A0" w:firstRow="1" w:lastRow="0" w:firstColumn="1" w:lastColumn="0" w:noHBand="0" w:noVBand="1"/>
      </w:tblPr>
      <w:tblGrid>
        <w:gridCol w:w="2680"/>
        <w:gridCol w:w="1360"/>
        <w:gridCol w:w="1500"/>
        <w:gridCol w:w="980"/>
        <w:gridCol w:w="964"/>
        <w:gridCol w:w="776"/>
      </w:tblGrid>
      <w:tr w:rsidR="0038225F" w:rsidRPr="0038225F" w14:paraId="703BFC71" w14:textId="77777777" w:rsidTr="0038225F">
        <w:trPr>
          <w:trHeight w:val="525"/>
          <w:jc w:val="center"/>
        </w:trPr>
        <w:tc>
          <w:tcPr>
            <w:tcW w:w="2680" w:type="dxa"/>
            <w:tcBorders>
              <w:top w:val="nil"/>
              <w:left w:val="nil"/>
              <w:bottom w:val="nil"/>
              <w:right w:val="nil"/>
            </w:tcBorders>
            <w:shd w:val="clear" w:color="auto" w:fill="auto"/>
            <w:noWrap/>
            <w:vAlign w:val="center"/>
            <w:hideMark/>
          </w:tcPr>
          <w:p w14:paraId="02C2D75D" w14:textId="77777777" w:rsidR="0038225F" w:rsidRDefault="0038225F" w:rsidP="0038225F">
            <w:pPr>
              <w:spacing w:after="0" w:line="240" w:lineRule="auto"/>
              <w:jc w:val="left"/>
              <w:rPr>
                <w:rFonts w:ascii="Times New Roman" w:eastAsia="Times New Roman" w:hAnsi="Times New Roman" w:cs="Times New Roman"/>
                <w:sz w:val="24"/>
                <w:szCs w:val="24"/>
                <w:lang w:eastAsia="fr-FR"/>
              </w:rPr>
            </w:pPr>
          </w:p>
          <w:p w14:paraId="38980805" w14:textId="6B4CF794" w:rsidR="00897915" w:rsidRPr="0038225F" w:rsidRDefault="00897915" w:rsidP="0038225F">
            <w:pPr>
              <w:spacing w:after="0" w:line="240" w:lineRule="auto"/>
              <w:jc w:val="left"/>
              <w:rPr>
                <w:rFonts w:ascii="Times New Roman" w:eastAsia="Times New Roman" w:hAnsi="Times New Roman" w:cs="Times New Roman"/>
                <w:sz w:val="24"/>
                <w:szCs w:val="24"/>
                <w:lang w:eastAsia="fr-FR"/>
              </w:rPr>
            </w:pPr>
          </w:p>
        </w:tc>
        <w:tc>
          <w:tcPr>
            <w:tcW w:w="1360" w:type="dxa"/>
            <w:tcBorders>
              <w:top w:val="single" w:sz="4" w:space="0" w:color="auto"/>
              <w:left w:val="single" w:sz="4" w:space="0" w:color="auto"/>
              <w:bottom w:val="nil"/>
              <w:right w:val="nil"/>
            </w:tcBorders>
            <w:shd w:val="clear" w:color="000000" w:fill="D9D9D9"/>
            <w:vAlign w:val="center"/>
            <w:hideMark/>
          </w:tcPr>
          <w:p w14:paraId="3B786795" w14:textId="77777777"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 xml:space="preserve">Rest. collective </w:t>
            </w:r>
          </w:p>
        </w:tc>
        <w:tc>
          <w:tcPr>
            <w:tcW w:w="1500" w:type="dxa"/>
            <w:tcBorders>
              <w:top w:val="single" w:sz="4" w:space="0" w:color="auto"/>
              <w:left w:val="single" w:sz="4" w:space="0" w:color="auto"/>
              <w:bottom w:val="nil"/>
              <w:right w:val="nil"/>
            </w:tcBorders>
            <w:shd w:val="clear" w:color="000000" w:fill="D9D9D9"/>
            <w:vAlign w:val="center"/>
            <w:hideMark/>
          </w:tcPr>
          <w:p w14:paraId="152A88B6" w14:textId="77777777"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Rest. commerciale</w:t>
            </w:r>
          </w:p>
        </w:tc>
        <w:tc>
          <w:tcPr>
            <w:tcW w:w="980" w:type="dxa"/>
            <w:tcBorders>
              <w:top w:val="single" w:sz="4" w:space="0" w:color="auto"/>
              <w:left w:val="single" w:sz="4" w:space="0" w:color="auto"/>
              <w:bottom w:val="nil"/>
              <w:right w:val="single" w:sz="4" w:space="0" w:color="auto"/>
            </w:tcBorders>
            <w:shd w:val="clear" w:color="000000" w:fill="D9D9D9"/>
            <w:noWrap/>
            <w:vAlign w:val="center"/>
            <w:hideMark/>
          </w:tcPr>
          <w:p w14:paraId="1BCB6FD5" w14:textId="77777777"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 xml:space="preserve">CVA </w:t>
            </w:r>
          </w:p>
        </w:tc>
        <w:tc>
          <w:tcPr>
            <w:tcW w:w="1740" w:type="dxa"/>
            <w:gridSpan w:val="2"/>
            <w:vMerge w:val="restart"/>
            <w:tcBorders>
              <w:top w:val="single" w:sz="4" w:space="0" w:color="auto"/>
              <w:left w:val="single" w:sz="4" w:space="0" w:color="auto"/>
              <w:bottom w:val="single" w:sz="4" w:space="0" w:color="000000"/>
              <w:right w:val="single" w:sz="4" w:space="0" w:color="000000"/>
            </w:tcBorders>
            <w:shd w:val="clear" w:color="000000" w:fill="D9D9D9"/>
            <w:vAlign w:val="center"/>
            <w:hideMark/>
          </w:tcPr>
          <w:p w14:paraId="668DFD51" w14:textId="77777777"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Total Vol</w:t>
            </w:r>
          </w:p>
        </w:tc>
      </w:tr>
      <w:tr w:rsidR="0038225F" w:rsidRPr="0038225F" w14:paraId="7B57A157" w14:textId="77777777" w:rsidTr="0038225F">
        <w:trPr>
          <w:trHeight w:val="240"/>
          <w:jc w:val="center"/>
        </w:trPr>
        <w:tc>
          <w:tcPr>
            <w:tcW w:w="2680" w:type="dxa"/>
            <w:tcBorders>
              <w:top w:val="nil"/>
              <w:left w:val="nil"/>
              <w:bottom w:val="nil"/>
              <w:right w:val="nil"/>
            </w:tcBorders>
            <w:shd w:val="clear" w:color="auto" w:fill="auto"/>
            <w:noWrap/>
            <w:vAlign w:val="center"/>
            <w:hideMark/>
          </w:tcPr>
          <w:p w14:paraId="48506A18" w14:textId="77777777" w:rsidR="0038225F" w:rsidRPr="0038225F" w:rsidRDefault="0038225F" w:rsidP="0038225F">
            <w:pPr>
              <w:spacing w:after="0" w:line="240" w:lineRule="auto"/>
              <w:jc w:val="center"/>
              <w:rPr>
                <w:rFonts w:eastAsia="Times New Roman" w:cs="Arial"/>
                <w:b/>
                <w:bCs/>
                <w:color w:val="000000"/>
                <w:sz w:val="20"/>
                <w:szCs w:val="20"/>
                <w:lang w:eastAsia="fr-FR"/>
              </w:rPr>
            </w:pPr>
          </w:p>
        </w:tc>
        <w:tc>
          <w:tcPr>
            <w:tcW w:w="1360" w:type="dxa"/>
            <w:tcBorders>
              <w:top w:val="nil"/>
              <w:left w:val="single" w:sz="4" w:space="0" w:color="auto"/>
              <w:bottom w:val="single" w:sz="4" w:space="0" w:color="auto"/>
              <w:right w:val="nil"/>
            </w:tcBorders>
            <w:shd w:val="clear" w:color="000000" w:fill="D9D9D9"/>
            <w:vAlign w:val="center"/>
            <w:hideMark/>
          </w:tcPr>
          <w:p w14:paraId="5002FC0D" w14:textId="3113FD0F"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Vol (</w:t>
            </w:r>
            <w:r w:rsidR="009A70B9">
              <w:rPr>
                <w:rFonts w:eastAsia="Times New Roman" w:cs="Arial"/>
                <w:b/>
                <w:bCs/>
                <w:color w:val="000000"/>
                <w:sz w:val="20"/>
                <w:szCs w:val="20"/>
                <w:lang w:eastAsia="fr-FR"/>
              </w:rPr>
              <w:t>kt</w:t>
            </w:r>
            <w:r w:rsidRPr="0038225F">
              <w:rPr>
                <w:rFonts w:eastAsia="Times New Roman" w:cs="Arial"/>
                <w:b/>
                <w:bCs/>
                <w:color w:val="000000"/>
                <w:sz w:val="20"/>
                <w:szCs w:val="20"/>
                <w:lang w:eastAsia="fr-FR"/>
              </w:rPr>
              <w:t>)</w:t>
            </w:r>
          </w:p>
        </w:tc>
        <w:tc>
          <w:tcPr>
            <w:tcW w:w="1500" w:type="dxa"/>
            <w:tcBorders>
              <w:top w:val="nil"/>
              <w:left w:val="single" w:sz="4" w:space="0" w:color="auto"/>
              <w:bottom w:val="single" w:sz="4" w:space="0" w:color="auto"/>
              <w:right w:val="nil"/>
            </w:tcBorders>
            <w:shd w:val="clear" w:color="000000" w:fill="D9D9D9"/>
            <w:vAlign w:val="center"/>
            <w:hideMark/>
          </w:tcPr>
          <w:p w14:paraId="1D8C56B1" w14:textId="2FAFB8CC"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Vol (</w:t>
            </w:r>
            <w:r w:rsidR="009A70B9">
              <w:rPr>
                <w:rFonts w:eastAsia="Times New Roman" w:cs="Arial"/>
                <w:b/>
                <w:bCs/>
                <w:color w:val="000000"/>
                <w:sz w:val="20"/>
                <w:szCs w:val="20"/>
                <w:lang w:eastAsia="fr-FR"/>
              </w:rPr>
              <w:t>kt</w:t>
            </w:r>
            <w:r w:rsidRPr="0038225F">
              <w:rPr>
                <w:rFonts w:eastAsia="Times New Roman" w:cs="Arial"/>
                <w:b/>
                <w:bCs/>
                <w:color w:val="000000"/>
                <w:sz w:val="20"/>
                <w:szCs w:val="20"/>
                <w:lang w:eastAsia="fr-FR"/>
              </w:rPr>
              <w:t>)</w:t>
            </w:r>
          </w:p>
        </w:tc>
        <w:tc>
          <w:tcPr>
            <w:tcW w:w="980" w:type="dxa"/>
            <w:tcBorders>
              <w:top w:val="nil"/>
              <w:left w:val="single" w:sz="4" w:space="0" w:color="auto"/>
              <w:bottom w:val="single" w:sz="4" w:space="0" w:color="auto"/>
              <w:right w:val="single" w:sz="4" w:space="0" w:color="auto"/>
            </w:tcBorders>
            <w:shd w:val="clear" w:color="000000" w:fill="D9D9D9"/>
            <w:vAlign w:val="center"/>
            <w:hideMark/>
          </w:tcPr>
          <w:p w14:paraId="2BE68138" w14:textId="3C751E0F" w:rsidR="0038225F" w:rsidRPr="0038225F" w:rsidRDefault="0038225F" w:rsidP="0038225F">
            <w:pPr>
              <w:spacing w:after="0" w:line="240" w:lineRule="auto"/>
              <w:jc w:val="center"/>
              <w:rPr>
                <w:rFonts w:eastAsia="Times New Roman" w:cs="Arial"/>
                <w:b/>
                <w:bCs/>
                <w:color w:val="000000"/>
                <w:sz w:val="20"/>
                <w:szCs w:val="20"/>
                <w:lang w:eastAsia="fr-FR"/>
              </w:rPr>
            </w:pPr>
            <w:r w:rsidRPr="0038225F">
              <w:rPr>
                <w:rFonts w:eastAsia="Times New Roman" w:cs="Arial"/>
                <w:b/>
                <w:bCs/>
                <w:color w:val="000000"/>
                <w:sz w:val="20"/>
                <w:szCs w:val="20"/>
                <w:lang w:eastAsia="fr-FR"/>
              </w:rPr>
              <w:t>Vol (</w:t>
            </w:r>
            <w:r w:rsidR="009A70B9">
              <w:rPr>
                <w:rFonts w:eastAsia="Times New Roman" w:cs="Arial"/>
                <w:b/>
                <w:bCs/>
                <w:color w:val="000000"/>
                <w:sz w:val="20"/>
                <w:szCs w:val="20"/>
                <w:lang w:eastAsia="fr-FR"/>
              </w:rPr>
              <w:t>kt</w:t>
            </w:r>
            <w:r w:rsidRPr="0038225F">
              <w:rPr>
                <w:rFonts w:eastAsia="Times New Roman" w:cs="Arial"/>
                <w:b/>
                <w:bCs/>
                <w:color w:val="000000"/>
                <w:sz w:val="20"/>
                <w:szCs w:val="20"/>
                <w:lang w:eastAsia="fr-FR"/>
              </w:rPr>
              <w:t>)</w:t>
            </w:r>
          </w:p>
        </w:tc>
        <w:tc>
          <w:tcPr>
            <w:tcW w:w="1740" w:type="dxa"/>
            <w:gridSpan w:val="2"/>
            <w:vMerge/>
            <w:tcBorders>
              <w:top w:val="nil"/>
              <w:left w:val="single" w:sz="4" w:space="0" w:color="auto"/>
              <w:bottom w:val="single" w:sz="4" w:space="0" w:color="auto"/>
              <w:right w:val="single" w:sz="4" w:space="0" w:color="auto"/>
            </w:tcBorders>
            <w:vAlign w:val="center"/>
            <w:hideMark/>
          </w:tcPr>
          <w:p w14:paraId="44F80EAB" w14:textId="77777777" w:rsidR="0038225F" w:rsidRPr="0038225F" w:rsidRDefault="0038225F" w:rsidP="0038225F">
            <w:pPr>
              <w:spacing w:after="0" w:line="240" w:lineRule="auto"/>
              <w:jc w:val="left"/>
              <w:rPr>
                <w:rFonts w:eastAsia="Times New Roman" w:cs="Arial"/>
                <w:b/>
                <w:bCs/>
                <w:color w:val="000000"/>
                <w:sz w:val="20"/>
                <w:szCs w:val="20"/>
                <w:lang w:eastAsia="fr-FR"/>
              </w:rPr>
            </w:pPr>
          </w:p>
        </w:tc>
      </w:tr>
      <w:tr w:rsidR="0038225F" w:rsidRPr="0038225F" w14:paraId="7F8009DE" w14:textId="77777777" w:rsidTr="0038225F">
        <w:trPr>
          <w:trHeight w:val="300"/>
          <w:jc w:val="center"/>
        </w:trPr>
        <w:tc>
          <w:tcPr>
            <w:tcW w:w="2680" w:type="dxa"/>
            <w:tcBorders>
              <w:top w:val="single" w:sz="4" w:space="0" w:color="auto"/>
              <w:left w:val="single" w:sz="4" w:space="0" w:color="auto"/>
              <w:bottom w:val="nil"/>
              <w:right w:val="single" w:sz="4" w:space="0" w:color="auto"/>
            </w:tcBorders>
            <w:shd w:val="clear" w:color="000000" w:fill="D9D9D9"/>
            <w:noWrap/>
            <w:vAlign w:val="bottom"/>
            <w:hideMark/>
          </w:tcPr>
          <w:p w14:paraId="6BD58408" w14:textId="60BC1A62"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 xml:space="preserve">Ttl </w:t>
            </w:r>
            <w:r w:rsidR="002D754A">
              <w:rPr>
                <w:rFonts w:eastAsia="Times New Roman" w:cs="Arial"/>
                <w:b/>
                <w:bCs/>
                <w:color w:val="000000"/>
                <w:sz w:val="20"/>
                <w:szCs w:val="20"/>
                <w:lang w:eastAsia="fr-FR"/>
              </w:rPr>
              <w:t>produits du porc</w:t>
            </w:r>
            <w:r w:rsidRPr="0038225F">
              <w:rPr>
                <w:rFonts w:eastAsia="Times New Roman" w:cs="Arial"/>
                <w:b/>
                <w:bCs/>
                <w:color w:val="000000"/>
                <w:sz w:val="20"/>
                <w:szCs w:val="20"/>
                <w:lang w:eastAsia="fr-FR"/>
              </w:rPr>
              <w:t>. (1)</w:t>
            </w:r>
          </w:p>
        </w:tc>
        <w:tc>
          <w:tcPr>
            <w:tcW w:w="1360" w:type="dxa"/>
            <w:tcBorders>
              <w:top w:val="nil"/>
              <w:left w:val="nil"/>
              <w:bottom w:val="nil"/>
              <w:right w:val="nil"/>
            </w:tcBorders>
            <w:shd w:val="clear" w:color="000000" w:fill="D9D9D9"/>
            <w:noWrap/>
            <w:vAlign w:val="bottom"/>
            <w:hideMark/>
          </w:tcPr>
          <w:p w14:paraId="793729CE" w14:textId="77777777" w:rsidR="0038225F" w:rsidRPr="0038225F" w:rsidRDefault="0038225F" w:rsidP="0038225F">
            <w:pPr>
              <w:spacing w:after="0" w:line="240" w:lineRule="auto"/>
              <w:jc w:val="right"/>
              <w:rPr>
                <w:rFonts w:eastAsia="Times New Roman" w:cs="Arial"/>
                <w:b/>
                <w:bCs/>
                <w:color w:val="000000"/>
                <w:sz w:val="20"/>
                <w:szCs w:val="20"/>
                <w:lang w:eastAsia="fr-FR"/>
              </w:rPr>
            </w:pPr>
            <w:r w:rsidRPr="0038225F">
              <w:rPr>
                <w:rFonts w:eastAsia="Times New Roman" w:cs="Arial"/>
                <w:b/>
                <w:bCs/>
                <w:color w:val="000000"/>
                <w:sz w:val="20"/>
                <w:szCs w:val="20"/>
                <w:lang w:eastAsia="fr-FR"/>
              </w:rPr>
              <w:t>75,9</w:t>
            </w:r>
          </w:p>
        </w:tc>
        <w:tc>
          <w:tcPr>
            <w:tcW w:w="1500" w:type="dxa"/>
            <w:tcBorders>
              <w:top w:val="nil"/>
              <w:left w:val="single" w:sz="4" w:space="0" w:color="auto"/>
              <w:bottom w:val="nil"/>
              <w:right w:val="nil"/>
            </w:tcBorders>
            <w:shd w:val="clear" w:color="000000" w:fill="D9D9D9"/>
            <w:noWrap/>
            <w:vAlign w:val="bottom"/>
            <w:hideMark/>
          </w:tcPr>
          <w:p w14:paraId="544BAA43" w14:textId="77777777" w:rsidR="0038225F" w:rsidRPr="0038225F" w:rsidRDefault="0038225F" w:rsidP="0038225F">
            <w:pPr>
              <w:spacing w:after="0" w:line="240" w:lineRule="auto"/>
              <w:jc w:val="right"/>
              <w:rPr>
                <w:rFonts w:eastAsia="Times New Roman" w:cs="Arial"/>
                <w:b/>
                <w:bCs/>
                <w:color w:val="000000"/>
                <w:sz w:val="20"/>
                <w:szCs w:val="20"/>
                <w:lang w:eastAsia="fr-FR"/>
              </w:rPr>
            </w:pPr>
            <w:r w:rsidRPr="0038225F">
              <w:rPr>
                <w:rFonts w:eastAsia="Times New Roman" w:cs="Arial"/>
                <w:b/>
                <w:bCs/>
                <w:color w:val="000000"/>
                <w:sz w:val="20"/>
                <w:szCs w:val="20"/>
                <w:lang w:eastAsia="fr-FR"/>
              </w:rPr>
              <w:t>76,45</w:t>
            </w:r>
          </w:p>
        </w:tc>
        <w:tc>
          <w:tcPr>
            <w:tcW w:w="980" w:type="dxa"/>
            <w:tcBorders>
              <w:top w:val="nil"/>
              <w:left w:val="single" w:sz="4" w:space="0" w:color="auto"/>
              <w:bottom w:val="nil"/>
              <w:right w:val="nil"/>
            </w:tcBorders>
            <w:shd w:val="clear" w:color="000000" w:fill="D9D9D9"/>
            <w:noWrap/>
            <w:vAlign w:val="bottom"/>
            <w:hideMark/>
          </w:tcPr>
          <w:p w14:paraId="75CFB1DD" w14:textId="77777777" w:rsidR="0038225F" w:rsidRPr="0038225F" w:rsidRDefault="0038225F" w:rsidP="0038225F">
            <w:pPr>
              <w:spacing w:after="0" w:line="240" w:lineRule="auto"/>
              <w:jc w:val="right"/>
              <w:rPr>
                <w:rFonts w:eastAsia="Times New Roman" w:cs="Arial"/>
                <w:b/>
                <w:bCs/>
                <w:color w:val="000000"/>
                <w:sz w:val="20"/>
                <w:szCs w:val="20"/>
                <w:lang w:eastAsia="fr-FR"/>
              </w:rPr>
            </w:pPr>
            <w:r w:rsidRPr="0038225F">
              <w:rPr>
                <w:rFonts w:eastAsia="Times New Roman" w:cs="Arial"/>
                <w:b/>
                <w:bCs/>
                <w:color w:val="000000"/>
                <w:sz w:val="20"/>
                <w:szCs w:val="20"/>
                <w:lang w:eastAsia="fr-FR"/>
              </w:rPr>
              <w:t>8,1</w:t>
            </w:r>
          </w:p>
        </w:tc>
        <w:tc>
          <w:tcPr>
            <w:tcW w:w="964" w:type="dxa"/>
            <w:tcBorders>
              <w:top w:val="nil"/>
              <w:left w:val="single" w:sz="4" w:space="0" w:color="auto"/>
              <w:bottom w:val="nil"/>
              <w:right w:val="single" w:sz="4" w:space="0" w:color="auto"/>
            </w:tcBorders>
            <w:shd w:val="clear" w:color="000000" w:fill="D9D9D9"/>
            <w:noWrap/>
            <w:vAlign w:val="bottom"/>
            <w:hideMark/>
          </w:tcPr>
          <w:p w14:paraId="3BE77035" w14:textId="77777777" w:rsidR="0038225F" w:rsidRPr="0038225F" w:rsidRDefault="0038225F" w:rsidP="0038225F">
            <w:pPr>
              <w:spacing w:after="0" w:line="240" w:lineRule="auto"/>
              <w:jc w:val="right"/>
              <w:rPr>
                <w:rFonts w:eastAsia="Times New Roman" w:cs="Arial"/>
                <w:b/>
                <w:bCs/>
                <w:color w:val="000000"/>
                <w:sz w:val="20"/>
                <w:szCs w:val="20"/>
                <w:lang w:eastAsia="fr-FR"/>
              </w:rPr>
            </w:pPr>
            <w:r w:rsidRPr="0038225F">
              <w:rPr>
                <w:rFonts w:eastAsia="Times New Roman" w:cs="Arial"/>
                <w:b/>
                <w:bCs/>
                <w:color w:val="000000"/>
                <w:sz w:val="20"/>
                <w:szCs w:val="20"/>
                <w:lang w:eastAsia="fr-FR"/>
              </w:rPr>
              <w:t>160,4</w:t>
            </w:r>
          </w:p>
        </w:tc>
        <w:tc>
          <w:tcPr>
            <w:tcW w:w="776" w:type="dxa"/>
            <w:tcBorders>
              <w:top w:val="single" w:sz="4" w:space="0" w:color="auto"/>
              <w:left w:val="single" w:sz="4" w:space="0" w:color="auto"/>
              <w:bottom w:val="nil"/>
              <w:right w:val="single" w:sz="4" w:space="0" w:color="auto"/>
            </w:tcBorders>
            <w:shd w:val="clear" w:color="000000" w:fill="D9D9D9"/>
            <w:noWrap/>
            <w:vAlign w:val="center"/>
            <w:hideMark/>
          </w:tcPr>
          <w:p w14:paraId="38C88416" w14:textId="77777777" w:rsidR="0038225F" w:rsidRPr="0038225F" w:rsidRDefault="0038225F" w:rsidP="0038225F">
            <w:pPr>
              <w:spacing w:after="0" w:line="240" w:lineRule="auto"/>
              <w:jc w:val="left"/>
              <w:rPr>
                <w:rFonts w:ascii="Calibri" w:eastAsia="Times New Roman" w:hAnsi="Calibri" w:cs="Times New Roman"/>
                <w:b/>
                <w:bCs/>
                <w:color w:val="000000"/>
                <w:lang w:eastAsia="fr-FR"/>
              </w:rPr>
            </w:pPr>
            <w:r w:rsidRPr="0038225F">
              <w:rPr>
                <w:rFonts w:ascii="Calibri" w:eastAsia="Times New Roman" w:hAnsi="Calibri" w:cs="Times New Roman"/>
                <w:b/>
                <w:bCs/>
                <w:color w:val="000000"/>
                <w:lang w:eastAsia="fr-FR"/>
              </w:rPr>
              <w:t>_</w:t>
            </w:r>
          </w:p>
        </w:tc>
      </w:tr>
      <w:tr w:rsidR="0038225F" w:rsidRPr="0038225F" w14:paraId="39E74089" w14:textId="77777777" w:rsidTr="0038225F">
        <w:trPr>
          <w:trHeight w:val="300"/>
          <w:jc w:val="center"/>
        </w:trPr>
        <w:tc>
          <w:tcPr>
            <w:tcW w:w="2680" w:type="dxa"/>
            <w:tcBorders>
              <w:top w:val="nil"/>
              <w:left w:val="single" w:sz="4" w:space="0" w:color="auto"/>
              <w:bottom w:val="nil"/>
              <w:right w:val="single" w:sz="4" w:space="0" w:color="auto"/>
            </w:tcBorders>
            <w:shd w:val="clear" w:color="000000" w:fill="D9D9D9"/>
            <w:noWrap/>
            <w:vAlign w:val="bottom"/>
            <w:hideMark/>
          </w:tcPr>
          <w:p w14:paraId="6E078D98" w14:textId="3FC0DEEF"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Total Charcuterie (2)</w:t>
            </w:r>
          </w:p>
        </w:tc>
        <w:tc>
          <w:tcPr>
            <w:tcW w:w="1360" w:type="dxa"/>
            <w:tcBorders>
              <w:top w:val="nil"/>
              <w:left w:val="single" w:sz="4" w:space="0" w:color="auto"/>
              <w:bottom w:val="nil"/>
              <w:right w:val="nil"/>
            </w:tcBorders>
            <w:shd w:val="clear" w:color="auto" w:fill="auto"/>
            <w:noWrap/>
            <w:vAlign w:val="bottom"/>
            <w:hideMark/>
          </w:tcPr>
          <w:p w14:paraId="32CFFB7A"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48,6</w:t>
            </w:r>
          </w:p>
        </w:tc>
        <w:tc>
          <w:tcPr>
            <w:tcW w:w="1500" w:type="dxa"/>
            <w:tcBorders>
              <w:top w:val="nil"/>
              <w:left w:val="single" w:sz="4" w:space="0" w:color="auto"/>
              <w:bottom w:val="nil"/>
              <w:right w:val="nil"/>
            </w:tcBorders>
            <w:shd w:val="clear" w:color="auto" w:fill="auto"/>
            <w:noWrap/>
            <w:vAlign w:val="bottom"/>
            <w:hideMark/>
          </w:tcPr>
          <w:p w14:paraId="6FEF4984"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60,9</w:t>
            </w:r>
          </w:p>
        </w:tc>
        <w:tc>
          <w:tcPr>
            <w:tcW w:w="980" w:type="dxa"/>
            <w:tcBorders>
              <w:top w:val="nil"/>
              <w:left w:val="single" w:sz="4" w:space="0" w:color="auto"/>
              <w:bottom w:val="nil"/>
              <w:right w:val="nil"/>
            </w:tcBorders>
            <w:shd w:val="clear" w:color="auto" w:fill="auto"/>
            <w:noWrap/>
            <w:vAlign w:val="bottom"/>
            <w:hideMark/>
          </w:tcPr>
          <w:p w14:paraId="49E430C2"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8,0</w:t>
            </w:r>
          </w:p>
        </w:tc>
        <w:tc>
          <w:tcPr>
            <w:tcW w:w="964" w:type="dxa"/>
            <w:tcBorders>
              <w:top w:val="nil"/>
              <w:left w:val="single" w:sz="4" w:space="0" w:color="auto"/>
              <w:bottom w:val="nil"/>
              <w:right w:val="single" w:sz="4" w:space="0" w:color="auto"/>
            </w:tcBorders>
            <w:shd w:val="clear" w:color="auto" w:fill="auto"/>
            <w:noWrap/>
            <w:vAlign w:val="bottom"/>
            <w:hideMark/>
          </w:tcPr>
          <w:p w14:paraId="522F5A38"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117,4</w:t>
            </w:r>
          </w:p>
        </w:tc>
        <w:tc>
          <w:tcPr>
            <w:tcW w:w="776" w:type="dxa"/>
            <w:tcBorders>
              <w:top w:val="nil"/>
              <w:left w:val="nil"/>
              <w:bottom w:val="nil"/>
              <w:right w:val="single" w:sz="4" w:space="0" w:color="auto"/>
            </w:tcBorders>
            <w:shd w:val="clear" w:color="auto" w:fill="auto"/>
            <w:noWrap/>
            <w:vAlign w:val="bottom"/>
            <w:hideMark/>
          </w:tcPr>
          <w:p w14:paraId="7DA4E4B7" w14:textId="77777777"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73%</w:t>
            </w:r>
          </w:p>
        </w:tc>
      </w:tr>
      <w:tr w:rsidR="0038225F" w:rsidRPr="0038225F" w14:paraId="3A53E312" w14:textId="77777777" w:rsidTr="0038225F">
        <w:trPr>
          <w:trHeight w:val="300"/>
          <w:jc w:val="center"/>
        </w:trPr>
        <w:tc>
          <w:tcPr>
            <w:tcW w:w="2680" w:type="dxa"/>
            <w:tcBorders>
              <w:top w:val="nil"/>
              <w:left w:val="single" w:sz="4" w:space="0" w:color="auto"/>
              <w:bottom w:val="nil"/>
              <w:right w:val="single" w:sz="4" w:space="0" w:color="auto"/>
            </w:tcBorders>
            <w:shd w:val="clear" w:color="000000" w:fill="D9D9D9"/>
            <w:vAlign w:val="center"/>
            <w:hideMark/>
          </w:tcPr>
          <w:p w14:paraId="77A38B94" w14:textId="39F3A233"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 xml:space="preserve">dt </w:t>
            </w:r>
            <w:r w:rsidR="0005465E">
              <w:rPr>
                <w:rFonts w:eastAsia="Times New Roman" w:cs="Arial"/>
                <w:color w:val="000000"/>
                <w:sz w:val="20"/>
                <w:szCs w:val="20"/>
                <w:lang w:eastAsia="fr-FR"/>
              </w:rPr>
              <w:t>C</w:t>
            </w:r>
            <w:r w:rsidRPr="0038225F">
              <w:rPr>
                <w:rFonts w:eastAsia="Times New Roman" w:cs="Arial"/>
                <w:color w:val="000000"/>
                <w:sz w:val="20"/>
                <w:szCs w:val="20"/>
                <w:lang w:eastAsia="fr-FR"/>
              </w:rPr>
              <w:t xml:space="preserve">harc. </w:t>
            </w:r>
            <w:r w:rsidR="0005465E" w:rsidRPr="0038225F">
              <w:rPr>
                <w:rFonts w:eastAsia="Times New Roman" w:cs="Arial"/>
                <w:color w:val="000000"/>
                <w:sz w:val="20"/>
                <w:szCs w:val="20"/>
                <w:lang w:eastAsia="fr-FR"/>
              </w:rPr>
              <w:t>Salaison</w:t>
            </w:r>
            <w:r w:rsidRPr="0038225F">
              <w:rPr>
                <w:rFonts w:eastAsia="Times New Roman" w:cs="Arial"/>
                <w:color w:val="000000"/>
                <w:sz w:val="20"/>
                <w:szCs w:val="20"/>
                <w:lang w:eastAsia="fr-FR"/>
              </w:rPr>
              <w:t xml:space="preserve"> fraîches</w:t>
            </w:r>
          </w:p>
        </w:tc>
        <w:tc>
          <w:tcPr>
            <w:tcW w:w="1360" w:type="dxa"/>
            <w:tcBorders>
              <w:top w:val="nil"/>
              <w:left w:val="single" w:sz="4" w:space="0" w:color="auto"/>
              <w:bottom w:val="nil"/>
              <w:right w:val="nil"/>
            </w:tcBorders>
            <w:shd w:val="clear" w:color="auto" w:fill="auto"/>
            <w:noWrap/>
            <w:vAlign w:val="center"/>
            <w:hideMark/>
          </w:tcPr>
          <w:p w14:paraId="582E955D"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46,2</w:t>
            </w:r>
          </w:p>
        </w:tc>
        <w:tc>
          <w:tcPr>
            <w:tcW w:w="1500" w:type="dxa"/>
            <w:tcBorders>
              <w:top w:val="nil"/>
              <w:left w:val="single" w:sz="4" w:space="0" w:color="auto"/>
              <w:bottom w:val="nil"/>
              <w:right w:val="nil"/>
            </w:tcBorders>
            <w:shd w:val="clear" w:color="auto" w:fill="auto"/>
            <w:noWrap/>
            <w:vAlign w:val="center"/>
            <w:hideMark/>
          </w:tcPr>
          <w:p w14:paraId="0E250082"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59,5</w:t>
            </w:r>
          </w:p>
        </w:tc>
        <w:tc>
          <w:tcPr>
            <w:tcW w:w="980" w:type="dxa"/>
            <w:tcBorders>
              <w:top w:val="nil"/>
              <w:left w:val="single" w:sz="4" w:space="0" w:color="auto"/>
              <w:bottom w:val="nil"/>
              <w:right w:val="nil"/>
            </w:tcBorders>
            <w:shd w:val="clear" w:color="auto" w:fill="auto"/>
            <w:noWrap/>
            <w:vAlign w:val="center"/>
            <w:hideMark/>
          </w:tcPr>
          <w:p w14:paraId="3C912809"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8</w:t>
            </w:r>
          </w:p>
        </w:tc>
        <w:tc>
          <w:tcPr>
            <w:tcW w:w="964" w:type="dxa"/>
            <w:tcBorders>
              <w:top w:val="nil"/>
              <w:left w:val="single" w:sz="4" w:space="0" w:color="auto"/>
              <w:bottom w:val="nil"/>
              <w:right w:val="single" w:sz="4" w:space="0" w:color="auto"/>
            </w:tcBorders>
            <w:shd w:val="clear" w:color="auto" w:fill="auto"/>
            <w:noWrap/>
            <w:vAlign w:val="center"/>
            <w:hideMark/>
          </w:tcPr>
          <w:p w14:paraId="27B9AC93"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113,7</w:t>
            </w:r>
          </w:p>
        </w:tc>
        <w:tc>
          <w:tcPr>
            <w:tcW w:w="776" w:type="dxa"/>
            <w:tcBorders>
              <w:top w:val="nil"/>
              <w:left w:val="nil"/>
              <w:bottom w:val="nil"/>
              <w:right w:val="single" w:sz="4" w:space="0" w:color="auto"/>
            </w:tcBorders>
            <w:shd w:val="clear" w:color="auto" w:fill="auto"/>
            <w:noWrap/>
            <w:vAlign w:val="center"/>
            <w:hideMark/>
          </w:tcPr>
          <w:p w14:paraId="191E4BF0" w14:textId="77777777" w:rsidR="0038225F" w:rsidRPr="0038225F" w:rsidRDefault="0038225F" w:rsidP="0038225F">
            <w:pPr>
              <w:spacing w:after="0" w:line="240" w:lineRule="auto"/>
              <w:jc w:val="right"/>
              <w:rPr>
                <w:rFonts w:ascii="Calibri" w:eastAsia="Times New Roman" w:hAnsi="Calibri" w:cs="Times New Roman"/>
                <w:i/>
                <w:iCs/>
                <w:color w:val="000000"/>
                <w:lang w:eastAsia="fr-FR"/>
              </w:rPr>
            </w:pPr>
            <w:r w:rsidRPr="0038225F">
              <w:rPr>
                <w:rFonts w:ascii="Calibri" w:eastAsia="Times New Roman" w:hAnsi="Calibri" w:cs="Times New Roman"/>
                <w:i/>
                <w:iCs/>
                <w:color w:val="000000"/>
                <w:lang w:eastAsia="fr-FR"/>
              </w:rPr>
              <w:t>97%</w:t>
            </w:r>
          </w:p>
        </w:tc>
      </w:tr>
      <w:tr w:rsidR="0038225F" w:rsidRPr="0038225F" w14:paraId="37D0C702" w14:textId="77777777" w:rsidTr="0038225F">
        <w:trPr>
          <w:trHeight w:val="405"/>
          <w:jc w:val="center"/>
        </w:trPr>
        <w:tc>
          <w:tcPr>
            <w:tcW w:w="2680" w:type="dxa"/>
            <w:tcBorders>
              <w:top w:val="nil"/>
              <w:left w:val="single" w:sz="4" w:space="0" w:color="auto"/>
              <w:bottom w:val="nil"/>
              <w:right w:val="single" w:sz="4" w:space="0" w:color="auto"/>
            </w:tcBorders>
            <w:shd w:val="clear" w:color="000000" w:fill="D9D9D9"/>
            <w:vAlign w:val="center"/>
            <w:hideMark/>
          </w:tcPr>
          <w:p w14:paraId="3F3AFBD0" w14:textId="77A698B2"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 xml:space="preserve">dt </w:t>
            </w:r>
            <w:r w:rsidR="0005465E">
              <w:rPr>
                <w:rFonts w:eastAsia="Times New Roman" w:cs="Arial"/>
                <w:color w:val="000000"/>
                <w:sz w:val="20"/>
                <w:szCs w:val="20"/>
                <w:lang w:eastAsia="fr-FR"/>
              </w:rPr>
              <w:t>C</w:t>
            </w:r>
            <w:r w:rsidRPr="0038225F">
              <w:rPr>
                <w:rFonts w:eastAsia="Times New Roman" w:cs="Arial"/>
                <w:color w:val="000000"/>
                <w:sz w:val="20"/>
                <w:szCs w:val="20"/>
                <w:lang w:eastAsia="fr-FR"/>
              </w:rPr>
              <w:t xml:space="preserve">harc. </w:t>
            </w:r>
            <w:r w:rsidR="0005465E" w:rsidRPr="0038225F">
              <w:rPr>
                <w:rFonts w:eastAsia="Times New Roman" w:cs="Arial"/>
                <w:color w:val="000000"/>
                <w:sz w:val="20"/>
                <w:szCs w:val="20"/>
                <w:lang w:eastAsia="fr-FR"/>
              </w:rPr>
              <w:t>Salaison</w:t>
            </w:r>
            <w:r w:rsidRPr="0038225F">
              <w:rPr>
                <w:rFonts w:eastAsia="Times New Roman" w:cs="Arial"/>
                <w:color w:val="000000"/>
                <w:sz w:val="20"/>
                <w:szCs w:val="20"/>
                <w:lang w:eastAsia="fr-FR"/>
              </w:rPr>
              <w:t xml:space="preserve"> </w:t>
            </w:r>
            <w:r w:rsidR="005238BB">
              <w:rPr>
                <w:rFonts w:eastAsia="Times New Roman" w:cs="Arial"/>
                <w:color w:val="000000"/>
                <w:sz w:val="20"/>
                <w:szCs w:val="20"/>
                <w:lang w:eastAsia="fr-FR"/>
              </w:rPr>
              <w:t>sèch</w:t>
            </w:r>
            <w:r w:rsidRPr="0038225F">
              <w:rPr>
                <w:rFonts w:eastAsia="Times New Roman" w:cs="Arial"/>
                <w:color w:val="000000"/>
                <w:sz w:val="20"/>
                <w:szCs w:val="20"/>
                <w:lang w:eastAsia="fr-FR"/>
              </w:rPr>
              <w:t>es</w:t>
            </w:r>
          </w:p>
        </w:tc>
        <w:tc>
          <w:tcPr>
            <w:tcW w:w="1360" w:type="dxa"/>
            <w:tcBorders>
              <w:top w:val="nil"/>
              <w:left w:val="single" w:sz="4" w:space="0" w:color="auto"/>
              <w:bottom w:val="nil"/>
              <w:right w:val="nil"/>
            </w:tcBorders>
            <w:shd w:val="clear" w:color="auto" w:fill="auto"/>
            <w:noWrap/>
            <w:vAlign w:val="center"/>
            <w:hideMark/>
          </w:tcPr>
          <w:p w14:paraId="54DB1EF9"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2</w:t>
            </w:r>
          </w:p>
        </w:tc>
        <w:tc>
          <w:tcPr>
            <w:tcW w:w="1500" w:type="dxa"/>
            <w:tcBorders>
              <w:top w:val="nil"/>
              <w:left w:val="single" w:sz="4" w:space="0" w:color="auto"/>
              <w:bottom w:val="nil"/>
              <w:right w:val="nil"/>
            </w:tcBorders>
            <w:shd w:val="clear" w:color="auto" w:fill="auto"/>
            <w:noWrap/>
            <w:vAlign w:val="center"/>
            <w:hideMark/>
          </w:tcPr>
          <w:p w14:paraId="75400A13"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1,3</w:t>
            </w:r>
          </w:p>
        </w:tc>
        <w:tc>
          <w:tcPr>
            <w:tcW w:w="980" w:type="dxa"/>
            <w:tcBorders>
              <w:top w:val="nil"/>
              <w:left w:val="single" w:sz="4" w:space="0" w:color="auto"/>
              <w:bottom w:val="nil"/>
              <w:right w:val="nil"/>
            </w:tcBorders>
            <w:shd w:val="clear" w:color="auto" w:fill="auto"/>
            <w:noWrap/>
            <w:vAlign w:val="center"/>
            <w:hideMark/>
          </w:tcPr>
          <w:p w14:paraId="34CF7004" w14:textId="77777777" w:rsidR="0038225F" w:rsidRPr="0038225F" w:rsidRDefault="0038225F" w:rsidP="0038225F">
            <w:pPr>
              <w:spacing w:after="0" w:line="240" w:lineRule="auto"/>
              <w:jc w:val="left"/>
              <w:rPr>
                <w:rFonts w:eastAsia="Times New Roman" w:cs="Arial"/>
                <w:color w:val="000000"/>
                <w:sz w:val="20"/>
                <w:szCs w:val="20"/>
                <w:lang w:eastAsia="fr-FR"/>
              </w:rPr>
            </w:pPr>
            <w:r w:rsidRPr="0038225F">
              <w:rPr>
                <w:rFonts w:eastAsia="Times New Roman" w:cs="Arial"/>
                <w:color w:val="000000"/>
                <w:sz w:val="20"/>
                <w:szCs w:val="20"/>
                <w:lang w:eastAsia="fr-FR"/>
              </w:rPr>
              <w:t> </w:t>
            </w:r>
          </w:p>
        </w:tc>
        <w:tc>
          <w:tcPr>
            <w:tcW w:w="964" w:type="dxa"/>
            <w:tcBorders>
              <w:top w:val="nil"/>
              <w:left w:val="single" w:sz="4" w:space="0" w:color="auto"/>
              <w:bottom w:val="nil"/>
              <w:right w:val="single" w:sz="4" w:space="0" w:color="auto"/>
            </w:tcBorders>
            <w:shd w:val="clear" w:color="auto" w:fill="auto"/>
            <w:noWrap/>
            <w:vAlign w:val="center"/>
            <w:hideMark/>
          </w:tcPr>
          <w:p w14:paraId="15091FB3"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3,3</w:t>
            </w:r>
          </w:p>
        </w:tc>
        <w:tc>
          <w:tcPr>
            <w:tcW w:w="776" w:type="dxa"/>
            <w:tcBorders>
              <w:top w:val="nil"/>
              <w:left w:val="nil"/>
              <w:bottom w:val="nil"/>
              <w:right w:val="single" w:sz="4" w:space="0" w:color="auto"/>
            </w:tcBorders>
            <w:shd w:val="clear" w:color="auto" w:fill="auto"/>
            <w:noWrap/>
            <w:vAlign w:val="center"/>
            <w:hideMark/>
          </w:tcPr>
          <w:p w14:paraId="1A11CC21" w14:textId="77777777" w:rsidR="0038225F" w:rsidRPr="0038225F" w:rsidRDefault="0038225F" w:rsidP="0038225F">
            <w:pPr>
              <w:spacing w:after="0" w:line="240" w:lineRule="auto"/>
              <w:jc w:val="right"/>
              <w:rPr>
                <w:rFonts w:ascii="Calibri" w:eastAsia="Times New Roman" w:hAnsi="Calibri" w:cs="Times New Roman"/>
                <w:i/>
                <w:iCs/>
                <w:color w:val="000000"/>
                <w:lang w:eastAsia="fr-FR"/>
              </w:rPr>
            </w:pPr>
            <w:r w:rsidRPr="0038225F">
              <w:rPr>
                <w:rFonts w:ascii="Calibri" w:eastAsia="Times New Roman" w:hAnsi="Calibri" w:cs="Times New Roman"/>
                <w:i/>
                <w:iCs/>
                <w:color w:val="000000"/>
                <w:lang w:eastAsia="fr-FR"/>
              </w:rPr>
              <w:t>3%</w:t>
            </w:r>
          </w:p>
        </w:tc>
      </w:tr>
      <w:tr w:rsidR="0038225F" w:rsidRPr="0038225F" w14:paraId="5884FDBD" w14:textId="77777777" w:rsidTr="0038225F">
        <w:trPr>
          <w:trHeight w:val="510"/>
          <w:jc w:val="center"/>
        </w:trPr>
        <w:tc>
          <w:tcPr>
            <w:tcW w:w="2680" w:type="dxa"/>
            <w:tcBorders>
              <w:top w:val="nil"/>
              <w:left w:val="single" w:sz="4" w:space="0" w:color="auto"/>
              <w:bottom w:val="single" w:sz="4" w:space="0" w:color="auto"/>
              <w:right w:val="single" w:sz="4" w:space="0" w:color="auto"/>
            </w:tcBorders>
            <w:shd w:val="clear" w:color="000000" w:fill="D9D9D9"/>
            <w:vAlign w:val="center"/>
            <w:hideMark/>
          </w:tcPr>
          <w:p w14:paraId="5F6F7A55" w14:textId="2A850098"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 xml:space="preserve">dt </w:t>
            </w:r>
            <w:r w:rsidR="0005465E">
              <w:rPr>
                <w:rFonts w:eastAsia="Times New Roman" w:cs="Arial"/>
                <w:color w:val="000000"/>
                <w:sz w:val="20"/>
                <w:szCs w:val="20"/>
                <w:lang w:eastAsia="fr-FR"/>
              </w:rPr>
              <w:t>C</w:t>
            </w:r>
            <w:r w:rsidRPr="0038225F">
              <w:rPr>
                <w:rFonts w:eastAsia="Times New Roman" w:cs="Arial"/>
                <w:color w:val="000000"/>
                <w:sz w:val="20"/>
                <w:szCs w:val="20"/>
                <w:lang w:eastAsia="fr-FR"/>
              </w:rPr>
              <w:t xml:space="preserve">harc. </w:t>
            </w:r>
            <w:r w:rsidR="0005465E">
              <w:rPr>
                <w:rFonts w:eastAsia="Times New Roman" w:cs="Arial"/>
                <w:color w:val="000000"/>
                <w:sz w:val="20"/>
                <w:szCs w:val="20"/>
                <w:lang w:eastAsia="fr-FR"/>
              </w:rPr>
              <w:t>S</w:t>
            </w:r>
            <w:r w:rsidRPr="0038225F">
              <w:rPr>
                <w:rFonts w:eastAsia="Times New Roman" w:cs="Arial"/>
                <w:color w:val="000000"/>
                <w:sz w:val="20"/>
                <w:szCs w:val="20"/>
                <w:lang w:eastAsia="fr-FR"/>
              </w:rPr>
              <w:t>alaison en conserve</w:t>
            </w:r>
          </w:p>
        </w:tc>
        <w:tc>
          <w:tcPr>
            <w:tcW w:w="1360" w:type="dxa"/>
            <w:tcBorders>
              <w:top w:val="nil"/>
              <w:left w:val="single" w:sz="4" w:space="0" w:color="auto"/>
              <w:bottom w:val="single" w:sz="4" w:space="0" w:color="auto"/>
              <w:right w:val="nil"/>
            </w:tcBorders>
            <w:shd w:val="clear" w:color="auto" w:fill="auto"/>
            <w:noWrap/>
            <w:vAlign w:val="center"/>
            <w:hideMark/>
          </w:tcPr>
          <w:p w14:paraId="52B4EA37"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0,35</w:t>
            </w:r>
          </w:p>
        </w:tc>
        <w:tc>
          <w:tcPr>
            <w:tcW w:w="1500" w:type="dxa"/>
            <w:tcBorders>
              <w:top w:val="nil"/>
              <w:left w:val="single" w:sz="4" w:space="0" w:color="auto"/>
              <w:bottom w:val="single" w:sz="4" w:space="0" w:color="auto"/>
              <w:right w:val="nil"/>
            </w:tcBorders>
            <w:shd w:val="clear" w:color="auto" w:fill="auto"/>
            <w:noWrap/>
            <w:vAlign w:val="center"/>
            <w:hideMark/>
          </w:tcPr>
          <w:p w14:paraId="018A29EF"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0,05</w:t>
            </w:r>
          </w:p>
        </w:tc>
        <w:tc>
          <w:tcPr>
            <w:tcW w:w="980" w:type="dxa"/>
            <w:tcBorders>
              <w:top w:val="nil"/>
              <w:left w:val="single" w:sz="4" w:space="0" w:color="auto"/>
              <w:bottom w:val="single" w:sz="4" w:space="0" w:color="auto"/>
              <w:right w:val="nil"/>
            </w:tcBorders>
            <w:shd w:val="clear" w:color="auto" w:fill="auto"/>
            <w:noWrap/>
            <w:vAlign w:val="center"/>
            <w:hideMark/>
          </w:tcPr>
          <w:p w14:paraId="2C776328" w14:textId="77777777" w:rsidR="0038225F" w:rsidRPr="0038225F" w:rsidRDefault="0038225F" w:rsidP="0038225F">
            <w:pPr>
              <w:spacing w:after="0" w:line="240" w:lineRule="auto"/>
              <w:jc w:val="left"/>
              <w:rPr>
                <w:rFonts w:eastAsia="Times New Roman" w:cs="Arial"/>
                <w:color w:val="000000"/>
                <w:sz w:val="20"/>
                <w:szCs w:val="20"/>
                <w:lang w:eastAsia="fr-FR"/>
              </w:rPr>
            </w:pPr>
            <w:r w:rsidRPr="0038225F">
              <w:rPr>
                <w:rFonts w:eastAsia="Times New Roman" w:cs="Arial"/>
                <w:color w:val="000000"/>
                <w:sz w:val="20"/>
                <w:szCs w:val="20"/>
                <w:lang w:eastAsia="fr-FR"/>
              </w:rPr>
              <w:t> </w:t>
            </w:r>
          </w:p>
        </w:tc>
        <w:tc>
          <w:tcPr>
            <w:tcW w:w="964" w:type="dxa"/>
            <w:tcBorders>
              <w:top w:val="nil"/>
              <w:left w:val="single" w:sz="4" w:space="0" w:color="auto"/>
              <w:bottom w:val="single" w:sz="4" w:space="0" w:color="auto"/>
              <w:right w:val="single" w:sz="4" w:space="0" w:color="auto"/>
            </w:tcBorders>
            <w:shd w:val="clear" w:color="auto" w:fill="auto"/>
            <w:noWrap/>
            <w:vAlign w:val="center"/>
            <w:hideMark/>
          </w:tcPr>
          <w:p w14:paraId="7B23CB3F" w14:textId="77777777" w:rsidR="0038225F" w:rsidRPr="0038225F" w:rsidRDefault="0038225F" w:rsidP="0038225F">
            <w:pPr>
              <w:spacing w:after="0" w:line="240" w:lineRule="auto"/>
              <w:jc w:val="right"/>
              <w:rPr>
                <w:rFonts w:eastAsia="Times New Roman" w:cs="Arial"/>
                <w:color w:val="000000"/>
                <w:sz w:val="20"/>
                <w:szCs w:val="20"/>
                <w:lang w:eastAsia="fr-FR"/>
              </w:rPr>
            </w:pPr>
            <w:r w:rsidRPr="0038225F">
              <w:rPr>
                <w:rFonts w:eastAsia="Times New Roman" w:cs="Arial"/>
                <w:color w:val="000000"/>
                <w:sz w:val="20"/>
                <w:szCs w:val="20"/>
                <w:lang w:eastAsia="fr-FR"/>
              </w:rPr>
              <w:t>0,4</w:t>
            </w:r>
          </w:p>
        </w:tc>
        <w:tc>
          <w:tcPr>
            <w:tcW w:w="776" w:type="dxa"/>
            <w:tcBorders>
              <w:top w:val="nil"/>
              <w:left w:val="nil"/>
              <w:bottom w:val="single" w:sz="4" w:space="0" w:color="auto"/>
              <w:right w:val="single" w:sz="4" w:space="0" w:color="auto"/>
            </w:tcBorders>
            <w:shd w:val="clear" w:color="auto" w:fill="auto"/>
            <w:noWrap/>
            <w:vAlign w:val="center"/>
            <w:hideMark/>
          </w:tcPr>
          <w:p w14:paraId="273933CD" w14:textId="77777777" w:rsidR="0038225F" w:rsidRPr="0038225F" w:rsidRDefault="0038225F" w:rsidP="0038225F">
            <w:pPr>
              <w:spacing w:after="0" w:line="240" w:lineRule="auto"/>
              <w:jc w:val="right"/>
              <w:rPr>
                <w:rFonts w:ascii="Calibri" w:eastAsia="Times New Roman" w:hAnsi="Calibri" w:cs="Times New Roman"/>
                <w:i/>
                <w:iCs/>
                <w:color w:val="000000"/>
                <w:lang w:eastAsia="fr-FR"/>
              </w:rPr>
            </w:pPr>
            <w:r w:rsidRPr="0038225F">
              <w:rPr>
                <w:rFonts w:ascii="Calibri" w:eastAsia="Times New Roman" w:hAnsi="Calibri" w:cs="Times New Roman"/>
                <w:i/>
                <w:iCs/>
                <w:color w:val="000000"/>
                <w:lang w:eastAsia="fr-FR"/>
              </w:rPr>
              <w:t>0%</w:t>
            </w:r>
          </w:p>
        </w:tc>
      </w:tr>
      <w:tr w:rsidR="0038225F" w:rsidRPr="0038225F" w14:paraId="20CE133B" w14:textId="77777777" w:rsidTr="0038225F">
        <w:trPr>
          <w:trHeight w:val="85"/>
          <w:jc w:val="center"/>
        </w:trPr>
        <w:tc>
          <w:tcPr>
            <w:tcW w:w="2680" w:type="dxa"/>
            <w:tcBorders>
              <w:top w:val="nil"/>
              <w:left w:val="nil"/>
              <w:bottom w:val="nil"/>
              <w:right w:val="nil"/>
            </w:tcBorders>
            <w:shd w:val="clear" w:color="auto" w:fill="auto"/>
            <w:noWrap/>
            <w:vAlign w:val="bottom"/>
            <w:hideMark/>
          </w:tcPr>
          <w:p w14:paraId="01071355" w14:textId="77777777" w:rsidR="0038225F" w:rsidRPr="0038225F" w:rsidRDefault="0038225F" w:rsidP="0038225F">
            <w:pPr>
              <w:spacing w:after="0" w:line="240" w:lineRule="auto"/>
              <w:jc w:val="right"/>
              <w:rPr>
                <w:rFonts w:ascii="Calibri" w:eastAsia="Times New Roman" w:hAnsi="Calibri" w:cs="Times New Roman"/>
                <w:i/>
                <w:iCs/>
                <w:color w:val="000000"/>
                <w:sz w:val="16"/>
                <w:szCs w:val="16"/>
                <w:lang w:eastAsia="fr-FR"/>
              </w:rPr>
            </w:pPr>
          </w:p>
        </w:tc>
        <w:tc>
          <w:tcPr>
            <w:tcW w:w="1360" w:type="dxa"/>
            <w:tcBorders>
              <w:top w:val="nil"/>
              <w:left w:val="nil"/>
              <w:bottom w:val="nil"/>
              <w:right w:val="nil"/>
            </w:tcBorders>
            <w:shd w:val="clear" w:color="auto" w:fill="auto"/>
            <w:noWrap/>
            <w:vAlign w:val="bottom"/>
            <w:hideMark/>
          </w:tcPr>
          <w:p w14:paraId="077D44ED"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c>
          <w:tcPr>
            <w:tcW w:w="1500" w:type="dxa"/>
            <w:tcBorders>
              <w:top w:val="nil"/>
              <w:left w:val="nil"/>
              <w:bottom w:val="nil"/>
              <w:right w:val="nil"/>
            </w:tcBorders>
            <w:shd w:val="clear" w:color="auto" w:fill="auto"/>
            <w:noWrap/>
            <w:vAlign w:val="bottom"/>
            <w:hideMark/>
          </w:tcPr>
          <w:p w14:paraId="6BC9EF8B"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c>
          <w:tcPr>
            <w:tcW w:w="980" w:type="dxa"/>
            <w:tcBorders>
              <w:top w:val="nil"/>
              <w:left w:val="nil"/>
              <w:bottom w:val="nil"/>
              <w:right w:val="nil"/>
            </w:tcBorders>
            <w:shd w:val="clear" w:color="auto" w:fill="auto"/>
            <w:noWrap/>
            <w:vAlign w:val="bottom"/>
            <w:hideMark/>
          </w:tcPr>
          <w:p w14:paraId="3CF79CB9"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c>
          <w:tcPr>
            <w:tcW w:w="964" w:type="dxa"/>
            <w:tcBorders>
              <w:top w:val="nil"/>
              <w:left w:val="nil"/>
              <w:bottom w:val="nil"/>
              <w:right w:val="nil"/>
            </w:tcBorders>
            <w:shd w:val="clear" w:color="auto" w:fill="auto"/>
            <w:noWrap/>
            <w:vAlign w:val="bottom"/>
            <w:hideMark/>
          </w:tcPr>
          <w:p w14:paraId="024432C3"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c>
          <w:tcPr>
            <w:tcW w:w="776" w:type="dxa"/>
            <w:tcBorders>
              <w:top w:val="nil"/>
              <w:left w:val="nil"/>
              <w:bottom w:val="nil"/>
              <w:right w:val="nil"/>
            </w:tcBorders>
            <w:shd w:val="clear" w:color="auto" w:fill="auto"/>
            <w:noWrap/>
            <w:vAlign w:val="bottom"/>
            <w:hideMark/>
          </w:tcPr>
          <w:p w14:paraId="0D5C163E" w14:textId="77777777" w:rsidR="0038225F" w:rsidRPr="0038225F" w:rsidRDefault="0038225F" w:rsidP="0038225F">
            <w:pPr>
              <w:spacing w:after="0" w:line="240" w:lineRule="auto"/>
              <w:jc w:val="left"/>
              <w:rPr>
                <w:rFonts w:ascii="Times New Roman" w:eastAsia="Times New Roman" w:hAnsi="Times New Roman" w:cs="Times New Roman"/>
                <w:sz w:val="16"/>
                <w:szCs w:val="16"/>
                <w:lang w:eastAsia="fr-FR"/>
              </w:rPr>
            </w:pPr>
          </w:p>
        </w:tc>
      </w:tr>
      <w:tr w:rsidR="0038225F" w:rsidRPr="0038225F" w14:paraId="1A77AEFD" w14:textId="77777777" w:rsidTr="004209F3">
        <w:trPr>
          <w:trHeight w:val="281"/>
          <w:jc w:val="center"/>
        </w:trPr>
        <w:tc>
          <w:tcPr>
            <w:tcW w:w="268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CC48C96" w14:textId="74029175" w:rsidR="0038225F" w:rsidRPr="0038225F" w:rsidRDefault="0038225F" w:rsidP="0038225F">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 xml:space="preserve">Viande </w:t>
            </w:r>
            <w:r w:rsidR="002D754A" w:rsidRPr="0038225F">
              <w:rPr>
                <w:rFonts w:eastAsia="Times New Roman" w:cs="Arial"/>
                <w:b/>
                <w:bCs/>
                <w:color w:val="000000"/>
                <w:sz w:val="20"/>
                <w:szCs w:val="20"/>
                <w:lang w:eastAsia="fr-FR"/>
              </w:rPr>
              <w:t>de porc</w:t>
            </w:r>
            <w:r w:rsidRPr="0038225F">
              <w:rPr>
                <w:rFonts w:eastAsia="Times New Roman" w:cs="Arial"/>
                <w:b/>
                <w:bCs/>
                <w:color w:val="000000"/>
                <w:sz w:val="20"/>
                <w:szCs w:val="20"/>
                <w:lang w:eastAsia="fr-FR"/>
              </w:rPr>
              <w:t xml:space="preserve"> (1) - (2)</w:t>
            </w:r>
          </w:p>
        </w:tc>
        <w:tc>
          <w:tcPr>
            <w:tcW w:w="1360" w:type="dxa"/>
            <w:tcBorders>
              <w:top w:val="single" w:sz="4" w:space="0" w:color="auto"/>
              <w:left w:val="nil"/>
              <w:bottom w:val="single" w:sz="4" w:space="0" w:color="auto"/>
              <w:right w:val="single" w:sz="4" w:space="0" w:color="auto"/>
            </w:tcBorders>
            <w:shd w:val="clear" w:color="000000" w:fill="D9D9D9"/>
            <w:noWrap/>
            <w:vAlign w:val="center"/>
            <w:hideMark/>
          </w:tcPr>
          <w:p w14:paraId="3B521B47" w14:textId="77777777" w:rsidR="0038225F" w:rsidRPr="0038225F" w:rsidRDefault="0038225F" w:rsidP="002D754A">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27,3</w:t>
            </w:r>
          </w:p>
        </w:tc>
        <w:tc>
          <w:tcPr>
            <w:tcW w:w="1500" w:type="dxa"/>
            <w:tcBorders>
              <w:top w:val="single" w:sz="4" w:space="0" w:color="auto"/>
              <w:left w:val="nil"/>
              <w:bottom w:val="single" w:sz="4" w:space="0" w:color="auto"/>
              <w:right w:val="single" w:sz="4" w:space="0" w:color="auto"/>
            </w:tcBorders>
            <w:shd w:val="clear" w:color="000000" w:fill="D9D9D9"/>
            <w:noWrap/>
            <w:vAlign w:val="center"/>
            <w:hideMark/>
          </w:tcPr>
          <w:p w14:paraId="57ED42E4" w14:textId="77777777" w:rsidR="0038225F" w:rsidRPr="0038225F" w:rsidRDefault="0038225F" w:rsidP="002D754A">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15,6</w:t>
            </w:r>
          </w:p>
        </w:tc>
        <w:tc>
          <w:tcPr>
            <w:tcW w:w="980" w:type="dxa"/>
            <w:tcBorders>
              <w:top w:val="single" w:sz="4" w:space="0" w:color="auto"/>
              <w:left w:val="nil"/>
              <w:bottom w:val="single" w:sz="4" w:space="0" w:color="auto"/>
              <w:right w:val="single" w:sz="4" w:space="0" w:color="auto"/>
            </w:tcBorders>
            <w:shd w:val="clear" w:color="000000" w:fill="D9D9D9"/>
            <w:noWrap/>
            <w:vAlign w:val="center"/>
            <w:hideMark/>
          </w:tcPr>
          <w:p w14:paraId="442C0556" w14:textId="77777777" w:rsidR="0038225F" w:rsidRPr="0038225F" w:rsidRDefault="0038225F" w:rsidP="002D754A">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0,1</w:t>
            </w:r>
          </w:p>
        </w:tc>
        <w:tc>
          <w:tcPr>
            <w:tcW w:w="964" w:type="dxa"/>
            <w:tcBorders>
              <w:top w:val="single" w:sz="4" w:space="0" w:color="auto"/>
              <w:left w:val="nil"/>
              <w:bottom w:val="single" w:sz="4" w:space="0" w:color="auto"/>
              <w:right w:val="single" w:sz="4" w:space="0" w:color="auto"/>
            </w:tcBorders>
            <w:shd w:val="clear" w:color="000000" w:fill="D9D9D9"/>
            <w:noWrap/>
            <w:vAlign w:val="center"/>
            <w:hideMark/>
          </w:tcPr>
          <w:p w14:paraId="67D58C48" w14:textId="77777777" w:rsidR="0038225F" w:rsidRPr="0038225F" w:rsidRDefault="0038225F" w:rsidP="002D754A">
            <w:pPr>
              <w:spacing w:after="0" w:line="240" w:lineRule="auto"/>
              <w:jc w:val="left"/>
              <w:rPr>
                <w:rFonts w:eastAsia="Times New Roman" w:cs="Arial"/>
                <w:b/>
                <w:bCs/>
                <w:color w:val="000000"/>
                <w:sz w:val="20"/>
                <w:szCs w:val="20"/>
                <w:lang w:eastAsia="fr-FR"/>
              </w:rPr>
            </w:pPr>
            <w:r w:rsidRPr="0038225F">
              <w:rPr>
                <w:rFonts w:eastAsia="Times New Roman" w:cs="Arial"/>
                <w:b/>
                <w:bCs/>
                <w:color w:val="000000"/>
                <w:sz w:val="20"/>
                <w:szCs w:val="20"/>
                <w:lang w:eastAsia="fr-FR"/>
              </w:rPr>
              <w:t>43,0</w:t>
            </w:r>
          </w:p>
        </w:tc>
        <w:tc>
          <w:tcPr>
            <w:tcW w:w="776" w:type="dxa"/>
            <w:tcBorders>
              <w:top w:val="single" w:sz="4" w:space="0" w:color="auto"/>
              <w:left w:val="nil"/>
              <w:bottom w:val="single" w:sz="4" w:space="0" w:color="auto"/>
              <w:right w:val="single" w:sz="4" w:space="0" w:color="auto"/>
            </w:tcBorders>
            <w:shd w:val="clear" w:color="000000" w:fill="D9D9D9"/>
            <w:noWrap/>
            <w:vAlign w:val="center"/>
            <w:hideMark/>
          </w:tcPr>
          <w:p w14:paraId="06739069" w14:textId="77777777" w:rsidR="0038225F" w:rsidRPr="0038225F" w:rsidRDefault="0038225F" w:rsidP="002D754A">
            <w:pPr>
              <w:spacing w:after="0" w:line="240" w:lineRule="auto"/>
              <w:jc w:val="left"/>
              <w:rPr>
                <w:rFonts w:ascii="Calibri" w:eastAsia="Times New Roman" w:hAnsi="Calibri" w:cs="Times New Roman"/>
                <w:b/>
                <w:bCs/>
                <w:color w:val="000000"/>
                <w:lang w:eastAsia="fr-FR"/>
              </w:rPr>
            </w:pPr>
            <w:r w:rsidRPr="0038225F">
              <w:rPr>
                <w:rFonts w:ascii="Calibri" w:eastAsia="Times New Roman" w:hAnsi="Calibri" w:cs="Times New Roman"/>
                <w:b/>
                <w:bCs/>
                <w:color w:val="000000"/>
                <w:lang w:eastAsia="fr-FR"/>
              </w:rPr>
              <w:t>27%</w:t>
            </w:r>
          </w:p>
        </w:tc>
      </w:tr>
    </w:tbl>
    <w:p w14:paraId="7807E03F" w14:textId="79017A73" w:rsidR="001967EA" w:rsidRPr="00837707" w:rsidRDefault="001967EA" w:rsidP="00837707">
      <w:pPr>
        <w:pStyle w:val="figure"/>
      </w:pPr>
      <w:bookmarkStart w:id="170" w:name="_Toc72143382"/>
      <w:r w:rsidRPr="001967EA">
        <w:t xml:space="preserve">Tableau </w:t>
      </w:r>
      <w:r w:rsidR="00E27D6E">
        <w:fldChar w:fldCharType="begin"/>
      </w:r>
      <w:r w:rsidR="00E27D6E">
        <w:instrText xml:space="preserve"> SEQ Tableau \* ARABIC </w:instrText>
      </w:r>
      <w:r w:rsidR="00E27D6E">
        <w:fldChar w:fldCharType="separate"/>
      </w:r>
      <w:r w:rsidR="0007597F">
        <w:rPr>
          <w:noProof/>
        </w:rPr>
        <w:t>34</w:t>
      </w:r>
      <w:r w:rsidR="00E27D6E">
        <w:rPr>
          <w:noProof/>
        </w:rPr>
        <w:fldChar w:fldCharType="end"/>
      </w:r>
      <w:r>
        <w:t xml:space="preserve"> : </w:t>
      </w:r>
      <w:r w:rsidR="0038225F">
        <w:t xml:space="preserve">Volumes </w:t>
      </w:r>
      <w:r>
        <w:t xml:space="preserve">des produits du porc sur les circuits </w:t>
      </w:r>
      <w:r w:rsidR="0038225F">
        <w:t xml:space="preserve">de la restauration hors domicile en volume pour </w:t>
      </w:r>
      <w:r w:rsidRPr="00115EE5">
        <w:t>2018</w:t>
      </w:r>
      <w:r>
        <w:t xml:space="preserve"> </w:t>
      </w:r>
      <w:r w:rsidRPr="00837707">
        <w:rPr>
          <w:b w:val="0"/>
        </w:rPr>
        <w:t>(Ifip d’après Gira Food</w:t>
      </w:r>
      <w:r w:rsidR="00897915" w:rsidRPr="00837707">
        <w:rPr>
          <w:b w:val="0"/>
        </w:rPr>
        <w:t>s</w:t>
      </w:r>
      <w:r w:rsidRPr="00837707">
        <w:rPr>
          <w:b w:val="0"/>
        </w:rPr>
        <w:t>ervice)</w:t>
      </w:r>
      <w:bookmarkEnd w:id="170"/>
    </w:p>
    <w:p w14:paraId="508B8559" w14:textId="7CEC5ACB" w:rsidR="00797612" w:rsidRDefault="0032471F" w:rsidP="00797612">
      <w:r>
        <w:t>La charcuterie domine la restauration hors domicile</w:t>
      </w:r>
      <w:r w:rsidR="00E45612">
        <w:t xml:space="preserve"> avec 73</w:t>
      </w:r>
      <w:r w:rsidR="003575AC">
        <w:t> </w:t>
      </w:r>
      <w:r w:rsidR="00E45612">
        <w:t xml:space="preserve">% </w:t>
      </w:r>
      <w:r w:rsidR="00B670DE">
        <w:t xml:space="preserve">du total </w:t>
      </w:r>
      <w:r w:rsidR="002D754A">
        <w:t>des produits du porc</w:t>
      </w:r>
      <w:r w:rsidR="00E45612">
        <w:t xml:space="preserve"> par rapport à la</w:t>
      </w:r>
      <w:r w:rsidR="004209F3">
        <w:t xml:space="preserve"> </w:t>
      </w:r>
      <w:r w:rsidR="002D754A">
        <w:t>viande</w:t>
      </w:r>
      <w:r w:rsidR="004209F3">
        <w:t xml:space="preserve"> de porc </w:t>
      </w:r>
      <w:r w:rsidR="001A3922">
        <w:t>(</w:t>
      </w:r>
      <w:r w:rsidR="004209F3">
        <w:t>27</w:t>
      </w:r>
      <w:r w:rsidR="003575AC">
        <w:t> </w:t>
      </w:r>
      <w:r w:rsidR="004209F3">
        <w:t>%</w:t>
      </w:r>
      <w:r w:rsidR="001A3922">
        <w:t>)</w:t>
      </w:r>
      <w:r w:rsidR="004209F3">
        <w:t xml:space="preserve"> </w:t>
      </w:r>
      <w:r w:rsidR="006529D8">
        <w:t xml:space="preserve">dont la part est </w:t>
      </w:r>
      <w:r w:rsidR="00E45612">
        <w:t>déduit</w:t>
      </w:r>
      <w:r w:rsidR="006529D8">
        <w:t>e</w:t>
      </w:r>
      <w:r w:rsidR="00E45612">
        <w:t xml:space="preserve"> par différence </w:t>
      </w:r>
      <w:r w:rsidR="006529D8">
        <w:t xml:space="preserve">entre le total porc et </w:t>
      </w:r>
      <w:r w:rsidR="00E45612">
        <w:t>la charcuterie</w:t>
      </w:r>
      <w:r w:rsidR="001A3922">
        <w:t>. L</w:t>
      </w:r>
      <w:r w:rsidR="00897915">
        <w:t xml:space="preserve">es </w:t>
      </w:r>
      <w:r w:rsidR="001A3922">
        <w:t>volumes</w:t>
      </w:r>
      <w:r w:rsidR="00897915">
        <w:t xml:space="preserve"> de produits du porc </w:t>
      </w:r>
      <w:r w:rsidR="009A70B9">
        <w:t xml:space="preserve">soient 160 kt </w:t>
      </w:r>
      <w:r w:rsidR="00897915">
        <w:t xml:space="preserve">sont </w:t>
      </w:r>
      <w:r w:rsidR="001A3922">
        <w:t>absorbés</w:t>
      </w:r>
      <w:r w:rsidR="00897915">
        <w:t xml:space="preserve"> par la restauration commerciale (47</w:t>
      </w:r>
      <w:r w:rsidR="004C5B54">
        <w:t>,6</w:t>
      </w:r>
      <w:r w:rsidR="003575AC">
        <w:t> </w:t>
      </w:r>
      <w:r w:rsidR="00897915">
        <w:t xml:space="preserve">%) </w:t>
      </w:r>
      <w:r w:rsidR="004C5B54">
        <w:t xml:space="preserve">puis </w:t>
      </w:r>
      <w:r w:rsidR="00897915">
        <w:t>la restauration collective (</w:t>
      </w:r>
      <w:r w:rsidR="004C5B54">
        <w:t>47,3</w:t>
      </w:r>
      <w:r w:rsidR="003575AC">
        <w:t> </w:t>
      </w:r>
      <w:r w:rsidR="00897915">
        <w:t>%</w:t>
      </w:r>
      <w:r w:rsidR="004C5B54">
        <w:t xml:space="preserve">) </w:t>
      </w:r>
      <w:r w:rsidR="00897915">
        <w:t>et les CVA (</w:t>
      </w:r>
      <w:r w:rsidR="00DF01D6">
        <w:t>5</w:t>
      </w:r>
      <w:r w:rsidR="003575AC">
        <w:t> </w:t>
      </w:r>
      <w:r w:rsidR="00897915">
        <w:t>%).</w:t>
      </w:r>
    </w:p>
    <w:p w14:paraId="19867290" w14:textId="15BF4B95" w:rsidR="00373D9E" w:rsidRDefault="00373D9E" w:rsidP="00373D9E">
      <w:pPr>
        <w:pStyle w:val="Titre4"/>
        <w:rPr>
          <w:sz w:val="22"/>
          <w:szCs w:val="22"/>
        </w:rPr>
      </w:pPr>
      <w:bookmarkStart w:id="171" w:name="_Toc78131602"/>
      <w:r w:rsidRPr="0038225F">
        <w:rPr>
          <w:sz w:val="22"/>
          <w:szCs w:val="22"/>
        </w:rPr>
        <w:t>3.5.2.</w:t>
      </w:r>
      <w:r>
        <w:rPr>
          <w:sz w:val="22"/>
          <w:szCs w:val="22"/>
        </w:rPr>
        <w:t>3</w:t>
      </w:r>
      <w:r w:rsidRPr="0038225F">
        <w:rPr>
          <w:sz w:val="22"/>
          <w:szCs w:val="22"/>
        </w:rPr>
        <w:t>.</w:t>
      </w:r>
      <w:r>
        <w:rPr>
          <w:sz w:val="22"/>
          <w:szCs w:val="22"/>
        </w:rPr>
        <w:t xml:space="preserve"> Taille de marché des produits traiteurs en restauration hors domicile</w:t>
      </w:r>
      <w:bookmarkEnd w:id="171"/>
    </w:p>
    <w:p w14:paraId="55E5CE8F" w14:textId="77777777" w:rsidR="00373D9E" w:rsidRDefault="00373D9E" w:rsidP="00373D9E">
      <w:pPr>
        <w:spacing w:after="0"/>
      </w:pPr>
      <w:r>
        <w:t xml:space="preserve">La lecture donnée par Gira Food Service de l’ensemble des produits traiteurs est partielle et potentiellement sous-estimée en volume dans la mesure où : </w:t>
      </w:r>
    </w:p>
    <w:p w14:paraId="6C323264" w14:textId="77777777" w:rsidR="00373D9E" w:rsidRDefault="00373D9E" w:rsidP="00373D9E">
      <w:pPr>
        <w:pStyle w:val="Paragraphedeliste"/>
        <w:numPr>
          <w:ilvl w:val="0"/>
          <w:numId w:val="7"/>
        </w:numPr>
        <w:rPr>
          <w:lang w:eastAsia="en-US"/>
        </w:rPr>
      </w:pPr>
      <w:r>
        <w:t xml:space="preserve">En frais, les catégories quiche tartes tourtes, pizzas, galette et de la charcuterie pâtissière ne sont pas quantifiés alors que ces typologies de produits font bien partie de l’offre proposée en restauration (cas de la quiche Lorraine commercialisée en frais en bande prête à découper). </w:t>
      </w:r>
    </w:p>
    <w:p w14:paraId="5CC41C7D" w14:textId="7B694F5B" w:rsidR="00373D9E" w:rsidRDefault="00373D9E" w:rsidP="00373D9E">
      <w:pPr>
        <w:pStyle w:val="Paragraphedeliste"/>
        <w:numPr>
          <w:ilvl w:val="0"/>
          <w:numId w:val="7"/>
        </w:numPr>
        <w:rPr>
          <w:lang w:eastAsia="en-US"/>
        </w:rPr>
      </w:pPr>
      <w:r>
        <w:t>Au sein des plats cuisinés, une sélection de recettes parmi les 20/80 a été quantifiée pour suivre le marché.</w:t>
      </w:r>
    </w:p>
    <w:p w14:paraId="121655AA" w14:textId="413FC6DD" w:rsidR="00B0396D" w:rsidRDefault="00B0396D" w:rsidP="00B0396D"/>
    <w:p w14:paraId="46BCF569" w14:textId="77777777" w:rsidR="00B0396D" w:rsidRPr="00094B92" w:rsidRDefault="00B0396D" w:rsidP="0002537E"/>
    <w:tbl>
      <w:tblPr>
        <w:tblW w:w="9400" w:type="dxa"/>
        <w:tblCellMar>
          <w:left w:w="70" w:type="dxa"/>
          <w:right w:w="70" w:type="dxa"/>
        </w:tblCellMar>
        <w:tblLook w:val="04A0" w:firstRow="1" w:lastRow="0" w:firstColumn="1" w:lastColumn="0" w:noHBand="0" w:noVBand="1"/>
      </w:tblPr>
      <w:tblGrid>
        <w:gridCol w:w="2500"/>
        <w:gridCol w:w="1063"/>
        <w:gridCol w:w="619"/>
        <w:gridCol w:w="880"/>
        <w:gridCol w:w="1397"/>
        <w:gridCol w:w="1085"/>
        <w:gridCol w:w="680"/>
        <w:gridCol w:w="740"/>
        <w:gridCol w:w="640"/>
      </w:tblGrid>
      <w:tr w:rsidR="00373D9E" w:rsidRPr="008D6621" w14:paraId="19EDC32D" w14:textId="77777777" w:rsidTr="00D30AFE">
        <w:trPr>
          <w:trHeight w:val="300"/>
        </w:trPr>
        <w:tc>
          <w:tcPr>
            <w:tcW w:w="2500" w:type="dxa"/>
            <w:tcBorders>
              <w:top w:val="nil"/>
              <w:left w:val="nil"/>
              <w:bottom w:val="nil"/>
              <w:right w:val="nil"/>
            </w:tcBorders>
            <w:shd w:val="clear" w:color="auto" w:fill="auto"/>
            <w:noWrap/>
            <w:vAlign w:val="bottom"/>
            <w:hideMark/>
          </w:tcPr>
          <w:p w14:paraId="6A85D27B" w14:textId="77777777" w:rsidR="00373D9E" w:rsidRPr="008D6621" w:rsidRDefault="00373D9E" w:rsidP="00D30AFE">
            <w:pPr>
              <w:rPr>
                <w:lang w:eastAsia="fr-FR"/>
              </w:rPr>
            </w:pPr>
          </w:p>
        </w:tc>
        <w:tc>
          <w:tcPr>
            <w:tcW w:w="1000" w:type="dxa"/>
            <w:tcBorders>
              <w:top w:val="nil"/>
              <w:left w:val="nil"/>
              <w:bottom w:val="nil"/>
              <w:right w:val="nil"/>
            </w:tcBorders>
            <w:shd w:val="clear" w:color="auto" w:fill="auto"/>
            <w:noWrap/>
            <w:vAlign w:val="bottom"/>
            <w:hideMark/>
          </w:tcPr>
          <w:p w14:paraId="2AE8A82E" w14:textId="77777777" w:rsidR="00373D9E" w:rsidRPr="008D6621" w:rsidRDefault="00373D9E" w:rsidP="00D30AFE">
            <w:pPr>
              <w:rPr>
                <w:sz w:val="20"/>
                <w:szCs w:val="20"/>
                <w:lang w:eastAsia="fr-FR"/>
              </w:rPr>
            </w:pPr>
          </w:p>
        </w:tc>
        <w:tc>
          <w:tcPr>
            <w:tcW w:w="580" w:type="dxa"/>
            <w:tcBorders>
              <w:top w:val="nil"/>
              <w:left w:val="nil"/>
              <w:bottom w:val="nil"/>
              <w:right w:val="nil"/>
            </w:tcBorders>
            <w:shd w:val="clear" w:color="auto" w:fill="auto"/>
            <w:noWrap/>
            <w:vAlign w:val="bottom"/>
            <w:hideMark/>
          </w:tcPr>
          <w:p w14:paraId="3A88AAFA" w14:textId="77777777" w:rsidR="00373D9E" w:rsidRPr="008D6621" w:rsidRDefault="00373D9E" w:rsidP="00D30AFE">
            <w:pPr>
              <w:rPr>
                <w:sz w:val="20"/>
                <w:szCs w:val="20"/>
                <w:lang w:eastAsia="fr-FR"/>
              </w:rPr>
            </w:pPr>
          </w:p>
        </w:tc>
        <w:tc>
          <w:tcPr>
            <w:tcW w:w="880" w:type="dxa"/>
            <w:tcBorders>
              <w:top w:val="nil"/>
              <w:left w:val="nil"/>
              <w:bottom w:val="nil"/>
              <w:right w:val="nil"/>
            </w:tcBorders>
            <w:shd w:val="clear" w:color="auto" w:fill="auto"/>
            <w:noWrap/>
            <w:vAlign w:val="bottom"/>
            <w:hideMark/>
          </w:tcPr>
          <w:p w14:paraId="2814107D" w14:textId="77777777" w:rsidR="00373D9E" w:rsidRPr="008D6621" w:rsidRDefault="00373D9E" w:rsidP="00D30AFE">
            <w:pPr>
              <w:rPr>
                <w:sz w:val="20"/>
                <w:szCs w:val="20"/>
                <w:lang w:eastAsia="fr-FR"/>
              </w:rPr>
            </w:pPr>
          </w:p>
        </w:tc>
        <w:tc>
          <w:tcPr>
            <w:tcW w:w="1360" w:type="dxa"/>
            <w:tcBorders>
              <w:top w:val="nil"/>
              <w:left w:val="nil"/>
              <w:bottom w:val="nil"/>
              <w:right w:val="nil"/>
            </w:tcBorders>
            <w:shd w:val="clear" w:color="auto" w:fill="auto"/>
            <w:noWrap/>
            <w:vAlign w:val="bottom"/>
            <w:hideMark/>
          </w:tcPr>
          <w:p w14:paraId="24C952D2" w14:textId="77777777" w:rsidR="00373D9E" w:rsidRPr="008D6621" w:rsidRDefault="00373D9E" w:rsidP="00D30AFE">
            <w:pPr>
              <w:rPr>
                <w:sz w:val="20"/>
                <w:szCs w:val="20"/>
                <w:lang w:eastAsia="fr-FR"/>
              </w:rPr>
            </w:pPr>
          </w:p>
        </w:tc>
        <w:tc>
          <w:tcPr>
            <w:tcW w:w="1020" w:type="dxa"/>
            <w:tcBorders>
              <w:top w:val="nil"/>
              <w:left w:val="nil"/>
              <w:bottom w:val="nil"/>
              <w:right w:val="nil"/>
            </w:tcBorders>
            <w:shd w:val="clear" w:color="auto" w:fill="auto"/>
            <w:noWrap/>
            <w:vAlign w:val="bottom"/>
            <w:hideMark/>
          </w:tcPr>
          <w:p w14:paraId="5A7AF9BC" w14:textId="77777777" w:rsidR="00373D9E" w:rsidRPr="008D6621" w:rsidRDefault="00373D9E" w:rsidP="00D30AFE">
            <w:pPr>
              <w:rPr>
                <w:sz w:val="20"/>
                <w:szCs w:val="20"/>
                <w:lang w:eastAsia="fr-FR"/>
              </w:rPr>
            </w:pPr>
          </w:p>
        </w:tc>
        <w:tc>
          <w:tcPr>
            <w:tcW w:w="680" w:type="dxa"/>
            <w:tcBorders>
              <w:top w:val="nil"/>
              <w:left w:val="nil"/>
              <w:bottom w:val="nil"/>
              <w:right w:val="nil"/>
            </w:tcBorders>
            <w:shd w:val="clear" w:color="auto" w:fill="auto"/>
            <w:noWrap/>
            <w:vAlign w:val="bottom"/>
            <w:hideMark/>
          </w:tcPr>
          <w:p w14:paraId="3ACB8B05" w14:textId="77777777" w:rsidR="00373D9E" w:rsidRPr="008D6621" w:rsidRDefault="00373D9E" w:rsidP="00D30AFE">
            <w:pPr>
              <w:rPr>
                <w:sz w:val="20"/>
                <w:szCs w:val="20"/>
                <w:lang w:eastAsia="fr-FR"/>
              </w:rPr>
            </w:pPr>
          </w:p>
        </w:tc>
        <w:tc>
          <w:tcPr>
            <w:tcW w:w="1380" w:type="dxa"/>
            <w:gridSpan w:val="2"/>
            <w:tcBorders>
              <w:top w:val="single" w:sz="4" w:space="0" w:color="auto"/>
              <w:left w:val="single" w:sz="4" w:space="0" w:color="auto"/>
              <w:bottom w:val="single" w:sz="4" w:space="0" w:color="auto"/>
              <w:right w:val="single" w:sz="4" w:space="0" w:color="000000"/>
            </w:tcBorders>
            <w:shd w:val="clear" w:color="000000" w:fill="BFBFBF"/>
            <w:noWrap/>
            <w:vAlign w:val="bottom"/>
            <w:hideMark/>
          </w:tcPr>
          <w:p w14:paraId="2DA123F9"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 xml:space="preserve">Total Vol </w:t>
            </w:r>
          </w:p>
        </w:tc>
      </w:tr>
      <w:tr w:rsidR="00373D9E" w:rsidRPr="008D6621" w14:paraId="568E128A" w14:textId="77777777" w:rsidTr="0002537E">
        <w:tc>
          <w:tcPr>
            <w:tcW w:w="250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51656645"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lastRenderedPageBreak/>
              <w:t> </w:t>
            </w:r>
          </w:p>
        </w:tc>
        <w:tc>
          <w:tcPr>
            <w:tcW w:w="1000" w:type="dxa"/>
            <w:tcBorders>
              <w:top w:val="single" w:sz="4" w:space="0" w:color="auto"/>
              <w:left w:val="nil"/>
              <w:bottom w:val="single" w:sz="4" w:space="0" w:color="auto"/>
              <w:right w:val="single" w:sz="4" w:space="0" w:color="auto"/>
            </w:tcBorders>
            <w:shd w:val="clear" w:color="000000" w:fill="BFBFBF"/>
            <w:vAlign w:val="center"/>
            <w:hideMark/>
          </w:tcPr>
          <w:p w14:paraId="3A114580"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Appertisé</w:t>
            </w:r>
          </w:p>
        </w:tc>
        <w:tc>
          <w:tcPr>
            <w:tcW w:w="580" w:type="dxa"/>
            <w:tcBorders>
              <w:top w:val="single" w:sz="4" w:space="0" w:color="auto"/>
              <w:left w:val="nil"/>
              <w:bottom w:val="single" w:sz="4" w:space="0" w:color="auto"/>
              <w:right w:val="single" w:sz="4" w:space="0" w:color="auto"/>
            </w:tcBorders>
            <w:shd w:val="clear" w:color="000000" w:fill="BFBFBF"/>
            <w:vAlign w:val="center"/>
            <w:hideMark/>
          </w:tcPr>
          <w:p w14:paraId="43A41093"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xml:space="preserve">Frais </w:t>
            </w:r>
          </w:p>
        </w:tc>
        <w:tc>
          <w:tcPr>
            <w:tcW w:w="880" w:type="dxa"/>
            <w:tcBorders>
              <w:top w:val="single" w:sz="4" w:space="0" w:color="auto"/>
              <w:left w:val="nil"/>
              <w:bottom w:val="single" w:sz="4" w:space="0" w:color="auto"/>
              <w:right w:val="single" w:sz="4" w:space="0" w:color="auto"/>
            </w:tcBorders>
            <w:shd w:val="clear" w:color="000000" w:fill="BFBFBF"/>
            <w:vAlign w:val="center"/>
            <w:hideMark/>
          </w:tcPr>
          <w:p w14:paraId="081C9F6A"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Surgelé</w:t>
            </w:r>
          </w:p>
        </w:tc>
        <w:tc>
          <w:tcPr>
            <w:tcW w:w="1360" w:type="dxa"/>
            <w:tcBorders>
              <w:top w:val="single" w:sz="4" w:space="0" w:color="auto"/>
              <w:left w:val="nil"/>
              <w:bottom w:val="single" w:sz="4" w:space="0" w:color="auto"/>
              <w:right w:val="single" w:sz="4" w:space="0" w:color="auto"/>
            </w:tcBorders>
            <w:shd w:val="clear" w:color="000000" w:fill="BFBFBF"/>
            <w:vAlign w:val="center"/>
            <w:hideMark/>
          </w:tcPr>
          <w:p w14:paraId="4D1C47F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Rest. Commerciale</w:t>
            </w:r>
          </w:p>
        </w:tc>
        <w:tc>
          <w:tcPr>
            <w:tcW w:w="1020" w:type="dxa"/>
            <w:tcBorders>
              <w:top w:val="single" w:sz="4" w:space="0" w:color="auto"/>
              <w:left w:val="nil"/>
              <w:bottom w:val="single" w:sz="4" w:space="0" w:color="auto"/>
              <w:right w:val="single" w:sz="4" w:space="0" w:color="auto"/>
            </w:tcBorders>
            <w:shd w:val="clear" w:color="000000" w:fill="BFBFBF"/>
            <w:vAlign w:val="center"/>
            <w:hideMark/>
          </w:tcPr>
          <w:p w14:paraId="51020A93"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Rest. Collective</w:t>
            </w:r>
          </w:p>
        </w:tc>
        <w:tc>
          <w:tcPr>
            <w:tcW w:w="680" w:type="dxa"/>
            <w:tcBorders>
              <w:top w:val="single" w:sz="4" w:space="0" w:color="auto"/>
              <w:left w:val="nil"/>
              <w:bottom w:val="single" w:sz="4" w:space="0" w:color="auto"/>
              <w:right w:val="single" w:sz="4" w:space="0" w:color="auto"/>
            </w:tcBorders>
            <w:shd w:val="clear" w:color="000000" w:fill="BFBFBF"/>
            <w:vAlign w:val="center"/>
            <w:hideMark/>
          </w:tcPr>
          <w:p w14:paraId="565C918D"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CVA</w:t>
            </w:r>
          </w:p>
        </w:tc>
        <w:tc>
          <w:tcPr>
            <w:tcW w:w="740" w:type="dxa"/>
            <w:tcBorders>
              <w:top w:val="single" w:sz="4" w:space="0" w:color="auto"/>
              <w:left w:val="nil"/>
              <w:bottom w:val="single" w:sz="4" w:space="0" w:color="auto"/>
              <w:right w:val="single" w:sz="4" w:space="0" w:color="auto"/>
            </w:tcBorders>
            <w:shd w:val="clear" w:color="000000" w:fill="BFBFBF"/>
            <w:vAlign w:val="center"/>
            <w:hideMark/>
          </w:tcPr>
          <w:p w14:paraId="3848BA7F"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en kt</w:t>
            </w:r>
          </w:p>
        </w:tc>
        <w:tc>
          <w:tcPr>
            <w:tcW w:w="640" w:type="dxa"/>
            <w:tcBorders>
              <w:top w:val="single" w:sz="4" w:space="0" w:color="auto"/>
              <w:left w:val="nil"/>
              <w:bottom w:val="single" w:sz="4" w:space="0" w:color="auto"/>
              <w:right w:val="single" w:sz="4" w:space="0" w:color="auto"/>
            </w:tcBorders>
            <w:shd w:val="clear" w:color="000000" w:fill="BFBFBF"/>
            <w:vAlign w:val="center"/>
            <w:hideMark/>
          </w:tcPr>
          <w:p w14:paraId="59275FAB"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en %</w:t>
            </w:r>
          </w:p>
        </w:tc>
      </w:tr>
      <w:tr w:rsidR="00373D9E" w:rsidRPr="008D6621" w14:paraId="73FCF1B5"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6A15CC"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Total Traiteur</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37D2E88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8</w:t>
            </w:r>
          </w:p>
        </w:tc>
        <w:tc>
          <w:tcPr>
            <w:tcW w:w="146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12F96CE"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156</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09B917CF"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CD311CE"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43</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85EC8C0"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1748617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164</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4ECEF0E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w:t>
            </w:r>
          </w:p>
        </w:tc>
      </w:tr>
      <w:tr w:rsidR="00373D9E" w:rsidRPr="008D6621" w14:paraId="544ADCE0"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D1AF8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Plats cuisinés (*)</w:t>
            </w:r>
          </w:p>
        </w:tc>
        <w:tc>
          <w:tcPr>
            <w:tcW w:w="1000" w:type="dxa"/>
            <w:tcBorders>
              <w:top w:val="single" w:sz="4" w:space="0" w:color="auto"/>
              <w:left w:val="nil"/>
              <w:bottom w:val="single" w:sz="4" w:space="0" w:color="auto"/>
              <w:right w:val="single" w:sz="4" w:space="0" w:color="auto"/>
            </w:tcBorders>
            <w:shd w:val="clear" w:color="auto" w:fill="auto"/>
            <w:noWrap/>
            <w:vAlign w:val="center"/>
            <w:hideMark/>
          </w:tcPr>
          <w:p w14:paraId="0C46C05B"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8</w:t>
            </w:r>
          </w:p>
        </w:tc>
        <w:tc>
          <w:tcPr>
            <w:tcW w:w="580" w:type="dxa"/>
            <w:tcBorders>
              <w:top w:val="single" w:sz="4" w:space="0" w:color="auto"/>
              <w:left w:val="nil"/>
              <w:bottom w:val="single" w:sz="4" w:space="0" w:color="auto"/>
              <w:right w:val="single" w:sz="4" w:space="0" w:color="auto"/>
            </w:tcBorders>
            <w:shd w:val="clear" w:color="auto" w:fill="auto"/>
            <w:noWrap/>
            <w:vAlign w:val="center"/>
            <w:hideMark/>
          </w:tcPr>
          <w:p w14:paraId="114E2A65"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13</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7EBD152B"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36</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36E20078"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738BA2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43</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764A841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23B983D4"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57</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1F03150A"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35%</w:t>
            </w:r>
          </w:p>
        </w:tc>
      </w:tr>
      <w:tr w:rsidR="00373D9E" w:rsidRPr="008D6621" w14:paraId="50D74C31"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0858B6" w14:textId="77777777" w:rsidR="00373D9E" w:rsidRPr="008D6621" w:rsidRDefault="00373D9E" w:rsidP="0002537E">
            <w:pPr>
              <w:spacing w:after="0" w:line="240" w:lineRule="auto"/>
              <w:jc w:val="left"/>
              <w:rPr>
                <w:rFonts w:cs="Arial"/>
                <w:b/>
                <w:bCs/>
                <w:color w:val="000000"/>
                <w:sz w:val="20"/>
                <w:szCs w:val="20"/>
                <w:lang w:eastAsia="fr-FR"/>
              </w:rPr>
            </w:pPr>
            <w:r w:rsidRPr="008D6621">
              <w:rPr>
                <w:rFonts w:cs="Arial"/>
                <w:b/>
                <w:bCs/>
                <w:color w:val="000000"/>
                <w:sz w:val="20"/>
                <w:szCs w:val="20"/>
                <w:lang w:eastAsia="fr-FR"/>
              </w:rPr>
              <w:t>Quiches tartes tourtes pizzas galettes</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76402810"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164DE7E0"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45C52BCE"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22</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382E56DA"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64C6BAF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10</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6FE8FE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_</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5EE3A7BF"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22</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5EA73CE0"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13%</w:t>
            </w:r>
          </w:p>
        </w:tc>
      </w:tr>
      <w:tr w:rsidR="00373D9E" w:rsidRPr="008D6621" w14:paraId="13332C0A"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92E670"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xml:space="preserve">dont quiche tartes tourtes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149F5372"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3F510086"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218DF2CB"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6,5</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5DA80E9D"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0,8</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3459812"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5,7</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FE7A7C1"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251B8051"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7</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2B1657CD" w14:textId="77777777" w:rsidR="00373D9E" w:rsidRPr="008D6621" w:rsidRDefault="00373D9E" w:rsidP="0002537E">
            <w:pPr>
              <w:spacing w:after="0" w:line="240" w:lineRule="auto"/>
              <w:jc w:val="right"/>
              <w:rPr>
                <w:rFonts w:cs="Arial"/>
                <w:b/>
                <w:bCs/>
                <w:color w:val="000000"/>
                <w:sz w:val="20"/>
                <w:szCs w:val="20"/>
                <w:lang w:eastAsia="fr-FR"/>
              </w:rPr>
            </w:pPr>
            <w:r w:rsidRPr="008D6621">
              <w:rPr>
                <w:rFonts w:cs="Arial"/>
                <w:b/>
                <w:bCs/>
                <w:color w:val="000000"/>
                <w:sz w:val="20"/>
                <w:szCs w:val="20"/>
                <w:lang w:eastAsia="fr-FR"/>
              </w:rPr>
              <w:t> </w:t>
            </w:r>
          </w:p>
        </w:tc>
      </w:tr>
      <w:tr w:rsidR="00373D9E" w:rsidRPr="008D6621" w14:paraId="4DBAE78C"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2D49EF"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dont pizzas</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3D7A288C"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12724AB8"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45A92FBD"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9,1</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069936A9"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0,5</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3ED2B26F"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2,1</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4141947"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021A812E"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9</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4DDA60A8" w14:textId="77777777" w:rsidR="00373D9E" w:rsidRPr="008D6621" w:rsidRDefault="00373D9E" w:rsidP="0002537E">
            <w:pPr>
              <w:spacing w:after="0" w:line="240" w:lineRule="auto"/>
              <w:jc w:val="right"/>
              <w:rPr>
                <w:rFonts w:cs="Arial"/>
                <w:b/>
                <w:bCs/>
                <w:color w:val="000000"/>
                <w:sz w:val="20"/>
                <w:szCs w:val="20"/>
                <w:lang w:eastAsia="fr-FR"/>
              </w:rPr>
            </w:pPr>
            <w:r w:rsidRPr="008D6621">
              <w:rPr>
                <w:rFonts w:cs="Arial"/>
                <w:b/>
                <w:bCs/>
                <w:color w:val="000000"/>
                <w:sz w:val="20"/>
                <w:szCs w:val="20"/>
                <w:lang w:eastAsia="fr-FR"/>
              </w:rPr>
              <w:t> </w:t>
            </w:r>
          </w:p>
        </w:tc>
      </w:tr>
      <w:tr w:rsidR="00373D9E" w:rsidRPr="008D6621" w14:paraId="3CEAAD1B"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51C087" w14:textId="7100CABE"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dont cr</w:t>
            </w:r>
            <w:r w:rsidR="00661DC3">
              <w:rPr>
                <w:rFonts w:cs="Arial"/>
                <w:color w:val="000000"/>
                <w:sz w:val="20"/>
                <w:szCs w:val="20"/>
                <w:lang w:eastAsia="fr-FR"/>
              </w:rPr>
              <w:t>ê</w:t>
            </w:r>
            <w:r w:rsidRPr="008D6621">
              <w:rPr>
                <w:rFonts w:cs="Arial"/>
                <w:color w:val="000000"/>
                <w:sz w:val="20"/>
                <w:szCs w:val="20"/>
                <w:lang w:eastAsia="fr-FR"/>
              </w:rPr>
              <w:t xml:space="preserve">pes galettes garnies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5953A646"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791EC436"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2C5A4454"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6,0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1DFC15F9"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0,15</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6AE3A18F"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2,5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9B9DC51"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2A45E286"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6</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560FF303" w14:textId="77777777" w:rsidR="00373D9E" w:rsidRPr="008D6621" w:rsidRDefault="00373D9E" w:rsidP="0002537E">
            <w:pPr>
              <w:spacing w:after="0" w:line="240" w:lineRule="auto"/>
              <w:jc w:val="right"/>
              <w:rPr>
                <w:rFonts w:cs="Arial"/>
                <w:b/>
                <w:bCs/>
                <w:color w:val="000000"/>
                <w:sz w:val="20"/>
                <w:szCs w:val="20"/>
                <w:lang w:eastAsia="fr-FR"/>
              </w:rPr>
            </w:pPr>
            <w:r w:rsidRPr="008D6621">
              <w:rPr>
                <w:rFonts w:cs="Arial"/>
                <w:b/>
                <w:bCs/>
                <w:color w:val="000000"/>
                <w:sz w:val="20"/>
                <w:szCs w:val="20"/>
                <w:lang w:eastAsia="fr-FR"/>
              </w:rPr>
              <w:t> </w:t>
            </w:r>
          </w:p>
        </w:tc>
      </w:tr>
      <w:tr w:rsidR="00373D9E" w:rsidRPr="008D6621" w14:paraId="6DF9B384"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FFB7AF"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 xml:space="preserve">Charcuterie pâtissière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1A366402"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33A75361"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353681FC"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22,4</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072580E9"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0,76</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44CF0E63"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4,75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667B817"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_</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640E392C"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22</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10B43FA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14%</w:t>
            </w:r>
          </w:p>
        </w:tc>
      </w:tr>
      <w:tr w:rsidR="00373D9E" w:rsidRPr="008D6621" w14:paraId="292CACCF"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68B95B"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 xml:space="preserve">dont Feuilletés, croque monsieur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0F9B88D7" w14:textId="77777777" w:rsidR="00373D9E" w:rsidRPr="008D6621" w:rsidRDefault="00373D9E" w:rsidP="0002537E">
            <w:pPr>
              <w:spacing w:after="0" w:line="240" w:lineRule="auto"/>
              <w:rPr>
                <w:rFonts w:cs="Arial"/>
                <w:color w:val="000000"/>
                <w:sz w:val="16"/>
                <w:szCs w:val="16"/>
                <w:lang w:eastAsia="fr-FR"/>
              </w:rPr>
            </w:pPr>
            <w:r w:rsidRPr="008D6621">
              <w:rPr>
                <w:rFonts w:cs="Arial"/>
                <w:color w:val="000000"/>
                <w:sz w:val="16"/>
                <w:szCs w:val="16"/>
                <w:lang w:eastAsia="fr-FR"/>
              </w:rPr>
              <w:t>_</w:t>
            </w:r>
          </w:p>
        </w:tc>
        <w:tc>
          <w:tcPr>
            <w:tcW w:w="580" w:type="dxa"/>
            <w:tcBorders>
              <w:top w:val="single" w:sz="4" w:space="0" w:color="auto"/>
              <w:left w:val="nil"/>
              <w:bottom w:val="single" w:sz="4" w:space="0" w:color="auto"/>
              <w:right w:val="single" w:sz="4" w:space="0" w:color="auto"/>
            </w:tcBorders>
            <w:shd w:val="clear" w:color="000000" w:fill="BFBFBF"/>
            <w:noWrap/>
            <w:vAlign w:val="center"/>
            <w:hideMark/>
          </w:tcPr>
          <w:p w14:paraId="5CDD5D18" w14:textId="77777777" w:rsidR="00373D9E" w:rsidRPr="008D6621" w:rsidRDefault="00373D9E" w:rsidP="0002537E">
            <w:pPr>
              <w:spacing w:after="0" w:line="240" w:lineRule="auto"/>
              <w:rPr>
                <w:rFonts w:cs="Arial"/>
                <w:color w:val="000000"/>
                <w:sz w:val="16"/>
                <w:szCs w:val="16"/>
                <w:lang w:eastAsia="fr-FR"/>
              </w:rPr>
            </w:pPr>
            <w:r>
              <w:rPr>
                <w:rFonts w:cs="Arial"/>
                <w:color w:val="000000"/>
                <w:sz w:val="16"/>
                <w:szCs w:val="16"/>
                <w:lang w:eastAsia="fr-FR"/>
              </w:rPr>
              <w:t>(**)</w:t>
            </w:r>
          </w:p>
        </w:tc>
        <w:tc>
          <w:tcPr>
            <w:tcW w:w="880" w:type="dxa"/>
            <w:tcBorders>
              <w:top w:val="single" w:sz="4" w:space="0" w:color="auto"/>
              <w:left w:val="nil"/>
              <w:bottom w:val="single" w:sz="4" w:space="0" w:color="auto"/>
              <w:right w:val="single" w:sz="4" w:space="0" w:color="auto"/>
            </w:tcBorders>
            <w:shd w:val="clear" w:color="auto" w:fill="auto"/>
            <w:noWrap/>
            <w:vAlign w:val="center"/>
            <w:hideMark/>
          </w:tcPr>
          <w:p w14:paraId="33495C61"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20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2069B5FB"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0,8</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12770F44"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4,5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7C915634"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 </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6EA4F310" w14:textId="77777777" w:rsidR="00373D9E" w:rsidRPr="00105E48" w:rsidRDefault="00373D9E" w:rsidP="0002537E">
            <w:pPr>
              <w:spacing w:after="0" w:line="240" w:lineRule="auto"/>
              <w:jc w:val="right"/>
              <w:rPr>
                <w:rFonts w:cs="Arial"/>
                <w:bCs/>
                <w:color w:val="000000"/>
                <w:sz w:val="20"/>
                <w:szCs w:val="20"/>
                <w:lang w:eastAsia="fr-FR"/>
              </w:rPr>
            </w:pPr>
            <w:r w:rsidRPr="00105E48">
              <w:rPr>
                <w:rFonts w:cs="Arial"/>
                <w:bCs/>
                <w:color w:val="000000"/>
                <w:sz w:val="20"/>
                <w:szCs w:val="20"/>
                <w:lang w:eastAsia="fr-FR"/>
              </w:rPr>
              <w:t>20</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490D957D" w14:textId="77777777" w:rsidR="00373D9E" w:rsidRPr="00105E48" w:rsidRDefault="00373D9E" w:rsidP="0002537E">
            <w:pPr>
              <w:spacing w:after="0" w:line="240" w:lineRule="auto"/>
              <w:jc w:val="right"/>
              <w:rPr>
                <w:rFonts w:cs="Arial"/>
                <w:bCs/>
                <w:color w:val="000000"/>
                <w:sz w:val="20"/>
                <w:szCs w:val="20"/>
                <w:lang w:eastAsia="fr-FR"/>
              </w:rPr>
            </w:pPr>
            <w:r w:rsidRPr="00105E48">
              <w:rPr>
                <w:rFonts w:cs="Arial"/>
                <w:bCs/>
                <w:color w:val="000000"/>
                <w:sz w:val="20"/>
                <w:szCs w:val="20"/>
                <w:lang w:eastAsia="fr-FR"/>
              </w:rPr>
              <w:t> </w:t>
            </w:r>
          </w:p>
        </w:tc>
      </w:tr>
      <w:tr w:rsidR="00373D9E" w:rsidRPr="008D6621" w14:paraId="73BAAE19"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EE5738" w14:textId="77777777" w:rsidR="00373D9E" w:rsidRPr="008D6621" w:rsidRDefault="00373D9E" w:rsidP="0002537E">
            <w:pPr>
              <w:spacing w:after="0" w:line="240" w:lineRule="auto"/>
              <w:jc w:val="right"/>
              <w:rPr>
                <w:rFonts w:cs="Arial"/>
                <w:color w:val="000000"/>
                <w:sz w:val="20"/>
                <w:szCs w:val="20"/>
                <w:lang w:eastAsia="fr-FR"/>
              </w:rPr>
            </w:pPr>
            <w:r w:rsidRPr="008D6621">
              <w:rPr>
                <w:rFonts w:cs="Arial"/>
                <w:color w:val="000000"/>
                <w:sz w:val="20"/>
                <w:szCs w:val="20"/>
                <w:lang w:eastAsia="fr-FR"/>
              </w:rPr>
              <w:t>dont Autres snacks chauds</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1F94C6E7" w14:textId="77777777" w:rsidR="00373D9E" w:rsidRPr="008D6621" w:rsidRDefault="00373D9E" w:rsidP="0002537E">
            <w:pPr>
              <w:spacing w:after="0" w:line="240" w:lineRule="auto"/>
              <w:rPr>
                <w:rFonts w:cs="Arial"/>
                <w:color w:val="000000"/>
                <w:sz w:val="20"/>
                <w:szCs w:val="20"/>
                <w:lang w:eastAsia="fr-FR"/>
              </w:rPr>
            </w:pPr>
            <w:r w:rsidRPr="008D6621">
              <w:rPr>
                <w:rFonts w:cs="Arial"/>
                <w:color w:val="000000"/>
                <w:sz w:val="20"/>
                <w:szCs w:val="20"/>
                <w:lang w:eastAsia="fr-FR"/>
              </w:rPr>
              <w:t>_</w:t>
            </w:r>
          </w:p>
        </w:tc>
        <w:tc>
          <w:tcPr>
            <w:tcW w:w="146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299F514E"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2,4</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5FFED874"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0,3</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4EC2C00B"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1,5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204E4109"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0,7</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7521C458" w14:textId="77777777" w:rsidR="00373D9E" w:rsidRPr="00105E48" w:rsidRDefault="00373D9E" w:rsidP="0002537E">
            <w:pPr>
              <w:spacing w:after="0" w:line="240" w:lineRule="auto"/>
              <w:jc w:val="right"/>
              <w:rPr>
                <w:rFonts w:cs="Arial"/>
                <w:color w:val="000000"/>
                <w:sz w:val="20"/>
                <w:szCs w:val="20"/>
                <w:lang w:eastAsia="fr-FR"/>
              </w:rPr>
            </w:pPr>
            <w:r w:rsidRPr="00105E48">
              <w:rPr>
                <w:rFonts w:cs="Arial"/>
                <w:color w:val="000000"/>
                <w:sz w:val="20"/>
                <w:szCs w:val="20"/>
                <w:lang w:eastAsia="fr-FR"/>
              </w:rPr>
              <w:t>2</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2B764826" w14:textId="77777777" w:rsidR="00373D9E" w:rsidRPr="00105E48" w:rsidRDefault="00373D9E" w:rsidP="0002537E">
            <w:pPr>
              <w:spacing w:after="0" w:line="240" w:lineRule="auto"/>
              <w:jc w:val="right"/>
              <w:rPr>
                <w:rFonts w:cs="Arial"/>
                <w:bCs/>
                <w:color w:val="000000"/>
                <w:sz w:val="20"/>
                <w:szCs w:val="20"/>
                <w:lang w:eastAsia="fr-FR"/>
              </w:rPr>
            </w:pPr>
            <w:r w:rsidRPr="00105E48">
              <w:rPr>
                <w:rFonts w:cs="Arial"/>
                <w:bCs/>
                <w:color w:val="000000"/>
                <w:sz w:val="20"/>
                <w:szCs w:val="20"/>
                <w:lang w:eastAsia="fr-FR"/>
              </w:rPr>
              <w:t> </w:t>
            </w:r>
          </w:p>
        </w:tc>
      </w:tr>
      <w:tr w:rsidR="00373D9E" w:rsidRPr="008D6621" w14:paraId="6F0C6EDF" w14:textId="77777777" w:rsidTr="0002537E">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B5DC2F" w14:textId="77777777" w:rsidR="00373D9E" w:rsidRPr="008D6621" w:rsidRDefault="00373D9E" w:rsidP="0002537E">
            <w:pPr>
              <w:spacing w:after="0" w:line="240" w:lineRule="auto"/>
              <w:jc w:val="left"/>
              <w:rPr>
                <w:rFonts w:cs="Arial"/>
                <w:b/>
                <w:bCs/>
                <w:color w:val="000000"/>
                <w:sz w:val="20"/>
                <w:szCs w:val="20"/>
                <w:lang w:eastAsia="fr-FR"/>
              </w:rPr>
            </w:pPr>
            <w:r w:rsidRPr="008D6621">
              <w:rPr>
                <w:rFonts w:cs="Arial"/>
                <w:b/>
                <w:bCs/>
                <w:color w:val="000000"/>
                <w:sz w:val="20"/>
                <w:szCs w:val="20"/>
                <w:lang w:eastAsia="fr-FR"/>
              </w:rPr>
              <w:t xml:space="preserve">Salades traiteurs fraîches et surgelés </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6ACCCE83" w14:textId="77777777" w:rsidR="00373D9E" w:rsidRPr="008D6621" w:rsidRDefault="00373D9E" w:rsidP="0002537E">
            <w:pPr>
              <w:spacing w:after="0" w:line="240" w:lineRule="auto"/>
              <w:rPr>
                <w:rFonts w:cs="Arial"/>
                <w:color w:val="000000"/>
                <w:sz w:val="20"/>
                <w:szCs w:val="20"/>
                <w:lang w:eastAsia="fr-FR"/>
              </w:rPr>
            </w:pPr>
            <w:r w:rsidRPr="008D6621">
              <w:rPr>
                <w:rFonts w:cs="Arial"/>
                <w:color w:val="000000"/>
                <w:sz w:val="20"/>
                <w:szCs w:val="20"/>
                <w:lang w:eastAsia="fr-FR"/>
              </w:rPr>
              <w:t>_</w:t>
            </w:r>
          </w:p>
        </w:tc>
        <w:tc>
          <w:tcPr>
            <w:tcW w:w="146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4E1B76D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32,5</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0EAA1A41"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13</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2EBDD96D"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19,5</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444AEBB6"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_</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0941790A"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33</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2FCD38E5" w14:textId="77777777" w:rsidR="00373D9E" w:rsidRPr="008D6621" w:rsidRDefault="00373D9E" w:rsidP="0002537E">
            <w:pPr>
              <w:spacing w:after="0" w:line="240" w:lineRule="auto"/>
              <w:rPr>
                <w:rFonts w:cs="Arial"/>
                <w:b/>
                <w:bCs/>
                <w:color w:val="000000"/>
                <w:sz w:val="20"/>
                <w:szCs w:val="20"/>
                <w:lang w:eastAsia="fr-FR"/>
              </w:rPr>
            </w:pPr>
            <w:r w:rsidRPr="008D6621">
              <w:rPr>
                <w:rFonts w:cs="Arial"/>
                <w:b/>
                <w:bCs/>
                <w:color w:val="000000"/>
                <w:sz w:val="20"/>
                <w:szCs w:val="20"/>
                <w:lang w:eastAsia="fr-FR"/>
              </w:rPr>
              <w:t>20%</w:t>
            </w:r>
          </w:p>
        </w:tc>
      </w:tr>
      <w:tr w:rsidR="00373D9E" w:rsidRPr="008D6621" w14:paraId="28118107" w14:textId="77777777" w:rsidTr="00D30AFE">
        <w:trPr>
          <w:trHeight w:val="300"/>
        </w:trPr>
        <w:tc>
          <w:tcPr>
            <w:tcW w:w="25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065E5E" w14:textId="77777777" w:rsidR="00373D9E" w:rsidRPr="008D6621" w:rsidRDefault="00373D9E" w:rsidP="00D30AFE">
            <w:pPr>
              <w:jc w:val="left"/>
              <w:rPr>
                <w:rFonts w:cs="Arial"/>
                <w:b/>
                <w:bCs/>
                <w:color w:val="000000"/>
                <w:sz w:val="20"/>
                <w:szCs w:val="20"/>
                <w:lang w:eastAsia="fr-FR"/>
              </w:rPr>
            </w:pPr>
            <w:r w:rsidRPr="008D6621">
              <w:rPr>
                <w:rFonts w:cs="Arial"/>
                <w:b/>
                <w:bCs/>
                <w:color w:val="000000"/>
                <w:sz w:val="20"/>
                <w:szCs w:val="20"/>
                <w:lang w:eastAsia="fr-FR"/>
              </w:rPr>
              <w:t>Sandwiches industriels</w:t>
            </w:r>
          </w:p>
        </w:tc>
        <w:tc>
          <w:tcPr>
            <w:tcW w:w="1000" w:type="dxa"/>
            <w:tcBorders>
              <w:top w:val="single" w:sz="4" w:space="0" w:color="auto"/>
              <w:left w:val="nil"/>
              <w:bottom w:val="single" w:sz="4" w:space="0" w:color="auto"/>
              <w:right w:val="single" w:sz="4" w:space="0" w:color="auto"/>
            </w:tcBorders>
            <w:shd w:val="clear" w:color="000000" w:fill="BFBFBF"/>
            <w:noWrap/>
            <w:vAlign w:val="center"/>
            <w:hideMark/>
          </w:tcPr>
          <w:p w14:paraId="4E5F11A4" w14:textId="77777777" w:rsidR="00373D9E" w:rsidRPr="008D6621" w:rsidRDefault="00373D9E" w:rsidP="00D30AFE">
            <w:pPr>
              <w:rPr>
                <w:rFonts w:cs="Arial"/>
                <w:color w:val="000000"/>
                <w:sz w:val="20"/>
                <w:szCs w:val="20"/>
                <w:lang w:eastAsia="fr-FR"/>
              </w:rPr>
            </w:pPr>
            <w:r w:rsidRPr="008D6621">
              <w:rPr>
                <w:rFonts w:cs="Arial"/>
                <w:color w:val="000000"/>
                <w:sz w:val="20"/>
                <w:szCs w:val="20"/>
                <w:lang w:eastAsia="fr-FR"/>
              </w:rPr>
              <w:t>_</w:t>
            </w:r>
          </w:p>
        </w:tc>
        <w:tc>
          <w:tcPr>
            <w:tcW w:w="1460" w:type="dxa"/>
            <w:gridSpan w:val="2"/>
            <w:tcBorders>
              <w:top w:val="single" w:sz="4" w:space="0" w:color="auto"/>
              <w:left w:val="nil"/>
              <w:bottom w:val="single" w:sz="4" w:space="0" w:color="auto"/>
              <w:right w:val="single" w:sz="4" w:space="0" w:color="000000"/>
            </w:tcBorders>
            <w:shd w:val="clear" w:color="auto" w:fill="auto"/>
            <w:noWrap/>
            <w:vAlign w:val="center"/>
            <w:hideMark/>
          </w:tcPr>
          <w:p w14:paraId="3034A416"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30,7</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14:paraId="6E879BDB"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8,4</w:t>
            </w:r>
          </w:p>
        </w:tc>
        <w:tc>
          <w:tcPr>
            <w:tcW w:w="1020" w:type="dxa"/>
            <w:tcBorders>
              <w:top w:val="single" w:sz="4" w:space="0" w:color="auto"/>
              <w:left w:val="nil"/>
              <w:bottom w:val="single" w:sz="4" w:space="0" w:color="auto"/>
              <w:right w:val="single" w:sz="4" w:space="0" w:color="auto"/>
            </w:tcBorders>
            <w:shd w:val="clear" w:color="auto" w:fill="auto"/>
            <w:noWrap/>
            <w:vAlign w:val="center"/>
            <w:hideMark/>
          </w:tcPr>
          <w:p w14:paraId="637325C7"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2,8</w:t>
            </w: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537D41FF"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19,5</w:t>
            </w:r>
          </w:p>
        </w:tc>
        <w:tc>
          <w:tcPr>
            <w:tcW w:w="740" w:type="dxa"/>
            <w:tcBorders>
              <w:top w:val="single" w:sz="4" w:space="0" w:color="auto"/>
              <w:left w:val="nil"/>
              <w:bottom w:val="single" w:sz="4" w:space="0" w:color="auto"/>
              <w:right w:val="single" w:sz="4" w:space="0" w:color="auto"/>
            </w:tcBorders>
            <w:shd w:val="clear" w:color="000000" w:fill="BFBFBF"/>
            <w:noWrap/>
            <w:vAlign w:val="center"/>
            <w:hideMark/>
          </w:tcPr>
          <w:p w14:paraId="0759B366"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31</w:t>
            </w:r>
          </w:p>
        </w:tc>
        <w:tc>
          <w:tcPr>
            <w:tcW w:w="640" w:type="dxa"/>
            <w:tcBorders>
              <w:top w:val="single" w:sz="4" w:space="0" w:color="auto"/>
              <w:left w:val="nil"/>
              <w:bottom w:val="single" w:sz="4" w:space="0" w:color="auto"/>
              <w:right w:val="single" w:sz="4" w:space="0" w:color="auto"/>
            </w:tcBorders>
            <w:shd w:val="clear" w:color="000000" w:fill="BFBFBF"/>
            <w:noWrap/>
            <w:vAlign w:val="center"/>
            <w:hideMark/>
          </w:tcPr>
          <w:p w14:paraId="174408C7" w14:textId="77777777" w:rsidR="00373D9E" w:rsidRPr="008D6621" w:rsidRDefault="00373D9E" w:rsidP="00D30AFE">
            <w:pPr>
              <w:rPr>
                <w:rFonts w:cs="Arial"/>
                <w:b/>
                <w:bCs/>
                <w:color w:val="000000"/>
                <w:sz w:val="20"/>
                <w:szCs w:val="20"/>
                <w:lang w:eastAsia="fr-FR"/>
              </w:rPr>
            </w:pPr>
            <w:r w:rsidRPr="008D6621">
              <w:rPr>
                <w:rFonts w:cs="Arial"/>
                <w:b/>
                <w:bCs/>
                <w:color w:val="000000"/>
                <w:sz w:val="20"/>
                <w:szCs w:val="20"/>
                <w:lang w:eastAsia="fr-FR"/>
              </w:rPr>
              <w:t>19%</w:t>
            </w:r>
          </w:p>
        </w:tc>
      </w:tr>
    </w:tbl>
    <w:p w14:paraId="72DD159B" w14:textId="7118336E" w:rsidR="00DC2AB8" w:rsidRPr="0002537E" w:rsidRDefault="00373D9E">
      <w:pPr>
        <w:pStyle w:val="Lgende"/>
      </w:pPr>
      <w:bookmarkStart w:id="172" w:name="_Ref69145148"/>
      <w:r w:rsidRPr="00DC2AB8">
        <w:t>(*) sélection de recettes ; (**) Non analysé.</w:t>
      </w:r>
      <w:r w:rsidRPr="0002537E">
        <w:t xml:space="preserve"> </w:t>
      </w:r>
      <w:bookmarkEnd w:id="172"/>
    </w:p>
    <w:p w14:paraId="7716EEE2" w14:textId="791238C5" w:rsidR="005B6D88" w:rsidRDefault="00ED0FA5" w:rsidP="0002537E">
      <w:pPr>
        <w:pStyle w:val="figure"/>
      </w:pPr>
      <w:bookmarkStart w:id="173" w:name="_Toc72143383"/>
      <w:r w:rsidRPr="00F82443">
        <w:t xml:space="preserve">Tableau </w:t>
      </w:r>
      <w:r w:rsidR="00E27D6E">
        <w:fldChar w:fldCharType="begin"/>
      </w:r>
      <w:r w:rsidR="00E27D6E">
        <w:instrText xml:space="preserve"> SEQ Tableau \* ARABIC </w:instrText>
      </w:r>
      <w:r w:rsidR="00E27D6E">
        <w:fldChar w:fldCharType="separate"/>
      </w:r>
      <w:r w:rsidR="0007597F">
        <w:rPr>
          <w:noProof/>
        </w:rPr>
        <w:t>35</w:t>
      </w:r>
      <w:r w:rsidR="00E27D6E">
        <w:rPr>
          <w:noProof/>
        </w:rPr>
        <w:fldChar w:fldCharType="end"/>
      </w:r>
      <w:r w:rsidR="00B0396D">
        <w:t> :</w:t>
      </w:r>
      <w:r w:rsidR="00712660">
        <w:t xml:space="preserve"> </w:t>
      </w:r>
      <w:r w:rsidR="00373D9E">
        <w:t xml:space="preserve">Volumes des produits des produits traiteurs sur les circuits de la restauration hors domicile en volume (kt) pour </w:t>
      </w:r>
      <w:r w:rsidR="00373D9E" w:rsidRPr="00115EE5">
        <w:t>2018</w:t>
      </w:r>
      <w:bookmarkEnd w:id="173"/>
      <w:r w:rsidR="00373D9E">
        <w:t xml:space="preserve"> </w:t>
      </w:r>
    </w:p>
    <w:p w14:paraId="428FAF00" w14:textId="4963072C" w:rsidR="00373D9E" w:rsidRPr="0002537E" w:rsidRDefault="00373D9E">
      <w:pPr>
        <w:pStyle w:val="Lgende"/>
      </w:pPr>
      <w:r w:rsidRPr="00DC2AB8">
        <w:t>(Ifip d’après Gira Foodservice)</w:t>
      </w:r>
    </w:p>
    <w:p w14:paraId="1D397B74" w14:textId="3FC2015B" w:rsidR="00373D9E" w:rsidRDefault="00373D9E" w:rsidP="00373D9E">
      <w:r>
        <w:t>Sur la base de ces éléments, le volume total du marché traiteur représenterait selon Gira Food Service, plus de 164</w:t>
      </w:r>
      <w:r w:rsidR="006529D8">
        <w:t> </w:t>
      </w:r>
      <w:r>
        <w:t>kt, frais inclus. Le rapprochement de ces données avec les volumes de production PRODCOM de l’activité 10.85.Z en frais avec un total d’environ 570</w:t>
      </w:r>
      <w:r w:rsidR="006529D8">
        <w:t> </w:t>
      </w:r>
      <w:r>
        <w:t>kt tous circuits est limité puisque le surgelé n’est pas comptabilisé.</w:t>
      </w:r>
    </w:p>
    <w:p w14:paraId="2EFCDC63" w14:textId="551F43E1" w:rsidR="003B3652" w:rsidRPr="00373D9E" w:rsidRDefault="00373D9E" w:rsidP="00797612">
      <w:pPr>
        <w:rPr>
          <w:lang w:eastAsia="fr-FR"/>
        </w:rPr>
      </w:pPr>
      <w:r>
        <w:t>Parmi les familles du traiteur, trois d’entre elles représentent les ¾ du marché soient plats cuisinés, salades et sandwiches industriels. Le porc couvre potentiellement l’ensemble de ces segments de marché. Le détail des lignes produits tels que salades charcutières et plats cuisinés traditionnels (choucroute, cassoulet…) ne sont pas communiquées.</w:t>
      </w:r>
    </w:p>
    <w:p w14:paraId="1A98E1DC" w14:textId="54E9A9F9" w:rsidR="0056787F" w:rsidRPr="0056787F" w:rsidRDefault="0056787F" w:rsidP="0056787F">
      <w:pPr>
        <w:pStyle w:val="Titre4"/>
        <w:rPr>
          <w:sz w:val="22"/>
          <w:szCs w:val="22"/>
        </w:rPr>
      </w:pPr>
      <w:bookmarkStart w:id="174" w:name="_Toc78131603"/>
      <w:r w:rsidRPr="0056787F">
        <w:rPr>
          <w:sz w:val="22"/>
          <w:szCs w:val="22"/>
        </w:rPr>
        <w:t>3.5.2.</w:t>
      </w:r>
      <w:r w:rsidR="0014657B">
        <w:rPr>
          <w:sz w:val="22"/>
          <w:szCs w:val="22"/>
        </w:rPr>
        <w:t>4.</w:t>
      </w:r>
      <w:r w:rsidRPr="0056787F">
        <w:rPr>
          <w:sz w:val="22"/>
          <w:szCs w:val="22"/>
        </w:rPr>
        <w:t xml:space="preserve"> Les limites </w:t>
      </w:r>
      <w:r>
        <w:rPr>
          <w:sz w:val="22"/>
          <w:szCs w:val="22"/>
        </w:rPr>
        <w:t>identifiées</w:t>
      </w:r>
      <w:bookmarkEnd w:id="174"/>
    </w:p>
    <w:p w14:paraId="6F089F48" w14:textId="034F4057" w:rsidR="00B670DE" w:rsidRDefault="0056787F" w:rsidP="00B670DE">
      <w:pPr>
        <w:pStyle w:val="ValrieN2"/>
        <w:spacing w:after="0"/>
        <w:ind w:left="0"/>
        <w:rPr>
          <w:b w:val="0"/>
        </w:rPr>
      </w:pPr>
      <w:r w:rsidRPr="002B057C">
        <w:rPr>
          <w:b w:val="0"/>
        </w:rPr>
        <w:t>Les</w:t>
      </w:r>
      <w:r w:rsidR="00B670DE">
        <w:rPr>
          <w:b w:val="0"/>
        </w:rPr>
        <w:t xml:space="preserve"> éléments </w:t>
      </w:r>
      <w:r w:rsidR="00D655B5">
        <w:rPr>
          <w:b w:val="0"/>
        </w:rPr>
        <w:t>de méthodes</w:t>
      </w:r>
      <w:r w:rsidR="00B670DE">
        <w:rPr>
          <w:b w:val="0"/>
        </w:rPr>
        <w:t xml:space="preserve"> recueillis concernant le panorama Gira Foodservice </w:t>
      </w:r>
      <w:r w:rsidR="00A1759C">
        <w:rPr>
          <w:b w:val="0"/>
        </w:rPr>
        <w:t xml:space="preserve">ne permettent pas </w:t>
      </w:r>
      <w:r w:rsidR="00B670DE">
        <w:rPr>
          <w:b w:val="0"/>
        </w:rPr>
        <w:t xml:space="preserve">d’apporter une lecture critique. </w:t>
      </w:r>
      <w:r w:rsidR="00987AD4">
        <w:rPr>
          <w:b w:val="0"/>
        </w:rPr>
        <w:t>Cependant</w:t>
      </w:r>
      <w:r w:rsidR="00B670DE">
        <w:rPr>
          <w:b w:val="0"/>
        </w:rPr>
        <w:t xml:space="preserve"> quelques </w:t>
      </w:r>
      <w:r w:rsidR="00987AD4">
        <w:rPr>
          <w:b w:val="0"/>
        </w:rPr>
        <w:t xml:space="preserve">commentaires </w:t>
      </w:r>
      <w:r w:rsidR="00B670DE">
        <w:rPr>
          <w:b w:val="0"/>
        </w:rPr>
        <w:t xml:space="preserve">peuvent être formulées concernant </w:t>
      </w:r>
    </w:p>
    <w:p w14:paraId="678654CF" w14:textId="21FAE343" w:rsidR="00B670DE" w:rsidRDefault="005238BB" w:rsidP="00EF6554">
      <w:pPr>
        <w:pStyle w:val="ValrieN2"/>
        <w:numPr>
          <w:ilvl w:val="0"/>
          <w:numId w:val="7"/>
        </w:numPr>
        <w:spacing w:after="0"/>
        <w:rPr>
          <w:b w:val="0"/>
        </w:rPr>
      </w:pPr>
      <w:r>
        <w:rPr>
          <w:b w:val="0"/>
          <w:u w:val="single"/>
        </w:rPr>
        <w:t>L</w:t>
      </w:r>
      <w:r w:rsidR="00B670DE" w:rsidRPr="00987AD4">
        <w:rPr>
          <w:b w:val="0"/>
          <w:u w:val="single"/>
        </w:rPr>
        <w:t xml:space="preserve">es </w:t>
      </w:r>
      <w:r w:rsidR="00987AD4" w:rsidRPr="00987AD4">
        <w:rPr>
          <w:b w:val="0"/>
          <w:u w:val="single"/>
        </w:rPr>
        <w:t xml:space="preserve">typologies de </w:t>
      </w:r>
      <w:r w:rsidR="00B670DE" w:rsidRPr="00987AD4">
        <w:rPr>
          <w:b w:val="0"/>
          <w:u w:val="single"/>
        </w:rPr>
        <w:t>produits</w:t>
      </w:r>
      <w:r w:rsidR="00B670DE" w:rsidRPr="00987AD4">
        <w:rPr>
          <w:b w:val="0"/>
        </w:rPr>
        <w:t xml:space="preserve"> : les données collectées </w:t>
      </w:r>
      <w:r w:rsidR="00987AD4" w:rsidRPr="00987AD4">
        <w:rPr>
          <w:b w:val="0"/>
        </w:rPr>
        <w:t xml:space="preserve">en </w:t>
      </w:r>
      <w:r w:rsidR="00B670DE" w:rsidRPr="00987AD4">
        <w:rPr>
          <w:b w:val="0"/>
        </w:rPr>
        <w:t>viandes de boucherie sont agrégées</w:t>
      </w:r>
      <w:r w:rsidR="00987AD4" w:rsidRPr="00987AD4">
        <w:rPr>
          <w:b w:val="0"/>
        </w:rPr>
        <w:t xml:space="preserve"> </w:t>
      </w:r>
      <w:r w:rsidR="00A1759C">
        <w:rPr>
          <w:b w:val="0"/>
        </w:rPr>
        <w:t xml:space="preserve">en </w:t>
      </w:r>
      <w:r w:rsidR="00B670DE" w:rsidRPr="00987AD4">
        <w:rPr>
          <w:b w:val="0"/>
        </w:rPr>
        <w:t>multi</w:t>
      </w:r>
      <w:r w:rsidR="00987AD4" w:rsidRPr="00987AD4">
        <w:rPr>
          <w:b w:val="0"/>
        </w:rPr>
        <w:t>-</w:t>
      </w:r>
      <w:r w:rsidR="00B670DE" w:rsidRPr="00987AD4">
        <w:rPr>
          <w:b w:val="0"/>
        </w:rPr>
        <w:t>espèces</w:t>
      </w:r>
      <w:r w:rsidR="00D655B5">
        <w:rPr>
          <w:b w:val="0"/>
        </w:rPr>
        <w:t>. Il en est de même pour la charcuterie de porc et de volaille. L</w:t>
      </w:r>
      <w:r w:rsidR="00B670DE" w:rsidRPr="00987AD4">
        <w:rPr>
          <w:b w:val="0"/>
        </w:rPr>
        <w:t xml:space="preserve">a manière avec laquelle </w:t>
      </w:r>
      <w:r w:rsidR="00D655B5">
        <w:rPr>
          <w:b w:val="0"/>
        </w:rPr>
        <w:t>l</w:t>
      </w:r>
      <w:r w:rsidR="00987AD4" w:rsidRPr="00987AD4">
        <w:rPr>
          <w:b w:val="0"/>
        </w:rPr>
        <w:t>es produits du porc</w:t>
      </w:r>
      <w:r w:rsidR="00A1759C">
        <w:rPr>
          <w:b w:val="0"/>
        </w:rPr>
        <w:t xml:space="preserve"> </w:t>
      </w:r>
      <w:r w:rsidR="00D655B5">
        <w:rPr>
          <w:b w:val="0"/>
        </w:rPr>
        <w:t>sont</w:t>
      </w:r>
      <w:r w:rsidR="00A1759C">
        <w:rPr>
          <w:b w:val="0"/>
        </w:rPr>
        <w:t xml:space="preserve"> déterminé</w:t>
      </w:r>
      <w:r w:rsidR="00D655B5">
        <w:rPr>
          <w:b w:val="0"/>
        </w:rPr>
        <w:t>s</w:t>
      </w:r>
      <w:r w:rsidR="00B670DE" w:rsidRPr="00987AD4">
        <w:rPr>
          <w:b w:val="0"/>
        </w:rPr>
        <w:t xml:space="preserve"> </w:t>
      </w:r>
      <w:r w:rsidR="008549CB">
        <w:rPr>
          <w:b w:val="0"/>
        </w:rPr>
        <w:t>manque de lisibilité</w:t>
      </w:r>
      <w:r w:rsidR="00D655B5">
        <w:rPr>
          <w:b w:val="0"/>
        </w:rPr>
        <w:t xml:space="preserve">. </w:t>
      </w:r>
    </w:p>
    <w:p w14:paraId="5FF9C7F1" w14:textId="1C3A4C1C" w:rsidR="0031778B" w:rsidRPr="0031778B" w:rsidRDefault="005238BB" w:rsidP="005137FE">
      <w:pPr>
        <w:pStyle w:val="ValrieN2"/>
        <w:numPr>
          <w:ilvl w:val="0"/>
          <w:numId w:val="7"/>
        </w:numPr>
        <w:spacing w:after="0"/>
        <w:ind w:left="284"/>
      </w:pPr>
      <w:r w:rsidRPr="00D655B5">
        <w:rPr>
          <w:b w:val="0"/>
          <w:u w:val="single"/>
        </w:rPr>
        <w:t>Les</w:t>
      </w:r>
      <w:r w:rsidR="00D655B5">
        <w:rPr>
          <w:b w:val="0"/>
          <w:u w:val="single"/>
        </w:rPr>
        <w:t xml:space="preserve"> </w:t>
      </w:r>
      <w:r w:rsidR="00D655B5" w:rsidRPr="00D655B5">
        <w:rPr>
          <w:b w:val="0"/>
          <w:u w:val="single"/>
        </w:rPr>
        <w:t>circuits de distribution </w:t>
      </w:r>
      <w:r w:rsidR="00D655B5" w:rsidRPr="00D655B5">
        <w:rPr>
          <w:b w:val="0"/>
        </w:rPr>
        <w:t xml:space="preserve">: la taille </w:t>
      </w:r>
      <w:r w:rsidR="00D655B5">
        <w:rPr>
          <w:b w:val="0"/>
        </w:rPr>
        <w:t xml:space="preserve">du panel </w:t>
      </w:r>
      <w:r w:rsidR="009A70B9">
        <w:rPr>
          <w:b w:val="0"/>
        </w:rPr>
        <w:t>d’opérateurs finaux et sa représentativité ne sont pas clairement établis.</w:t>
      </w:r>
      <w:r w:rsidR="005137FE">
        <w:t xml:space="preserve"> </w:t>
      </w:r>
      <w:r w:rsidR="005137FE" w:rsidRPr="005137FE">
        <w:rPr>
          <w:b w:val="0"/>
        </w:rPr>
        <w:t>Au</w:t>
      </w:r>
      <w:r w:rsidR="0031778B" w:rsidRPr="005137FE">
        <w:rPr>
          <w:b w:val="0"/>
        </w:rPr>
        <w:t xml:space="preserve"> sein des circuits de vente alternatifs, la catégorie des points de vente ambulants et saisonniers </w:t>
      </w:r>
      <w:r w:rsidR="005137FE" w:rsidRPr="005137FE">
        <w:rPr>
          <w:b w:val="0"/>
        </w:rPr>
        <w:t xml:space="preserve">n’est pas </w:t>
      </w:r>
      <w:r w:rsidR="0031778B" w:rsidRPr="005137FE">
        <w:rPr>
          <w:b w:val="0"/>
        </w:rPr>
        <w:t>pris</w:t>
      </w:r>
      <w:r w:rsidR="005137FE" w:rsidRPr="005137FE">
        <w:rPr>
          <w:b w:val="0"/>
        </w:rPr>
        <w:t>e</w:t>
      </w:r>
      <w:r w:rsidR="0031778B" w:rsidRPr="005137FE">
        <w:rPr>
          <w:b w:val="0"/>
        </w:rPr>
        <w:t xml:space="preserve"> en compte</w:t>
      </w:r>
      <w:r w:rsidR="005137FE" w:rsidRPr="005137FE">
        <w:rPr>
          <w:b w:val="0"/>
        </w:rPr>
        <w:t xml:space="preserve"> avec notamment une consommation en saucisserie. Par ailleurs, </w:t>
      </w:r>
      <w:r w:rsidR="0031778B" w:rsidRPr="005137FE">
        <w:rPr>
          <w:b w:val="0"/>
        </w:rPr>
        <w:t>le développement de la restauration asiatique (hors sushis) est passé de 6</w:t>
      </w:r>
      <w:r w:rsidR="008549CB">
        <w:rPr>
          <w:b w:val="0"/>
        </w:rPr>
        <w:t> </w:t>
      </w:r>
      <w:r w:rsidR="0031778B" w:rsidRPr="005137FE">
        <w:rPr>
          <w:b w:val="0"/>
        </w:rPr>
        <w:t>000 points de vente en 2</w:t>
      </w:r>
      <w:r w:rsidR="008549CB">
        <w:rPr>
          <w:b w:val="0"/>
        </w:rPr>
        <w:t> </w:t>
      </w:r>
      <w:r w:rsidR="0031778B" w:rsidRPr="005137FE">
        <w:rPr>
          <w:b w:val="0"/>
        </w:rPr>
        <w:t>000 à plus de 20 000 établissements de r</w:t>
      </w:r>
      <w:r w:rsidR="005137FE" w:rsidRPr="005137FE">
        <w:rPr>
          <w:b w:val="0"/>
        </w:rPr>
        <w:t>e</w:t>
      </w:r>
      <w:r w:rsidR="0031778B" w:rsidRPr="005137FE">
        <w:rPr>
          <w:b w:val="0"/>
        </w:rPr>
        <w:t>stauration</w:t>
      </w:r>
      <w:r w:rsidR="005137FE" w:rsidRPr="005137FE">
        <w:rPr>
          <w:b w:val="0"/>
        </w:rPr>
        <w:t xml:space="preserve"> vente à emporter incluse</w:t>
      </w:r>
      <w:r w:rsidR="0031778B" w:rsidRPr="005137FE">
        <w:rPr>
          <w:b w:val="0"/>
        </w:rPr>
        <w:t xml:space="preserve"> </w:t>
      </w:r>
      <w:r w:rsidR="005137FE" w:rsidRPr="005137FE">
        <w:rPr>
          <w:b w:val="0"/>
        </w:rPr>
        <w:t xml:space="preserve">dans lesquels la viande de porc est mise en avant </w:t>
      </w:r>
      <w:r w:rsidR="005137FE">
        <w:rPr>
          <w:b w:val="0"/>
        </w:rPr>
        <w:t>et doté de</w:t>
      </w:r>
      <w:r w:rsidR="0031778B" w:rsidRPr="005137FE">
        <w:rPr>
          <w:b w:val="0"/>
        </w:rPr>
        <w:t xml:space="preserve"> leur propre circuit d’approvisionnement </w:t>
      </w:r>
      <w:r w:rsidR="005137FE" w:rsidRPr="005137FE">
        <w:rPr>
          <w:b w:val="0"/>
        </w:rPr>
        <w:t xml:space="preserve">et </w:t>
      </w:r>
      <w:r w:rsidR="0031778B" w:rsidRPr="005137FE">
        <w:rPr>
          <w:b w:val="0"/>
        </w:rPr>
        <w:t>selon l’UCHRA (Union des Hôteliers, restaurateurs et cafetiers asiatiques)</w:t>
      </w:r>
      <w:r w:rsidR="005137FE" w:rsidRPr="005137FE">
        <w:rPr>
          <w:b w:val="0"/>
        </w:rPr>
        <w:t>.</w:t>
      </w:r>
    </w:p>
    <w:p w14:paraId="47FCBAFA" w14:textId="10BAE285" w:rsidR="001856F9" w:rsidRDefault="001856F9" w:rsidP="00A63F35">
      <w:pPr>
        <w:pStyle w:val="Titre2"/>
        <w:numPr>
          <w:ilvl w:val="0"/>
          <w:numId w:val="0"/>
        </w:numPr>
        <w:ind w:left="1019"/>
      </w:pPr>
    </w:p>
    <w:p w14:paraId="6C90AF5A" w14:textId="05A401E4" w:rsidR="006529D8" w:rsidRDefault="006529D8" w:rsidP="00A63F35">
      <w:pPr>
        <w:pStyle w:val="Titre2"/>
        <w:numPr>
          <w:ilvl w:val="0"/>
          <w:numId w:val="0"/>
        </w:numPr>
        <w:ind w:left="1019"/>
      </w:pPr>
    </w:p>
    <w:p w14:paraId="7FE93468" w14:textId="65F34135" w:rsidR="006529D8" w:rsidRDefault="006529D8" w:rsidP="00A63F35">
      <w:pPr>
        <w:pStyle w:val="Titre2"/>
        <w:numPr>
          <w:ilvl w:val="0"/>
          <w:numId w:val="0"/>
        </w:numPr>
        <w:ind w:left="1019"/>
      </w:pPr>
    </w:p>
    <w:p w14:paraId="6EA7CB89" w14:textId="77777777" w:rsidR="006529D8" w:rsidRDefault="006529D8" w:rsidP="00A63F35">
      <w:pPr>
        <w:pStyle w:val="Titre2"/>
        <w:numPr>
          <w:ilvl w:val="0"/>
          <w:numId w:val="0"/>
        </w:numPr>
        <w:ind w:left="1019"/>
      </w:pPr>
    </w:p>
    <w:p w14:paraId="3A497D68" w14:textId="18840C7C" w:rsidR="0089741F" w:rsidRDefault="004E4EBD" w:rsidP="00A63F35">
      <w:pPr>
        <w:pStyle w:val="Titre2"/>
        <w:numPr>
          <w:ilvl w:val="0"/>
          <w:numId w:val="0"/>
        </w:numPr>
        <w:ind w:left="360"/>
      </w:pPr>
      <w:bookmarkStart w:id="175" w:name="_Toc78131604"/>
      <w:r w:rsidRPr="001844D8">
        <w:t>3.</w:t>
      </w:r>
      <w:r>
        <w:t>6</w:t>
      </w:r>
      <w:r w:rsidR="001449AF">
        <w:t xml:space="preserve"> </w:t>
      </w:r>
      <w:r w:rsidRPr="001844D8">
        <w:t>Enquête SIQO et Bio</w:t>
      </w:r>
      <w:bookmarkEnd w:id="175"/>
    </w:p>
    <w:p w14:paraId="5339E7D5" w14:textId="53F5D09F" w:rsidR="00A0423B" w:rsidRPr="0056787F" w:rsidRDefault="00A0423B" w:rsidP="00094834">
      <w:pPr>
        <w:pStyle w:val="Titre3"/>
      </w:pPr>
      <w:bookmarkStart w:id="176" w:name="_Toc78131605"/>
      <w:r w:rsidRPr="0056787F">
        <w:lastRenderedPageBreak/>
        <w:t>3.</w:t>
      </w:r>
      <w:r>
        <w:t>6</w:t>
      </w:r>
      <w:r w:rsidRPr="0056787F">
        <w:t>.</w:t>
      </w:r>
      <w:r>
        <w:t>1</w:t>
      </w:r>
      <w:r w:rsidRPr="0056787F">
        <w:t>. L</w:t>
      </w:r>
      <w:r w:rsidR="00F0578E">
        <w:t>a production disponible en</w:t>
      </w:r>
      <w:r w:rsidR="000E615B">
        <w:t xml:space="preserve"> SIQO </w:t>
      </w:r>
      <w:r w:rsidR="00EF6554">
        <w:t>et leur destination par circuit et par produit</w:t>
      </w:r>
      <w:bookmarkEnd w:id="176"/>
    </w:p>
    <w:p w14:paraId="5E841F84" w14:textId="1B819F12" w:rsidR="00F3224D" w:rsidRDefault="00327D56" w:rsidP="00094834">
      <w:pPr>
        <w:rPr>
          <w:b/>
        </w:rPr>
      </w:pPr>
      <w:r>
        <w:t>Sylaporc en partenariat avec Inaporc collecte auprès de</w:t>
      </w:r>
      <w:r w:rsidR="00F3224D">
        <w:t xml:space="preserve"> l’ensemble des</w:t>
      </w:r>
      <w:r>
        <w:t xml:space="preserve"> adhérents des ODG (Organismes de Défense et de Gestion) les volumes réalisés aux différents stades de transformation de la filière.</w:t>
      </w:r>
    </w:p>
    <w:p w14:paraId="41730229" w14:textId="4064C0AE" w:rsidR="001449AF" w:rsidRPr="001449AF" w:rsidRDefault="00EF6554" w:rsidP="00094834">
      <w:pPr>
        <w:rPr>
          <w:b/>
        </w:rPr>
      </w:pPr>
      <w:r>
        <w:t>L</w:t>
      </w:r>
      <w:r w:rsidR="00327D56">
        <w:t>es</w:t>
      </w:r>
      <w:r w:rsidR="0064679F">
        <w:t xml:space="preserve"> SIQO</w:t>
      </w:r>
      <w:r w:rsidR="00327D56">
        <w:t xml:space="preserve"> (Signes d’Identification de </w:t>
      </w:r>
      <w:r w:rsidR="00F3224D">
        <w:t>Q</w:t>
      </w:r>
      <w:r w:rsidR="00327D56">
        <w:t>ualité et d’Origine)</w:t>
      </w:r>
      <w:r w:rsidR="00F110F2">
        <w:t xml:space="preserve"> représentent 4,3</w:t>
      </w:r>
      <w:r w:rsidR="006529D8">
        <w:t> </w:t>
      </w:r>
      <w:r w:rsidR="00F110F2">
        <w:t xml:space="preserve">% de la production française exprimée en </w:t>
      </w:r>
      <w:r w:rsidR="00F110F2" w:rsidRPr="00F110F2">
        <w:t>nombre de têtes commercialisées par rapport au</w:t>
      </w:r>
      <w:r w:rsidR="00F3224D">
        <w:t xml:space="preserve"> total des</w:t>
      </w:r>
      <w:r w:rsidR="00F110F2" w:rsidRPr="00F110F2">
        <w:t xml:space="preserve"> </w:t>
      </w:r>
      <w:r w:rsidR="00F3224D">
        <w:t>porcins</w:t>
      </w:r>
      <w:r w:rsidR="00F110F2" w:rsidRPr="00F110F2">
        <w:t xml:space="preserve"> abattus en </w:t>
      </w:r>
      <w:r w:rsidR="00F110F2">
        <w:t>France.</w:t>
      </w:r>
      <w:r w:rsidR="00F3224D">
        <w:t xml:space="preserve"> </w:t>
      </w:r>
      <w:r w:rsidR="001449AF" w:rsidRPr="001449AF">
        <w:t xml:space="preserve">A titre de comparaison, </w:t>
      </w:r>
      <w:r w:rsidR="001449AF" w:rsidRPr="00E778BE">
        <w:t>la part de volailles abattues sous Label Rouge correspond à 57</w:t>
      </w:r>
      <w:r w:rsidR="008549CB" w:rsidRPr="00E778BE">
        <w:t> </w:t>
      </w:r>
      <w:r w:rsidR="001449AF" w:rsidRPr="00E778BE">
        <w:t>% du total volailles</w:t>
      </w:r>
      <w:r w:rsidR="00E778BE">
        <w:t xml:space="preserve"> en prêt à cuire</w:t>
      </w:r>
      <w:r w:rsidR="000301D9" w:rsidRPr="00E778BE">
        <w:t>.</w:t>
      </w:r>
      <w:r w:rsidR="00E232E9">
        <w:t xml:space="preserve"> Les produits finis sous SIQO doivent impérativement être produits à partir d’animaux élevés selon le cahier des charges des SIQO. Mais la réciproque n’est pas vraie. En raison des différences de demande exercées sur les différents produits ou d’exigences de conformité en abattoirs ou à des stades ultérieurs de la filière de production, les animaux produits sous SIQO ne sont pas valorisés à 100</w:t>
      </w:r>
      <w:r w:rsidR="006529D8">
        <w:t xml:space="preserve"> </w:t>
      </w:r>
      <w:r w:rsidR="00E232E9">
        <w:t>% par des produits sous SIQO.</w:t>
      </w:r>
    </w:p>
    <w:p w14:paraId="18A6AE3B" w14:textId="5D75A8F4" w:rsidR="001449AF" w:rsidRPr="001449AF" w:rsidRDefault="00EF6554" w:rsidP="00094834">
      <w:pPr>
        <w:rPr>
          <w:b/>
        </w:rPr>
      </w:pPr>
      <w:r>
        <w:t>Ainsi, l</w:t>
      </w:r>
      <w:r w:rsidR="001449AF" w:rsidRPr="001449AF">
        <w:t xml:space="preserve">e nombre total de porcs commercialisés sous signes officiels d'identification de SIQO s'élevait en 2018 à </w:t>
      </w:r>
      <w:r w:rsidR="00F3224D">
        <w:t>1,026 millions</w:t>
      </w:r>
      <w:r w:rsidR="000301D9">
        <w:t>, le signe Label Rouge associé à l’IGP inclus</w:t>
      </w:r>
      <w:r w:rsidR="00F3224D">
        <w:t xml:space="preserve">. </w:t>
      </w:r>
      <w:r w:rsidR="00F110F2">
        <w:t>Le label Rouge domine de loin sur l’ensemble des SIQO</w:t>
      </w:r>
      <w:r w:rsidR="00327D56">
        <w:t xml:space="preserve"> avec </w:t>
      </w:r>
      <w:r w:rsidR="000301D9">
        <w:t>plus de 85</w:t>
      </w:r>
      <w:r w:rsidR="008549CB">
        <w:t> </w:t>
      </w:r>
      <w:r w:rsidR="000301D9">
        <w:t xml:space="preserve">% </w:t>
      </w:r>
      <w:r w:rsidR="00327D56">
        <w:t>devant les IGP et AOP</w:t>
      </w:r>
      <w:r w:rsidR="001449AF" w:rsidRPr="001449AF">
        <w:t xml:space="preserve">. </w:t>
      </w:r>
    </w:p>
    <w:p w14:paraId="5108A606" w14:textId="0929BFA4" w:rsidR="00C24CF7" w:rsidRDefault="00F0578E" w:rsidP="00F0578E">
      <w:pPr>
        <w:pStyle w:val="ValrieN1"/>
        <w:jc w:val="center"/>
        <w:rPr>
          <w:b w:val="0"/>
          <w:sz w:val="22"/>
          <w:szCs w:val="22"/>
        </w:rPr>
      </w:pPr>
      <w:r w:rsidRPr="00F0578E">
        <w:rPr>
          <w:noProof/>
          <w:highlight w:val="darkGray"/>
        </w:rPr>
        <w:drawing>
          <wp:inline distT="0" distB="0" distL="0" distR="0" wp14:anchorId="10915B4E" wp14:editId="31601246">
            <wp:extent cx="4447607" cy="1897039"/>
            <wp:effectExtent l="0" t="0" r="0" b="8255"/>
            <wp:docPr id="20" name="Graphique 20">
              <a:extLst xmlns:a="http://schemas.openxmlformats.org/drawingml/2006/main">
                <a:ext uri="{FF2B5EF4-FFF2-40B4-BE49-F238E27FC236}">
                  <a16:creationId xmlns:a16="http://schemas.microsoft.com/office/drawing/2014/main" id="{56EA5966-2E16-4EA2-842E-336A6C9598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12AFE925" w14:textId="486A79AD" w:rsidR="00094834" w:rsidRPr="00094834" w:rsidRDefault="00F0578E" w:rsidP="00094834">
      <w:pPr>
        <w:pStyle w:val="figure"/>
      </w:pPr>
      <w:bookmarkStart w:id="177" w:name="_Toc69511412"/>
      <w:r w:rsidRPr="00094834">
        <w:t xml:space="preserve">Figure </w:t>
      </w:r>
      <w:r w:rsidR="00E27D6E">
        <w:fldChar w:fldCharType="begin"/>
      </w:r>
      <w:r w:rsidR="00E27D6E">
        <w:instrText xml:space="preserve"> SEQ Figure \* ARABIC </w:instrText>
      </w:r>
      <w:r w:rsidR="00E27D6E">
        <w:fldChar w:fldCharType="separate"/>
      </w:r>
      <w:r w:rsidR="0007597F">
        <w:rPr>
          <w:noProof/>
        </w:rPr>
        <w:t>20</w:t>
      </w:r>
      <w:r w:rsidR="00E27D6E">
        <w:rPr>
          <w:noProof/>
        </w:rPr>
        <w:fldChar w:fldCharType="end"/>
      </w:r>
      <w:r w:rsidR="00AC4581">
        <w:t xml:space="preserve"> : </w:t>
      </w:r>
      <w:r w:rsidRPr="00094834">
        <w:t xml:space="preserve">Nombre de porcins en têtes commercialisés en </w:t>
      </w:r>
      <w:r w:rsidR="00F3224D" w:rsidRPr="00094834">
        <w:t>Label Rouge de</w:t>
      </w:r>
      <w:r w:rsidRPr="00094834">
        <w:t xml:space="preserve"> 2012 à 2018</w:t>
      </w:r>
      <w:bookmarkEnd w:id="177"/>
    </w:p>
    <w:p w14:paraId="15E31FDB" w14:textId="70309423" w:rsidR="00F0578E" w:rsidRPr="00F0578E" w:rsidRDefault="00071C2B" w:rsidP="00094834">
      <w:pPr>
        <w:pStyle w:val="Lgende"/>
        <w:rPr>
          <w:b/>
        </w:rPr>
      </w:pPr>
      <w:r w:rsidRPr="00523A4E">
        <w:t>(</w:t>
      </w:r>
      <w:r w:rsidR="00F0578E" w:rsidRPr="00F0578E">
        <w:t>Source : Sylaporc</w:t>
      </w:r>
      <w:r>
        <w:t>)</w:t>
      </w:r>
    </w:p>
    <w:p w14:paraId="1FC9F601" w14:textId="782F8F0D" w:rsidR="00A601C4" w:rsidRDefault="000301D9" w:rsidP="00523A4E">
      <w:pPr>
        <w:pStyle w:val="ValrieN1"/>
        <w:ind w:left="0"/>
        <w:rPr>
          <w:b w:val="0"/>
          <w:sz w:val="22"/>
          <w:szCs w:val="22"/>
        </w:rPr>
      </w:pPr>
      <w:r>
        <w:rPr>
          <w:b w:val="0"/>
          <w:sz w:val="22"/>
          <w:szCs w:val="22"/>
        </w:rPr>
        <w:t xml:space="preserve">Pour ce qui est de la transformation, </w:t>
      </w:r>
      <w:r w:rsidR="00123319">
        <w:rPr>
          <w:b w:val="0"/>
          <w:sz w:val="22"/>
          <w:szCs w:val="22"/>
        </w:rPr>
        <w:t xml:space="preserve">plus de la moitié des </w:t>
      </w:r>
      <w:r w:rsidR="00EF6554">
        <w:rPr>
          <w:b w:val="0"/>
          <w:sz w:val="22"/>
          <w:szCs w:val="22"/>
        </w:rPr>
        <w:t>16,4</w:t>
      </w:r>
      <w:r w:rsidR="006529D8">
        <w:rPr>
          <w:b w:val="0"/>
          <w:sz w:val="22"/>
          <w:szCs w:val="22"/>
        </w:rPr>
        <w:t> </w:t>
      </w:r>
      <w:r w:rsidR="00EF6554">
        <w:rPr>
          <w:b w:val="0"/>
          <w:sz w:val="22"/>
          <w:szCs w:val="22"/>
        </w:rPr>
        <w:t>kt réalisées en 2018,</w:t>
      </w:r>
      <w:r w:rsidR="006E6C88">
        <w:rPr>
          <w:b w:val="0"/>
          <w:sz w:val="22"/>
          <w:szCs w:val="22"/>
        </w:rPr>
        <w:t xml:space="preserve"> </w:t>
      </w:r>
      <w:r w:rsidR="00123319">
        <w:rPr>
          <w:b w:val="0"/>
          <w:sz w:val="22"/>
          <w:szCs w:val="22"/>
        </w:rPr>
        <w:t>sont absorbé</w:t>
      </w:r>
      <w:r w:rsidR="00EF6554">
        <w:rPr>
          <w:b w:val="0"/>
          <w:sz w:val="22"/>
          <w:szCs w:val="22"/>
        </w:rPr>
        <w:t>e</w:t>
      </w:r>
      <w:r w:rsidR="00123319">
        <w:rPr>
          <w:b w:val="0"/>
          <w:sz w:val="22"/>
          <w:szCs w:val="22"/>
        </w:rPr>
        <w:t>s par l</w:t>
      </w:r>
      <w:r w:rsidR="006E6C88">
        <w:rPr>
          <w:b w:val="0"/>
          <w:sz w:val="22"/>
          <w:szCs w:val="22"/>
        </w:rPr>
        <w:t xml:space="preserve">es produits de charcuterie </w:t>
      </w:r>
      <w:r w:rsidR="00EF6554">
        <w:rPr>
          <w:b w:val="0"/>
          <w:sz w:val="22"/>
          <w:szCs w:val="22"/>
        </w:rPr>
        <w:t xml:space="preserve">et de saucisserie fraîche </w:t>
      </w:r>
      <w:r w:rsidR="006E6C88">
        <w:rPr>
          <w:b w:val="0"/>
          <w:sz w:val="22"/>
          <w:szCs w:val="22"/>
        </w:rPr>
        <w:t>(55</w:t>
      </w:r>
      <w:r w:rsidR="00880957">
        <w:rPr>
          <w:b w:val="0"/>
          <w:sz w:val="22"/>
          <w:szCs w:val="22"/>
        </w:rPr>
        <w:t> </w:t>
      </w:r>
      <w:r w:rsidR="006E6C88">
        <w:rPr>
          <w:b w:val="0"/>
          <w:sz w:val="22"/>
          <w:szCs w:val="22"/>
        </w:rPr>
        <w:t xml:space="preserve">%) devant la viande </w:t>
      </w:r>
      <w:r w:rsidR="006529D8">
        <w:rPr>
          <w:b w:val="0"/>
          <w:sz w:val="22"/>
          <w:szCs w:val="22"/>
        </w:rPr>
        <w:t xml:space="preserve">(45%) </w:t>
      </w:r>
      <w:r w:rsidR="00EF6554">
        <w:rPr>
          <w:b w:val="0"/>
          <w:sz w:val="22"/>
          <w:szCs w:val="22"/>
        </w:rPr>
        <w:t>à destination de la</w:t>
      </w:r>
      <w:r w:rsidR="006E6C88">
        <w:rPr>
          <w:b w:val="0"/>
          <w:sz w:val="22"/>
          <w:szCs w:val="22"/>
        </w:rPr>
        <w:t xml:space="preserve"> GSA (28</w:t>
      </w:r>
      <w:r w:rsidR="00633430">
        <w:rPr>
          <w:b w:val="0"/>
          <w:sz w:val="22"/>
          <w:szCs w:val="22"/>
        </w:rPr>
        <w:t> </w:t>
      </w:r>
      <w:r w:rsidR="006E6C88">
        <w:rPr>
          <w:b w:val="0"/>
          <w:sz w:val="22"/>
          <w:szCs w:val="22"/>
        </w:rPr>
        <w:t>%)</w:t>
      </w:r>
      <w:r w:rsidR="00EF6554">
        <w:rPr>
          <w:b w:val="0"/>
          <w:sz w:val="22"/>
          <w:szCs w:val="22"/>
        </w:rPr>
        <w:t>, des bouchers charcutiers (15</w:t>
      </w:r>
      <w:r w:rsidR="00880957">
        <w:rPr>
          <w:b w:val="0"/>
          <w:sz w:val="22"/>
          <w:szCs w:val="22"/>
        </w:rPr>
        <w:t> </w:t>
      </w:r>
      <w:r w:rsidR="00EF6554">
        <w:rPr>
          <w:b w:val="0"/>
          <w:sz w:val="22"/>
          <w:szCs w:val="22"/>
        </w:rPr>
        <w:t xml:space="preserve">%) et </w:t>
      </w:r>
      <w:r w:rsidR="00523A4E">
        <w:rPr>
          <w:b w:val="0"/>
          <w:sz w:val="22"/>
          <w:szCs w:val="22"/>
        </w:rPr>
        <w:t xml:space="preserve">de </w:t>
      </w:r>
      <w:r w:rsidR="00EF6554">
        <w:rPr>
          <w:b w:val="0"/>
          <w:sz w:val="22"/>
          <w:szCs w:val="22"/>
        </w:rPr>
        <w:t>la restauration hors domicile (2</w:t>
      </w:r>
      <w:r w:rsidR="00094834">
        <w:rPr>
          <w:b w:val="0"/>
          <w:sz w:val="22"/>
          <w:szCs w:val="22"/>
        </w:rPr>
        <w:t> </w:t>
      </w:r>
      <w:r w:rsidR="00EF6554">
        <w:rPr>
          <w:b w:val="0"/>
          <w:sz w:val="22"/>
          <w:szCs w:val="22"/>
        </w:rPr>
        <w:t xml:space="preserve">%). </w:t>
      </w:r>
    </w:p>
    <w:p w14:paraId="42DF1E96" w14:textId="2D5C9992" w:rsidR="001F2CEA" w:rsidRDefault="006E6C88" w:rsidP="006E6C88">
      <w:pPr>
        <w:pStyle w:val="ValrieN1"/>
        <w:jc w:val="center"/>
        <w:rPr>
          <w:b w:val="0"/>
          <w:sz w:val="22"/>
          <w:szCs w:val="22"/>
        </w:rPr>
      </w:pPr>
      <w:r>
        <w:rPr>
          <w:noProof/>
        </w:rPr>
        <w:drawing>
          <wp:inline distT="0" distB="0" distL="0" distR="0" wp14:anchorId="4D61ACF4" wp14:editId="4EE39910">
            <wp:extent cx="4448175" cy="1257300"/>
            <wp:effectExtent l="0" t="0" r="0" b="0"/>
            <wp:docPr id="28" name="Graphique 28">
              <a:extLst xmlns:a="http://schemas.openxmlformats.org/drawingml/2006/main">
                <a:ext uri="{FF2B5EF4-FFF2-40B4-BE49-F238E27FC236}">
                  <a16:creationId xmlns:a16="http://schemas.microsoft.com/office/drawing/2014/main" id="{F0B347D4-7A42-4DDF-BE62-7F033646BE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1EA09B38" w14:textId="40076C0A" w:rsidR="00B407F0" w:rsidRDefault="00EF6554" w:rsidP="00187C22">
      <w:pPr>
        <w:pStyle w:val="figure"/>
      </w:pPr>
      <w:bookmarkStart w:id="178" w:name="_Toc69511413"/>
      <w:r w:rsidRPr="00EF6554">
        <w:t xml:space="preserve">Figure </w:t>
      </w:r>
      <w:r w:rsidR="00E27D6E">
        <w:fldChar w:fldCharType="begin"/>
      </w:r>
      <w:r w:rsidR="00E27D6E">
        <w:instrText xml:space="preserve"> SEQ Figure \* ARABIC </w:instrText>
      </w:r>
      <w:r w:rsidR="00E27D6E">
        <w:fldChar w:fldCharType="separate"/>
      </w:r>
      <w:r w:rsidR="0007597F">
        <w:rPr>
          <w:noProof/>
        </w:rPr>
        <w:t>21</w:t>
      </w:r>
      <w:r w:rsidR="00E27D6E">
        <w:rPr>
          <w:noProof/>
        </w:rPr>
        <w:fldChar w:fldCharType="end"/>
      </w:r>
      <w:r w:rsidR="00AC4581">
        <w:rPr>
          <w:i/>
        </w:rPr>
        <w:t> :</w:t>
      </w:r>
      <w:r>
        <w:t xml:space="preserve"> Ventilation par destination des produits label Rouge en sortie de seconde découpe</w:t>
      </w:r>
      <w:r w:rsidR="00DC2AB8">
        <w:t xml:space="preserve"> </w:t>
      </w:r>
      <w:r>
        <w:t>et piéçage</w:t>
      </w:r>
      <w:bookmarkEnd w:id="178"/>
    </w:p>
    <w:p w14:paraId="64032916" w14:textId="3694A3AF" w:rsidR="00EF6554" w:rsidRPr="00F0578E" w:rsidRDefault="005650DB" w:rsidP="00B407F0">
      <w:pPr>
        <w:pStyle w:val="Lgende"/>
        <w:rPr>
          <w:b/>
        </w:rPr>
      </w:pPr>
      <w:r>
        <w:t>(</w:t>
      </w:r>
      <w:r w:rsidR="00EF6554" w:rsidRPr="00F0578E">
        <w:t>Source : Sylaporc</w:t>
      </w:r>
      <w:r>
        <w:t>)</w:t>
      </w:r>
    </w:p>
    <w:p w14:paraId="63A4D9A6" w14:textId="52DC0230" w:rsidR="001F2CEA" w:rsidRDefault="00EF6554" w:rsidP="0005604A">
      <w:pPr>
        <w:pStyle w:val="ValrieN1"/>
        <w:ind w:left="0"/>
        <w:rPr>
          <w:b w:val="0"/>
          <w:sz w:val="22"/>
          <w:szCs w:val="22"/>
        </w:rPr>
      </w:pPr>
      <w:r>
        <w:rPr>
          <w:b w:val="0"/>
          <w:sz w:val="22"/>
          <w:szCs w:val="22"/>
        </w:rPr>
        <w:t>Au sein d</w:t>
      </w:r>
      <w:r w:rsidR="00D0395C">
        <w:rPr>
          <w:b w:val="0"/>
          <w:sz w:val="22"/>
          <w:szCs w:val="22"/>
        </w:rPr>
        <w:t>u total charcuterie et sauciss</w:t>
      </w:r>
      <w:r w:rsidR="00A42161">
        <w:rPr>
          <w:b w:val="0"/>
          <w:sz w:val="22"/>
          <w:szCs w:val="22"/>
        </w:rPr>
        <w:t>erie, le</w:t>
      </w:r>
      <w:r w:rsidR="00523A4E">
        <w:rPr>
          <w:b w:val="0"/>
          <w:sz w:val="22"/>
          <w:szCs w:val="22"/>
        </w:rPr>
        <w:t>s produits</w:t>
      </w:r>
      <w:r w:rsidR="00A42161">
        <w:rPr>
          <w:b w:val="0"/>
          <w:sz w:val="22"/>
          <w:szCs w:val="22"/>
        </w:rPr>
        <w:t xml:space="preserve"> Label Rouge représente</w:t>
      </w:r>
      <w:r w:rsidR="00523A4E">
        <w:rPr>
          <w:b w:val="0"/>
          <w:sz w:val="22"/>
          <w:szCs w:val="22"/>
        </w:rPr>
        <w:t>nt</w:t>
      </w:r>
      <w:r w:rsidR="00A42161">
        <w:rPr>
          <w:b w:val="0"/>
          <w:sz w:val="22"/>
          <w:szCs w:val="22"/>
        </w:rPr>
        <w:t xml:space="preserve"> environ</w:t>
      </w:r>
      <w:r w:rsidR="0005604A">
        <w:rPr>
          <w:b w:val="0"/>
          <w:sz w:val="22"/>
          <w:szCs w:val="22"/>
        </w:rPr>
        <w:t xml:space="preserve"> 16,5</w:t>
      </w:r>
      <w:r w:rsidR="006529D8">
        <w:rPr>
          <w:b w:val="0"/>
          <w:sz w:val="22"/>
          <w:szCs w:val="22"/>
        </w:rPr>
        <w:t> </w:t>
      </w:r>
      <w:r w:rsidR="0005604A">
        <w:rPr>
          <w:b w:val="0"/>
          <w:sz w:val="22"/>
          <w:szCs w:val="22"/>
        </w:rPr>
        <w:t xml:space="preserve">kt soient </w:t>
      </w:r>
      <w:r w:rsidR="00A42161">
        <w:rPr>
          <w:b w:val="0"/>
          <w:sz w:val="22"/>
          <w:szCs w:val="22"/>
        </w:rPr>
        <w:t>2,5</w:t>
      </w:r>
      <w:r w:rsidR="00633430">
        <w:rPr>
          <w:b w:val="0"/>
          <w:sz w:val="22"/>
          <w:szCs w:val="22"/>
        </w:rPr>
        <w:t> </w:t>
      </w:r>
      <w:r w:rsidR="00A42161">
        <w:rPr>
          <w:b w:val="0"/>
          <w:sz w:val="22"/>
          <w:szCs w:val="22"/>
        </w:rPr>
        <w:t xml:space="preserve">% de la production </w:t>
      </w:r>
      <w:r w:rsidR="0005604A">
        <w:rPr>
          <w:b w:val="0"/>
          <w:sz w:val="22"/>
          <w:szCs w:val="22"/>
        </w:rPr>
        <w:t>et sont portés par les jambons cuits et secs (</w:t>
      </w:r>
      <w:r w:rsidR="009D1D45">
        <w:rPr>
          <w:b w:val="0"/>
          <w:sz w:val="22"/>
          <w:szCs w:val="22"/>
        </w:rPr>
        <w:t>36</w:t>
      </w:r>
      <w:r w:rsidR="00633430">
        <w:rPr>
          <w:b w:val="0"/>
          <w:sz w:val="22"/>
          <w:szCs w:val="22"/>
        </w:rPr>
        <w:t> </w:t>
      </w:r>
      <w:r w:rsidR="009D1D45">
        <w:rPr>
          <w:b w:val="0"/>
          <w:sz w:val="22"/>
          <w:szCs w:val="22"/>
        </w:rPr>
        <w:t>%) devant les saucissons secs (34</w:t>
      </w:r>
      <w:r w:rsidR="00633430">
        <w:rPr>
          <w:b w:val="0"/>
          <w:sz w:val="22"/>
          <w:szCs w:val="22"/>
        </w:rPr>
        <w:t> </w:t>
      </w:r>
      <w:r w:rsidR="009D1D45">
        <w:rPr>
          <w:b w:val="0"/>
          <w:sz w:val="22"/>
          <w:szCs w:val="22"/>
        </w:rPr>
        <w:t>%)</w:t>
      </w:r>
      <w:r w:rsidR="00545531">
        <w:rPr>
          <w:b w:val="0"/>
          <w:sz w:val="22"/>
          <w:szCs w:val="22"/>
        </w:rPr>
        <w:t xml:space="preserve">. En relais de ces familles de produits dans lesquelles le Label Rouge était traditionnellement présent, </w:t>
      </w:r>
      <w:r w:rsidR="00523A4E">
        <w:rPr>
          <w:b w:val="0"/>
          <w:sz w:val="22"/>
          <w:szCs w:val="22"/>
        </w:rPr>
        <w:t>l</w:t>
      </w:r>
      <w:r w:rsidR="00545531">
        <w:rPr>
          <w:b w:val="0"/>
          <w:sz w:val="22"/>
          <w:szCs w:val="22"/>
        </w:rPr>
        <w:t>es pâtés et rillettes (+36,7</w:t>
      </w:r>
      <w:r w:rsidR="00633430">
        <w:rPr>
          <w:b w:val="0"/>
          <w:sz w:val="22"/>
          <w:szCs w:val="22"/>
        </w:rPr>
        <w:t> </w:t>
      </w:r>
      <w:r w:rsidR="00545531">
        <w:rPr>
          <w:b w:val="0"/>
          <w:sz w:val="22"/>
          <w:szCs w:val="22"/>
        </w:rPr>
        <w:t xml:space="preserve">%) et </w:t>
      </w:r>
      <w:r w:rsidR="00523A4E">
        <w:rPr>
          <w:b w:val="0"/>
          <w:sz w:val="22"/>
          <w:szCs w:val="22"/>
        </w:rPr>
        <w:t xml:space="preserve">les </w:t>
      </w:r>
      <w:r w:rsidR="00545531">
        <w:rPr>
          <w:b w:val="0"/>
          <w:sz w:val="22"/>
          <w:szCs w:val="22"/>
        </w:rPr>
        <w:t>saucisses fraîches (+44</w:t>
      </w:r>
      <w:r w:rsidR="00633430">
        <w:rPr>
          <w:b w:val="0"/>
          <w:sz w:val="22"/>
          <w:szCs w:val="22"/>
        </w:rPr>
        <w:t> </w:t>
      </w:r>
      <w:r w:rsidR="00545531">
        <w:rPr>
          <w:b w:val="0"/>
          <w:sz w:val="22"/>
          <w:szCs w:val="22"/>
        </w:rPr>
        <w:t>%)</w:t>
      </w:r>
      <w:r w:rsidR="00523A4E">
        <w:rPr>
          <w:b w:val="0"/>
          <w:sz w:val="22"/>
          <w:szCs w:val="22"/>
        </w:rPr>
        <w:t xml:space="preserve"> enregistrent les plus fortes croissances</w:t>
      </w:r>
      <w:r w:rsidR="00545531">
        <w:rPr>
          <w:b w:val="0"/>
          <w:sz w:val="22"/>
          <w:szCs w:val="22"/>
        </w:rPr>
        <w:t xml:space="preserve">. </w:t>
      </w:r>
    </w:p>
    <w:tbl>
      <w:tblPr>
        <w:tblW w:w="8506" w:type="dxa"/>
        <w:jc w:val="center"/>
        <w:tblCellMar>
          <w:left w:w="70" w:type="dxa"/>
          <w:right w:w="70" w:type="dxa"/>
        </w:tblCellMar>
        <w:tblLook w:val="04A0" w:firstRow="1" w:lastRow="0" w:firstColumn="1" w:lastColumn="0" w:noHBand="0" w:noVBand="1"/>
      </w:tblPr>
      <w:tblGrid>
        <w:gridCol w:w="2978"/>
        <w:gridCol w:w="1458"/>
        <w:gridCol w:w="1944"/>
        <w:gridCol w:w="283"/>
        <w:gridCol w:w="1843"/>
      </w:tblGrid>
      <w:tr w:rsidR="00A5177D" w:rsidRPr="003D3054" w14:paraId="715484EE" w14:textId="77777777" w:rsidTr="00883BCD">
        <w:trPr>
          <w:trHeight w:val="339"/>
          <w:jc w:val="center"/>
        </w:trPr>
        <w:tc>
          <w:tcPr>
            <w:tcW w:w="2978"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1C9E7BDA" w14:textId="77777777" w:rsidR="00A5177D" w:rsidRPr="003D3054" w:rsidRDefault="00A5177D" w:rsidP="0005604A">
            <w:pPr>
              <w:spacing w:after="0" w:line="240" w:lineRule="auto"/>
              <w:rPr>
                <w:rFonts w:ascii="Times New Roman" w:eastAsia="Times New Roman" w:hAnsi="Times New Roman" w:cs="Times New Roman"/>
                <w:sz w:val="24"/>
                <w:szCs w:val="24"/>
                <w:lang w:eastAsia="fr-FR"/>
              </w:rPr>
            </w:pPr>
          </w:p>
        </w:tc>
        <w:tc>
          <w:tcPr>
            <w:tcW w:w="145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70222A8" w14:textId="1316C057" w:rsidR="00A5177D" w:rsidRPr="003D3054" w:rsidRDefault="00A5177D" w:rsidP="0005604A">
            <w:pPr>
              <w:spacing w:after="0" w:line="240" w:lineRule="auto"/>
              <w:rPr>
                <w:rFonts w:eastAsia="Times New Roman" w:cs="Arial"/>
                <w:b/>
                <w:bCs/>
                <w:color w:val="000000"/>
                <w:sz w:val="20"/>
                <w:szCs w:val="20"/>
                <w:lang w:eastAsia="fr-FR"/>
              </w:rPr>
            </w:pPr>
            <w:r w:rsidRPr="003D3054">
              <w:rPr>
                <w:rFonts w:eastAsia="Times New Roman" w:cs="Arial"/>
                <w:b/>
                <w:bCs/>
                <w:color w:val="000000"/>
                <w:sz w:val="20"/>
                <w:szCs w:val="20"/>
                <w:lang w:eastAsia="fr-FR"/>
              </w:rPr>
              <w:t>LR</w:t>
            </w:r>
            <w:r>
              <w:rPr>
                <w:rFonts w:eastAsia="Times New Roman" w:cs="Arial"/>
                <w:b/>
                <w:bCs/>
                <w:color w:val="000000"/>
                <w:sz w:val="20"/>
                <w:szCs w:val="20"/>
                <w:lang w:eastAsia="fr-FR"/>
              </w:rPr>
              <w:t xml:space="preserve"> vol.</w:t>
            </w:r>
            <w:r w:rsidR="0005604A">
              <w:rPr>
                <w:rFonts w:eastAsia="Times New Roman" w:cs="Arial"/>
                <w:b/>
                <w:bCs/>
                <w:color w:val="000000"/>
                <w:sz w:val="20"/>
                <w:szCs w:val="20"/>
                <w:lang w:eastAsia="fr-FR"/>
              </w:rPr>
              <w:t xml:space="preserve"> kt</w:t>
            </w:r>
          </w:p>
        </w:tc>
        <w:tc>
          <w:tcPr>
            <w:tcW w:w="194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7F82CF1" w14:textId="0D7355B7" w:rsidR="00A5177D" w:rsidRPr="003D3054" w:rsidRDefault="00A5177D" w:rsidP="0005604A">
            <w:pPr>
              <w:spacing w:after="0" w:line="240" w:lineRule="auto"/>
              <w:rPr>
                <w:rFonts w:eastAsia="Times New Roman" w:cs="Arial"/>
                <w:b/>
                <w:bCs/>
                <w:color w:val="000000"/>
                <w:sz w:val="20"/>
                <w:szCs w:val="20"/>
                <w:lang w:eastAsia="fr-FR"/>
              </w:rPr>
            </w:pPr>
            <w:r w:rsidRPr="003D3054">
              <w:rPr>
                <w:rFonts w:eastAsia="Times New Roman" w:cs="Arial"/>
                <w:b/>
                <w:bCs/>
                <w:color w:val="000000"/>
                <w:sz w:val="20"/>
                <w:szCs w:val="20"/>
                <w:lang w:eastAsia="fr-FR"/>
              </w:rPr>
              <w:t>Evol. vol. 18/17</w:t>
            </w:r>
          </w:p>
        </w:tc>
        <w:tc>
          <w:tcPr>
            <w:tcW w:w="283" w:type="dxa"/>
            <w:tcBorders>
              <w:top w:val="nil"/>
              <w:left w:val="nil"/>
              <w:bottom w:val="nil"/>
              <w:right w:val="nil"/>
            </w:tcBorders>
            <w:shd w:val="clear" w:color="auto" w:fill="auto"/>
            <w:vAlign w:val="center"/>
            <w:hideMark/>
          </w:tcPr>
          <w:p w14:paraId="06E1164F" w14:textId="77777777" w:rsidR="00A5177D" w:rsidRPr="003D3054" w:rsidRDefault="00A5177D" w:rsidP="0005604A">
            <w:pPr>
              <w:spacing w:after="0" w:line="240" w:lineRule="auto"/>
              <w:rPr>
                <w:rFonts w:eastAsia="Times New Roman" w:cs="Arial"/>
                <w:b/>
                <w:bCs/>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7F01B50" w14:textId="4701FCF9" w:rsidR="0005604A" w:rsidRPr="003D3054" w:rsidRDefault="00A5177D" w:rsidP="0005604A">
            <w:pPr>
              <w:spacing w:after="0" w:line="240" w:lineRule="auto"/>
              <w:rPr>
                <w:rFonts w:eastAsia="Times New Roman" w:cs="Arial"/>
                <w:b/>
                <w:bCs/>
                <w:color w:val="000000"/>
                <w:sz w:val="20"/>
                <w:szCs w:val="20"/>
                <w:lang w:eastAsia="fr-FR"/>
              </w:rPr>
            </w:pPr>
            <w:r w:rsidRPr="003D3054">
              <w:rPr>
                <w:rFonts w:eastAsia="Times New Roman" w:cs="Arial"/>
                <w:b/>
                <w:bCs/>
                <w:color w:val="000000"/>
                <w:sz w:val="20"/>
                <w:szCs w:val="20"/>
                <w:lang w:eastAsia="fr-FR"/>
              </w:rPr>
              <w:t>P</w:t>
            </w:r>
            <w:r>
              <w:rPr>
                <w:rFonts w:eastAsia="Times New Roman" w:cs="Arial"/>
                <w:b/>
                <w:bCs/>
                <w:color w:val="000000"/>
                <w:sz w:val="20"/>
                <w:szCs w:val="20"/>
                <w:lang w:eastAsia="fr-FR"/>
              </w:rPr>
              <w:t>art de marché</w:t>
            </w:r>
            <w:r w:rsidRPr="003D3054">
              <w:rPr>
                <w:rFonts w:eastAsia="Times New Roman" w:cs="Arial"/>
                <w:b/>
                <w:bCs/>
                <w:color w:val="000000"/>
                <w:sz w:val="20"/>
                <w:szCs w:val="20"/>
                <w:lang w:eastAsia="fr-FR"/>
              </w:rPr>
              <w:t xml:space="preserve"> Vol</w:t>
            </w:r>
            <w:r w:rsidR="0005604A">
              <w:rPr>
                <w:rFonts w:eastAsia="Times New Roman" w:cs="Arial"/>
                <w:b/>
                <w:bCs/>
                <w:color w:val="000000"/>
                <w:sz w:val="20"/>
                <w:szCs w:val="20"/>
                <w:lang w:eastAsia="fr-FR"/>
              </w:rPr>
              <w:t>. estimée</w:t>
            </w:r>
          </w:p>
        </w:tc>
      </w:tr>
      <w:tr w:rsidR="0005604A" w:rsidRPr="003D3054" w14:paraId="625BE85E" w14:textId="77777777" w:rsidTr="00883BCD">
        <w:trPr>
          <w:trHeight w:val="192"/>
          <w:jc w:val="center"/>
        </w:trPr>
        <w:tc>
          <w:tcPr>
            <w:tcW w:w="297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D4E91" w14:textId="5EB745D8" w:rsidR="0005604A" w:rsidRPr="003D3054" w:rsidRDefault="009D1D45" w:rsidP="0005604A">
            <w:pPr>
              <w:spacing w:after="0" w:line="240" w:lineRule="auto"/>
              <w:rPr>
                <w:rFonts w:eastAsia="Times New Roman" w:cs="Arial"/>
                <w:color w:val="000000"/>
                <w:sz w:val="20"/>
                <w:szCs w:val="20"/>
                <w:lang w:eastAsia="fr-FR"/>
              </w:rPr>
            </w:pPr>
            <w:r>
              <w:rPr>
                <w:rFonts w:eastAsia="Times New Roman" w:cs="Arial"/>
                <w:color w:val="000000"/>
                <w:sz w:val="20"/>
                <w:szCs w:val="20"/>
                <w:lang w:eastAsia="fr-FR"/>
              </w:rPr>
              <w:t xml:space="preserve">Total </w:t>
            </w:r>
          </w:p>
        </w:tc>
        <w:tc>
          <w:tcPr>
            <w:tcW w:w="145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BFAB3" w14:textId="0F656565" w:rsidR="0005604A" w:rsidRPr="003D3054" w:rsidRDefault="0005604A" w:rsidP="009D1D45">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16,5</w:t>
            </w:r>
          </w:p>
        </w:tc>
        <w:tc>
          <w:tcPr>
            <w:tcW w:w="194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D7FC5" w14:textId="68DEA0AE" w:rsidR="0005604A" w:rsidRDefault="009D1D45"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+11,3%</w:t>
            </w:r>
          </w:p>
        </w:tc>
        <w:tc>
          <w:tcPr>
            <w:tcW w:w="283" w:type="dxa"/>
            <w:tcBorders>
              <w:top w:val="nil"/>
              <w:left w:val="nil"/>
              <w:bottom w:val="nil"/>
              <w:right w:val="nil"/>
            </w:tcBorders>
            <w:shd w:val="clear" w:color="auto" w:fill="auto"/>
            <w:noWrap/>
            <w:vAlign w:val="center"/>
          </w:tcPr>
          <w:p w14:paraId="1F2B5AC5" w14:textId="77777777" w:rsidR="0005604A" w:rsidRPr="003D3054" w:rsidRDefault="0005604A" w:rsidP="009D1D45">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4605DD" w14:textId="3FC7154B" w:rsidR="0005604A" w:rsidRDefault="009D1D45" w:rsidP="009D1D45">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_</w:t>
            </w:r>
          </w:p>
        </w:tc>
      </w:tr>
      <w:tr w:rsidR="00545531" w:rsidRPr="003D3054" w14:paraId="456F6214" w14:textId="77777777" w:rsidTr="00883BCD">
        <w:trPr>
          <w:trHeight w:val="300"/>
          <w:jc w:val="center"/>
        </w:trPr>
        <w:tc>
          <w:tcPr>
            <w:tcW w:w="2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7C997E" w14:textId="77777777" w:rsidR="00545531" w:rsidRPr="003D3054" w:rsidRDefault="00545531" w:rsidP="00545531">
            <w:pPr>
              <w:spacing w:after="0" w:line="240" w:lineRule="auto"/>
              <w:rPr>
                <w:rFonts w:eastAsia="Times New Roman" w:cs="Arial"/>
                <w:color w:val="000000"/>
                <w:sz w:val="20"/>
                <w:szCs w:val="20"/>
                <w:lang w:eastAsia="fr-FR"/>
              </w:rPr>
            </w:pPr>
            <w:r w:rsidRPr="003D3054">
              <w:rPr>
                <w:rFonts w:eastAsia="Times New Roman" w:cs="Arial"/>
                <w:color w:val="000000"/>
                <w:sz w:val="20"/>
                <w:szCs w:val="20"/>
                <w:lang w:eastAsia="fr-FR"/>
              </w:rPr>
              <w:t>Jambon cuit et sec</w:t>
            </w:r>
          </w:p>
        </w:tc>
        <w:tc>
          <w:tcPr>
            <w:tcW w:w="1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195A82" w14:textId="77777777" w:rsidR="00545531" w:rsidRPr="003D3054" w:rsidRDefault="00545531" w:rsidP="00545531">
            <w:pPr>
              <w:spacing w:after="0" w:line="240" w:lineRule="auto"/>
              <w:jc w:val="right"/>
              <w:rPr>
                <w:rFonts w:eastAsia="Times New Roman" w:cs="Arial"/>
                <w:color w:val="000000"/>
                <w:sz w:val="20"/>
                <w:szCs w:val="20"/>
                <w:lang w:eastAsia="fr-FR"/>
              </w:rPr>
            </w:pPr>
            <w:r w:rsidRPr="003D3054">
              <w:rPr>
                <w:rFonts w:eastAsia="Times New Roman" w:cs="Arial"/>
                <w:color w:val="000000"/>
                <w:sz w:val="20"/>
                <w:szCs w:val="20"/>
                <w:lang w:eastAsia="fr-FR"/>
              </w:rPr>
              <w:t>5,9</w:t>
            </w:r>
          </w:p>
        </w:tc>
        <w:tc>
          <w:tcPr>
            <w:tcW w:w="19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B1D7A4" w14:textId="0C9103A7" w:rsidR="00545531" w:rsidRPr="003D3054" w:rsidRDefault="00545531" w:rsidP="00545531">
            <w:pPr>
              <w:spacing w:after="0" w:line="240" w:lineRule="auto"/>
              <w:jc w:val="right"/>
              <w:rPr>
                <w:rFonts w:eastAsia="Times New Roman" w:cs="Arial"/>
                <w:color w:val="000000"/>
                <w:sz w:val="20"/>
                <w:szCs w:val="20"/>
                <w:lang w:eastAsia="fr-FR"/>
              </w:rPr>
            </w:pPr>
            <w:r>
              <w:rPr>
                <w:rFonts w:cs="Arial"/>
                <w:color w:val="000000"/>
                <w:sz w:val="20"/>
                <w:szCs w:val="20"/>
              </w:rPr>
              <w:t>+2,3%</w:t>
            </w:r>
          </w:p>
        </w:tc>
        <w:tc>
          <w:tcPr>
            <w:tcW w:w="283" w:type="dxa"/>
            <w:tcBorders>
              <w:top w:val="nil"/>
              <w:left w:val="nil"/>
              <w:bottom w:val="nil"/>
              <w:right w:val="nil"/>
            </w:tcBorders>
            <w:shd w:val="clear" w:color="auto" w:fill="auto"/>
            <w:noWrap/>
            <w:vAlign w:val="center"/>
            <w:hideMark/>
          </w:tcPr>
          <w:p w14:paraId="05AA5AB7" w14:textId="77777777" w:rsidR="00545531" w:rsidRPr="003D3054" w:rsidRDefault="00545531" w:rsidP="00545531">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7D5695" w14:textId="430F0633"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&lt;</w:t>
            </w:r>
            <w:r w:rsidRPr="003D3054">
              <w:rPr>
                <w:rFonts w:eastAsia="Times New Roman" w:cs="Arial"/>
                <w:color w:val="000000"/>
                <w:sz w:val="20"/>
                <w:szCs w:val="20"/>
                <w:lang w:eastAsia="fr-FR"/>
              </w:rPr>
              <w:t>3%</w:t>
            </w:r>
          </w:p>
        </w:tc>
      </w:tr>
      <w:tr w:rsidR="00545531" w:rsidRPr="003D3054" w14:paraId="6E5626B7" w14:textId="77777777" w:rsidTr="00883BCD">
        <w:trPr>
          <w:trHeight w:val="300"/>
          <w:jc w:val="center"/>
        </w:trPr>
        <w:tc>
          <w:tcPr>
            <w:tcW w:w="297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D126BD6" w14:textId="77777777" w:rsidR="00545531" w:rsidRPr="003D3054" w:rsidRDefault="00545531" w:rsidP="00545531">
            <w:pPr>
              <w:spacing w:after="0" w:line="240" w:lineRule="auto"/>
              <w:rPr>
                <w:rFonts w:eastAsia="Times New Roman" w:cs="Arial"/>
                <w:color w:val="000000"/>
                <w:sz w:val="20"/>
                <w:szCs w:val="20"/>
                <w:lang w:eastAsia="fr-FR"/>
              </w:rPr>
            </w:pPr>
            <w:r w:rsidRPr="003D3054">
              <w:rPr>
                <w:rFonts w:eastAsia="Times New Roman" w:cs="Arial"/>
                <w:color w:val="000000"/>
                <w:sz w:val="20"/>
                <w:szCs w:val="20"/>
                <w:lang w:eastAsia="fr-FR"/>
              </w:rPr>
              <w:t>Saucisson sec</w:t>
            </w:r>
          </w:p>
        </w:tc>
        <w:tc>
          <w:tcPr>
            <w:tcW w:w="145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6BFD107" w14:textId="77777777" w:rsidR="00545531" w:rsidRPr="003D3054" w:rsidRDefault="00545531" w:rsidP="00545531">
            <w:pPr>
              <w:spacing w:after="0" w:line="240" w:lineRule="auto"/>
              <w:jc w:val="right"/>
              <w:rPr>
                <w:rFonts w:eastAsia="Times New Roman" w:cs="Arial"/>
                <w:color w:val="000000"/>
                <w:sz w:val="20"/>
                <w:szCs w:val="20"/>
                <w:lang w:eastAsia="fr-FR"/>
              </w:rPr>
            </w:pPr>
            <w:r w:rsidRPr="003D3054">
              <w:rPr>
                <w:rFonts w:eastAsia="Times New Roman" w:cs="Arial"/>
                <w:color w:val="000000"/>
                <w:sz w:val="20"/>
                <w:szCs w:val="20"/>
                <w:lang w:eastAsia="fr-FR"/>
              </w:rPr>
              <w:t>5,6</w:t>
            </w:r>
          </w:p>
        </w:tc>
        <w:tc>
          <w:tcPr>
            <w:tcW w:w="194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7C2BCAE" w14:textId="3DBFAFBB" w:rsidR="00545531" w:rsidRPr="003D3054" w:rsidRDefault="00545531" w:rsidP="00545531">
            <w:pPr>
              <w:spacing w:after="0" w:line="240" w:lineRule="auto"/>
              <w:jc w:val="right"/>
              <w:rPr>
                <w:rFonts w:eastAsia="Times New Roman" w:cs="Arial"/>
                <w:color w:val="000000"/>
                <w:sz w:val="20"/>
                <w:szCs w:val="20"/>
                <w:lang w:eastAsia="fr-FR"/>
              </w:rPr>
            </w:pPr>
            <w:r>
              <w:rPr>
                <w:rFonts w:cs="Arial"/>
                <w:color w:val="000000"/>
                <w:sz w:val="20"/>
                <w:szCs w:val="20"/>
              </w:rPr>
              <w:t>+3,1%</w:t>
            </w:r>
          </w:p>
        </w:tc>
        <w:tc>
          <w:tcPr>
            <w:tcW w:w="283" w:type="dxa"/>
            <w:tcBorders>
              <w:top w:val="nil"/>
              <w:left w:val="nil"/>
              <w:bottom w:val="nil"/>
              <w:right w:val="nil"/>
            </w:tcBorders>
            <w:shd w:val="clear" w:color="auto" w:fill="auto"/>
            <w:noWrap/>
            <w:vAlign w:val="center"/>
            <w:hideMark/>
          </w:tcPr>
          <w:p w14:paraId="74CD2F75" w14:textId="77777777" w:rsidR="00545531" w:rsidRPr="003D3054" w:rsidRDefault="00545531" w:rsidP="00545531">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C92FF3A" w14:textId="35A8363E"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5</w:t>
            </w:r>
            <w:r w:rsidRPr="003D3054">
              <w:rPr>
                <w:rFonts w:eastAsia="Times New Roman" w:cs="Arial"/>
                <w:color w:val="000000"/>
                <w:sz w:val="20"/>
                <w:szCs w:val="20"/>
                <w:lang w:eastAsia="fr-FR"/>
              </w:rPr>
              <w:t>%</w:t>
            </w:r>
          </w:p>
        </w:tc>
      </w:tr>
      <w:tr w:rsidR="00545531" w:rsidRPr="003D3054" w14:paraId="36395D16" w14:textId="77777777" w:rsidTr="00883BCD">
        <w:trPr>
          <w:trHeight w:val="300"/>
          <w:jc w:val="center"/>
        </w:trPr>
        <w:tc>
          <w:tcPr>
            <w:tcW w:w="29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1821BA" w14:textId="77777777" w:rsidR="00545531" w:rsidRPr="003D3054" w:rsidRDefault="00545531" w:rsidP="00545531">
            <w:pPr>
              <w:spacing w:after="0" w:line="240" w:lineRule="auto"/>
              <w:rPr>
                <w:rFonts w:eastAsia="Times New Roman" w:cs="Arial"/>
                <w:color w:val="000000"/>
                <w:sz w:val="20"/>
                <w:szCs w:val="20"/>
                <w:lang w:eastAsia="fr-FR"/>
              </w:rPr>
            </w:pPr>
            <w:r w:rsidRPr="003D3054">
              <w:rPr>
                <w:rFonts w:eastAsia="Times New Roman" w:cs="Arial"/>
                <w:color w:val="000000"/>
                <w:sz w:val="20"/>
                <w:szCs w:val="20"/>
                <w:lang w:eastAsia="fr-FR"/>
              </w:rPr>
              <w:t>Pâtés/Rillettes</w:t>
            </w:r>
          </w:p>
        </w:tc>
        <w:tc>
          <w:tcPr>
            <w:tcW w:w="14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D2E877" w14:textId="77777777" w:rsidR="00545531" w:rsidRPr="003D3054" w:rsidRDefault="00545531" w:rsidP="00545531">
            <w:pPr>
              <w:spacing w:after="0" w:line="240" w:lineRule="auto"/>
              <w:jc w:val="right"/>
              <w:rPr>
                <w:rFonts w:eastAsia="Times New Roman" w:cs="Arial"/>
                <w:color w:val="000000"/>
                <w:sz w:val="20"/>
                <w:szCs w:val="20"/>
                <w:lang w:eastAsia="fr-FR"/>
              </w:rPr>
            </w:pPr>
            <w:r w:rsidRPr="003D3054">
              <w:rPr>
                <w:rFonts w:eastAsia="Times New Roman" w:cs="Arial"/>
                <w:color w:val="000000"/>
                <w:sz w:val="20"/>
                <w:szCs w:val="20"/>
                <w:lang w:eastAsia="fr-FR"/>
              </w:rPr>
              <w:t>2,9</w:t>
            </w:r>
          </w:p>
        </w:tc>
        <w:tc>
          <w:tcPr>
            <w:tcW w:w="19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2CD580" w14:textId="1B3E22B1" w:rsidR="00545531" w:rsidRPr="003D3054" w:rsidRDefault="00545531" w:rsidP="00545531">
            <w:pPr>
              <w:spacing w:after="0" w:line="240" w:lineRule="auto"/>
              <w:jc w:val="right"/>
              <w:rPr>
                <w:rFonts w:eastAsia="Times New Roman" w:cs="Arial"/>
                <w:color w:val="000000"/>
                <w:sz w:val="20"/>
                <w:szCs w:val="20"/>
                <w:lang w:eastAsia="fr-FR"/>
              </w:rPr>
            </w:pPr>
            <w:r>
              <w:rPr>
                <w:rFonts w:cs="Arial"/>
                <w:color w:val="000000"/>
                <w:sz w:val="20"/>
                <w:szCs w:val="20"/>
              </w:rPr>
              <w:t>+36,7%</w:t>
            </w:r>
          </w:p>
        </w:tc>
        <w:tc>
          <w:tcPr>
            <w:tcW w:w="283" w:type="dxa"/>
            <w:tcBorders>
              <w:top w:val="nil"/>
              <w:left w:val="nil"/>
              <w:bottom w:val="nil"/>
              <w:right w:val="nil"/>
            </w:tcBorders>
            <w:shd w:val="clear" w:color="auto" w:fill="auto"/>
            <w:noWrap/>
            <w:vAlign w:val="center"/>
            <w:hideMark/>
          </w:tcPr>
          <w:p w14:paraId="4B077926" w14:textId="77777777" w:rsidR="00545531" w:rsidRPr="003D3054" w:rsidRDefault="00545531" w:rsidP="00545531">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5DC41C" w14:textId="2EF02F30"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&lt;5</w:t>
            </w:r>
            <w:r w:rsidRPr="003D3054">
              <w:rPr>
                <w:rFonts w:eastAsia="Times New Roman" w:cs="Arial"/>
                <w:color w:val="000000"/>
                <w:sz w:val="20"/>
                <w:szCs w:val="20"/>
                <w:lang w:eastAsia="fr-FR"/>
              </w:rPr>
              <w:t>%</w:t>
            </w:r>
          </w:p>
        </w:tc>
      </w:tr>
      <w:tr w:rsidR="00545531" w:rsidRPr="003D3054" w14:paraId="37A570D1" w14:textId="77777777" w:rsidTr="00883BCD">
        <w:trPr>
          <w:trHeight w:val="237"/>
          <w:jc w:val="center"/>
        </w:trPr>
        <w:tc>
          <w:tcPr>
            <w:tcW w:w="2978"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1B4D295" w14:textId="42DE8622" w:rsidR="00545531" w:rsidRPr="003D3054" w:rsidRDefault="00545531" w:rsidP="00545531">
            <w:pPr>
              <w:spacing w:after="0" w:line="240" w:lineRule="auto"/>
              <w:jc w:val="left"/>
              <w:rPr>
                <w:rFonts w:eastAsia="Times New Roman" w:cs="Arial"/>
                <w:color w:val="000000"/>
                <w:sz w:val="20"/>
                <w:szCs w:val="20"/>
                <w:lang w:eastAsia="fr-FR"/>
              </w:rPr>
            </w:pPr>
            <w:r w:rsidRPr="003D3054">
              <w:rPr>
                <w:rFonts w:eastAsia="Times New Roman" w:cs="Arial"/>
                <w:color w:val="000000"/>
                <w:sz w:val="20"/>
                <w:szCs w:val="20"/>
                <w:lang w:eastAsia="fr-FR"/>
              </w:rPr>
              <w:t>Saucisse fraiche et cuite/ fumée</w:t>
            </w:r>
          </w:p>
        </w:tc>
        <w:tc>
          <w:tcPr>
            <w:tcW w:w="1458"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FF83CF" w14:textId="3E3655FF"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2,1</w:t>
            </w:r>
          </w:p>
        </w:tc>
        <w:tc>
          <w:tcPr>
            <w:tcW w:w="194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5706256" w14:textId="6B39112C" w:rsidR="00545531" w:rsidRPr="003D3054" w:rsidRDefault="00545531" w:rsidP="00545531">
            <w:pPr>
              <w:spacing w:after="0" w:line="240" w:lineRule="auto"/>
              <w:jc w:val="right"/>
              <w:rPr>
                <w:rFonts w:eastAsia="Times New Roman" w:cs="Arial"/>
                <w:color w:val="000000"/>
                <w:sz w:val="20"/>
                <w:szCs w:val="20"/>
                <w:lang w:eastAsia="fr-FR"/>
              </w:rPr>
            </w:pPr>
            <w:r>
              <w:rPr>
                <w:rFonts w:cs="Arial"/>
                <w:color w:val="000000"/>
                <w:sz w:val="20"/>
                <w:szCs w:val="20"/>
              </w:rPr>
              <w:t>+44%</w:t>
            </w:r>
          </w:p>
        </w:tc>
        <w:tc>
          <w:tcPr>
            <w:tcW w:w="283" w:type="dxa"/>
            <w:tcBorders>
              <w:top w:val="nil"/>
              <w:left w:val="nil"/>
              <w:bottom w:val="nil"/>
              <w:right w:val="nil"/>
            </w:tcBorders>
            <w:shd w:val="clear" w:color="auto" w:fill="auto"/>
            <w:noWrap/>
            <w:vAlign w:val="center"/>
            <w:hideMark/>
          </w:tcPr>
          <w:p w14:paraId="43793151" w14:textId="77777777" w:rsidR="00545531" w:rsidRPr="003D3054" w:rsidRDefault="00545531" w:rsidP="00545531">
            <w:pPr>
              <w:spacing w:after="0" w:line="240" w:lineRule="auto"/>
              <w:jc w:val="right"/>
              <w:rPr>
                <w:rFonts w:eastAsia="Times New Roman" w:cs="Arial"/>
                <w:color w:val="000000"/>
                <w:sz w:val="20"/>
                <w:szCs w:val="20"/>
                <w:lang w:eastAsia="fr-FR"/>
              </w:rPr>
            </w:pPr>
          </w:p>
        </w:tc>
        <w:tc>
          <w:tcPr>
            <w:tcW w:w="184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C6EF478" w14:textId="4F4F0134" w:rsidR="00545531" w:rsidRPr="003D3054" w:rsidRDefault="00545531" w:rsidP="00545531">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&lt;</w:t>
            </w:r>
            <w:r w:rsidRPr="003D3054">
              <w:rPr>
                <w:rFonts w:eastAsia="Times New Roman" w:cs="Arial"/>
                <w:color w:val="000000"/>
                <w:sz w:val="20"/>
                <w:szCs w:val="20"/>
                <w:lang w:eastAsia="fr-FR"/>
              </w:rPr>
              <w:t>5%</w:t>
            </w:r>
          </w:p>
        </w:tc>
      </w:tr>
    </w:tbl>
    <w:p w14:paraId="1D5A387D" w14:textId="77C8A55B" w:rsidR="00B407F0" w:rsidRDefault="00142E18" w:rsidP="00B407F0">
      <w:pPr>
        <w:pStyle w:val="figure"/>
      </w:pPr>
      <w:bookmarkStart w:id="179" w:name="_Toc72143384"/>
      <w:r w:rsidRPr="00142E18">
        <w:t xml:space="preserve">Tableau </w:t>
      </w:r>
      <w:r w:rsidR="00E27D6E">
        <w:fldChar w:fldCharType="begin"/>
      </w:r>
      <w:r w:rsidR="00E27D6E">
        <w:instrText xml:space="preserve"> SEQ Tableau \* ARABIC </w:instrText>
      </w:r>
      <w:r w:rsidR="00E27D6E">
        <w:fldChar w:fldCharType="separate"/>
      </w:r>
      <w:r w:rsidR="0007597F">
        <w:rPr>
          <w:noProof/>
        </w:rPr>
        <w:t>36</w:t>
      </w:r>
      <w:r w:rsidR="00E27D6E">
        <w:rPr>
          <w:noProof/>
        </w:rPr>
        <w:fldChar w:fldCharType="end"/>
      </w:r>
      <w:r>
        <w:t xml:space="preserve"> : Volumes de produits </w:t>
      </w:r>
      <w:r w:rsidR="00F473AB">
        <w:t xml:space="preserve">transformés </w:t>
      </w:r>
      <w:r>
        <w:t xml:space="preserve">de charcuterie </w:t>
      </w:r>
      <w:r w:rsidR="00F473AB">
        <w:t xml:space="preserve">Label Rouge </w:t>
      </w:r>
      <w:r>
        <w:t xml:space="preserve">et </w:t>
      </w:r>
      <w:r w:rsidR="00D243BF">
        <w:t>estimation</w:t>
      </w:r>
      <w:r w:rsidR="00094834">
        <w:t xml:space="preserve"> </w:t>
      </w:r>
      <w:r w:rsidR="00F473AB">
        <w:t xml:space="preserve">de la </w:t>
      </w:r>
      <w:r>
        <w:t xml:space="preserve">part de marché </w:t>
      </w:r>
      <w:r w:rsidR="00D243BF">
        <w:t>comparativement au</w:t>
      </w:r>
      <w:r>
        <w:t xml:space="preserve"> total</w:t>
      </w:r>
      <w:r w:rsidR="00D243BF">
        <w:t xml:space="preserve"> des</w:t>
      </w:r>
      <w:r>
        <w:t xml:space="preserve"> volumes </w:t>
      </w:r>
      <w:r w:rsidR="00A42161">
        <w:t>produits</w:t>
      </w:r>
      <w:bookmarkEnd w:id="179"/>
    </w:p>
    <w:p w14:paraId="46C8B236" w14:textId="48847A72" w:rsidR="00142E18" w:rsidRPr="00142E18" w:rsidRDefault="00142E18" w:rsidP="00B407F0">
      <w:pPr>
        <w:pStyle w:val="Lgende"/>
        <w:rPr>
          <w:b/>
        </w:rPr>
      </w:pPr>
      <w:r>
        <w:t>(Source : Ifip d’après Sylaporc</w:t>
      </w:r>
      <w:r w:rsidR="00D243BF">
        <w:t>,</w:t>
      </w:r>
      <w:r w:rsidR="001E426B">
        <w:t xml:space="preserve"> </w:t>
      </w:r>
      <w:r w:rsidR="00A42161">
        <w:t>Prodcom</w:t>
      </w:r>
      <w:r>
        <w:t>)</w:t>
      </w:r>
    </w:p>
    <w:p w14:paraId="606548B8" w14:textId="33964644" w:rsidR="00545531" w:rsidRDefault="00545531" w:rsidP="00B8226F">
      <w:pPr>
        <w:pStyle w:val="Titre3"/>
      </w:pPr>
      <w:bookmarkStart w:id="180" w:name="_Toc78131606"/>
      <w:r w:rsidRPr="0056787F">
        <w:t>3.</w:t>
      </w:r>
      <w:r>
        <w:t>6</w:t>
      </w:r>
      <w:r w:rsidRPr="0056787F">
        <w:t>.</w:t>
      </w:r>
      <w:r w:rsidR="00B8226F">
        <w:t>2.</w:t>
      </w:r>
      <w:r w:rsidRPr="0056787F">
        <w:t xml:space="preserve"> L</w:t>
      </w:r>
      <w:r>
        <w:t xml:space="preserve">a production disponible en </w:t>
      </w:r>
      <w:r w:rsidR="00974018">
        <w:t>Bio</w:t>
      </w:r>
      <w:r>
        <w:t xml:space="preserve"> et leur destination par circuit et par produit</w:t>
      </w:r>
      <w:bookmarkEnd w:id="180"/>
    </w:p>
    <w:p w14:paraId="4F5F23B4" w14:textId="66F6926B" w:rsidR="00F01BA5" w:rsidRPr="00F01BA5" w:rsidRDefault="004541D5" w:rsidP="00F01BA5">
      <w:pPr>
        <w:rPr>
          <w:lang w:eastAsia="fr-FR"/>
        </w:rPr>
      </w:pPr>
      <w:r>
        <w:rPr>
          <w:lang w:val="fr-CA" w:eastAsia="fr-FR"/>
        </w:rPr>
        <w:t>Concernant le Bio, la</w:t>
      </w:r>
      <w:r w:rsidR="00F01BA5" w:rsidRPr="00F01BA5">
        <w:rPr>
          <w:lang w:eastAsia="fr-FR"/>
        </w:rPr>
        <w:t xml:space="preserve"> part d’abattage sur le total porcin </w:t>
      </w:r>
      <w:r w:rsidR="00F42E27">
        <w:rPr>
          <w:lang w:eastAsia="fr-FR"/>
        </w:rPr>
        <w:t xml:space="preserve">en 2018 </w:t>
      </w:r>
      <w:r w:rsidR="00EF77E2">
        <w:rPr>
          <w:lang w:eastAsia="fr-FR"/>
        </w:rPr>
        <w:t xml:space="preserve">demeure </w:t>
      </w:r>
      <w:r w:rsidR="005333E8">
        <w:rPr>
          <w:lang w:eastAsia="fr-FR"/>
        </w:rPr>
        <w:t>très</w:t>
      </w:r>
      <w:r w:rsidR="00EF77E2">
        <w:rPr>
          <w:lang w:eastAsia="fr-FR"/>
        </w:rPr>
        <w:t xml:space="preserve"> faible soit</w:t>
      </w:r>
      <w:r w:rsidR="00F01BA5" w:rsidRPr="00F01BA5">
        <w:rPr>
          <w:lang w:eastAsia="fr-FR"/>
        </w:rPr>
        <w:t xml:space="preserve"> </w:t>
      </w:r>
      <w:r w:rsidR="00F01BA5" w:rsidRPr="00F01BA5">
        <w:rPr>
          <w:bCs/>
          <w:lang w:eastAsia="fr-FR"/>
        </w:rPr>
        <w:t>0,7</w:t>
      </w:r>
      <w:r w:rsidR="006529D8">
        <w:rPr>
          <w:bCs/>
          <w:lang w:eastAsia="fr-FR"/>
        </w:rPr>
        <w:t> </w:t>
      </w:r>
      <w:r w:rsidR="00F01BA5" w:rsidRPr="00F01BA5">
        <w:rPr>
          <w:bCs/>
          <w:lang w:eastAsia="fr-FR"/>
        </w:rPr>
        <w:t>% en croissance de 57</w:t>
      </w:r>
      <w:r w:rsidR="006529D8">
        <w:rPr>
          <w:bCs/>
          <w:lang w:eastAsia="fr-FR"/>
        </w:rPr>
        <w:t> </w:t>
      </w:r>
      <w:r w:rsidR="00F01BA5" w:rsidRPr="00F01BA5">
        <w:rPr>
          <w:bCs/>
          <w:lang w:eastAsia="fr-FR"/>
        </w:rPr>
        <w:t xml:space="preserve">% en 5 ans </w:t>
      </w:r>
      <w:r w:rsidR="00F01BA5" w:rsidRPr="00F01BA5">
        <w:rPr>
          <w:lang w:eastAsia="fr-FR"/>
        </w:rPr>
        <w:t>avec un déficit d’offre française par rapport à la demande en Bio compensée par l’importation</w:t>
      </w:r>
      <w:r w:rsidR="00313426">
        <w:rPr>
          <w:lang w:eastAsia="fr-FR"/>
        </w:rPr>
        <w:t xml:space="preserve"> de produits destinés à la transformation en salaison principalement.</w:t>
      </w:r>
      <w:r w:rsidR="00A03380">
        <w:rPr>
          <w:lang w:eastAsia="fr-FR"/>
        </w:rPr>
        <w:t xml:space="preserve"> </w:t>
      </w:r>
    </w:p>
    <w:p w14:paraId="25C59FA2" w14:textId="71A51731" w:rsidR="00D0395C" w:rsidRPr="00545531" w:rsidRDefault="00F01BA5" w:rsidP="00EF6554">
      <w:pPr>
        <w:pStyle w:val="ValrieN1"/>
        <w:ind w:left="0"/>
        <w:rPr>
          <w:b w:val="0"/>
          <w:sz w:val="22"/>
          <w:szCs w:val="22"/>
          <w:lang w:val="fr-CA"/>
        </w:rPr>
      </w:pPr>
      <w:r w:rsidRPr="00F01BA5">
        <w:rPr>
          <w:b w:val="0"/>
          <w:noProof/>
          <w:sz w:val="22"/>
          <w:szCs w:val="22"/>
        </w:rPr>
        <w:drawing>
          <wp:inline distT="0" distB="0" distL="0" distR="0" wp14:anchorId="12C3C2CC" wp14:editId="235AF4DD">
            <wp:extent cx="5857875" cy="2343150"/>
            <wp:effectExtent l="0" t="0" r="0" b="0"/>
            <wp:docPr id="38" name="Graphique 38">
              <a:extLst xmlns:a="http://schemas.openxmlformats.org/drawingml/2006/main">
                <a:ext uri="{FF2B5EF4-FFF2-40B4-BE49-F238E27FC236}">
                  <a16:creationId xmlns:a16="http://schemas.microsoft.com/office/drawing/2014/main" id="{6CC187C4-BF72-4E4B-A90B-619A63D2C75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122F60B4" w14:textId="37F0942F" w:rsidR="00B407F0" w:rsidRDefault="00D0395C" w:rsidP="00B407F0">
      <w:pPr>
        <w:pStyle w:val="figure"/>
      </w:pPr>
      <w:bookmarkStart w:id="181" w:name="_Toc69511414"/>
      <w:r w:rsidRPr="007E17F9">
        <w:rPr>
          <w:color w:val="000000" w:themeColor="text1"/>
        </w:rPr>
        <w:t xml:space="preserve">Figure </w:t>
      </w:r>
      <w:r w:rsidRPr="007E17F9">
        <w:rPr>
          <w:i/>
          <w:color w:val="000000" w:themeColor="text1"/>
        </w:rPr>
        <w:fldChar w:fldCharType="begin"/>
      </w:r>
      <w:r w:rsidRPr="007E17F9">
        <w:rPr>
          <w:color w:val="000000" w:themeColor="text1"/>
        </w:rPr>
        <w:instrText xml:space="preserve"> SEQ Figure \* ARABIC </w:instrText>
      </w:r>
      <w:r w:rsidRPr="007E17F9">
        <w:rPr>
          <w:i/>
          <w:color w:val="000000" w:themeColor="text1"/>
        </w:rPr>
        <w:fldChar w:fldCharType="separate"/>
      </w:r>
      <w:r w:rsidR="0007597F">
        <w:rPr>
          <w:noProof/>
          <w:color w:val="000000" w:themeColor="text1"/>
        </w:rPr>
        <w:t>22</w:t>
      </w:r>
      <w:r w:rsidRPr="007E17F9">
        <w:rPr>
          <w:i/>
          <w:color w:val="000000" w:themeColor="text1"/>
        </w:rPr>
        <w:fldChar w:fldCharType="end"/>
      </w:r>
      <w:r w:rsidR="00AC4581">
        <w:rPr>
          <w:color w:val="000000" w:themeColor="text1"/>
        </w:rPr>
        <w:t xml:space="preserve"> : </w:t>
      </w:r>
      <w:r w:rsidR="00071C2B" w:rsidRPr="00F0578E">
        <w:t xml:space="preserve">Nombre de porcins en têtes commercialisés en </w:t>
      </w:r>
      <w:r w:rsidR="00071C2B">
        <w:t>Bio de</w:t>
      </w:r>
      <w:r w:rsidR="00071C2B" w:rsidRPr="00F0578E">
        <w:t xml:space="preserve"> 20</w:t>
      </w:r>
      <w:r w:rsidR="00071C2B">
        <w:t>05</w:t>
      </w:r>
      <w:r w:rsidR="00071C2B" w:rsidRPr="00F0578E">
        <w:t xml:space="preserve"> à 2018</w:t>
      </w:r>
      <w:bookmarkEnd w:id="181"/>
      <w:r w:rsidR="00071C2B">
        <w:t xml:space="preserve"> </w:t>
      </w:r>
    </w:p>
    <w:p w14:paraId="7257B81A" w14:textId="2935DB6B" w:rsidR="00A601C4" w:rsidRPr="00837707" w:rsidRDefault="00E54865" w:rsidP="00B407F0">
      <w:pPr>
        <w:pStyle w:val="Lgende"/>
      </w:pPr>
      <w:r w:rsidRPr="00837707">
        <w:t>(</w:t>
      </w:r>
      <w:r w:rsidR="00071C2B" w:rsidRPr="00837707">
        <w:t xml:space="preserve">Source : </w:t>
      </w:r>
      <w:r w:rsidR="005333E8" w:rsidRPr="00837707">
        <w:t>Sy</w:t>
      </w:r>
      <w:r w:rsidRPr="00837707">
        <w:t>nabio)</w:t>
      </w:r>
    </w:p>
    <w:p w14:paraId="17272867" w14:textId="1C5BF9AD" w:rsidR="00313426" w:rsidRDefault="00523A4E" w:rsidP="00523A4E">
      <w:pPr>
        <w:rPr>
          <w:rFonts w:eastAsia="Times New Roman" w:cs="Arial"/>
          <w:bCs/>
          <w:spacing w:val="-1"/>
        </w:rPr>
      </w:pPr>
      <w:r>
        <w:rPr>
          <w:rFonts w:eastAsia="Times New Roman" w:cs="Arial"/>
          <w:bCs/>
          <w:spacing w:val="-1"/>
        </w:rPr>
        <w:t>Plus généralement en viandes</w:t>
      </w:r>
      <w:r w:rsidR="00313426">
        <w:rPr>
          <w:rFonts w:eastAsia="Times New Roman" w:cs="Arial"/>
          <w:bCs/>
          <w:spacing w:val="-1"/>
        </w:rPr>
        <w:t xml:space="preserve"> toutes espèces</w:t>
      </w:r>
      <w:r w:rsidRPr="00523A4E">
        <w:rPr>
          <w:rFonts w:eastAsia="Times New Roman" w:cs="Arial"/>
          <w:bCs/>
          <w:spacing w:val="-1"/>
        </w:rPr>
        <w:t>, le bio a presque doublé sa production en 5 ans avec plus de</w:t>
      </w:r>
      <w:r w:rsidR="00F24FAC">
        <w:rPr>
          <w:rFonts w:eastAsia="Times New Roman" w:cs="Arial"/>
          <w:bCs/>
          <w:spacing w:val="-1"/>
        </w:rPr>
        <w:t xml:space="preserve"> 45</w:t>
      </w:r>
      <w:r w:rsidR="006529D8">
        <w:rPr>
          <w:rFonts w:eastAsia="Times New Roman" w:cs="Arial"/>
          <w:bCs/>
          <w:spacing w:val="-1"/>
        </w:rPr>
        <w:t> </w:t>
      </w:r>
      <w:r w:rsidR="006554CE">
        <w:rPr>
          <w:rFonts w:eastAsia="Times New Roman" w:cs="Arial"/>
          <w:bCs/>
          <w:spacing w:val="-1"/>
        </w:rPr>
        <w:t>kt</w:t>
      </w:r>
      <w:r w:rsidRPr="00523A4E">
        <w:rPr>
          <w:rFonts w:eastAsia="Times New Roman" w:cs="Arial"/>
          <w:bCs/>
          <w:spacing w:val="-1"/>
        </w:rPr>
        <w:t xml:space="preserve"> en 201</w:t>
      </w:r>
      <w:r w:rsidR="00F24FAC">
        <w:rPr>
          <w:rFonts w:eastAsia="Times New Roman" w:cs="Arial"/>
          <w:bCs/>
          <w:spacing w:val="-1"/>
        </w:rPr>
        <w:t>8</w:t>
      </w:r>
      <w:r w:rsidRPr="00523A4E">
        <w:rPr>
          <w:rFonts w:eastAsia="Times New Roman" w:cs="Arial"/>
          <w:bCs/>
          <w:spacing w:val="-1"/>
        </w:rPr>
        <w:t>. Cependant, la part de viande bio sur le total alimentaire bio dans les achats des ménages est presque deux fois plus faible qu’en conventionnel (10</w:t>
      </w:r>
      <w:r w:rsidR="00633430">
        <w:rPr>
          <w:rFonts w:eastAsia="Times New Roman" w:cs="Arial"/>
          <w:bCs/>
          <w:spacing w:val="-1"/>
        </w:rPr>
        <w:t> </w:t>
      </w:r>
      <w:r w:rsidRPr="00523A4E">
        <w:rPr>
          <w:rFonts w:eastAsia="Times New Roman" w:cs="Arial"/>
          <w:bCs/>
          <w:spacing w:val="-1"/>
        </w:rPr>
        <w:t>% contre 18</w:t>
      </w:r>
      <w:r w:rsidR="00633430">
        <w:rPr>
          <w:rFonts w:eastAsia="Times New Roman" w:cs="Arial"/>
          <w:bCs/>
          <w:spacing w:val="-1"/>
        </w:rPr>
        <w:t> </w:t>
      </w:r>
      <w:r w:rsidRPr="00523A4E">
        <w:rPr>
          <w:rFonts w:eastAsia="Times New Roman" w:cs="Arial"/>
          <w:bCs/>
          <w:spacing w:val="-1"/>
        </w:rPr>
        <w:t xml:space="preserve">%). </w:t>
      </w:r>
      <w:r w:rsidR="00F24FAC">
        <w:rPr>
          <w:rFonts w:eastAsia="Times New Roman" w:cs="Arial"/>
          <w:bCs/>
          <w:spacing w:val="-1"/>
        </w:rPr>
        <w:t>L</w:t>
      </w:r>
      <w:r w:rsidRPr="00523A4E">
        <w:rPr>
          <w:rFonts w:eastAsia="Times New Roman" w:cs="Arial"/>
          <w:bCs/>
          <w:spacing w:val="-1"/>
        </w:rPr>
        <w:t>a part des achats des consommateurs en viande porcine et en charcuterie salaison bio reste faible avec resp. 5,3</w:t>
      </w:r>
      <w:r w:rsidR="00633430">
        <w:rPr>
          <w:rFonts w:eastAsia="Times New Roman" w:cs="Arial"/>
          <w:bCs/>
          <w:spacing w:val="-1"/>
        </w:rPr>
        <w:t> </w:t>
      </w:r>
      <w:r w:rsidRPr="00523A4E">
        <w:rPr>
          <w:rFonts w:eastAsia="Times New Roman" w:cs="Arial"/>
          <w:bCs/>
          <w:spacing w:val="-1"/>
        </w:rPr>
        <w:t>% et 1,1</w:t>
      </w:r>
      <w:r w:rsidR="00633430">
        <w:rPr>
          <w:rFonts w:eastAsia="Times New Roman" w:cs="Arial"/>
          <w:bCs/>
          <w:spacing w:val="-1"/>
        </w:rPr>
        <w:t> </w:t>
      </w:r>
      <w:r w:rsidRPr="00523A4E">
        <w:rPr>
          <w:rFonts w:eastAsia="Times New Roman" w:cs="Arial"/>
          <w:bCs/>
          <w:spacing w:val="-1"/>
        </w:rPr>
        <w:t>%</w:t>
      </w:r>
      <w:r w:rsidR="00E54865">
        <w:rPr>
          <w:rFonts w:eastAsia="Times New Roman" w:cs="Arial"/>
          <w:bCs/>
          <w:spacing w:val="-1"/>
        </w:rPr>
        <w:t xml:space="preserve"> </w:t>
      </w:r>
      <w:r w:rsidR="00471BA5">
        <w:rPr>
          <w:rFonts w:eastAsia="Times New Roman" w:cs="Arial"/>
          <w:bCs/>
          <w:spacing w:val="-1"/>
        </w:rPr>
        <w:t xml:space="preserve">(Agence Bio, </w:t>
      </w:r>
      <w:r w:rsidR="00E54865">
        <w:rPr>
          <w:rFonts w:eastAsia="Times New Roman" w:cs="Arial"/>
          <w:bCs/>
          <w:spacing w:val="-1"/>
        </w:rPr>
        <w:t xml:space="preserve">2020). </w:t>
      </w:r>
    </w:p>
    <w:p w14:paraId="1C755F48" w14:textId="4FDE38ED" w:rsidR="00D01BF6" w:rsidRDefault="00523A4E" w:rsidP="00FC5979">
      <w:pPr>
        <w:rPr>
          <w:rFonts w:eastAsia="Times New Roman" w:cs="Arial"/>
          <w:bCs/>
          <w:spacing w:val="-1"/>
        </w:rPr>
      </w:pPr>
      <w:r w:rsidRPr="00523A4E">
        <w:rPr>
          <w:rFonts w:eastAsia="Times New Roman" w:cs="Arial"/>
          <w:bCs/>
          <w:spacing w:val="-1"/>
        </w:rPr>
        <w:t>La catégorie charcuterie salaison est en hausse de 1</w:t>
      </w:r>
      <w:r w:rsidR="00A03380">
        <w:rPr>
          <w:rFonts w:eastAsia="Times New Roman" w:cs="Arial"/>
          <w:bCs/>
          <w:spacing w:val="-1"/>
        </w:rPr>
        <w:t>8</w:t>
      </w:r>
      <w:r w:rsidR="00633430">
        <w:rPr>
          <w:rFonts w:eastAsia="Times New Roman" w:cs="Arial"/>
          <w:bCs/>
          <w:spacing w:val="-1"/>
        </w:rPr>
        <w:t> </w:t>
      </w:r>
      <w:r w:rsidRPr="00523A4E">
        <w:rPr>
          <w:rFonts w:eastAsia="Times New Roman" w:cs="Arial"/>
          <w:bCs/>
          <w:spacing w:val="-1"/>
        </w:rPr>
        <w:t xml:space="preserve">% </w:t>
      </w:r>
      <w:r w:rsidR="00A03380">
        <w:rPr>
          <w:rFonts w:eastAsia="Times New Roman" w:cs="Arial"/>
          <w:bCs/>
          <w:spacing w:val="-1"/>
        </w:rPr>
        <w:t xml:space="preserve">en </w:t>
      </w:r>
      <w:r w:rsidR="005333E8">
        <w:rPr>
          <w:rFonts w:eastAsia="Times New Roman" w:cs="Arial"/>
          <w:bCs/>
          <w:spacing w:val="-1"/>
        </w:rPr>
        <w:t xml:space="preserve">dépenses </w:t>
      </w:r>
      <w:r w:rsidRPr="00523A4E">
        <w:rPr>
          <w:rFonts w:eastAsia="Times New Roman" w:cs="Arial"/>
          <w:bCs/>
          <w:spacing w:val="-1"/>
        </w:rPr>
        <w:t>entre 201</w:t>
      </w:r>
      <w:r w:rsidR="00A03380">
        <w:rPr>
          <w:rFonts w:eastAsia="Times New Roman" w:cs="Arial"/>
          <w:bCs/>
          <w:spacing w:val="-1"/>
        </w:rPr>
        <w:t>8</w:t>
      </w:r>
      <w:r w:rsidRPr="00523A4E">
        <w:rPr>
          <w:rFonts w:eastAsia="Times New Roman" w:cs="Arial"/>
          <w:bCs/>
          <w:spacing w:val="-1"/>
        </w:rPr>
        <w:t xml:space="preserve"> et 201</w:t>
      </w:r>
      <w:r w:rsidR="00A03380">
        <w:rPr>
          <w:rFonts w:eastAsia="Times New Roman" w:cs="Arial"/>
          <w:bCs/>
          <w:spacing w:val="-1"/>
        </w:rPr>
        <w:t>7</w:t>
      </w:r>
      <w:r w:rsidRPr="00523A4E">
        <w:rPr>
          <w:rFonts w:eastAsia="Times New Roman" w:cs="Arial"/>
          <w:bCs/>
          <w:spacing w:val="-1"/>
        </w:rPr>
        <w:t xml:space="preserve"> avec un développement important de l’offre mais un différentiel prix élevé qui constitue un frein pour des achats plus massifs. En matière de distribution, la grande distribution absorbe 73</w:t>
      </w:r>
      <w:r w:rsidR="00633430">
        <w:rPr>
          <w:rFonts w:eastAsia="Times New Roman" w:cs="Arial"/>
          <w:bCs/>
          <w:spacing w:val="-1"/>
        </w:rPr>
        <w:t> </w:t>
      </w:r>
      <w:r w:rsidRPr="00523A4E">
        <w:rPr>
          <w:rFonts w:eastAsia="Times New Roman" w:cs="Arial"/>
          <w:bCs/>
          <w:spacing w:val="-1"/>
        </w:rPr>
        <w:t>% des volumes</w:t>
      </w:r>
      <w:r w:rsidR="00FC5979">
        <w:rPr>
          <w:rFonts w:eastAsia="Times New Roman" w:cs="Arial"/>
          <w:bCs/>
          <w:spacing w:val="-1"/>
        </w:rPr>
        <w:t xml:space="preserve"> </w:t>
      </w:r>
      <w:r w:rsidRPr="00523A4E">
        <w:rPr>
          <w:rFonts w:eastAsia="Times New Roman" w:cs="Arial"/>
          <w:bCs/>
          <w:spacing w:val="-1"/>
        </w:rPr>
        <w:t>d’achats en charcuterie salaisons alors que les circuits spécialisés pèsent 24</w:t>
      </w:r>
      <w:r w:rsidR="00633430">
        <w:rPr>
          <w:rFonts w:eastAsia="Times New Roman" w:cs="Arial"/>
          <w:bCs/>
          <w:spacing w:val="-1"/>
        </w:rPr>
        <w:t> </w:t>
      </w:r>
      <w:r w:rsidRPr="00523A4E">
        <w:rPr>
          <w:rFonts w:eastAsia="Times New Roman" w:cs="Arial"/>
          <w:bCs/>
          <w:spacing w:val="-1"/>
        </w:rPr>
        <w:t>%.</w:t>
      </w:r>
    </w:p>
    <w:p w14:paraId="42096B53" w14:textId="3A626170" w:rsidR="00471BA5" w:rsidRPr="00624720" w:rsidRDefault="00EA56CC" w:rsidP="00FC5979">
      <w:r>
        <w:t>Au final, même</w:t>
      </w:r>
      <w:r w:rsidR="00A836D4">
        <w:t xml:space="preserve"> si la consommation des viandes</w:t>
      </w:r>
      <w:r w:rsidR="00624720">
        <w:t xml:space="preserve"> bio</w:t>
      </w:r>
      <w:r w:rsidR="00A836D4">
        <w:t xml:space="preserve"> connaît une forte croissance, elle reste peu développée tant en volume qu’en nombre de ménages concernés ou de fréquence d’achat (Sans et Boizot-Szantaï, 2020)</w:t>
      </w:r>
      <w:r w:rsidR="006F41D3">
        <w:t>.</w:t>
      </w:r>
      <w:r w:rsidR="00624720">
        <w:t xml:space="preserve"> </w:t>
      </w:r>
      <w:r w:rsidR="00624720" w:rsidRPr="00624720">
        <w:t xml:space="preserve">Comme l'attestent des études antérieures (Buder et al., </w:t>
      </w:r>
      <w:r w:rsidR="000C6174" w:rsidRPr="00624720">
        <w:t>2014 ;</w:t>
      </w:r>
      <w:r w:rsidR="00624720" w:rsidRPr="00624720">
        <w:t xml:space="preserve"> Boizot-Szantai et al., 2017), </w:t>
      </w:r>
      <w:r w:rsidR="00624720">
        <w:t xml:space="preserve">les produits carnés </w:t>
      </w:r>
      <w:r w:rsidR="00624720" w:rsidRPr="00624720">
        <w:t>ne sont pas les premi</w:t>
      </w:r>
      <w:r w:rsidR="00624720">
        <w:t>ères catégories</w:t>
      </w:r>
      <w:r w:rsidR="00624720" w:rsidRPr="00624720">
        <w:t xml:space="preserve"> </w:t>
      </w:r>
      <w:r w:rsidR="00624720">
        <w:t xml:space="preserve">de produits </w:t>
      </w:r>
      <w:r w:rsidR="00624720" w:rsidRPr="00624720">
        <w:t>alimentaire</w:t>
      </w:r>
      <w:r w:rsidR="00624720">
        <w:t>s</w:t>
      </w:r>
      <w:r w:rsidR="00624720" w:rsidRPr="00624720">
        <w:t xml:space="preserve"> adopté</w:t>
      </w:r>
      <w:r w:rsidR="00624720">
        <w:t>s</w:t>
      </w:r>
      <w:r w:rsidR="00624720" w:rsidRPr="00624720">
        <w:t xml:space="preserve"> dans le cadre d'un </w:t>
      </w:r>
      <w:r w:rsidR="00624720">
        <w:t xml:space="preserve">changement de régime alimentaire orienté </w:t>
      </w:r>
      <w:r w:rsidR="00624720" w:rsidRPr="00624720">
        <w:t>vers des produits biologiques.</w:t>
      </w:r>
    </w:p>
    <w:p w14:paraId="7CB61796" w14:textId="359E6806" w:rsidR="004E4EBD" w:rsidRPr="008150C6" w:rsidRDefault="004E4EBD" w:rsidP="00094834">
      <w:pPr>
        <w:pStyle w:val="Titre1"/>
      </w:pPr>
      <w:bookmarkStart w:id="182" w:name="_Toc78131607"/>
      <w:r w:rsidRPr="008150C6">
        <w:lastRenderedPageBreak/>
        <w:t>4.</w:t>
      </w:r>
      <w:r w:rsidRPr="008150C6">
        <w:tab/>
      </w:r>
      <w:r w:rsidR="00B13D73">
        <w:t xml:space="preserve">Conclusion </w:t>
      </w:r>
      <w:r w:rsidR="00EA756E">
        <w:t>de première partie</w:t>
      </w:r>
      <w:bookmarkEnd w:id="182"/>
      <w:r w:rsidR="00EA756E">
        <w:t xml:space="preserve"> </w:t>
      </w:r>
    </w:p>
    <w:p w14:paraId="0B3CADEC" w14:textId="4E4F7EEE" w:rsidR="00943C62" w:rsidRPr="00943C62" w:rsidRDefault="00C52359" w:rsidP="00A63F35">
      <w:pPr>
        <w:pStyle w:val="Titre2"/>
        <w:numPr>
          <w:ilvl w:val="0"/>
          <w:numId w:val="0"/>
        </w:numPr>
      </w:pPr>
      <w:bookmarkStart w:id="183" w:name="_Toc78131608"/>
      <w:r>
        <w:t>L’</w:t>
      </w:r>
      <w:r w:rsidR="00530130">
        <w:t xml:space="preserve">étude </w:t>
      </w:r>
      <w:r w:rsidR="00BF734D">
        <w:t>s’est attachée à couvrir</w:t>
      </w:r>
      <w:r w:rsidR="0089741F" w:rsidRPr="00EA1912">
        <w:t xml:space="preserve"> </w:t>
      </w:r>
      <w:r w:rsidR="00BF734D">
        <w:t>les</w:t>
      </w:r>
      <w:r w:rsidR="0089741F" w:rsidRPr="00EA1912">
        <w:t xml:space="preserve"> données nationales globales et</w:t>
      </w:r>
      <w:r w:rsidR="00BF734D">
        <w:t xml:space="preserve"> les</w:t>
      </w:r>
      <w:r w:rsidR="0089741F" w:rsidRPr="00EA1912">
        <w:t xml:space="preserve"> enquêtes réalisées </w:t>
      </w:r>
      <w:r w:rsidR="0089741F" w:rsidRPr="00943C62">
        <w:t>sur des échantillons nationaux représentatifs de la population</w:t>
      </w:r>
      <w:r w:rsidR="00934B4B" w:rsidRPr="00943C62">
        <w:t xml:space="preserve"> en référence aux données de consommation obtenues par bilan</w:t>
      </w:r>
      <w:r w:rsidR="00C63CB7" w:rsidRPr="00943C62">
        <w:t>.</w:t>
      </w:r>
      <w:r w:rsidR="00934B4B" w:rsidRPr="00943C62">
        <w:t xml:space="preserve"> </w:t>
      </w:r>
      <w:r w:rsidR="00AA6F77">
        <w:t>L’a</w:t>
      </w:r>
      <w:r w:rsidR="00943C62" w:rsidRPr="00943C62">
        <w:t>pproche de la consommation des produits du porc à l’épreuve de l’analyse des biais des différentes sources</w:t>
      </w:r>
      <w:bookmarkEnd w:id="183"/>
    </w:p>
    <w:p w14:paraId="56755B7B" w14:textId="31E8E33E" w:rsidR="00934B4B" w:rsidRDefault="006A31EF" w:rsidP="00094834">
      <w:pPr>
        <w:rPr>
          <w:b/>
        </w:rPr>
      </w:pPr>
      <w:r>
        <w:t>L</w:t>
      </w:r>
      <w:r w:rsidRPr="00EA1912">
        <w:t xml:space="preserve">e tableau </w:t>
      </w:r>
      <w:r>
        <w:t xml:space="preserve">ci-après </w:t>
      </w:r>
      <w:r w:rsidRPr="00EA1912">
        <w:t xml:space="preserve">synthétise les caractéristiques des principales sources, </w:t>
      </w:r>
      <w:r>
        <w:t>l</w:t>
      </w:r>
      <w:r w:rsidRPr="00EA1912">
        <w:t xml:space="preserve">a diversité des champs pris en compte </w:t>
      </w:r>
      <w:r>
        <w:t>et les principaux résultats</w:t>
      </w:r>
      <w:r w:rsidRPr="00EA1912">
        <w:t>.</w:t>
      </w:r>
    </w:p>
    <w:p w14:paraId="517B59D1" w14:textId="0F861D6B" w:rsidR="00A0311C" w:rsidRPr="005E4A65" w:rsidRDefault="00A0311C" w:rsidP="00A0311C">
      <w:pPr>
        <w:pStyle w:val="ValrieN2"/>
        <w:ind w:left="0"/>
        <w:rPr>
          <w:b w:val="0"/>
        </w:rPr>
      </w:pPr>
      <w:r w:rsidRPr="005E4A65">
        <w:rPr>
          <w:b w:val="0"/>
        </w:rPr>
        <w:t>Pour se rapprocher de la quantité réellement consommée</w:t>
      </w:r>
      <w:r>
        <w:rPr>
          <w:b w:val="0"/>
        </w:rPr>
        <w:t xml:space="preserve"> par bilan</w:t>
      </w:r>
      <w:r w:rsidRPr="005E4A65">
        <w:rPr>
          <w:b w:val="0"/>
        </w:rPr>
        <w:t>, un coefficient de rendement en viande</w:t>
      </w:r>
      <w:r>
        <w:rPr>
          <w:b w:val="0"/>
        </w:rPr>
        <w:t xml:space="preserve"> de porc</w:t>
      </w:r>
      <w:r w:rsidR="00E232E9">
        <w:rPr>
          <w:b w:val="0"/>
        </w:rPr>
        <w:t xml:space="preserve"> est appliqué</w:t>
      </w:r>
      <w:r w:rsidRPr="005E4A65">
        <w:rPr>
          <w:b w:val="0"/>
        </w:rPr>
        <w:t xml:space="preserve"> afin de soustraire les parties non consommées. </w:t>
      </w:r>
      <w:r>
        <w:rPr>
          <w:b w:val="0"/>
        </w:rPr>
        <w:t>Ainsi</w:t>
      </w:r>
      <w:r w:rsidRPr="005E4A65">
        <w:rPr>
          <w:b w:val="0"/>
        </w:rPr>
        <w:t xml:space="preserve">, la consommation française de viande </w:t>
      </w:r>
      <w:r>
        <w:rPr>
          <w:b w:val="0"/>
        </w:rPr>
        <w:t>de porc pour 2018 est</w:t>
      </w:r>
      <w:r w:rsidRPr="005E4A65">
        <w:rPr>
          <w:b w:val="0"/>
        </w:rPr>
        <w:t xml:space="preserve"> de l’ordre de </w:t>
      </w:r>
      <w:r>
        <w:rPr>
          <w:b w:val="0"/>
        </w:rPr>
        <w:t>33</w:t>
      </w:r>
      <w:r w:rsidR="006529D8">
        <w:rPr>
          <w:b w:val="0"/>
        </w:rPr>
        <w:t> </w:t>
      </w:r>
      <w:r w:rsidRPr="005E4A65">
        <w:rPr>
          <w:b w:val="0"/>
        </w:rPr>
        <w:t>kg ec/hab/an</w:t>
      </w:r>
      <w:r>
        <w:rPr>
          <w:b w:val="0"/>
        </w:rPr>
        <w:t>.</w:t>
      </w:r>
      <w:r w:rsidRPr="005E4A65">
        <w:rPr>
          <w:b w:val="0"/>
        </w:rPr>
        <w:t xml:space="preserve"> </w:t>
      </w:r>
    </w:p>
    <w:p w14:paraId="4BA2C062" w14:textId="314C11E0" w:rsidR="00934B4B" w:rsidRPr="006B7097" w:rsidRDefault="00A0311C" w:rsidP="00A0311C">
      <w:pPr>
        <w:pStyle w:val="ValrieN2"/>
        <w:ind w:left="0"/>
        <w:rPr>
          <w:b w:val="0"/>
        </w:rPr>
      </w:pPr>
      <w:r>
        <w:rPr>
          <w:b w:val="0"/>
        </w:rPr>
        <w:t>L</w:t>
      </w:r>
      <w:r w:rsidRPr="00EA1912">
        <w:rPr>
          <w:b w:val="0"/>
        </w:rPr>
        <w:t>es données issues des différentes sources fournissent des estimations très différentes de la consommation</w:t>
      </w:r>
      <w:r>
        <w:rPr>
          <w:b w:val="0"/>
        </w:rPr>
        <w:t xml:space="preserve"> par bilan, c</w:t>
      </w:r>
      <w:r w:rsidRPr="00EA1912">
        <w:rPr>
          <w:b w:val="0"/>
        </w:rPr>
        <w:t>ette situation est commune à toutes les évaluations de la consommation de produits alimentaires.</w:t>
      </w:r>
      <w:r>
        <w:rPr>
          <w:b w:val="0"/>
        </w:rPr>
        <w:t xml:space="preserve"> </w:t>
      </w:r>
      <w:r w:rsidRPr="00C35022">
        <w:rPr>
          <w:b w:val="0"/>
        </w:rPr>
        <w:t xml:space="preserve">La consommation "apparente", évaluée à partir des bilans alimentaires, est en </w:t>
      </w:r>
      <w:r>
        <w:rPr>
          <w:b w:val="0"/>
        </w:rPr>
        <w:t>général</w:t>
      </w:r>
      <w:r w:rsidRPr="00C35022">
        <w:rPr>
          <w:b w:val="0"/>
        </w:rPr>
        <w:t xml:space="preserve"> l'estimation la plus élevée. </w:t>
      </w:r>
      <w:r w:rsidRPr="00A13847">
        <w:rPr>
          <w:b w:val="0"/>
        </w:rPr>
        <w:t>En raison des différences importantes entre ces méthodes, les quantités évaluées ne sauraient être comparées entre elles</w:t>
      </w:r>
      <w:r>
        <w:rPr>
          <w:b w:val="0"/>
        </w:rPr>
        <w:t xml:space="preserve"> (Inrae, rapport d’expertise sur la qualité des aliments d’origine animale, 2020). </w:t>
      </w:r>
      <w:r w:rsidRPr="00934B4B">
        <w:rPr>
          <w:b w:val="0"/>
        </w:rPr>
        <w:t>Par ailleurs, une étude internationale (Serra-Majem et al, 2003) confirme que les données recueillies par les enquêtes sur les achats et par les enquêtes individuelles sont en moyenne inférieures à celles qui sont issues des bilans</w:t>
      </w:r>
      <w:r>
        <w:rPr>
          <w:b w:val="0"/>
        </w:rPr>
        <w:t xml:space="preserve"> de consommation</w:t>
      </w:r>
      <w:r w:rsidRPr="00934B4B">
        <w:rPr>
          <w:b w:val="0"/>
        </w:rPr>
        <w:t xml:space="preserve"> alimentaires.</w:t>
      </w:r>
    </w:p>
    <w:tbl>
      <w:tblPr>
        <w:tblW w:w="9510" w:type="dxa"/>
        <w:tblCellMar>
          <w:left w:w="70" w:type="dxa"/>
          <w:right w:w="70" w:type="dxa"/>
        </w:tblCellMar>
        <w:tblLook w:val="04A0" w:firstRow="1" w:lastRow="0" w:firstColumn="1" w:lastColumn="0" w:noHBand="0" w:noVBand="1"/>
      </w:tblPr>
      <w:tblGrid>
        <w:gridCol w:w="1107"/>
        <w:gridCol w:w="1351"/>
        <w:gridCol w:w="1199"/>
        <w:gridCol w:w="1430"/>
        <w:gridCol w:w="1461"/>
        <w:gridCol w:w="1461"/>
        <w:gridCol w:w="1501"/>
      </w:tblGrid>
      <w:tr w:rsidR="00355EA1" w:rsidRPr="005F1F45" w14:paraId="0DFE3C22" w14:textId="77777777" w:rsidTr="006529D8">
        <w:trPr>
          <w:trHeight w:val="922"/>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E6A2F5"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 xml:space="preserve">Source </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49066D2A"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Nature</w:t>
            </w:r>
          </w:p>
        </w:tc>
        <w:tc>
          <w:tcPr>
            <w:tcW w:w="1199" w:type="dxa"/>
            <w:tcBorders>
              <w:top w:val="single" w:sz="4" w:space="0" w:color="auto"/>
              <w:left w:val="nil"/>
              <w:bottom w:val="single" w:sz="4" w:space="0" w:color="auto"/>
              <w:right w:val="single" w:sz="4" w:space="0" w:color="auto"/>
            </w:tcBorders>
            <w:shd w:val="clear" w:color="auto" w:fill="auto"/>
            <w:vAlign w:val="center"/>
            <w:hideMark/>
          </w:tcPr>
          <w:p w14:paraId="1696CE22"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 xml:space="preserve">Population de référence </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326EBB14"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Champ consommation couvert</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5D0BC81A" w14:textId="56F5B099"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 xml:space="preserve">Consommation annuelle viande de porc par h </w:t>
            </w:r>
            <w:r w:rsidR="005E4A65">
              <w:rPr>
                <w:rFonts w:eastAsia="Times New Roman" w:cs="Arial"/>
                <w:b/>
                <w:bCs/>
                <w:color w:val="000000"/>
                <w:sz w:val="18"/>
                <w:szCs w:val="18"/>
                <w:lang w:eastAsia="fr-FR"/>
              </w:rPr>
              <w:t>(*)</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2808857B" w14:textId="63F0655F"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Consommation annuelle charcuterie de porc par h</w:t>
            </w:r>
            <w:r w:rsidR="005E4A65">
              <w:rPr>
                <w:rFonts w:eastAsia="Times New Roman" w:cs="Arial"/>
                <w:b/>
                <w:bCs/>
                <w:color w:val="000000"/>
                <w:sz w:val="18"/>
                <w:szCs w:val="18"/>
                <w:lang w:eastAsia="fr-FR"/>
              </w:rPr>
              <w:t xml:space="preserve"> (*)</w:t>
            </w:r>
          </w:p>
        </w:tc>
        <w:tc>
          <w:tcPr>
            <w:tcW w:w="1501" w:type="dxa"/>
            <w:tcBorders>
              <w:top w:val="single" w:sz="4" w:space="0" w:color="auto"/>
              <w:left w:val="nil"/>
              <w:bottom w:val="single" w:sz="4" w:space="0" w:color="auto"/>
              <w:right w:val="single" w:sz="4" w:space="0" w:color="auto"/>
            </w:tcBorders>
            <w:shd w:val="clear" w:color="auto" w:fill="auto"/>
            <w:noWrap/>
            <w:vAlign w:val="center"/>
            <w:hideMark/>
          </w:tcPr>
          <w:p w14:paraId="69F59912" w14:textId="77777777" w:rsidR="00355EA1" w:rsidRPr="005F1F45" w:rsidRDefault="00355EA1" w:rsidP="00355EA1">
            <w:pPr>
              <w:spacing w:after="0" w:line="240" w:lineRule="auto"/>
              <w:jc w:val="left"/>
              <w:rPr>
                <w:rFonts w:eastAsia="Times New Roman" w:cs="Arial"/>
                <w:b/>
                <w:bCs/>
                <w:color w:val="000000"/>
                <w:sz w:val="18"/>
                <w:szCs w:val="18"/>
                <w:lang w:eastAsia="fr-FR"/>
              </w:rPr>
            </w:pPr>
            <w:r w:rsidRPr="005F1F45">
              <w:rPr>
                <w:rFonts w:eastAsia="Times New Roman" w:cs="Arial"/>
                <w:b/>
                <w:bCs/>
                <w:color w:val="000000"/>
                <w:sz w:val="18"/>
                <w:szCs w:val="18"/>
                <w:lang w:eastAsia="fr-FR"/>
              </w:rPr>
              <w:t xml:space="preserve">Commentaires </w:t>
            </w:r>
          </w:p>
        </w:tc>
      </w:tr>
      <w:tr w:rsidR="0015507E" w:rsidRPr="005F1F45" w14:paraId="5FB68D85" w14:textId="77777777" w:rsidTr="006529D8">
        <w:trPr>
          <w:trHeight w:val="41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5589BD" w14:textId="77777777" w:rsidR="0015507E" w:rsidRPr="005F1F45" w:rsidRDefault="0015507E" w:rsidP="0015507E">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Eurostat / Insee</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05920A01" w14:textId="77777777" w:rsidR="0015507E" w:rsidRPr="005F1F45" w:rsidRDefault="0015507E" w:rsidP="0015507E">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Bilan consommation </w:t>
            </w:r>
          </w:p>
        </w:tc>
        <w:tc>
          <w:tcPr>
            <w:tcW w:w="1199"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E968308" w14:textId="12D823F4" w:rsidR="0015507E" w:rsidRPr="005F1F45" w:rsidRDefault="0015507E" w:rsidP="0015507E">
            <w:pPr>
              <w:spacing w:after="0" w:line="240" w:lineRule="auto"/>
              <w:jc w:val="left"/>
              <w:rPr>
                <w:rFonts w:eastAsia="Times New Roman" w:cs="Arial"/>
                <w:color w:val="000000"/>
                <w:sz w:val="18"/>
                <w:szCs w:val="18"/>
                <w:lang w:eastAsia="fr-FR"/>
              </w:rPr>
            </w:pP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7F2DAC5C" w14:textId="77777777" w:rsidR="0015507E" w:rsidRPr="005F1F45" w:rsidRDefault="0015507E" w:rsidP="0015507E">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Tous circuits</w:t>
            </w:r>
          </w:p>
        </w:tc>
        <w:tc>
          <w:tcPr>
            <w:tcW w:w="2922" w:type="dxa"/>
            <w:gridSpan w:val="2"/>
            <w:tcBorders>
              <w:top w:val="single" w:sz="4" w:space="0" w:color="auto"/>
              <w:left w:val="nil"/>
              <w:bottom w:val="single" w:sz="4" w:space="0" w:color="auto"/>
              <w:right w:val="single" w:sz="4" w:space="0" w:color="000000"/>
            </w:tcBorders>
            <w:shd w:val="clear" w:color="auto" w:fill="auto"/>
            <w:vAlign w:val="center"/>
            <w:hideMark/>
          </w:tcPr>
          <w:p w14:paraId="163A3930" w14:textId="1BDB49D4" w:rsidR="0015507E" w:rsidRPr="005F1F45" w:rsidRDefault="0015507E" w:rsidP="0015507E">
            <w:pPr>
              <w:spacing w:after="0" w:line="240" w:lineRule="auto"/>
              <w:jc w:val="center"/>
              <w:rPr>
                <w:rFonts w:eastAsia="Times New Roman" w:cs="Arial"/>
                <w:color w:val="000000"/>
                <w:sz w:val="18"/>
                <w:szCs w:val="18"/>
                <w:lang w:eastAsia="fr-FR"/>
              </w:rPr>
            </w:pPr>
            <w:r w:rsidRPr="003E704F">
              <w:rPr>
                <w:rFonts w:eastAsia="Times New Roman" w:cs="Arial"/>
                <w:color w:val="000000"/>
                <w:sz w:val="18"/>
                <w:szCs w:val="18"/>
                <w:lang w:eastAsia="fr-FR"/>
              </w:rPr>
              <w:t>33 kg ec soit 28,4kg</w:t>
            </w:r>
            <w:r w:rsidRPr="005F1F45">
              <w:rPr>
                <w:rFonts w:eastAsia="Times New Roman" w:cs="Arial"/>
                <w:color w:val="000000"/>
                <w:sz w:val="18"/>
                <w:szCs w:val="18"/>
                <w:lang w:eastAsia="fr-FR"/>
              </w:rPr>
              <w:t xml:space="preserve"> </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52B0B257" w14:textId="10B26A85" w:rsidR="0015507E" w:rsidRPr="005F1F45" w:rsidRDefault="0015507E" w:rsidP="0015507E">
            <w:pPr>
              <w:spacing w:after="0" w:line="240" w:lineRule="auto"/>
              <w:jc w:val="left"/>
              <w:rPr>
                <w:rFonts w:eastAsia="Times New Roman" w:cs="Arial"/>
                <w:color w:val="000000"/>
                <w:sz w:val="18"/>
                <w:szCs w:val="18"/>
                <w:lang w:eastAsia="fr-FR"/>
              </w:rPr>
            </w:pPr>
          </w:p>
        </w:tc>
      </w:tr>
      <w:tr w:rsidR="00355EA1" w:rsidRPr="005F1F45" w14:paraId="519E2C19" w14:textId="77777777" w:rsidTr="0015507E">
        <w:trPr>
          <w:trHeight w:val="51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5FFFF4"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Insee comptabilité Nationale </w:t>
            </w:r>
          </w:p>
        </w:tc>
        <w:tc>
          <w:tcPr>
            <w:tcW w:w="1351" w:type="dxa"/>
            <w:tcBorders>
              <w:top w:val="single" w:sz="4" w:space="0" w:color="000000"/>
              <w:left w:val="nil"/>
              <w:bottom w:val="single" w:sz="4" w:space="0" w:color="000000"/>
              <w:right w:val="single" w:sz="4" w:space="0" w:color="000000"/>
            </w:tcBorders>
            <w:shd w:val="clear" w:color="auto" w:fill="auto"/>
            <w:vAlign w:val="center"/>
            <w:hideMark/>
          </w:tcPr>
          <w:p w14:paraId="72EB2F45"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 xml:space="preserve">Bilan </w:t>
            </w:r>
          </w:p>
        </w:tc>
        <w:tc>
          <w:tcPr>
            <w:tcW w:w="1199" w:type="dxa"/>
            <w:tcBorders>
              <w:top w:val="single" w:sz="4" w:space="0" w:color="000000"/>
              <w:left w:val="nil"/>
              <w:bottom w:val="single" w:sz="4" w:space="0" w:color="000000"/>
              <w:right w:val="single" w:sz="4" w:space="0" w:color="000000"/>
            </w:tcBorders>
            <w:shd w:val="clear" w:color="auto" w:fill="auto"/>
            <w:vAlign w:val="center"/>
            <w:hideMark/>
          </w:tcPr>
          <w:p w14:paraId="43815F2E"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Ménages / Institutions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552D3DF4"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Tous circuits</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43AE961A"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1BC142D5"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501" w:type="dxa"/>
            <w:tcBorders>
              <w:top w:val="single" w:sz="4" w:space="0" w:color="auto"/>
              <w:left w:val="nil"/>
              <w:bottom w:val="single" w:sz="4" w:space="0" w:color="auto"/>
              <w:right w:val="single" w:sz="4" w:space="0" w:color="auto"/>
            </w:tcBorders>
            <w:shd w:val="clear" w:color="000000" w:fill="BFBFBF"/>
            <w:vAlign w:val="center"/>
            <w:hideMark/>
          </w:tcPr>
          <w:p w14:paraId="602DA19F"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w:t>
            </w:r>
          </w:p>
        </w:tc>
      </w:tr>
      <w:tr w:rsidR="00355EA1" w:rsidRPr="005F1F45" w14:paraId="6FCE4703" w14:textId="77777777" w:rsidTr="0015507E">
        <w:trPr>
          <w:trHeight w:val="525"/>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0EA508"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Insee Budget des Familles</w:t>
            </w:r>
          </w:p>
        </w:tc>
        <w:tc>
          <w:tcPr>
            <w:tcW w:w="1351" w:type="dxa"/>
            <w:tcBorders>
              <w:top w:val="nil"/>
              <w:left w:val="nil"/>
              <w:bottom w:val="single" w:sz="4" w:space="0" w:color="000000"/>
              <w:right w:val="single" w:sz="4" w:space="0" w:color="000000"/>
            </w:tcBorders>
            <w:shd w:val="clear" w:color="auto" w:fill="auto"/>
            <w:vAlign w:val="center"/>
            <w:hideMark/>
          </w:tcPr>
          <w:p w14:paraId="18DDF79B"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Achats</w:t>
            </w:r>
          </w:p>
        </w:tc>
        <w:tc>
          <w:tcPr>
            <w:tcW w:w="1199" w:type="dxa"/>
            <w:tcBorders>
              <w:top w:val="nil"/>
              <w:left w:val="nil"/>
              <w:bottom w:val="single" w:sz="4" w:space="0" w:color="000000"/>
              <w:right w:val="single" w:sz="4" w:space="0" w:color="000000"/>
            </w:tcBorders>
            <w:shd w:val="clear" w:color="auto" w:fill="auto"/>
            <w:vAlign w:val="center"/>
            <w:hideMark/>
          </w:tcPr>
          <w:p w14:paraId="1670A4AB"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Ménages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7A69DFCD"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A domicile</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4ABBB7B4"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1E835487"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501" w:type="dxa"/>
            <w:tcBorders>
              <w:top w:val="single" w:sz="4" w:space="0" w:color="auto"/>
              <w:left w:val="nil"/>
              <w:bottom w:val="single" w:sz="4" w:space="0" w:color="auto"/>
              <w:right w:val="single" w:sz="4" w:space="0" w:color="auto"/>
            </w:tcBorders>
            <w:shd w:val="clear" w:color="000000" w:fill="BFBFBF"/>
            <w:vAlign w:val="center"/>
            <w:hideMark/>
          </w:tcPr>
          <w:p w14:paraId="2F4E743E"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w:t>
            </w:r>
          </w:p>
        </w:tc>
      </w:tr>
      <w:tr w:rsidR="00355EA1" w:rsidRPr="005F1F45" w14:paraId="112F957F" w14:textId="77777777" w:rsidTr="0015507E">
        <w:trPr>
          <w:trHeight w:val="30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872BC9"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Kantarworld panel </w:t>
            </w:r>
          </w:p>
        </w:tc>
        <w:tc>
          <w:tcPr>
            <w:tcW w:w="1351" w:type="dxa"/>
            <w:tcBorders>
              <w:top w:val="nil"/>
              <w:left w:val="nil"/>
              <w:bottom w:val="single" w:sz="4" w:space="0" w:color="000000"/>
              <w:right w:val="single" w:sz="4" w:space="0" w:color="000000"/>
            </w:tcBorders>
            <w:shd w:val="clear" w:color="auto" w:fill="auto"/>
            <w:vAlign w:val="center"/>
            <w:hideMark/>
          </w:tcPr>
          <w:p w14:paraId="77A794DC"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Achats</w:t>
            </w:r>
          </w:p>
        </w:tc>
        <w:tc>
          <w:tcPr>
            <w:tcW w:w="1199" w:type="dxa"/>
            <w:tcBorders>
              <w:top w:val="nil"/>
              <w:left w:val="nil"/>
              <w:bottom w:val="single" w:sz="4" w:space="0" w:color="000000"/>
              <w:right w:val="single" w:sz="4" w:space="0" w:color="000000"/>
            </w:tcBorders>
            <w:shd w:val="clear" w:color="auto" w:fill="auto"/>
            <w:vAlign w:val="center"/>
            <w:hideMark/>
          </w:tcPr>
          <w:p w14:paraId="7306A9C4"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Ménages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61ABA921"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A domicile</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11844A9B" w14:textId="068CF3A5"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9,8</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1B2EDA34" w14:textId="1D7E04DA"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4,9</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6F75B1B6"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w:t>
            </w:r>
          </w:p>
        </w:tc>
      </w:tr>
      <w:tr w:rsidR="00355EA1" w:rsidRPr="005F1F45" w14:paraId="5338CAB4" w14:textId="77777777" w:rsidTr="0015507E">
        <w:trPr>
          <w:trHeight w:val="30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86DEB5"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Gira Food Service </w:t>
            </w:r>
          </w:p>
        </w:tc>
        <w:tc>
          <w:tcPr>
            <w:tcW w:w="1351" w:type="dxa"/>
            <w:tcBorders>
              <w:top w:val="nil"/>
              <w:left w:val="nil"/>
              <w:bottom w:val="single" w:sz="4" w:space="0" w:color="auto"/>
              <w:right w:val="single" w:sz="4" w:space="0" w:color="auto"/>
            </w:tcBorders>
            <w:shd w:val="clear" w:color="auto" w:fill="auto"/>
            <w:vAlign w:val="center"/>
            <w:hideMark/>
          </w:tcPr>
          <w:p w14:paraId="761AC115"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Chiffre d'affaires</w:t>
            </w:r>
          </w:p>
        </w:tc>
        <w:tc>
          <w:tcPr>
            <w:tcW w:w="1199" w:type="dxa"/>
            <w:tcBorders>
              <w:top w:val="nil"/>
              <w:left w:val="nil"/>
              <w:bottom w:val="single" w:sz="4" w:space="0" w:color="auto"/>
              <w:right w:val="single" w:sz="4" w:space="0" w:color="auto"/>
            </w:tcBorders>
            <w:shd w:val="clear" w:color="auto" w:fill="auto"/>
            <w:vAlign w:val="center"/>
            <w:hideMark/>
          </w:tcPr>
          <w:p w14:paraId="7B6E4214"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Opérateurs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4FE9F86B"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Hors domicile</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5DEC0426"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461" w:type="dxa"/>
            <w:tcBorders>
              <w:top w:val="single" w:sz="4" w:space="0" w:color="auto"/>
              <w:left w:val="nil"/>
              <w:bottom w:val="single" w:sz="4" w:space="0" w:color="auto"/>
              <w:right w:val="single" w:sz="4" w:space="0" w:color="auto"/>
            </w:tcBorders>
            <w:shd w:val="clear" w:color="000000" w:fill="BFBFBF"/>
            <w:vAlign w:val="center"/>
            <w:hideMark/>
          </w:tcPr>
          <w:p w14:paraId="4268197F" w14:textId="77777777"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 </w:t>
            </w:r>
          </w:p>
        </w:tc>
        <w:tc>
          <w:tcPr>
            <w:tcW w:w="1501" w:type="dxa"/>
            <w:tcBorders>
              <w:top w:val="single" w:sz="4" w:space="0" w:color="auto"/>
              <w:left w:val="nil"/>
              <w:bottom w:val="single" w:sz="4" w:space="0" w:color="auto"/>
              <w:right w:val="single" w:sz="4" w:space="0" w:color="auto"/>
            </w:tcBorders>
            <w:shd w:val="clear" w:color="000000" w:fill="BFBFBF"/>
            <w:vAlign w:val="center"/>
            <w:hideMark/>
          </w:tcPr>
          <w:p w14:paraId="2EA6E1FF"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w:t>
            </w:r>
          </w:p>
        </w:tc>
      </w:tr>
      <w:tr w:rsidR="00355EA1" w:rsidRPr="005F1F45" w14:paraId="68B85809" w14:textId="77777777" w:rsidTr="0015507E">
        <w:trPr>
          <w:trHeight w:val="750"/>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C537C7"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INCA 1</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5CF9A5B5"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Consommation</w:t>
            </w:r>
          </w:p>
        </w:tc>
        <w:tc>
          <w:tcPr>
            <w:tcW w:w="1199" w:type="dxa"/>
            <w:tcBorders>
              <w:top w:val="single" w:sz="4" w:space="0" w:color="auto"/>
              <w:left w:val="nil"/>
              <w:bottom w:val="single" w:sz="4" w:space="0" w:color="auto"/>
              <w:right w:val="single" w:sz="4" w:space="0" w:color="auto"/>
            </w:tcBorders>
            <w:shd w:val="clear" w:color="auto" w:fill="auto"/>
            <w:vAlign w:val="center"/>
            <w:hideMark/>
          </w:tcPr>
          <w:p w14:paraId="7056F77A"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Individus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536104A5"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Tous circuits</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4BFC1B90" w14:textId="686BA940" w:rsidR="00355EA1" w:rsidRPr="005F1F45" w:rsidRDefault="00355EA1" w:rsidP="00024C0A">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Toutes viandes hors volaille 15,9</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21BA3330" w14:textId="0548F1D1" w:rsidR="00355EA1" w:rsidRPr="005F1F45" w:rsidRDefault="00355EA1" w:rsidP="00024C0A">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Charcuterie porc et volaille 9,3</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7F4A8409"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Données agrégées multi espèces </w:t>
            </w:r>
          </w:p>
        </w:tc>
      </w:tr>
      <w:tr w:rsidR="00355EA1" w:rsidRPr="005F1F45" w14:paraId="6D61942B" w14:textId="77777777" w:rsidTr="0015507E">
        <w:trPr>
          <w:trHeight w:val="795"/>
        </w:trPr>
        <w:tc>
          <w:tcPr>
            <w:tcW w:w="11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163A66"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CREDOC CCAF (2016)</w:t>
            </w:r>
          </w:p>
        </w:tc>
        <w:tc>
          <w:tcPr>
            <w:tcW w:w="1351" w:type="dxa"/>
            <w:tcBorders>
              <w:top w:val="single" w:sz="4" w:space="0" w:color="auto"/>
              <w:left w:val="nil"/>
              <w:bottom w:val="single" w:sz="4" w:space="0" w:color="auto"/>
              <w:right w:val="single" w:sz="4" w:space="0" w:color="auto"/>
            </w:tcBorders>
            <w:shd w:val="clear" w:color="auto" w:fill="auto"/>
            <w:vAlign w:val="center"/>
            <w:hideMark/>
          </w:tcPr>
          <w:p w14:paraId="06CB0877"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Consommation</w:t>
            </w:r>
          </w:p>
        </w:tc>
        <w:tc>
          <w:tcPr>
            <w:tcW w:w="1199" w:type="dxa"/>
            <w:tcBorders>
              <w:top w:val="single" w:sz="4" w:space="0" w:color="auto"/>
              <w:left w:val="nil"/>
              <w:bottom w:val="single" w:sz="4" w:space="0" w:color="auto"/>
              <w:right w:val="single" w:sz="4" w:space="0" w:color="auto"/>
            </w:tcBorders>
            <w:shd w:val="clear" w:color="auto" w:fill="auto"/>
            <w:vAlign w:val="center"/>
            <w:hideMark/>
          </w:tcPr>
          <w:p w14:paraId="3610738F" w14:textId="77777777" w:rsidR="00355EA1" w:rsidRPr="005F1F45" w:rsidRDefault="00355EA1" w:rsidP="00355EA1">
            <w:pPr>
              <w:spacing w:after="0" w:line="240" w:lineRule="auto"/>
              <w:jc w:val="left"/>
              <w:rPr>
                <w:rFonts w:eastAsia="Times New Roman" w:cs="Arial"/>
                <w:sz w:val="18"/>
                <w:szCs w:val="18"/>
                <w:lang w:eastAsia="fr-FR"/>
              </w:rPr>
            </w:pPr>
            <w:r w:rsidRPr="005F1F45">
              <w:rPr>
                <w:rFonts w:eastAsia="Times New Roman" w:cs="Arial"/>
                <w:sz w:val="18"/>
                <w:szCs w:val="18"/>
                <w:lang w:eastAsia="fr-FR"/>
              </w:rPr>
              <w:t>Individus</w:t>
            </w:r>
          </w:p>
        </w:tc>
        <w:tc>
          <w:tcPr>
            <w:tcW w:w="1430" w:type="dxa"/>
            <w:tcBorders>
              <w:top w:val="single" w:sz="4" w:space="0" w:color="auto"/>
              <w:left w:val="nil"/>
              <w:bottom w:val="single" w:sz="4" w:space="0" w:color="auto"/>
              <w:right w:val="single" w:sz="4" w:space="0" w:color="auto"/>
            </w:tcBorders>
            <w:shd w:val="clear" w:color="auto" w:fill="auto"/>
            <w:vAlign w:val="center"/>
            <w:hideMark/>
          </w:tcPr>
          <w:p w14:paraId="302DF382" w14:textId="77777777" w:rsidR="00355EA1"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A domicile</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6DE3801D" w14:textId="5A71922D"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7,8</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461" w:type="dxa"/>
            <w:tcBorders>
              <w:top w:val="single" w:sz="4" w:space="0" w:color="auto"/>
              <w:left w:val="nil"/>
              <w:bottom w:val="single" w:sz="4" w:space="0" w:color="auto"/>
              <w:right w:val="single" w:sz="4" w:space="0" w:color="auto"/>
            </w:tcBorders>
            <w:shd w:val="clear" w:color="auto" w:fill="auto"/>
            <w:vAlign w:val="center"/>
            <w:hideMark/>
          </w:tcPr>
          <w:p w14:paraId="4BB6DA16" w14:textId="5201AB7A" w:rsidR="00355EA1" w:rsidRPr="005F1F45" w:rsidRDefault="00355EA1" w:rsidP="00355EA1">
            <w:pPr>
              <w:spacing w:after="0" w:line="240" w:lineRule="auto"/>
              <w:jc w:val="center"/>
              <w:rPr>
                <w:rFonts w:eastAsia="Times New Roman" w:cs="Arial"/>
                <w:color w:val="000000"/>
                <w:sz w:val="18"/>
                <w:szCs w:val="18"/>
                <w:lang w:eastAsia="fr-FR"/>
              </w:rPr>
            </w:pPr>
            <w:r w:rsidRPr="005F1F45">
              <w:rPr>
                <w:rFonts w:eastAsia="Times New Roman" w:cs="Arial"/>
                <w:color w:val="000000"/>
                <w:sz w:val="18"/>
                <w:szCs w:val="18"/>
                <w:lang w:eastAsia="fr-FR"/>
              </w:rPr>
              <w:t>8,5</w:t>
            </w:r>
            <w:r w:rsidR="00024C0A">
              <w:rPr>
                <w:rFonts w:eastAsia="Times New Roman" w:cs="Arial"/>
                <w:color w:val="000000"/>
                <w:sz w:val="18"/>
                <w:szCs w:val="18"/>
                <w:lang w:eastAsia="fr-FR"/>
              </w:rPr>
              <w:t xml:space="preserve"> </w:t>
            </w:r>
            <w:r w:rsidRPr="005F1F45">
              <w:rPr>
                <w:rFonts w:eastAsia="Times New Roman" w:cs="Arial"/>
                <w:color w:val="000000"/>
                <w:sz w:val="18"/>
                <w:szCs w:val="18"/>
                <w:lang w:eastAsia="fr-FR"/>
              </w:rPr>
              <w:t>kg</w:t>
            </w:r>
          </w:p>
        </w:tc>
        <w:tc>
          <w:tcPr>
            <w:tcW w:w="1501" w:type="dxa"/>
            <w:tcBorders>
              <w:top w:val="single" w:sz="4" w:space="0" w:color="auto"/>
              <w:left w:val="nil"/>
              <w:bottom w:val="single" w:sz="4" w:space="0" w:color="auto"/>
              <w:right w:val="single" w:sz="4" w:space="0" w:color="auto"/>
            </w:tcBorders>
            <w:shd w:val="clear" w:color="auto" w:fill="auto"/>
            <w:vAlign w:val="center"/>
            <w:hideMark/>
          </w:tcPr>
          <w:p w14:paraId="40D95A14" w14:textId="64229369" w:rsidR="005F1F45" w:rsidRPr="005F1F45" w:rsidRDefault="00355EA1" w:rsidP="00355EA1">
            <w:pPr>
              <w:spacing w:after="0" w:line="240" w:lineRule="auto"/>
              <w:jc w:val="left"/>
              <w:rPr>
                <w:rFonts w:eastAsia="Times New Roman" w:cs="Arial"/>
                <w:color w:val="000000"/>
                <w:sz w:val="18"/>
                <w:szCs w:val="18"/>
                <w:lang w:eastAsia="fr-FR"/>
              </w:rPr>
            </w:pPr>
            <w:r w:rsidRPr="005F1F45">
              <w:rPr>
                <w:rFonts w:eastAsia="Times New Roman" w:cs="Arial"/>
                <w:color w:val="000000"/>
                <w:sz w:val="18"/>
                <w:szCs w:val="18"/>
                <w:lang w:eastAsia="fr-FR"/>
              </w:rPr>
              <w:t xml:space="preserve">Agrégation saucisserie à la viande de porc </w:t>
            </w:r>
          </w:p>
        </w:tc>
      </w:tr>
    </w:tbl>
    <w:p w14:paraId="13C5047B" w14:textId="186DDB5C" w:rsidR="0067542B" w:rsidRDefault="005F1F45" w:rsidP="005F1F45">
      <w:pPr>
        <w:spacing w:after="0"/>
        <w:rPr>
          <w:i/>
          <w:sz w:val="18"/>
          <w:szCs w:val="18"/>
        </w:rPr>
      </w:pPr>
      <w:r w:rsidRPr="00C64B51">
        <w:rPr>
          <w:i/>
          <w:sz w:val="18"/>
          <w:szCs w:val="18"/>
        </w:rPr>
        <w:t>(</w:t>
      </w:r>
      <w:r>
        <w:rPr>
          <w:i/>
          <w:sz w:val="18"/>
          <w:szCs w:val="18"/>
        </w:rPr>
        <w:t>*</w:t>
      </w:r>
      <w:r w:rsidRPr="00C64B51">
        <w:rPr>
          <w:i/>
          <w:sz w:val="18"/>
          <w:szCs w:val="18"/>
        </w:rPr>
        <w:t>)</w:t>
      </w:r>
      <w:r>
        <w:rPr>
          <w:i/>
          <w:sz w:val="18"/>
          <w:szCs w:val="18"/>
        </w:rPr>
        <w:t xml:space="preserve"> Ordre </w:t>
      </w:r>
      <w:r w:rsidRPr="00C64B51">
        <w:rPr>
          <w:i/>
          <w:sz w:val="18"/>
          <w:szCs w:val="18"/>
        </w:rPr>
        <w:t>de grandeur évalu</w:t>
      </w:r>
      <w:r>
        <w:rPr>
          <w:i/>
          <w:sz w:val="18"/>
          <w:szCs w:val="18"/>
        </w:rPr>
        <w:t>és</w:t>
      </w:r>
      <w:r w:rsidRPr="00C64B51">
        <w:rPr>
          <w:i/>
          <w:sz w:val="18"/>
          <w:szCs w:val="18"/>
        </w:rPr>
        <w:t xml:space="preserve"> pour </w:t>
      </w:r>
      <w:r>
        <w:rPr>
          <w:i/>
          <w:sz w:val="18"/>
          <w:szCs w:val="18"/>
        </w:rPr>
        <w:t xml:space="preserve">l’ensemble de la population </w:t>
      </w:r>
      <w:r w:rsidRPr="00C64B51">
        <w:rPr>
          <w:i/>
          <w:sz w:val="18"/>
          <w:szCs w:val="18"/>
        </w:rPr>
        <w:t>à partir des différentes données accessibles pour chaque source</w:t>
      </w:r>
      <w:r>
        <w:t xml:space="preserve"> </w:t>
      </w:r>
      <w:r w:rsidRPr="005F1F45">
        <w:rPr>
          <w:i/>
          <w:sz w:val="18"/>
          <w:szCs w:val="18"/>
        </w:rPr>
        <w:t>et des données Insee au 1er Janvier 2019.</w:t>
      </w:r>
    </w:p>
    <w:p w14:paraId="498516D6" w14:textId="5A5B8CAF" w:rsidR="005E4A65" w:rsidRPr="005F1F45" w:rsidRDefault="005E4A65" w:rsidP="005F1F45">
      <w:pPr>
        <w:spacing w:after="0"/>
        <w:rPr>
          <w:i/>
          <w:sz w:val="18"/>
          <w:szCs w:val="18"/>
        </w:rPr>
      </w:pPr>
      <w:r>
        <w:rPr>
          <w:i/>
          <w:sz w:val="18"/>
          <w:szCs w:val="18"/>
        </w:rPr>
        <w:t xml:space="preserve">(**) Coefficient de rendement, source FranceAgrimer. </w:t>
      </w:r>
    </w:p>
    <w:p w14:paraId="77009FF4" w14:textId="27AD1B41" w:rsidR="00B407F0" w:rsidRDefault="00C63CB7" w:rsidP="00B407F0">
      <w:pPr>
        <w:pStyle w:val="figure"/>
      </w:pPr>
      <w:bookmarkStart w:id="184" w:name="_Toc72143385"/>
      <w:r w:rsidRPr="00C63CB7">
        <w:t xml:space="preserve">Tableau </w:t>
      </w:r>
      <w:r w:rsidR="00E27D6E">
        <w:fldChar w:fldCharType="begin"/>
      </w:r>
      <w:r w:rsidR="00E27D6E">
        <w:instrText xml:space="preserve"> SEQ Tableau \* ARABIC </w:instrText>
      </w:r>
      <w:r w:rsidR="00E27D6E">
        <w:fldChar w:fldCharType="separate"/>
      </w:r>
      <w:r w:rsidR="0007597F">
        <w:rPr>
          <w:noProof/>
        </w:rPr>
        <w:t>37</w:t>
      </w:r>
      <w:r w:rsidR="00E27D6E">
        <w:rPr>
          <w:noProof/>
        </w:rPr>
        <w:fldChar w:fldCharType="end"/>
      </w:r>
      <w:r w:rsidRPr="00C63CB7">
        <w:t> :</w:t>
      </w:r>
      <w:r>
        <w:t xml:space="preserve"> </w:t>
      </w:r>
      <w:r w:rsidR="0067542B" w:rsidRPr="000C6174">
        <w:t xml:space="preserve">Etat des données issues des principales sources sur la consommation de viande de porc et </w:t>
      </w:r>
      <w:r w:rsidR="000C6174" w:rsidRPr="000C6174">
        <w:t xml:space="preserve">de </w:t>
      </w:r>
      <w:r w:rsidR="0067542B" w:rsidRPr="000C6174">
        <w:t>charcuterie de porc en France</w:t>
      </w:r>
      <w:bookmarkEnd w:id="184"/>
      <w:r w:rsidR="0067542B">
        <w:t xml:space="preserve"> </w:t>
      </w:r>
    </w:p>
    <w:p w14:paraId="4931DFA1" w14:textId="57D08EBC" w:rsidR="00C63CB7" w:rsidRPr="00142E18" w:rsidRDefault="00C63CB7" w:rsidP="00B407F0">
      <w:pPr>
        <w:pStyle w:val="Lgende"/>
        <w:rPr>
          <w:b/>
        </w:rPr>
      </w:pPr>
      <w:r>
        <w:t>(Source : Ifip)</w:t>
      </w:r>
    </w:p>
    <w:p w14:paraId="44730F28" w14:textId="634B2F9C" w:rsidR="00934B4B" w:rsidRDefault="00E3345E" w:rsidP="00C63CB7">
      <w:r>
        <w:t xml:space="preserve">Les </w:t>
      </w:r>
      <w:r w:rsidR="00934B4B">
        <w:t>éléments à l’origine de variations entre les sources</w:t>
      </w:r>
      <w:r>
        <w:t xml:space="preserve"> sont multiples</w:t>
      </w:r>
      <w:r w:rsidR="006A31EF">
        <w:t>. C</w:t>
      </w:r>
      <w:r w:rsidR="005B25AF" w:rsidRPr="00C64B51">
        <w:t xml:space="preserve">es différences </w:t>
      </w:r>
      <w:r w:rsidR="00934B4B">
        <w:t xml:space="preserve">s’observent au niveau </w:t>
      </w:r>
      <w:r w:rsidR="005B25AF" w:rsidRPr="00C64B51">
        <w:t>de</w:t>
      </w:r>
      <w:r w:rsidR="00934B4B">
        <w:t>s</w:t>
      </w:r>
      <w:r w:rsidR="005B25AF" w:rsidRPr="00C64B51">
        <w:t xml:space="preserve"> champ</w:t>
      </w:r>
      <w:r w:rsidR="00934B4B">
        <w:t>s</w:t>
      </w:r>
      <w:r w:rsidR="005B25AF" w:rsidRPr="00C64B51">
        <w:t xml:space="preserve"> </w:t>
      </w:r>
      <w:r w:rsidR="005B25AF">
        <w:t>couvert</w:t>
      </w:r>
      <w:r w:rsidR="00934B4B">
        <w:t>s,</w:t>
      </w:r>
      <w:r w:rsidR="005B25AF">
        <w:t xml:space="preserve"> de</w:t>
      </w:r>
      <w:r w:rsidR="00934B4B">
        <w:t xml:space="preserve"> la</w:t>
      </w:r>
      <w:r w:rsidR="005B25AF">
        <w:t xml:space="preserve"> population de référence entre d’une part les ménages et les déclarations individuelles</w:t>
      </w:r>
      <w:r w:rsidR="005B25AF" w:rsidRPr="00C64B51">
        <w:t xml:space="preserve">, </w:t>
      </w:r>
      <w:r w:rsidR="00934B4B">
        <w:t xml:space="preserve">de même que </w:t>
      </w:r>
      <w:r w:rsidR="005B25AF" w:rsidRPr="00C64B51">
        <w:t>les produits pris en compte dans les données publiées.</w:t>
      </w:r>
    </w:p>
    <w:p w14:paraId="566E64E3" w14:textId="77777777" w:rsidR="006529D8" w:rsidRDefault="006529D8" w:rsidP="00C63CB7"/>
    <w:p w14:paraId="73D7C53F" w14:textId="31C08828" w:rsidR="005B25AF" w:rsidRPr="006A31EF" w:rsidRDefault="005910B4" w:rsidP="006529D8">
      <w:pPr>
        <w:pStyle w:val="Paragraphedeliste"/>
        <w:numPr>
          <w:ilvl w:val="0"/>
          <w:numId w:val="16"/>
        </w:numPr>
        <w:spacing w:after="120"/>
        <w:ind w:left="1423" w:hanging="357"/>
        <w:rPr>
          <w:i/>
          <w:szCs w:val="22"/>
        </w:rPr>
      </w:pPr>
      <w:r>
        <w:rPr>
          <w:i/>
          <w:szCs w:val="22"/>
        </w:rPr>
        <w:lastRenderedPageBreak/>
        <w:t>Les biais liés aux</w:t>
      </w:r>
      <w:r w:rsidR="00817AA3">
        <w:rPr>
          <w:i/>
        </w:rPr>
        <w:t xml:space="preserve"> </w:t>
      </w:r>
      <w:r w:rsidR="005B25AF" w:rsidRPr="00934B4B">
        <w:rPr>
          <w:rFonts w:eastAsiaTheme="minorHAnsi" w:cstheme="minorBidi"/>
          <w:i/>
          <w:szCs w:val="22"/>
          <w:lang w:eastAsia="en-US"/>
        </w:rPr>
        <w:t>champ</w:t>
      </w:r>
      <w:r w:rsidR="00934B4B" w:rsidRPr="00934B4B">
        <w:rPr>
          <w:i/>
        </w:rPr>
        <w:t>s</w:t>
      </w:r>
      <w:r w:rsidR="005B25AF" w:rsidRPr="00934B4B">
        <w:rPr>
          <w:rFonts w:eastAsiaTheme="minorHAnsi" w:cstheme="minorBidi"/>
          <w:i/>
          <w:szCs w:val="22"/>
          <w:lang w:eastAsia="en-US"/>
        </w:rPr>
        <w:t xml:space="preserve"> couverts</w:t>
      </w:r>
    </w:p>
    <w:p w14:paraId="3218AE1D" w14:textId="5B931CBB" w:rsidR="00784879" w:rsidRDefault="00D60D03" w:rsidP="007253D7">
      <w:pPr>
        <w:rPr>
          <w:rFonts w:eastAsia="Times New Roman" w:cs="Arial"/>
          <w:iCs/>
          <w:lang w:eastAsia="fr-FR"/>
        </w:rPr>
      </w:pPr>
      <w:r>
        <w:rPr>
          <w:bCs/>
        </w:rPr>
        <w:t>Tous produits confondus, la consommation hors domicile est évaluée en terme</w:t>
      </w:r>
      <w:r w:rsidR="00784879">
        <w:rPr>
          <w:bCs/>
        </w:rPr>
        <w:t>s</w:t>
      </w:r>
      <w:r>
        <w:rPr>
          <w:bCs/>
        </w:rPr>
        <w:t xml:space="preserve"> de prise de repas à </w:t>
      </w:r>
      <w:r w:rsidR="00784879">
        <w:rPr>
          <w:bCs/>
        </w:rPr>
        <w:t>1 repas sur 5.</w:t>
      </w:r>
      <w:r>
        <w:rPr>
          <w:bCs/>
        </w:rPr>
        <w:t xml:space="preserve"> </w:t>
      </w:r>
      <w:r w:rsidR="00784879">
        <w:rPr>
          <w:bCs/>
        </w:rPr>
        <w:t xml:space="preserve">Si ce circuit au départ </w:t>
      </w:r>
      <w:r w:rsidR="00B00B4B">
        <w:rPr>
          <w:bCs/>
        </w:rPr>
        <w:t>désigne</w:t>
      </w:r>
      <w:r w:rsidR="00784879">
        <w:rPr>
          <w:bCs/>
        </w:rPr>
        <w:t xml:space="preserve"> la prise de repas consommée préparée et consommée en dehors du domicile, l</w:t>
      </w:r>
      <w:r w:rsidR="001D6834">
        <w:rPr>
          <w:bCs/>
        </w:rPr>
        <w:t>’évolution des pratiques alimentaires rend de plus en plus poreuse la</w:t>
      </w:r>
      <w:r w:rsidR="00737AC7" w:rsidRPr="00F26220">
        <w:rPr>
          <w:bCs/>
        </w:rPr>
        <w:t xml:space="preserve"> limite de définition entre les segments d</w:t>
      </w:r>
      <w:r>
        <w:rPr>
          <w:bCs/>
        </w:rPr>
        <w:t xml:space="preserve">es circuits « A </w:t>
      </w:r>
      <w:r w:rsidR="00737AC7" w:rsidRPr="00F26220">
        <w:rPr>
          <w:bCs/>
        </w:rPr>
        <w:t>domicile</w:t>
      </w:r>
      <w:r>
        <w:rPr>
          <w:bCs/>
        </w:rPr>
        <w:t> »</w:t>
      </w:r>
      <w:r w:rsidR="00737AC7" w:rsidRPr="00F26220">
        <w:rPr>
          <w:bCs/>
        </w:rPr>
        <w:t xml:space="preserve"> et </w:t>
      </w:r>
      <w:r>
        <w:rPr>
          <w:bCs/>
        </w:rPr>
        <w:t>« </w:t>
      </w:r>
      <w:r w:rsidR="00737AC7" w:rsidRPr="00F26220">
        <w:rPr>
          <w:bCs/>
        </w:rPr>
        <w:t>Hors domicile</w:t>
      </w:r>
      <w:r>
        <w:rPr>
          <w:bCs/>
        </w:rPr>
        <w:t> »</w:t>
      </w:r>
      <w:r w:rsidR="00784879">
        <w:rPr>
          <w:bCs/>
        </w:rPr>
        <w:t>.</w:t>
      </w:r>
      <w:r w:rsidR="00737AC7" w:rsidRPr="00F26220">
        <w:rPr>
          <w:bCs/>
        </w:rPr>
        <w:t xml:space="preserve"> </w:t>
      </w:r>
      <w:r w:rsidR="00784879">
        <w:rPr>
          <w:bCs/>
        </w:rPr>
        <w:t xml:space="preserve">Ce fait s’illustre notamment par le </w:t>
      </w:r>
      <w:r w:rsidR="00737AC7" w:rsidRPr="00236EFA">
        <w:rPr>
          <w:bCs/>
        </w:rPr>
        <w:t>développemen</w:t>
      </w:r>
      <w:r w:rsidR="001D6834">
        <w:rPr>
          <w:bCs/>
        </w:rPr>
        <w:t>t</w:t>
      </w:r>
      <w:r w:rsidR="00737AC7" w:rsidRPr="00236EFA">
        <w:rPr>
          <w:bCs/>
        </w:rPr>
        <w:t xml:space="preserve"> </w:t>
      </w:r>
      <w:r w:rsidR="001D6834">
        <w:rPr>
          <w:bCs/>
        </w:rPr>
        <w:t>d</w:t>
      </w:r>
      <w:r>
        <w:rPr>
          <w:bCs/>
        </w:rPr>
        <w:t>u snacking, de</w:t>
      </w:r>
      <w:r w:rsidR="00737AC7" w:rsidRPr="00236EFA">
        <w:rPr>
          <w:bCs/>
        </w:rPr>
        <w:t xml:space="preserve"> la livraison de repas à domicile</w:t>
      </w:r>
      <w:r w:rsidR="001D6834">
        <w:rPr>
          <w:bCs/>
        </w:rPr>
        <w:t xml:space="preserve"> </w:t>
      </w:r>
      <w:r>
        <w:rPr>
          <w:bCs/>
        </w:rPr>
        <w:t xml:space="preserve">en zone urbaine </w:t>
      </w:r>
      <w:r w:rsidR="001D6834">
        <w:rPr>
          <w:bCs/>
        </w:rPr>
        <w:t>et</w:t>
      </w:r>
      <w:r w:rsidR="00737AC7" w:rsidRPr="00236EFA">
        <w:rPr>
          <w:bCs/>
        </w:rPr>
        <w:t xml:space="preserve"> </w:t>
      </w:r>
      <w:r>
        <w:rPr>
          <w:bCs/>
        </w:rPr>
        <w:t>du</w:t>
      </w:r>
      <w:r w:rsidR="00737AC7" w:rsidRPr="00236EFA">
        <w:rPr>
          <w:bCs/>
        </w:rPr>
        <w:t xml:space="preserve"> principe de la « gamelle » consommée sur le lieu de travail.</w:t>
      </w:r>
      <w:r w:rsidR="00737AC7">
        <w:rPr>
          <w:bCs/>
        </w:rPr>
        <w:t xml:space="preserve"> </w:t>
      </w:r>
      <w:r w:rsidR="00737AC7" w:rsidRPr="00FF6656">
        <w:rPr>
          <w:rFonts w:eastAsia="Times New Roman" w:cs="Arial"/>
          <w:iCs/>
          <w:lang w:eastAsia="fr-FR"/>
        </w:rPr>
        <w:t>En effet, si la fréquentation des cantines et restaurants d’entreprise diminue, les actifs sont de plus en plus nombreux à déjeuner au moins une fois par semaine sur leur lieu de travail (40</w:t>
      </w:r>
      <w:r w:rsidR="006529D8">
        <w:rPr>
          <w:rFonts w:eastAsia="Times New Roman" w:cs="Arial"/>
          <w:iCs/>
          <w:lang w:eastAsia="fr-FR"/>
        </w:rPr>
        <w:t> </w:t>
      </w:r>
      <w:r w:rsidR="00737AC7" w:rsidRPr="00FF6656">
        <w:rPr>
          <w:rFonts w:eastAsia="Times New Roman" w:cs="Arial"/>
          <w:iCs/>
          <w:lang w:eastAsia="fr-FR"/>
        </w:rPr>
        <w:t>% en 2013 contre 34</w:t>
      </w:r>
      <w:r w:rsidR="006529D8">
        <w:rPr>
          <w:rFonts w:eastAsia="Times New Roman" w:cs="Arial"/>
          <w:iCs/>
          <w:lang w:eastAsia="fr-FR"/>
        </w:rPr>
        <w:t> </w:t>
      </w:r>
      <w:r w:rsidR="00737AC7" w:rsidRPr="00FF6656">
        <w:rPr>
          <w:rFonts w:eastAsia="Times New Roman" w:cs="Arial"/>
          <w:iCs/>
          <w:lang w:eastAsia="fr-FR"/>
        </w:rPr>
        <w:t>% en 2007) ou en restauration rapide (29</w:t>
      </w:r>
      <w:r w:rsidR="006529D8">
        <w:rPr>
          <w:rFonts w:eastAsia="Times New Roman" w:cs="Arial"/>
          <w:iCs/>
          <w:lang w:eastAsia="fr-FR"/>
        </w:rPr>
        <w:t> </w:t>
      </w:r>
      <w:r w:rsidR="00737AC7" w:rsidRPr="00FF6656">
        <w:rPr>
          <w:rFonts w:eastAsia="Times New Roman" w:cs="Arial"/>
          <w:iCs/>
          <w:lang w:eastAsia="fr-FR"/>
        </w:rPr>
        <w:t>% en 2013 contre 18</w:t>
      </w:r>
      <w:r w:rsidR="006529D8">
        <w:rPr>
          <w:rFonts w:eastAsia="Times New Roman" w:cs="Arial"/>
          <w:iCs/>
          <w:lang w:eastAsia="fr-FR"/>
        </w:rPr>
        <w:t> </w:t>
      </w:r>
      <w:r w:rsidR="00737AC7" w:rsidRPr="00FF6656">
        <w:rPr>
          <w:rFonts w:eastAsia="Times New Roman" w:cs="Arial"/>
          <w:iCs/>
          <w:lang w:eastAsia="fr-FR"/>
        </w:rPr>
        <w:t>% en 2007)</w:t>
      </w:r>
      <w:r>
        <w:rPr>
          <w:rFonts w:eastAsia="Times New Roman" w:cs="Arial"/>
          <w:iCs/>
          <w:lang w:eastAsia="fr-FR"/>
        </w:rPr>
        <w:t xml:space="preserve"> selon le Credoc</w:t>
      </w:r>
      <w:r w:rsidR="00737AC7" w:rsidRPr="00FF6656">
        <w:rPr>
          <w:rFonts w:eastAsia="Times New Roman" w:cs="Arial"/>
          <w:iCs/>
          <w:lang w:eastAsia="fr-FR"/>
        </w:rPr>
        <w:t xml:space="preserve">. Parallèlement, les boulangeries, les sandwicheries et des types de commerces plus récents comme les saladeries ou les bars à pâtes ont développé une offre </w:t>
      </w:r>
      <w:r w:rsidR="00E3345E">
        <w:rPr>
          <w:rFonts w:eastAsia="Times New Roman" w:cs="Arial"/>
          <w:iCs/>
          <w:lang w:eastAsia="fr-FR"/>
        </w:rPr>
        <w:t xml:space="preserve">de </w:t>
      </w:r>
      <w:r w:rsidR="00737AC7" w:rsidRPr="00FF6656">
        <w:rPr>
          <w:rFonts w:eastAsia="Times New Roman" w:cs="Arial"/>
          <w:iCs/>
          <w:lang w:eastAsia="fr-FR"/>
        </w:rPr>
        <w:t>restauration variée et à des prix attractifs</w:t>
      </w:r>
      <w:r w:rsidR="00737AC7">
        <w:rPr>
          <w:rFonts w:eastAsia="Times New Roman" w:cs="Arial"/>
          <w:iCs/>
          <w:lang w:eastAsia="fr-FR"/>
        </w:rPr>
        <w:t xml:space="preserve"> </w:t>
      </w:r>
      <w:r w:rsidR="00737AC7" w:rsidRPr="00FF6656">
        <w:rPr>
          <w:rFonts w:eastAsia="Times New Roman" w:cs="Arial"/>
          <w:iCs/>
          <w:lang w:eastAsia="fr-FR"/>
        </w:rPr>
        <w:t>qui concurrencent de plus en plus les cantines.</w:t>
      </w:r>
      <w:r w:rsidR="00737AC7">
        <w:rPr>
          <w:rFonts w:eastAsia="Times New Roman" w:cs="Arial"/>
          <w:iCs/>
          <w:lang w:eastAsia="fr-FR"/>
        </w:rPr>
        <w:t xml:space="preserve"> </w:t>
      </w:r>
    </w:p>
    <w:p w14:paraId="5F3F5FBD" w14:textId="41B36DD7" w:rsidR="00D60D03" w:rsidRDefault="00D60D03" w:rsidP="007253D7">
      <w:pPr>
        <w:rPr>
          <w:rFonts w:eastAsia="Times New Roman" w:cs="Arial"/>
          <w:iCs/>
          <w:lang w:eastAsia="fr-FR"/>
        </w:rPr>
      </w:pPr>
      <w:r>
        <w:rPr>
          <w:rFonts w:eastAsia="Times New Roman" w:cs="Arial"/>
          <w:iCs/>
          <w:lang w:eastAsia="fr-FR"/>
        </w:rPr>
        <w:t xml:space="preserve">Par ailleurs sur le champ de la restauration hors domicile, </w:t>
      </w:r>
      <w:r w:rsidR="00784879">
        <w:rPr>
          <w:rFonts w:eastAsia="Times New Roman" w:cs="Arial"/>
          <w:iCs/>
          <w:lang w:eastAsia="fr-FR"/>
        </w:rPr>
        <w:t xml:space="preserve">le consommateur achète une </w:t>
      </w:r>
      <w:r>
        <w:rPr>
          <w:rFonts w:eastAsia="Times New Roman" w:cs="Arial"/>
          <w:iCs/>
          <w:lang w:eastAsia="fr-FR"/>
        </w:rPr>
        <w:t xml:space="preserve">prestation incluant une dimension service dans laquelle la part de la quantité consommée n’est pas directement liée au prix payé. Ce contexte </w:t>
      </w:r>
      <w:r w:rsidR="00784879">
        <w:rPr>
          <w:rFonts w:eastAsia="Times New Roman" w:cs="Arial"/>
          <w:iCs/>
          <w:lang w:eastAsia="fr-FR"/>
        </w:rPr>
        <w:t>au-delà du</w:t>
      </w:r>
      <w:r>
        <w:rPr>
          <w:rFonts w:eastAsia="Times New Roman" w:cs="Arial"/>
          <w:iCs/>
          <w:lang w:eastAsia="fr-FR"/>
        </w:rPr>
        <w:t xml:space="preserve"> cadre méthodologique</w:t>
      </w:r>
      <w:r w:rsidR="00784879">
        <w:rPr>
          <w:rFonts w:eastAsia="Times New Roman" w:cs="Arial"/>
          <w:iCs/>
          <w:lang w:eastAsia="fr-FR"/>
        </w:rPr>
        <w:t xml:space="preserve"> des études</w:t>
      </w:r>
      <w:r>
        <w:rPr>
          <w:rFonts w:eastAsia="Times New Roman" w:cs="Arial"/>
          <w:iCs/>
          <w:lang w:eastAsia="fr-FR"/>
        </w:rPr>
        <w:t xml:space="preserve">, et outre les biais déclaratifs d’omission, peut </w:t>
      </w:r>
      <w:r w:rsidR="00784879">
        <w:rPr>
          <w:rFonts w:eastAsia="Times New Roman" w:cs="Arial"/>
          <w:iCs/>
          <w:lang w:eastAsia="fr-FR"/>
        </w:rPr>
        <w:t>contribuer à induire chez le consommateur,</w:t>
      </w:r>
      <w:r>
        <w:rPr>
          <w:rFonts w:eastAsia="Times New Roman" w:cs="Arial"/>
          <w:iCs/>
          <w:lang w:eastAsia="fr-FR"/>
        </w:rPr>
        <w:t xml:space="preserve"> une perte de repères dans l’estimation de la portion consommée par l’individu. </w:t>
      </w:r>
    </w:p>
    <w:p w14:paraId="6C5E1B6E" w14:textId="087BF250" w:rsidR="001D6834" w:rsidRPr="00934B4B" w:rsidRDefault="00205903" w:rsidP="006529D8">
      <w:pPr>
        <w:pStyle w:val="Paragraphedeliste"/>
        <w:numPr>
          <w:ilvl w:val="0"/>
          <w:numId w:val="16"/>
        </w:numPr>
        <w:spacing w:after="120"/>
        <w:ind w:left="1423" w:hanging="357"/>
        <w:rPr>
          <w:i/>
          <w:szCs w:val="22"/>
        </w:rPr>
      </w:pPr>
      <w:r>
        <w:rPr>
          <w:i/>
          <w:szCs w:val="22"/>
        </w:rPr>
        <w:t xml:space="preserve">Les biais liés à </w:t>
      </w:r>
      <w:r>
        <w:rPr>
          <w:rFonts w:eastAsiaTheme="minorHAnsi" w:cstheme="minorBidi"/>
          <w:i/>
          <w:szCs w:val="22"/>
          <w:lang w:eastAsia="en-US"/>
        </w:rPr>
        <w:t>la</w:t>
      </w:r>
      <w:r w:rsidR="001D6834">
        <w:rPr>
          <w:i/>
        </w:rPr>
        <w:t xml:space="preserve"> </w:t>
      </w:r>
      <w:r w:rsidR="00B8018D">
        <w:rPr>
          <w:rFonts w:eastAsiaTheme="minorHAnsi" w:cstheme="minorBidi"/>
          <w:i/>
          <w:szCs w:val="22"/>
          <w:lang w:eastAsia="en-US"/>
        </w:rPr>
        <w:t>population de référence</w:t>
      </w:r>
      <w:r w:rsidR="001D6834" w:rsidRPr="00934B4B">
        <w:rPr>
          <w:i/>
        </w:rPr>
        <w:t xml:space="preserve"> </w:t>
      </w:r>
    </w:p>
    <w:p w14:paraId="2084796C" w14:textId="3CDF8CE7" w:rsidR="00B13D73" w:rsidRDefault="002F4A45" w:rsidP="0002537E">
      <w:r>
        <w:t>Les enquêtes Insee</w:t>
      </w:r>
      <w:r w:rsidR="00B14805">
        <w:t xml:space="preserve"> ainsi que</w:t>
      </w:r>
      <w:r>
        <w:t xml:space="preserve"> les données </w:t>
      </w:r>
      <w:r w:rsidR="006529D8">
        <w:t xml:space="preserve">de </w:t>
      </w:r>
      <w:r>
        <w:t xml:space="preserve">Kantar </w:t>
      </w:r>
      <w:r w:rsidR="006529D8">
        <w:t>étudient</w:t>
      </w:r>
      <w:r w:rsidR="006B26C5">
        <w:t xml:space="preserve"> et suivent</w:t>
      </w:r>
      <w:r w:rsidR="00B00B4B">
        <w:t xml:space="preserve"> le</w:t>
      </w:r>
      <w:r>
        <w:t xml:space="preserve"> comportement</w:t>
      </w:r>
      <w:r w:rsidR="00B00B4B">
        <w:t xml:space="preserve"> d</w:t>
      </w:r>
      <w:r w:rsidR="006B26C5">
        <w:t>es</w:t>
      </w:r>
      <w:r w:rsidR="00B00B4B">
        <w:t xml:space="preserve"> ménage</w:t>
      </w:r>
      <w:r w:rsidR="006B26C5">
        <w:t>s.</w:t>
      </w:r>
      <w:r w:rsidR="00B00B4B">
        <w:t xml:space="preserve"> </w:t>
      </w:r>
      <w:r w:rsidR="006B26C5">
        <w:t>M</w:t>
      </w:r>
      <w:r w:rsidR="00B00B4B">
        <w:t>ême si ce</w:t>
      </w:r>
      <w:r w:rsidR="006B26C5">
        <w:t>s</w:t>
      </w:r>
      <w:r w:rsidR="00B00B4B">
        <w:t xml:space="preserve"> dernier</w:t>
      </w:r>
      <w:r w:rsidR="006B26C5">
        <w:t>s</w:t>
      </w:r>
      <w:r w:rsidR="00B00B4B">
        <w:t xml:space="preserve"> compren</w:t>
      </w:r>
      <w:r w:rsidR="006B26C5">
        <w:t>nent</w:t>
      </w:r>
      <w:r w:rsidR="00B00B4B">
        <w:t xml:space="preserve"> plusieurs personnes, </w:t>
      </w:r>
      <w:r w:rsidR="006B26C5">
        <w:t xml:space="preserve">le ménage est considéré </w:t>
      </w:r>
      <w:r>
        <w:t xml:space="preserve">comme </w:t>
      </w:r>
      <w:r w:rsidR="00B00B4B">
        <w:t xml:space="preserve">une fonction unique </w:t>
      </w:r>
      <w:r>
        <w:t xml:space="preserve">derrière laquelle </w:t>
      </w:r>
      <w:r w:rsidR="00B00B4B">
        <w:t>les préférences individuelles sont</w:t>
      </w:r>
      <w:r>
        <w:t xml:space="preserve"> </w:t>
      </w:r>
      <w:r w:rsidR="00B00B4B">
        <w:t>agrégées en un système de préférences sociales</w:t>
      </w:r>
      <w:r>
        <w:t xml:space="preserve"> </w:t>
      </w:r>
      <w:r w:rsidR="00B00B4B">
        <w:t>uni</w:t>
      </w:r>
      <w:r w:rsidR="006B26C5">
        <w:t>taire</w:t>
      </w:r>
      <w:r w:rsidR="00B00B4B">
        <w:t>.</w:t>
      </w:r>
      <w:r w:rsidR="006B26C5">
        <w:t xml:space="preserve"> Cette approche</w:t>
      </w:r>
      <w:r w:rsidR="00B00B4B">
        <w:t xml:space="preserve"> </w:t>
      </w:r>
      <w:r w:rsidR="006B26C5">
        <w:t>qui</w:t>
      </w:r>
      <w:r w:rsidR="00B00B4B">
        <w:t xml:space="preserve"> </w:t>
      </w:r>
      <w:r w:rsidR="006B26C5">
        <w:t>mène</w:t>
      </w:r>
      <w:r w:rsidR="00B00B4B">
        <w:t xml:space="preserve"> à des restrictions sur le comportement du ménage </w:t>
      </w:r>
      <w:r w:rsidR="006B26C5">
        <w:t xml:space="preserve">permet de prendre en compte </w:t>
      </w:r>
      <w:r w:rsidR="00B00B4B">
        <w:t>les préférences du ménage à partir de l’observation du système complet de demandes</w:t>
      </w:r>
      <w:r w:rsidR="006B26C5">
        <w:t xml:space="preserve"> afin d’étudier </w:t>
      </w:r>
      <w:r w:rsidR="00B00B4B">
        <w:t>le comportement du ménage</w:t>
      </w:r>
      <w:r w:rsidR="006B26C5">
        <w:t xml:space="preserve">. </w:t>
      </w:r>
      <w:r w:rsidR="00B00B4B">
        <w:t xml:space="preserve">Cependant, </w:t>
      </w:r>
      <w:r w:rsidR="00B13D73">
        <w:t>ce</w:t>
      </w:r>
      <w:r w:rsidR="00B00B4B">
        <w:t xml:space="preserve"> cadre d’analyse qui ne prend pas en compte la pluralité des décideurs dans le ménage laisse apparaître certaines insuffisances</w:t>
      </w:r>
      <w:r w:rsidR="00B13D73">
        <w:t xml:space="preserve"> (Chiapori et al, 2006).</w:t>
      </w:r>
    </w:p>
    <w:p w14:paraId="34D0AB82" w14:textId="69E18C14" w:rsidR="00BC64DB" w:rsidRPr="00834D06" w:rsidRDefault="000D7B47" w:rsidP="0002537E">
      <w:r w:rsidRPr="00CF1A50">
        <w:t xml:space="preserve">Or, </w:t>
      </w:r>
      <w:r w:rsidR="00834D06" w:rsidRPr="00CF1A50">
        <w:t xml:space="preserve">des facteurs individuels </w:t>
      </w:r>
      <w:r w:rsidR="00CF1A50" w:rsidRPr="00CF1A50">
        <w:t xml:space="preserve">prévalent </w:t>
      </w:r>
      <w:r w:rsidR="00205903" w:rsidRPr="00CF1A50">
        <w:t>autour de la décision d’achat de la viande</w:t>
      </w:r>
      <w:r w:rsidR="00834D06" w:rsidRPr="00CF1A50">
        <w:t xml:space="preserve">. </w:t>
      </w:r>
      <w:r w:rsidR="00CF1A50" w:rsidRPr="00CF1A50">
        <w:t>Parmi les</w:t>
      </w:r>
      <w:r w:rsidR="00834D06" w:rsidRPr="00CF1A50">
        <w:t xml:space="preserve"> facteurs individuels</w:t>
      </w:r>
      <w:r w:rsidR="00CF1A50" w:rsidRPr="00CF1A50">
        <w:t xml:space="preserve">, figurent notamment le </w:t>
      </w:r>
      <w:r w:rsidR="00834D06" w:rsidRPr="00CF1A50">
        <w:t>genre bien que la littérature fasse état de travaux aux résultats divergents (Caze Valette, 2006) ou la confession. En effet,</w:t>
      </w:r>
      <w:r w:rsidR="00E26D21" w:rsidRPr="00CF1A50">
        <w:t xml:space="preserve"> l</w:t>
      </w:r>
      <w:r w:rsidR="00B8018D" w:rsidRPr="00CF1A50">
        <w:t>es pratiques de consommation carnée dépendent aussi en grande partie du statut culturel (distinct du statut légal) des espèces animales concernées (Digard 2007)</w:t>
      </w:r>
      <w:r w:rsidR="00E26D21" w:rsidRPr="00CF1A50">
        <w:t xml:space="preserve">. Or le porc est une espèce confessionnelle </w:t>
      </w:r>
      <w:r w:rsidR="001E2F9E" w:rsidRPr="00CF1A50">
        <w:t xml:space="preserve">et les échantillons </w:t>
      </w:r>
      <w:r w:rsidR="00834D06" w:rsidRPr="00CF1A50">
        <w:t>ou panel</w:t>
      </w:r>
      <w:r w:rsidR="009072CE" w:rsidRPr="00CF1A50">
        <w:t>s</w:t>
      </w:r>
      <w:r w:rsidR="00834D06" w:rsidRPr="00CF1A50">
        <w:t xml:space="preserve"> </w:t>
      </w:r>
      <w:r w:rsidR="001E2F9E" w:rsidRPr="00CF1A50">
        <w:t xml:space="preserve">étudiés </w:t>
      </w:r>
      <w:r w:rsidR="009072CE" w:rsidRPr="00CF1A50">
        <w:t xml:space="preserve">peuvent difficilement prendre en compte </w:t>
      </w:r>
      <w:r w:rsidR="00834D06" w:rsidRPr="00CF1A50">
        <w:t>cette représentativité.</w:t>
      </w:r>
      <w:r w:rsidR="003E4F96">
        <w:t xml:space="preserve"> </w:t>
      </w:r>
      <w:r w:rsidR="00205903">
        <w:t xml:space="preserve">Concernant le genre, le panel Kantar n’intègre pas cette dimension dans la construction de celui-ci contrairement aux enquêtes individuelles du Credoc et Inca. </w:t>
      </w:r>
    </w:p>
    <w:p w14:paraId="5D356DFB" w14:textId="3BE68582" w:rsidR="00205903" w:rsidRPr="00205903" w:rsidRDefault="004E4EBD" w:rsidP="00A305CD">
      <w:pPr>
        <w:pStyle w:val="Paragraphedeliste"/>
        <w:numPr>
          <w:ilvl w:val="0"/>
          <w:numId w:val="16"/>
        </w:numPr>
        <w:spacing w:after="120"/>
        <w:ind w:left="1423" w:hanging="357"/>
      </w:pPr>
      <w:r w:rsidRPr="00205903">
        <w:rPr>
          <w:i/>
          <w:szCs w:val="22"/>
        </w:rPr>
        <w:t xml:space="preserve">Ecarts appréciation de l’offre </w:t>
      </w:r>
      <w:r w:rsidR="00205903" w:rsidRPr="00205903">
        <w:rPr>
          <w:i/>
          <w:szCs w:val="22"/>
        </w:rPr>
        <w:t>entre la viande</w:t>
      </w:r>
      <w:r w:rsidR="00205903">
        <w:rPr>
          <w:i/>
          <w:szCs w:val="22"/>
        </w:rPr>
        <w:t xml:space="preserve"> de porc</w:t>
      </w:r>
      <w:r w:rsidR="00205903" w:rsidRPr="00205903">
        <w:rPr>
          <w:i/>
          <w:szCs w:val="22"/>
        </w:rPr>
        <w:t xml:space="preserve"> et les </w:t>
      </w:r>
      <w:r w:rsidRPr="00205903">
        <w:rPr>
          <w:i/>
          <w:szCs w:val="22"/>
        </w:rPr>
        <w:t xml:space="preserve">produits transformés </w:t>
      </w:r>
      <w:r w:rsidR="00205903">
        <w:rPr>
          <w:i/>
          <w:szCs w:val="22"/>
        </w:rPr>
        <w:t>issus du porc</w:t>
      </w:r>
    </w:p>
    <w:p w14:paraId="7410D00C" w14:textId="6AEFCD2D" w:rsidR="00205903" w:rsidRDefault="00205903" w:rsidP="0002537E">
      <w:r>
        <w:t>L</w:t>
      </w:r>
      <w:r w:rsidR="001D6834" w:rsidRPr="00C64B51">
        <w:t xml:space="preserve">es </w:t>
      </w:r>
      <w:r w:rsidR="001D6834">
        <w:t xml:space="preserve">données par </w:t>
      </w:r>
      <w:r w:rsidR="001D6834" w:rsidRPr="00C64B51">
        <w:t xml:space="preserve">bilan incluent l'ensemble des </w:t>
      </w:r>
      <w:r w:rsidR="001D6834">
        <w:t>débouchés des produits du porc</w:t>
      </w:r>
      <w:r w:rsidR="001D6834" w:rsidRPr="00C64B51">
        <w:t xml:space="preserve">. </w:t>
      </w:r>
      <w:r w:rsidR="001D6834">
        <w:t xml:space="preserve">Cependant, les </w:t>
      </w:r>
      <w:r w:rsidR="001D6834" w:rsidRPr="00C64B51">
        <w:t>estimation</w:t>
      </w:r>
      <w:r w:rsidR="001D6834">
        <w:t>s</w:t>
      </w:r>
      <w:r w:rsidR="001D6834" w:rsidRPr="00C64B51">
        <w:t xml:space="preserve"> réalisée</w:t>
      </w:r>
      <w:r w:rsidR="001D6834">
        <w:t>s</w:t>
      </w:r>
      <w:r w:rsidR="001D6834" w:rsidRPr="00C64B51">
        <w:t xml:space="preserve"> à partir d</w:t>
      </w:r>
      <w:r w:rsidR="003E7276">
        <w:t>’</w:t>
      </w:r>
      <w:r w:rsidR="001D6834">
        <w:t xml:space="preserve">autres sources de </w:t>
      </w:r>
      <w:r w:rsidR="001D6834" w:rsidRPr="00C64B51">
        <w:t>données</w:t>
      </w:r>
      <w:r w:rsidR="001D6834">
        <w:t xml:space="preserve"> ne permettent pas de couvrir l’ensemble des </w:t>
      </w:r>
      <w:r w:rsidR="003E7276">
        <w:t>produits</w:t>
      </w:r>
      <w:r w:rsidR="001D6834">
        <w:t xml:space="preserve"> intégrant du porc. Tel qu’évoqué en introduction de ce dossier, les difficultés liées à la présence des produits du porc dans de nombreuses préparations et recettes au travers des produits traiteurs et de certains produits de charcuterie de volaille notamment, rend leur identification moins facile. De même les produits de charcuterie et de salaison en conserves ne sont pas pris en compte. </w:t>
      </w:r>
      <w:r w:rsidR="001D6834" w:rsidRPr="00C64B51">
        <w:t>Un</w:t>
      </w:r>
      <w:r w:rsidR="001D6834">
        <w:t>e approche</w:t>
      </w:r>
      <w:r w:rsidR="001D6834" w:rsidRPr="00C64B51">
        <w:t xml:space="preserve"> </w:t>
      </w:r>
      <w:r w:rsidR="001D6834">
        <w:t>plus fine</w:t>
      </w:r>
      <w:r w:rsidR="001D6834" w:rsidRPr="00C64B51">
        <w:t xml:space="preserve"> à partir de </w:t>
      </w:r>
      <w:r w:rsidR="001D6834">
        <w:t>l’analyse de l’offre</w:t>
      </w:r>
      <w:r w:rsidR="00365AB7">
        <w:t xml:space="preserve">, des pratiques des opérateurs </w:t>
      </w:r>
      <w:r w:rsidR="00E13286">
        <w:t>confrontée à la part massique des produits non comestible sera investiguée</w:t>
      </w:r>
      <w:r w:rsidR="001D6834">
        <w:t xml:space="preserve"> </w:t>
      </w:r>
      <w:r w:rsidR="00E13286">
        <w:t xml:space="preserve">afin de croiser </w:t>
      </w:r>
      <w:r w:rsidR="001D6834" w:rsidRPr="00C64B51">
        <w:t>ces estimations</w:t>
      </w:r>
      <w:r w:rsidR="001D6834">
        <w:t>.</w:t>
      </w:r>
    </w:p>
    <w:p w14:paraId="0C9F1A2E" w14:textId="0272F7F7" w:rsidR="003E7276" w:rsidRDefault="003E7276" w:rsidP="0002537E">
      <w:pPr>
        <w:pStyle w:val="Paragraphedeliste"/>
        <w:keepNext/>
        <w:numPr>
          <w:ilvl w:val="0"/>
          <w:numId w:val="16"/>
        </w:numPr>
        <w:spacing w:after="120"/>
        <w:ind w:left="1423" w:hanging="357"/>
      </w:pPr>
      <w:r w:rsidRPr="00205903">
        <w:rPr>
          <w:i/>
          <w:szCs w:val="22"/>
        </w:rPr>
        <w:lastRenderedPageBreak/>
        <w:t>Ecarts appréciation de l’offre entre la viande</w:t>
      </w:r>
      <w:r>
        <w:rPr>
          <w:i/>
          <w:szCs w:val="22"/>
        </w:rPr>
        <w:t xml:space="preserve"> de porc</w:t>
      </w:r>
      <w:r w:rsidRPr="00205903">
        <w:rPr>
          <w:i/>
          <w:szCs w:val="22"/>
        </w:rPr>
        <w:t xml:space="preserve"> et les produits transformés </w:t>
      </w:r>
      <w:r>
        <w:rPr>
          <w:i/>
          <w:szCs w:val="22"/>
        </w:rPr>
        <w:t>issus du porc</w:t>
      </w:r>
    </w:p>
    <w:p w14:paraId="2A9F1649" w14:textId="67E37B99" w:rsidR="006A787B" w:rsidRDefault="003E7276" w:rsidP="0002537E">
      <w:pPr>
        <w:keepNext/>
      </w:pPr>
      <w:r>
        <w:t>Les données de consommation obtenues par panel ne prennent pas en compte la part de produits qui est gaspillé</w:t>
      </w:r>
      <w:r w:rsidR="00C122DF">
        <w:t>e</w:t>
      </w:r>
      <w:r>
        <w:t xml:space="preserve"> et par conséquent non réellement consommé</w:t>
      </w:r>
      <w:r w:rsidR="00C122DF">
        <w:t>e</w:t>
      </w:r>
      <w:r>
        <w:t xml:space="preserve">. </w:t>
      </w:r>
      <w:r w:rsidR="00EA756E">
        <w:t>Cette notion de gaspillage renvoie à la définition qu’en fait l’Ademe. En effet dans son approche, elle</w:t>
      </w:r>
      <w:r w:rsidR="006A787B">
        <w:t xml:space="preserve"> distingue les notions de « Food losses » ou « Pertes alimentaires » et celle de « Food wastes » ou « Gaspillage alimentaire ». Les premières faisant référence aux pertes se produisant au début de la cha</w:t>
      </w:r>
      <w:r w:rsidR="00C122DF">
        <w:t>î</w:t>
      </w:r>
      <w:r w:rsidR="006A787B">
        <w:t>ne d’approvisionnement du fait de défaillances dans les process ou d’un manque d’effi</w:t>
      </w:r>
      <w:r w:rsidR="00EA756E">
        <w:t>cacité</w:t>
      </w:r>
      <w:r w:rsidR="006A787B">
        <w:t xml:space="preserve"> des </w:t>
      </w:r>
      <w:r w:rsidR="00B14805">
        <w:t>infrastructures</w:t>
      </w:r>
      <w:r w:rsidR="00C122DF">
        <w:t xml:space="preserve"> et</w:t>
      </w:r>
      <w:r w:rsidR="006A787B">
        <w:t xml:space="preserve"> les secondes renvoient aux rejets d’aliments propres à la consommation en aval de la cha</w:t>
      </w:r>
      <w:r w:rsidR="00C122DF">
        <w:t>î</w:t>
      </w:r>
      <w:r w:rsidR="006A787B">
        <w:t>ne d’approvisionnement (distribution et consommation) et dont les causes sont majoritairement liées aux comportements.</w:t>
      </w:r>
    </w:p>
    <w:p w14:paraId="1859C2E9" w14:textId="44E443F5" w:rsidR="00D728FF" w:rsidRDefault="003E7276" w:rsidP="0002537E">
      <w:r>
        <w:t xml:space="preserve">Selon les données </w:t>
      </w:r>
      <w:r w:rsidR="00D728FF">
        <w:t>issues d‘une enquête conduit</w:t>
      </w:r>
      <w:r w:rsidR="00C122DF">
        <w:t>e</w:t>
      </w:r>
      <w:r w:rsidR="00D728FF">
        <w:t xml:space="preserve"> par </w:t>
      </w:r>
      <w:r>
        <w:t>l’Ademe</w:t>
      </w:r>
      <w:r w:rsidR="00D728FF">
        <w:t xml:space="preserve"> en 2016</w:t>
      </w:r>
      <w:r>
        <w:t>,</w:t>
      </w:r>
      <w:r w:rsidR="00D728FF">
        <w:t xml:space="preserve"> le bilan global des pertes et gaspillages en consommation des produits du porc est estimé à 5</w:t>
      </w:r>
      <w:r w:rsidR="00B14805">
        <w:t> </w:t>
      </w:r>
      <w:r w:rsidR="00D728FF">
        <w:t>% des achats tous circuits avec un taux de 10</w:t>
      </w:r>
      <w:r w:rsidR="00446A0F">
        <w:t> </w:t>
      </w:r>
      <w:r w:rsidR="00D728FF">
        <w:t>% sur le périmètre de la restauration hors domicile et de 4</w:t>
      </w:r>
      <w:r w:rsidR="00B14805">
        <w:t> </w:t>
      </w:r>
      <w:r w:rsidR="00D728FF">
        <w:t>% en consommation à domicile couvrant essentiellement les reliquats de repas.</w:t>
      </w:r>
      <w:r>
        <w:t xml:space="preserve"> </w:t>
      </w:r>
    </w:p>
    <w:p w14:paraId="291194A0" w14:textId="2100FB9E" w:rsidR="00996A03" w:rsidRDefault="00996A03" w:rsidP="0002537E">
      <w:r>
        <w:t xml:space="preserve">En complément de ces indications, les </w:t>
      </w:r>
      <w:r w:rsidR="00E3345E">
        <w:t>aspects relatifs à la redirection de matière vers des usages alimentaires et</w:t>
      </w:r>
      <w:r w:rsidR="00DF51F1">
        <w:t xml:space="preserve"> non alimentaire</w:t>
      </w:r>
      <w:r w:rsidR="00E3345E">
        <w:t>s</w:t>
      </w:r>
      <w:r w:rsidR="00DF51F1">
        <w:t xml:space="preserve"> </w:t>
      </w:r>
      <w:r>
        <w:t>tout au long des étapes de transformation de la filière</w:t>
      </w:r>
      <w:r w:rsidR="00E3345E">
        <w:t>,</w:t>
      </w:r>
      <w:r>
        <w:t xml:space="preserve"> seront évoqués plus longuement en seconde partie du rapport. </w:t>
      </w:r>
    </w:p>
    <w:p w14:paraId="4860427A" w14:textId="035327D4" w:rsidR="00205903" w:rsidRDefault="00D728FF" w:rsidP="0002537E">
      <w:r>
        <w:t>Par ailleurs, les volumes d’achat pris en compte dans les panels ne prennent pas en compte l</w:t>
      </w:r>
      <w:r w:rsidR="003E7276">
        <w:t>es pertes de masse pendant les procédés de transformation et de cuisson</w:t>
      </w:r>
      <w:r>
        <w:t xml:space="preserve"> des produits du porc par les consommateurs et en particulier de la viande. Cet aspect demeure difficile à évaluer.</w:t>
      </w:r>
    </w:p>
    <w:p w14:paraId="7DAF593C" w14:textId="2F6D9587" w:rsidR="00E3345E" w:rsidRPr="00EB6DA2" w:rsidRDefault="002949AA" w:rsidP="00A63F35">
      <w:pPr>
        <w:pStyle w:val="Titre2"/>
        <w:numPr>
          <w:ilvl w:val="0"/>
          <w:numId w:val="0"/>
        </w:numPr>
        <w:ind w:left="360"/>
      </w:pPr>
      <w:bookmarkStart w:id="185" w:name="_Toc78131609"/>
      <w:r w:rsidRPr="0002537E">
        <w:t xml:space="preserve">4.2. </w:t>
      </w:r>
      <w:r w:rsidR="00162256" w:rsidRPr="0002537E">
        <w:t>Etat synthétique des connaissances d</w:t>
      </w:r>
      <w:r w:rsidRPr="0002537E">
        <w:t>u net</w:t>
      </w:r>
      <w:r w:rsidR="00162256" w:rsidRPr="0002537E">
        <w:t xml:space="preserve"> disponible</w:t>
      </w:r>
      <w:r w:rsidRPr="0002537E">
        <w:t xml:space="preserve"> en volume</w:t>
      </w:r>
      <w:r w:rsidR="00162256" w:rsidRPr="0002537E">
        <w:t xml:space="preserve"> </w:t>
      </w:r>
      <w:r w:rsidR="00EB6DA2" w:rsidRPr="0002537E">
        <w:t>des</w:t>
      </w:r>
      <w:r w:rsidR="00162256" w:rsidRPr="0002537E">
        <w:t xml:space="preserve"> </w:t>
      </w:r>
      <w:r w:rsidRPr="0002537E">
        <w:t xml:space="preserve">produits du </w:t>
      </w:r>
      <w:r w:rsidR="00162256" w:rsidRPr="0002537E">
        <w:t>porc</w:t>
      </w:r>
      <w:bookmarkEnd w:id="185"/>
      <w:r w:rsidRPr="0002537E">
        <w:t xml:space="preserve"> </w:t>
      </w:r>
    </w:p>
    <w:p w14:paraId="57CD455F" w14:textId="5E6D05E4" w:rsidR="001734F7" w:rsidRDefault="00176C87" w:rsidP="00176C87">
      <w:r w:rsidRPr="00777392">
        <w:t xml:space="preserve">Les données </w:t>
      </w:r>
      <w:r w:rsidR="00EB6DA2">
        <w:t xml:space="preserve">publiques </w:t>
      </w:r>
      <w:r w:rsidRPr="00777392">
        <w:t>d</w:t>
      </w:r>
      <w:r w:rsidR="00162256">
        <w:t>’abattage, de</w:t>
      </w:r>
      <w:r w:rsidRPr="00777392">
        <w:t xml:space="preserve"> production</w:t>
      </w:r>
      <w:r>
        <w:t xml:space="preserve"> appariées aux données</w:t>
      </w:r>
      <w:r w:rsidRPr="00777392">
        <w:t xml:space="preserve"> d’export</w:t>
      </w:r>
      <w:r>
        <w:t>ations</w:t>
      </w:r>
      <w:r w:rsidRPr="00777392">
        <w:t xml:space="preserve"> et d’import</w:t>
      </w:r>
      <w:r>
        <w:t>ations</w:t>
      </w:r>
      <w:r w:rsidR="00162256">
        <w:t xml:space="preserve"> d’une part ainsi que </w:t>
      </w:r>
      <w:r w:rsidR="00EB6DA2">
        <w:t xml:space="preserve">celles </w:t>
      </w:r>
      <w:r w:rsidR="00162256">
        <w:t xml:space="preserve">de </w:t>
      </w:r>
      <w:r w:rsidR="00EB6DA2">
        <w:t xml:space="preserve">la </w:t>
      </w:r>
      <w:r w:rsidR="00162256">
        <w:t xml:space="preserve">consommation </w:t>
      </w:r>
      <w:r w:rsidR="002949AA">
        <w:t xml:space="preserve">issues d’enquêtes </w:t>
      </w:r>
      <w:r w:rsidR="00EB6DA2">
        <w:t xml:space="preserve">privées </w:t>
      </w:r>
      <w:r w:rsidR="00162256">
        <w:t>fou</w:t>
      </w:r>
      <w:r w:rsidR="002949AA">
        <w:t>r</w:t>
      </w:r>
      <w:r w:rsidR="00162256">
        <w:t xml:space="preserve">nissent une première lecture de </w:t>
      </w:r>
      <w:r>
        <w:t>la</w:t>
      </w:r>
      <w:r w:rsidRPr="00777392">
        <w:t xml:space="preserve"> consommati</w:t>
      </w:r>
      <w:r>
        <w:t>on</w:t>
      </w:r>
      <w:r w:rsidR="002949AA">
        <w:t xml:space="preserve"> en 2018</w:t>
      </w:r>
      <w:r w:rsidRPr="00777392">
        <w:t>.</w:t>
      </w:r>
      <w:r w:rsidR="00EB6DA2">
        <w:t xml:space="preserve"> Il s’agit donc de données nettes non corrigées </w:t>
      </w:r>
      <w:r w:rsidR="001734F7">
        <w:t xml:space="preserve">notamment </w:t>
      </w:r>
      <w:r w:rsidR="00EB6DA2">
        <w:t>des taux de couverture identifiés. Celles-ci permettent d’évaluer la consommation finale tous circuits confondus à un total de 1</w:t>
      </w:r>
      <w:r w:rsidR="006529D8">
        <w:t> </w:t>
      </w:r>
      <w:r w:rsidR="00EB6DA2">
        <w:t>150</w:t>
      </w:r>
      <w:r w:rsidR="006529D8">
        <w:t> </w:t>
      </w:r>
      <w:r w:rsidR="00EB6DA2">
        <w:t>kt</w:t>
      </w:r>
      <w:r w:rsidR="001734F7">
        <w:t xml:space="preserve"> tenant compte du fait que le segment du traiteur qui incorpore des produits du porc ne peut être estimé en l’état.</w:t>
      </w:r>
    </w:p>
    <w:p w14:paraId="6E4F5255" w14:textId="5EBCE1DF" w:rsidR="002949AA" w:rsidRDefault="001734F7" w:rsidP="00176C87">
      <w:r>
        <w:t>Par ailleurs, ces données sont à rapprocher de la quantité de porc vif de 2</w:t>
      </w:r>
      <w:r w:rsidR="006529D8">
        <w:t> </w:t>
      </w:r>
      <w:r>
        <w:t>770</w:t>
      </w:r>
      <w:r w:rsidR="006529D8">
        <w:t> </w:t>
      </w:r>
      <w:r>
        <w:t xml:space="preserve">kt qui va constituer la base de départ dans la seconde partie du rapport. En effet, la démarche visera à analyser la destination des différentes fractions en sortie de chaque étape de découpe ou de transformation en questionnant les rendements et pertes. Les abats feront également l’objet d’une approche de quantification. Enfin, les données de consommation sur les différents marchés seront </w:t>
      </w:r>
      <w:r w:rsidR="006529D8">
        <w:t>confrontées</w:t>
      </w:r>
      <w:r>
        <w:t xml:space="preserve"> afin d’être consolidé</w:t>
      </w:r>
      <w:r w:rsidR="006529D8">
        <w:t>e</w:t>
      </w:r>
      <w:r>
        <w:t>s.</w:t>
      </w:r>
    </w:p>
    <w:p w14:paraId="0F32199B" w14:textId="100D10E0" w:rsidR="006529D8" w:rsidRDefault="006529D8" w:rsidP="00176C87"/>
    <w:p w14:paraId="604D1260" w14:textId="07C6E523" w:rsidR="006529D8" w:rsidRDefault="006529D8" w:rsidP="00176C87"/>
    <w:p w14:paraId="745137A5" w14:textId="6AD09D2A" w:rsidR="006529D8" w:rsidRDefault="006529D8" w:rsidP="00176C87"/>
    <w:p w14:paraId="602A4792" w14:textId="51089ADB" w:rsidR="006529D8" w:rsidRDefault="006529D8" w:rsidP="00176C87"/>
    <w:p w14:paraId="5229B633" w14:textId="253F98EC" w:rsidR="006529D8" w:rsidRDefault="006529D8" w:rsidP="00176C87"/>
    <w:p w14:paraId="13DA59C6" w14:textId="3AB2B1B5" w:rsidR="006529D8" w:rsidRDefault="006529D8" w:rsidP="00176C87"/>
    <w:p w14:paraId="7458501B" w14:textId="7B061677" w:rsidR="006529D8" w:rsidRDefault="006529D8" w:rsidP="00176C87"/>
    <w:p w14:paraId="3398BA68" w14:textId="64E73B87" w:rsidR="006529D8" w:rsidRDefault="006529D8" w:rsidP="00176C87"/>
    <w:p w14:paraId="15E38B4E" w14:textId="77777777" w:rsidR="006529D8" w:rsidRDefault="006529D8" w:rsidP="00176C87"/>
    <w:tbl>
      <w:tblPr>
        <w:tblW w:w="8080" w:type="dxa"/>
        <w:jc w:val="center"/>
        <w:tblCellMar>
          <w:left w:w="70" w:type="dxa"/>
          <w:right w:w="70" w:type="dxa"/>
        </w:tblCellMar>
        <w:tblLook w:val="04A0" w:firstRow="1" w:lastRow="0" w:firstColumn="1" w:lastColumn="0" w:noHBand="0" w:noVBand="1"/>
      </w:tblPr>
      <w:tblGrid>
        <w:gridCol w:w="1720"/>
        <w:gridCol w:w="1812"/>
        <w:gridCol w:w="1268"/>
        <w:gridCol w:w="200"/>
        <w:gridCol w:w="954"/>
        <w:gridCol w:w="426"/>
        <w:gridCol w:w="880"/>
        <w:gridCol w:w="820"/>
      </w:tblGrid>
      <w:tr w:rsidR="002949AA" w:rsidRPr="002949AA" w14:paraId="26EEF793" w14:textId="77777777" w:rsidTr="0002537E">
        <w:trPr>
          <w:trHeight w:val="300"/>
          <w:jc w:val="center"/>
        </w:trPr>
        <w:tc>
          <w:tcPr>
            <w:tcW w:w="1720" w:type="dxa"/>
            <w:tcBorders>
              <w:top w:val="nil"/>
              <w:left w:val="nil"/>
              <w:bottom w:val="nil"/>
              <w:right w:val="nil"/>
            </w:tcBorders>
            <w:shd w:val="clear" w:color="auto" w:fill="auto"/>
            <w:noWrap/>
            <w:vAlign w:val="bottom"/>
            <w:hideMark/>
          </w:tcPr>
          <w:p w14:paraId="19F1249F" w14:textId="77777777" w:rsidR="002949AA" w:rsidRPr="002949AA" w:rsidRDefault="002949AA" w:rsidP="002949AA">
            <w:pPr>
              <w:spacing w:after="0" w:line="240" w:lineRule="auto"/>
              <w:jc w:val="left"/>
              <w:rPr>
                <w:rFonts w:ascii="Times New Roman" w:eastAsia="Times New Roman" w:hAnsi="Times New Roman" w:cs="Times New Roman"/>
                <w:sz w:val="24"/>
                <w:szCs w:val="24"/>
                <w:lang w:eastAsia="fr-FR"/>
              </w:rPr>
            </w:pPr>
          </w:p>
        </w:tc>
        <w:tc>
          <w:tcPr>
            <w:tcW w:w="5540" w:type="dxa"/>
            <w:gridSpan w:val="6"/>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16A5A7" w14:textId="335C0BC1" w:rsidR="002949AA" w:rsidRPr="002949AA" w:rsidRDefault="001734F7" w:rsidP="002949AA">
            <w:pPr>
              <w:spacing w:after="0" w:line="240" w:lineRule="auto"/>
              <w:jc w:val="center"/>
              <w:rPr>
                <w:rFonts w:eastAsia="Times New Roman" w:cs="Arial"/>
                <w:color w:val="000000"/>
                <w:sz w:val="18"/>
                <w:szCs w:val="18"/>
                <w:lang w:eastAsia="fr-FR"/>
              </w:rPr>
            </w:pPr>
            <w:r>
              <w:rPr>
                <w:rFonts w:eastAsia="Times New Roman" w:cs="Arial"/>
                <w:color w:val="000000"/>
                <w:sz w:val="18"/>
                <w:szCs w:val="18"/>
                <w:lang w:eastAsia="fr-FR"/>
              </w:rPr>
              <w:t xml:space="preserve">Volume </w:t>
            </w:r>
            <w:r w:rsidR="002949AA" w:rsidRPr="002949AA">
              <w:rPr>
                <w:rFonts w:eastAsia="Times New Roman" w:cs="Arial"/>
                <w:color w:val="000000"/>
                <w:sz w:val="18"/>
                <w:szCs w:val="18"/>
                <w:lang w:eastAsia="fr-FR"/>
              </w:rPr>
              <w:t xml:space="preserve">Net </w:t>
            </w:r>
            <w:r>
              <w:rPr>
                <w:rFonts w:eastAsia="Times New Roman" w:cs="Arial"/>
                <w:color w:val="000000"/>
                <w:sz w:val="18"/>
                <w:szCs w:val="18"/>
                <w:lang w:eastAsia="fr-FR"/>
              </w:rPr>
              <w:t>(en kt)</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14:paraId="26DDD2DC" w14:textId="77777777"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 xml:space="preserve">Total </w:t>
            </w:r>
          </w:p>
        </w:tc>
      </w:tr>
      <w:tr w:rsidR="002949AA" w:rsidRPr="002949AA" w14:paraId="3E1F16AC" w14:textId="77777777" w:rsidTr="0002537E">
        <w:trPr>
          <w:trHeight w:val="405"/>
          <w:jc w:val="center"/>
        </w:trPr>
        <w:tc>
          <w:tcPr>
            <w:tcW w:w="1720" w:type="dxa"/>
            <w:tcBorders>
              <w:top w:val="single" w:sz="4" w:space="0" w:color="auto"/>
              <w:left w:val="single" w:sz="4" w:space="0" w:color="auto"/>
              <w:bottom w:val="single" w:sz="4" w:space="0" w:color="auto"/>
              <w:right w:val="single" w:sz="4" w:space="0" w:color="auto"/>
            </w:tcBorders>
            <w:shd w:val="clear" w:color="000000" w:fill="BFBFBF"/>
            <w:noWrap/>
            <w:vAlign w:val="center"/>
            <w:hideMark/>
          </w:tcPr>
          <w:p w14:paraId="389C77FA" w14:textId="77777777" w:rsidR="002949AA" w:rsidRPr="002949AA" w:rsidRDefault="002949AA" w:rsidP="002949AA">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 xml:space="preserve">Porc vif </w:t>
            </w:r>
          </w:p>
        </w:tc>
        <w:tc>
          <w:tcPr>
            <w:tcW w:w="5540" w:type="dxa"/>
            <w:gridSpan w:val="6"/>
            <w:tcBorders>
              <w:top w:val="single" w:sz="4" w:space="0" w:color="auto"/>
              <w:left w:val="nil"/>
              <w:bottom w:val="single" w:sz="4" w:space="0" w:color="auto"/>
              <w:right w:val="single" w:sz="4" w:space="0" w:color="auto"/>
            </w:tcBorders>
            <w:shd w:val="clear" w:color="000000" w:fill="BFBFBF"/>
            <w:noWrap/>
            <w:vAlign w:val="center"/>
            <w:hideMark/>
          </w:tcPr>
          <w:p w14:paraId="65B386C9" w14:textId="46F249E8"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2</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770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c>
          <w:tcPr>
            <w:tcW w:w="820" w:type="dxa"/>
            <w:tcBorders>
              <w:top w:val="nil"/>
              <w:left w:val="nil"/>
              <w:bottom w:val="single" w:sz="4" w:space="0" w:color="auto"/>
              <w:right w:val="single" w:sz="4" w:space="0" w:color="auto"/>
            </w:tcBorders>
            <w:shd w:val="clear" w:color="auto" w:fill="auto"/>
            <w:noWrap/>
            <w:vAlign w:val="center"/>
            <w:hideMark/>
          </w:tcPr>
          <w:p w14:paraId="3346CC79" w14:textId="10C093C9"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2</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770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r>
      <w:tr w:rsidR="001734F7" w:rsidRPr="002949AA" w14:paraId="765D31B5" w14:textId="77777777" w:rsidTr="0002537E">
        <w:trPr>
          <w:trHeight w:val="585"/>
          <w:jc w:val="center"/>
        </w:trPr>
        <w:tc>
          <w:tcPr>
            <w:tcW w:w="1720" w:type="dxa"/>
            <w:tcBorders>
              <w:top w:val="nil"/>
              <w:left w:val="single" w:sz="4" w:space="0" w:color="auto"/>
              <w:bottom w:val="single" w:sz="4" w:space="0" w:color="auto"/>
              <w:right w:val="single" w:sz="4" w:space="0" w:color="auto"/>
            </w:tcBorders>
            <w:shd w:val="clear" w:color="000000" w:fill="F2F2F2"/>
            <w:vAlign w:val="center"/>
            <w:hideMark/>
          </w:tcPr>
          <w:p w14:paraId="49B5A0B9" w14:textId="77777777" w:rsidR="001734F7" w:rsidRPr="002949AA" w:rsidRDefault="001734F7" w:rsidP="002949AA">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Abattage et découpe (1aire)</w:t>
            </w:r>
          </w:p>
        </w:tc>
        <w:tc>
          <w:tcPr>
            <w:tcW w:w="4234" w:type="dxa"/>
            <w:gridSpan w:val="4"/>
            <w:tcBorders>
              <w:top w:val="single" w:sz="4" w:space="0" w:color="auto"/>
              <w:left w:val="nil"/>
              <w:bottom w:val="single" w:sz="4" w:space="0" w:color="auto"/>
              <w:right w:val="single" w:sz="4" w:space="0" w:color="auto"/>
            </w:tcBorders>
            <w:shd w:val="clear" w:color="000000" w:fill="F2F2F2"/>
            <w:vAlign w:val="center"/>
            <w:hideMark/>
          </w:tcPr>
          <w:p w14:paraId="449D8AD7" w14:textId="38EC6FB0" w:rsidR="001734F7" w:rsidRPr="002949AA" w:rsidRDefault="001734F7" w:rsidP="002949AA">
            <w:pPr>
              <w:spacing w:after="0" w:line="240" w:lineRule="auto"/>
              <w:jc w:val="center"/>
              <w:rPr>
                <w:rFonts w:eastAsia="Times New Roman" w:cs="Arial"/>
                <w:color w:val="000000"/>
                <w:sz w:val="18"/>
                <w:szCs w:val="18"/>
                <w:lang w:eastAsia="fr-FR"/>
              </w:rPr>
            </w:pPr>
            <w:r>
              <w:rPr>
                <w:rFonts w:eastAsia="Times New Roman" w:cs="Arial"/>
                <w:color w:val="000000"/>
                <w:sz w:val="18"/>
                <w:szCs w:val="18"/>
                <w:lang w:eastAsia="fr-FR"/>
              </w:rPr>
              <w:t>Fraction comestible ?</w:t>
            </w:r>
          </w:p>
        </w:tc>
        <w:tc>
          <w:tcPr>
            <w:tcW w:w="1306" w:type="dxa"/>
            <w:gridSpan w:val="2"/>
            <w:tcBorders>
              <w:top w:val="single" w:sz="4" w:space="0" w:color="auto"/>
              <w:left w:val="nil"/>
              <w:bottom w:val="single" w:sz="4" w:space="0" w:color="auto"/>
              <w:right w:val="single" w:sz="4" w:space="0" w:color="auto"/>
            </w:tcBorders>
            <w:shd w:val="clear" w:color="000000" w:fill="F2F2F2"/>
            <w:vAlign w:val="center"/>
          </w:tcPr>
          <w:p w14:paraId="57E3A3AF" w14:textId="1B43E9AB" w:rsidR="001734F7" w:rsidRPr="002949AA" w:rsidRDefault="001734F7" w:rsidP="002949AA">
            <w:pPr>
              <w:spacing w:after="0" w:line="240" w:lineRule="auto"/>
              <w:jc w:val="center"/>
              <w:rPr>
                <w:rFonts w:eastAsia="Times New Roman" w:cs="Arial"/>
                <w:color w:val="000000"/>
                <w:sz w:val="18"/>
                <w:szCs w:val="18"/>
                <w:lang w:eastAsia="fr-FR"/>
              </w:rPr>
            </w:pPr>
            <w:r>
              <w:rPr>
                <w:rFonts w:eastAsia="Times New Roman" w:cs="Arial"/>
                <w:color w:val="000000"/>
                <w:sz w:val="18"/>
                <w:szCs w:val="18"/>
                <w:lang w:eastAsia="fr-FR"/>
              </w:rPr>
              <w:t>Fraction non comestible ?</w:t>
            </w:r>
          </w:p>
        </w:tc>
        <w:tc>
          <w:tcPr>
            <w:tcW w:w="820" w:type="dxa"/>
            <w:tcBorders>
              <w:top w:val="nil"/>
              <w:left w:val="nil"/>
              <w:bottom w:val="single" w:sz="4" w:space="0" w:color="auto"/>
              <w:right w:val="single" w:sz="4" w:space="0" w:color="auto"/>
            </w:tcBorders>
            <w:shd w:val="clear" w:color="auto" w:fill="auto"/>
            <w:noWrap/>
            <w:vAlign w:val="center"/>
            <w:hideMark/>
          </w:tcPr>
          <w:p w14:paraId="530B5F8B" w14:textId="77777777" w:rsidR="001734F7" w:rsidRPr="002949AA" w:rsidRDefault="001734F7"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w:t>
            </w:r>
          </w:p>
        </w:tc>
      </w:tr>
      <w:tr w:rsidR="002949AA" w:rsidRPr="002949AA" w14:paraId="3670AE84" w14:textId="77777777" w:rsidTr="0002537E">
        <w:trPr>
          <w:trHeight w:val="465"/>
          <w:jc w:val="center"/>
        </w:trPr>
        <w:tc>
          <w:tcPr>
            <w:tcW w:w="1720" w:type="dxa"/>
            <w:vMerge w:val="restart"/>
            <w:tcBorders>
              <w:top w:val="nil"/>
              <w:left w:val="single" w:sz="4" w:space="0" w:color="auto"/>
              <w:bottom w:val="single" w:sz="4" w:space="0" w:color="auto"/>
              <w:right w:val="single" w:sz="4" w:space="0" w:color="auto"/>
            </w:tcBorders>
            <w:shd w:val="clear" w:color="000000" w:fill="D9D9D9"/>
            <w:vAlign w:val="center"/>
            <w:hideMark/>
          </w:tcPr>
          <w:p w14:paraId="7048E144" w14:textId="77777777" w:rsidR="002949AA" w:rsidRPr="002949AA" w:rsidRDefault="002949AA" w:rsidP="002949AA">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 xml:space="preserve">Découpe (2ème) et Piéçage ou 1ère </w:t>
            </w:r>
            <w:r w:rsidRPr="002949AA">
              <w:rPr>
                <w:rFonts w:eastAsia="Times New Roman" w:cs="Arial"/>
                <w:color w:val="000000"/>
                <w:sz w:val="18"/>
                <w:szCs w:val="18"/>
                <w:lang w:eastAsia="fr-FR"/>
              </w:rPr>
              <w:br/>
              <w:t>Transformation</w:t>
            </w:r>
          </w:p>
        </w:tc>
        <w:tc>
          <w:tcPr>
            <w:tcW w:w="5540" w:type="dxa"/>
            <w:gridSpan w:val="6"/>
            <w:tcBorders>
              <w:top w:val="single" w:sz="4" w:space="0" w:color="auto"/>
              <w:left w:val="nil"/>
              <w:bottom w:val="single" w:sz="4" w:space="0" w:color="auto"/>
              <w:right w:val="single" w:sz="4" w:space="0" w:color="auto"/>
            </w:tcBorders>
            <w:shd w:val="clear" w:color="000000" w:fill="D9D9D9"/>
            <w:noWrap/>
            <w:vAlign w:val="center"/>
            <w:hideMark/>
          </w:tcPr>
          <w:p w14:paraId="36F6D8ED" w14:textId="77777777"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 xml:space="preserve">Abattage découpe </w:t>
            </w:r>
          </w:p>
        </w:tc>
        <w:tc>
          <w:tcPr>
            <w:tcW w:w="820" w:type="dxa"/>
            <w:tcBorders>
              <w:top w:val="nil"/>
              <w:left w:val="nil"/>
              <w:bottom w:val="nil"/>
              <w:right w:val="nil"/>
            </w:tcBorders>
            <w:shd w:val="clear" w:color="auto" w:fill="auto"/>
            <w:noWrap/>
            <w:vAlign w:val="bottom"/>
            <w:hideMark/>
          </w:tcPr>
          <w:p w14:paraId="36ECD33D" w14:textId="77777777" w:rsidR="002949AA" w:rsidRPr="002949AA" w:rsidRDefault="002949AA" w:rsidP="002949AA">
            <w:pPr>
              <w:spacing w:after="0" w:line="240" w:lineRule="auto"/>
              <w:jc w:val="center"/>
              <w:rPr>
                <w:rFonts w:eastAsia="Times New Roman" w:cs="Arial"/>
                <w:color w:val="000000"/>
                <w:sz w:val="18"/>
                <w:szCs w:val="18"/>
                <w:lang w:eastAsia="fr-FR"/>
              </w:rPr>
            </w:pPr>
          </w:p>
        </w:tc>
      </w:tr>
      <w:tr w:rsidR="002949AA" w:rsidRPr="002949AA" w14:paraId="4B2E78DC" w14:textId="77777777" w:rsidTr="0002537E">
        <w:trPr>
          <w:trHeight w:val="1320"/>
          <w:jc w:val="center"/>
        </w:trPr>
        <w:tc>
          <w:tcPr>
            <w:tcW w:w="1720" w:type="dxa"/>
            <w:vMerge/>
            <w:tcBorders>
              <w:top w:val="nil"/>
              <w:left w:val="single" w:sz="4" w:space="0" w:color="auto"/>
              <w:bottom w:val="single" w:sz="4" w:space="0" w:color="auto"/>
              <w:right w:val="single" w:sz="4" w:space="0" w:color="auto"/>
            </w:tcBorders>
            <w:vAlign w:val="center"/>
            <w:hideMark/>
          </w:tcPr>
          <w:p w14:paraId="1BE3D240" w14:textId="77777777" w:rsidR="002949AA" w:rsidRPr="002949AA" w:rsidRDefault="002949AA" w:rsidP="002949AA">
            <w:pPr>
              <w:spacing w:after="0" w:line="240" w:lineRule="auto"/>
              <w:jc w:val="left"/>
              <w:rPr>
                <w:rFonts w:eastAsia="Times New Roman" w:cs="Arial"/>
                <w:color w:val="000000"/>
                <w:sz w:val="18"/>
                <w:szCs w:val="18"/>
                <w:lang w:eastAsia="fr-FR"/>
              </w:rPr>
            </w:pPr>
          </w:p>
        </w:tc>
        <w:tc>
          <w:tcPr>
            <w:tcW w:w="3280" w:type="dxa"/>
            <w:gridSpan w:val="3"/>
            <w:tcBorders>
              <w:top w:val="single" w:sz="4" w:space="0" w:color="auto"/>
              <w:left w:val="nil"/>
              <w:bottom w:val="single" w:sz="4" w:space="0" w:color="auto"/>
              <w:right w:val="single" w:sz="4" w:space="0" w:color="000000"/>
            </w:tcBorders>
            <w:shd w:val="clear" w:color="000000" w:fill="D9D9D9"/>
            <w:vAlign w:val="center"/>
            <w:hideMark/>
          </w:tcPr>
          <w:p w14:paraId="0E05A1FE" w14:textId="580A127C" w:rsidR="002949AA" w:rsidRPr="002949AA" w:rsidRDefault="002949AA" w:rsidP="001734F7">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Pièces et demi</w:t>
            </w:r>
            <w:r w:rsidR="003D0D78">
              <w:rPr>
                <w:rFonts w:eastAsia="Times New Roman" w:cs="Arial"/>
                <w:color w:val="000000"/>
                <w:sz w:val="18"/>
                <w:szCs w:val="18"/>
                <w:lang w:eastAsia="fr-FR"/>
              </w:rPr>
              <w:t>-</w:t>
            </w:r>
            <w:r w:rsidRPr="002949AA">
              <w:rPr>
                <w:rFonts w:eastAsia="Times New Roman" w:cs="Arial"/>
                <w:color w:val="000000"/>
                <w:sz w:val="18"/>
                <w:szCs w:val="18"/>
                <w:lang w:eastAsia="fr-FR"/>
              </w:rPr>
              <w:t>carcasses fra</w:t>
            </w:r>
            <w:r w:rsidR="003D0D78">
              <w:rPr>
                <w:rFonts w:eastAsia="Times New Roman" w:cs="Arial"/>
                <w:color w:val="000000"/>
                <w:sz w:val="18"/>
                <w:szCs w:val="18"/>
                <w:lang w:eastAsia="fr-FR"/>
              </w:rPr>
              <w:t>î</w:t>
            </w:r>
            <w:r w:rsidRPr="002949AA">
              <w:rPr>
                <w:rFonts w:eastAsia="Times New Roman" w:cs="Arial"/>
                <w:color w:val="000000"/>
                <w:sz w:val="18"/>
                <w:szCs w:val="18"/>
                <w:lang w:eastAsia="fr-FR"/>
              </w:rPr>
              <w:t>ches et congelées 1</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820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c>
          <w:tcPr>
            <w:tcW w:w="1380" w:type="dxa"/>
            <w:gridSpan w:val="2"/>
            <w:tcBorders>
              <w:top w:val="nil"/>
              <w:left w:val="nil"/>
              <w:bottom w:val="single" w:sz="4" w:space="0" w:color="auto"/>
              <w:right w:val="single" w:sz="4" w:space="0" w:color="auto"/>
            </w:tcBorders>
            <w:shd w:val="clear" w:color="000000" w:fill="D9D9D9"/>
            <w:vAlign w:val="center"/>
            <w:hideMark/>
          </w:tcPr>
          <w:p w14:paraId="6406E987" w14:textId="02F1E799" w:rsidR="001734F7" w:rsidRDefault="002949AA" w:rsidP="0002537E">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 xml:space="preserve">Graisses et saindoux </w:t>
            </w:r>
            <w:r w:rsidR="001734F7">
              <w:rPr>
                <w:rFonts w:eastAsia="Times New Roman" w:cs="Arial"/>
                <w:color w:val="000000"/>
                <w:sz w:val="18"/>
                <w:szCs w:val="18"/>
                <w:lang w:eastAsia="fr-FR"/>
              </w:rPr>
              <w:br/>
            </w:r>
            <w:r w:rsidRPr="002949AA">
              <w:rPr>
                <w:rFonts w:eastAsia="Times New Roman" w:cs="Arial"/>
                <w:color w:val="000000"/>
                <w:sz w:val="18"/>
                <w:szCs w:val="18"/>
                <w:lang w:eastAsia="fr-FR"/>
              </w:rPr>
              <w:t>126</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p w14:paraId="09243E5B" w14:textId="07DDD37C" w:rsidR="002949AA" w:rsidRPr="002949AA" w:rsidRDefault="002949AA" w:rsidP="0002537E">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dont non comestibles</w:t>
            </w:r>
          </w:p>
        </w:tc>
        <w:tc>
          <w:tcPr>
            <w:tcW w:w="880" w:type="dxa"/>
            <w:tcBorders>
              <w:top w:val="nil"/>
              <w:left w:val="nil"/>
              <w:bottom w:val="single" w:sz="4" w:space="0" w:color="auto"/>
              <w:right w:val="single" w:sz="4" w:space="0" w:color="auto"/>
            </w:tcBorders>
            <w:shd w:val="clear" w:color="000000" w:fill="D9D9D9"/>
            <w:noWrap/>
            <w:vAlign w:val="center"/>
            <w:hideMark/>
          </w:tcPr>
          <w:p w14:paraId="4E78DB8F" w14:textId="08E4D9AB" w:rsidR="002949AA" w:rsidRPr="002949AA" w:rsidRDefault="002949AA" w:rsidP="0002537E">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Abats ?</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14:paraId="0D8BE720" w14:textId="15740AA6"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1</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946</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r>
      <w:tr w:rsidR="002949AA" w:rsidRPr="002949AA" w14:paraId="07EF9C1F" w14:textId="77777777" w:rsidTr="0002537E">
        <w:trPr>
          <w:trHeight w:val="315"/>
          <w:jc w:val="center"/>
        </w:trPr>
        <w:tc>
          <w:tcPr>
            <w:tcW w:w="1720" w:type="dxa"/>
            <w:vMerge w:val="restart"/>
            <w:tcBorders>
              <w:top w:val="nil"/>
              <w:left w:val="single" w:sz="4" w:space="0" w:color="auto"/>
              <w:bottom w:val="single" w:sz="4" w:space="0" w:color="auto"/>
              <w:right w:val="single" w:sz="4" w:space="0" w:color="auto"/>
            </w:tcBorders>
            <w:shd w:val="clear" w:color="000000" w:fill="A6A6A6"/>
            <w:vAlign w:val="center"/>
            <w:hideMark/>
          </w:tcPr>
          <w:p w14:paraId="50DF7FA4" w14:textId="77777777" w:rsidR="002949AA" w:rsidRPr="002949AA" w:rsidRDefault="002949AA" w:rsidP="002949AA">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Transformation en charcuterie salaison</w:t>
            </w:r>
          </w:p>
        </w:tc>
        <w:tc>
          <w:tcPr>
            <w:tcW w:w="3080" w:type="dxa"/>
            <w:gridSpan w:val="2"/>
            <w:vMerge w:val="restart"/>
            <w:tcBorders>
              <w:top w:val="single" w:sz="4" w:space="0" w:color="auto"/>
              <w:left w:val="single" w:sz="4" w:space="0" w:color="auto"/>
              <w:bottom w:val="single" w:sz="4" w:space="0" w:color="000000"/>
              <w:right w:val="single" w:sz="4" w:space="0" w:color="000000"/>
            </w:tcBorders>
            <w:shd w:val="clear" w:color="000000" w:fill="A6A6A6"/>
            <w:vAlign w:val="center"/>
            <w:hideMark/>
          </w:tcPr>
          <w:p w14:paraId="293089C0" w14:textId="21C25507"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Transformation en charcuterie salaison 1110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c>
          <w:tcPr>
            <w:tcW w:w="200" w:type="dxa"/>
            <w:tcBorders>
              <w:top w:val="nil"/>
              <w:left w:val="nil"/>
              <w:bottom w:val="nil"/>
              <w:right w:val="nil"/>
            </w:tcBorders>
            <w:shd w:val="clear" w:color="auto" w:fill="auto"/>
            <w:noWrap/>
            <w:vAlign w:val="bottom"/>
            <w:hideMark/>
          </w:tcPr>
          <w:p w14:paraId="4621560E" w14:textId="77777777" w:rsidR="002949AA" w:rsidRPr="002949AA" w:rsidRDefault="002949AA" w:rsidP="002949AA">
            <w:pPr>
              <w:spacing w:after="0" w:line="240" w:lineRule="auto"/>
              <w:jc w:val="center"/>
              <w:rPr>
                <w:rFonts w:eastAsia="Times New Roman" w:cs="Arial"/>
                <w:color w:val="000000"/>
                <w:sz w:val="18"/>
                <w:szCs w:val="18"/>
                <w:lang w:eastAsia="fr-FR"/>
              </w:rPr>
            </w:pPr>
          </w:p>
        </w:tc>
        <w:tc>
          <w:tcPr>
            <w:tcW w:w="1380" w:type="dxa"/>
            <w:gridSpan w:val="2"/>
            <w:tcBorders>
              <w:top w:val="nil"/>
              <w:left w:val="nil"/>
              <w:bottom w:val="nil"/>
              <w:right w:val="nil"/>
            </w:tcBorders>
            <w:shd w:val="clear" w:color="auto" w:fill="auto"/>
            <w:noWrap/>
            <w:vAlign w:val="bottom"/>
            <w:hideMark/>
          </w:tcPr>
          <w:p w14:paraId="07EF1F9F" w14:textId="7426CF07" w:rsidR="002949AA" w:rsidRPr="002949AA" w:rsidRDefault="002949AA" w:rsidP="002949AA">
            <w:pPr>
              <w:spacing w:after="0" w:line="240" w:lineRule="auto"/>
              <w:jc w:val="left"/>
              <w:rPr>
                <w:rFonts w:ascii="Calibri" w:eastAsia="Times New Roman" w:hAnsi="Calibri" w:cs="Calibri"/>
                <w:color w:val="000000"/>
                <w:lang w:eastAsia="fr-FR"/>
              </w:rPr>
            </w:pPr>
            <w:r w:rsidRPr="002949AA">
              <w:rPr>
                <w:rFonts w:ascii="Calibri" w:eastAsia="Times New Roman" w:hAnsi="Calibri" w:cs="Calibri"/>
                <w:noProof/>
                <w:color w:val="000000"/>
                <w:lang w:eastAsia="fr-FR"/>
              </w:rPr>
              <mc:AlternateContent>
                <mc:Choice Requires="wps">
                  <w:drawing>
                    <wp:anchor distT="0" distB="0" distL="114300" distR="114300" simplePos="0" relativeHeight="251889721" behindDoc="0" locked="0" layoutInCell="1" allowOverlap="1" wp14:anchorId="2B075698" wp14:editId="127170B4">
                      <wp:simplePos x="0" y="0"/>
                      <wp:positionH relativeFrom="column">
                        <wp:posOffset>189230</wp:posOffset>
                      </wp:positionH>
                      <wp:positionV relativeFrom="paragraph">
                        <wp:posOffset>111760</wp:posOffset>
                      </wp:positionV>
                      <wp:extent cx="372745" cy="311150"/>
                      <wp:effectExtent l="19050" t="0" r="27305" b="31750"/>
                      <wp:wrapNone/>
                      <wp:docPr id="481" name="Flèche : bas 481">
                        <a:extLst xmlns:a="http://schemas.openxmlformats.org/drawingml/2006/main">
                          <a:ext uri="{FF2B5EF4-FFF2-40B4-BE49-F238E27FC236}">
                            <a16:creationId xmlns:a16="http://schemas.microsoft.com/office/drawing/2014/main" id="{DAACF8A1-E5EA-4C5D-BE4B-B7136BFC8ECE}"/>
                          </a:ext>
                        </a:extLst>
                      </wp:docPr>
                      <wp:cNvGraphicFramePr/>
                      <a:graphic xmlns:a="http://schemas.openxmlformats.org/drawingml/2006/main">
                        <a:graphicData uri="http://schemas.microsoft.com/office/word/2010/wordprocessingShape">
                          <wps:wsp>
                            <wps:cNvSpPr/>
                            <wps:spPr>
                              <a:xfrm>
                                <a:off x="0" y="0"/>
                                <a:ext cx="372745" cy="311150"/>
                              </a:xfrm>
                              <a:prstGeom prst="downArrow">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09BAD20C"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481" o:spid="_x0000_s1026" type="#_x0000_t67" style="position:absolute;margin-left:14.9pt;margin-top:8.8pt;width:29.35pt;height:24.5pt;z-index:251889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KvdrgIAAPcFAAAOAAAAZHJzL2Uyb0RvYy54bWy0VEtu2zAQ3RfoHQjuG0mO3bhC5MBI4KJA&#10;mgRNiqxpirQEUByWpC27p+my52gv1iH1yadBF0W7oUjOzJuZJ745Pds3iuyEdTXogmZHKSVCcyhr&#10;vSno57vVmzklzjNdMgVaFPQgHD1bvH512ppcTKACVQpLEES7vDUFrbw3eZI4XomGuSMwQqNRgm2Y&#10;x6PdJKVlLaI3Kpmk6dukBVsaC1w4h7cXnZEuIr6UgvtrKZ3wRBUUa/NxtXFdhzVZnLJ8Y5mpat6X&#10;wf6iiobVGpOOUBfMM7K19W9QTc0tOJD+iEOTgJQ1F7EH7CZLn3VzWzEjYi9IjjMjTe7fwfKr3Y0l&#10;dVnQ6TyjRLMGf9JK/fyOP+DHt5ysmSPBgjy1xuXofmtubH9yuA1N76VtwhfbIfvI7WHkVuw94Xh5&#10;fDI5mc4o4Wg6zrJsFrlPHoKNdf69gIaETUFLaPXSWmgjrWx36TxmRf/BLyR0oOpyVSsVD+HNiHNl&#10;yY7h315vshiqts1HKLu7+SxNh7zxiQX3iPoESen/Bo4NBPQkkNnRF3f+oETIqfQnIfF3IGGTWP1Y&#10;ZdcA41xo3zXmKlaK7jq09XJfETAgS2RpxO4BnhI2YHc09/4hVEQdjcHpnwrrgseImBm0H4ObWoN9&#10;CUBhV33mzn8gqaMmsLSG8oCP1UKnYmf4qsa3csmcv2EWZYsCx1Hkr3GRCtqCclUbSiqwX5/fBT9U&#10;EVooaVH+BXVftswKStQHjfp6l02nYV7Ew3R2MsGDfWxZP7bobXMO+OZQQVhV3AZ/r4attNDc46Ra&#10;hqxoYppj7oL6YXvuu6GEk46L5TI64YQwzF/qW8MDdOAyPP67/T2zppeJR31dwTAoWP5MKJ1viNSw&#10;3HqQdVTRA5s9yzhdogz6SRjG1+Nz9HqY14tfAAAA//8DAFBLAwQUAAYACAAAACEAnUiywdwAAAAH&#10;AQAADwAAAGRycy9kb3ducmV2LnhtbEzOwU7DMAwG4DsS7xAZiQtiKZXISmk6IcZuCIltD5A1pq1o&#10;nCjJ1mxPTzjB0f6t31+zSmZiJ/RhtCThYVEAQ+qsHqmXsN9t7itgISrSarKEEs4YYNVeXzWq1nam&#10;TzxtY89yCYVaSRhidDXnoRvQqLCwDilnX9YbFfPoe669mnO5mXhZFIIbNVL+MCiHrwN239ujkYD+&#10;7T1uPu5SKvfz2i13F1eUaylvb9LLM7CIKf4dwy8/06HNpoM9kg5sklA+ZXnM+6UAlvOqegR2kCCE&#10;AN42/L+//QEAAP//AwBQSwECLQAUAAYACAAAACEAtoM4kv4AAADhAQAAEwAAAAAAAAAAAAAAAAAA&#10;AAAAW0NvbnRlbnRfVHlwZXNdLnhtbFBLAQItABQABgAIAAAAIQA4/SH/1gAAAJQBAAALAAAAAAAA&#10;AAAAAAAAAC8BAABfcmVscy8ucmVsc1BLAQItABQABgAIAAAAIQCYKKvdrgIAAPcFAAAOAAAAAAAA&#10;AAAAAAAAAC4CAABkcnMvZTJvRG9jLnhtbFBLAQItABQABgAIAAAAIQCdSLLB3AAAAAcBAAAPAAAA&#10;AAAAAAAAAAAAAAgFAABkcnMvZG93bnJldi54bWxQSwUGAAAAAAQABADzAAAAEQYAAAAA&#10;" adj="10800" fillcolor="#d8d8d8 [2732]" strokecolor="#d8d8d8 [2732]" strokeweight="1pt"/>
                  </w:pict>
                </mc:Fallback>
              </mc:AlternateContent>
            </w:r>
            <w:r w:rsidRPr="002949AA">
              <w:rPr>
                <w:rFonts w:ascii="Calibri" w:eastAsia="Times New Roman" w:hAnsi="Calibri" w:cs="Calibri"/>
                <w:noProof/>
                <w:color w:val="000000"/>
                <w:lang w:eastAsia="fr-FR"/>
              </w:rPr>
              <mc:AlternateContent>
                <mc:Choice Requires="wps">
                  <w:drawing>
                    <wp:anchor distT="0" distB="0" distL="114300" distR="114300" simplePos="0" relativeHeight="251890745" behindDoc="0" locked="0" layoutInCell="1" allowOverlap="1" wp14:anchorId="5391C2F5" wp14:editId="509F0564">
                      <wp:simplePos x="0" y="0"/>
                      <wp:positionH relativeFrom="column">
                        <wp:posOffset>590550</wp:posOffset>
                      </wp:positionH>
                      <wp:positionV relativeFrom="paragraph">
                        <wp:posOffset>47625</wp:posOffset>
                      </wp:positionV>
                      <wp:extent cx="1038225" cy="266700"/>
                      <wp:effectExtent l="0" t="0" r="0" b="0"/>
                      <wp:wrapNone/>
                      <wp:docPr id="480" name="Zone de texte 480">
                        <a:extLst xmlns:a="http://schemas.openxmlformats.org/drawingml/2006/main">
                          <a:ext uri="{FF2B5EF4-FFF2-40B4-BE49-F238E27FC236}">
                            <a16:creationId xmlns:a16="http://schemas.microsoft.com/office/drawing/2014/main" id="{94604250-2A39-4EBF-ADE4-65F40FDF1A81}"/>
                          </a:ext>
                        </a:extLst>
                      </wp:docPr>
                      <wp:cNvGraphicFramePr/>
                      <a:graphic xmlns:a="http://schemas.openxmlformats.org/drawingml/2006/main">
                        <a:graphicData uri="http://schemas.microsoft.com/office/word/2010/wordprocessingShape">
                          <wps:wsp>
                            <wps:cNvSpPr txBox="1"/>
                            <wps:spPr>
                              <a:xfrm>
                                <a:off x="0" y="0"/>
                                <a:ext cx="1038225" cy="266700"/>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603E48A6" w14:textId="26A704E9" w:rsidR="00741BFF" w:rsidRDefault="00741BFF" w:rsidP="002949AA">
                                  <w:pPr>
                                    <w:rPr>
                                      <w:sz w:val="24"/>
                                      <w:szCs w:val="24"/>
                                    </w:rPr>
                                  </w:pPr>
                                  <w:r>
                                    <w:rPr>
                                      <w:rFonts w:asciiTheme="minorHAnsi" w:hAnsi="Calibri"/>
                                      <w:color w:val="000000" w:themeColor="text1"/>
                                    </w:rPr>
                                    <w:t>flux de viandes</w:t>
                                  </w:r>
                                </w:p>
                              </w:txbxContent>
                            </wps:txbx>
                            <wps:bodyPr vertOverflow="clip" horzOverflow="clip" wrap="none" rtlCol="0" anchor="t">
                              <a:spAutoFit/>
                            </wps:bodyPr>
                          </wps:wsp>
                        </a:graphicData>
                      </a:graphic>
                      <wp14:sizeRelH relativeFrom="page">
                        <wp14:pctWidth>0</wp14:pctWidth>
                      </wp14:sizeRelH>
                      <wp14:sizeRelV relativeFrom="page">
                        <wp14:pctHeight>0</wp14:pctHeight>
                      </wp14:sizeRelV>
                    </wp:anchor>
                  </w:drawing>
                </mc:Choice>
                <mc:Fallback>
                  <w:pict>
                    <v:shape w14:anchorId="5391C2F5" id="Zone de texte 480" o:spid="_x0000_s1050" type="#_x0000_t202" style="position:absolute;margin-left:46.5pt;margin-top:3.75pt;width:81.75pt;height:21pt;z-index:2518907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qjgCAIAAFwEAAAOAAAAZHJzL2Uyb0RvYy54bWysVMFu2zAMvQ/YPwi6L3a9LguCOMXWorsM&#10;67Bul94UWYoFSKIgsbGzrx8lx+nQnVrsItsU+fjIR3pzNTrLDiomA77lF4uaM+UldMbvW/7r5+27&#10;FWcJhe+EBa9aflSJX23fvtkMYa0a6MF2KjIC8Wk9hJb3iGFdVUn2yom0gKA8XWqITiB9xn3VRTEQ&#10;urNVU9fLaoDYhQhSpUTWm+mSbwu+1krindZJIbMtJ25YzljOXT6r7Uas91GE3sgTDfEKFk4YT0nP&#10;UDcCBXuM5h8oZ2SEBBoXElwFWhupSg1UzUX9rJr7XgRVaqHmpHBuU/p/sPLb4Xtkpmv55Yr644Uj&#10;kR5IKtYphmpExfIFtWkIaU3e94H8cfwMI8k92xMZc/Wjji4/qS5G9wR4PDeZsJjMQfX7VdN84EzS&#10;XbNcfqwLfPUUHWLCLwocyy8tjyRi6a04fE1ITMh1dsnJPNwaa7M9U5yolDc8WpUdrP+hNNVYGGVD&#10;knG/u7aRTYNAk0pM53Eg9BKQHTUBvzD2FJKjVZm/F8afg0p+8HiOd8ZDLI0o26FyAQdBc41jEYKI&#10;68l/bsXUgNwLHHdjUbm5nDXbQXckKWl38Y4ObWFoubQmcNZD/P3cNtCOtNzTZHAW0V7DtFDCS/Im&#10;DhOx8OkRSY6iUs47JTnxoREu4p3WLe/I39/F6+mnsP0DAAD//wMAUEsDBBQABgAIAAAAIQC4bEw4&#10;3AAAAAcBAAAPAAAAZHJzL2Rvd25yZXYueG1sTI/BTsMwEETvSPyDtUjcqNPQlCZkU6ECZ0rpB7ix&#10;G4fE6yh228DXs5zgtqMZzbwt15PrxdmMofWEMJ8lIAzVXrfUIOw/Xu9WIEJUpFXvySB8mQDr6vqq&#10;VIX2F3o3511sBJdQKBSCjXEopAy1NU6FmR8MsXf0o1OR5dhIPaoLl7tepkmylE61xAtWDWZjTd3t&#10;Tg5hlbi3rsvTbXCL73lmN8/+ZfhEvL2Znh5BRDPFvzD84jM6VMx08CfSQfQI+T2/EhEeMhBsp9mS&#10;jwPCIs9AVqX8z1/9AAAA//8DAFBLAQItABQABgAIAAAAIQC2gziS/gAAAOEBAAATAAAAAAAAAAAA&#10;AAAAAAAAAABbQ29udGVudF9UeXBlc10ueG1sUEsBAi0AFAAGAAgAAAAhADj9If/WAAAAlAEAAAsA&#10;AAAAAAAAAAAAAAAALwEAAF9yZWxzLy5yZWxzUEsBAi0AFAAGAAgAAAAhALxOqOAIAgAAXAQAAA4A&#10;AAAAAAAAAAAAAAAALgIAAGRycy9lMm9Eb2MueG1sUEsBAi0AFAAGAAgAAAAhALhsTDjcAAAABwEA&#10;AA8AAAAAAAAAAAAAAAAAYgQAAGRycy9kb3ducmV2LnhtbFBLBQYAAAAABAAEAPMAAABrBQAAAAA=&#10;" filled="f" stroked="f">
                      <v:textbox style="mso-fit-shape-to-text:t">
                        <w:txbxContent>
                          <w:p w14:paraId="603E48A6" w14:textId="26A704E9" w:rsidR="00741BFF" w:rsidRDefault="00741BFF" w:rsidP="002949AA">
                            <w:pPr>
                              <w:rPr>
                                <w:sz w:val="24"/>
                                <w:szCs w:val="24"/>
                              </w:rPr>
                            </w:pPr>
                            <w:r>
                              <w:rPr>
                                <w:rFonts w:asciiTheme="minorHAnsi" w:hAnsi="Calibri"/>
                                <w:color w:val="000000" w:themeColor="text1"/>
                              </w:rPr>
                              <w:t>flux de viandes</w:t>
                            </w:r>
                          </w:p>
                        </w:txbxContent>
                      </v:textbox>
                    </v:shape>
                  </w:pict>
                </mc:Fallback>
              </mc:AlternateContent>
            </w:r>
          </w:p>
          <w:tbl>
            <w:tblPr>
              <w:tblW w:w="0" w:type="auto"/>
              <w:tblCellSpacing w:w="0" w:type="dxa"/>
              <w:tblCellMar>
                <w:left w:w="0" w:type="dxa"/>
                <w:right w:w="0" w:type="dxa"/>
              </w:tblCellMar>
              <w:tblLook w:val="04A0" w:firstRow="1" w:lastRow="0" w:firstColumn="1" w:lastColumn="0" w:noHBand="0" w:noVBand="1"/>
            </w:tblPr>
            <w:tblGrid>
              <w:gridCol w:w="1240"/>
            </w:tblGrid>
            <w:tr w:rsidR="002949AA" w:rsidRPr="002949AA" w14:paraId="480A6336" w14:textId="77777777">
              <w:trPr>
                <w:trHeight w:val="315"/>
                <w:tblCellSpacing w:w="0" w:type="dxa"/>
              </w:trPr>
              <w:tc>
                <w:tcPr>
                  <w:tcW w:w="1240" w:type="dxa"/>
                  <w:tcBorders>
                    <w:top w:val="nil"/>
                    <w:left w:val="nil"/>
                    <w:bottom w:val="nil"/>
                    <w:right w:val="nil"/>
                  </w:tcBorders>
                  <w:shd w:val="clear" w:color="auto" w:fill="auto"/>
                  <w:noWrap/>
                  <w:vAlign w:val="bottom"/>
                  <w:hideMark/>
                </w:tcPr>
                <w:p w14:paraId="7B9CC3A4" w14:textId="77777777" w:rsidR="002949AA" w:rsidRPr="002949AA" w:rsidRDefault="002949AA" w:rsidP="002949AA">
                  <w:pPr>
                    <w:spacing w:after="0" w:line="240" w:lineRule="auto"/>
                    <w:jc w:val="left"/>
                    <w:rPr>
                      <w:rFonts w:ascii="Calibri" w:eastAsia="Times New Roman" w:hAnsi="Calibri" w:cs="Calibri"/>
                      <w:color w:val="000000"/>
                      <w:lang w:eastAsia="fr-FR"/>
                    </w:rPr>
                  </w:pPr>
                </w:p>
              </w:tc>
            </w:tr>
          </w:tbl>
          <w:p w14:paraId="518CF98A" w14:textId="77777777" w:rsidR="002949AA" w:rsidRPr="002949AA" w:rsidRDefault="002949AA" w:rsidP="002949AA">
            <w:pPr>
              <w:spacing w:after="0" w:line="240" w:lineRule="auto"/>
              <w:jc w:val="left"/>
              <w:rPr>
                <w:rFonts w:ascii="Calibri" w:eastAsia="Times New Roman" w:hAnsi="Calibri" w:cs="Calibri"/>
                <w:color w:val="000000"/>
                <w:lang w:eastAsia="fr-FR"/>
              </w:rPr>
            </w:pPr>
          </w:p>
        </w:tc>
        <w:tc>
          <w:tcPr>
            <w:tcW w:w="880" w:type="dxa"/>
            <w:tcBorders>
              <w:top w:val="nil"/>
              <w:left w:val="nil"/>
              <w:bottom w:val="nil"/>
              <w:right w:val="nil"/>
            </w:tcBorders>
            <w:shd w:val="clear" w:color="auto" w:fill="auto"/>
            <w:noWrap/>
            <w:vAlign w:val="bottom"/>
            <w:hideMark/>
          </w:tcPr>
          <w:p w14:paraId="284E04B1" w14:textId="77777777"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c>
          <w:tcPr>
            <w:tcW w:w="820" w:type="dxa"/>
            <w:tcBorders>
              <w:top w:val="nil"/>
              <w:left w:val="nil"/>
              <w:bottom w:val="nil"/>
              <w:right w:val="nil"/>
            </w:tcBorders>
            <w:shd w:val="clear" w:color="auto" w:fill="auto"/>
            <w:noWrap/>
            <w:vAlign w:val="center"/>
            <w:hideMark/>
          </w:tcPr>
          <w:p w14:paraId="5416C0CF" w14:textId="77777777"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r>
      <w:tr w:rsidR="002949AA" w:rsidRPr="002949AA" w14:paraId="2248F73A" w14:textId="77777777" w:rsidTr="0002537E">
        <w:trPr>
          <w:trHeight w:val="300"/>
          <w:jc w:val="center"/>
        </w:trPr>
        <w:tc>
          <w:tcPr>
            <w:tcW w:w="1720" w:type="dxa"/>
            <w:vMerge/>
            <w:tcBorders>
              <w:top w:val="nil"/>
              <w:left w:val="single" w:sz="4" w:space="0" w:color="auto"/>
              <w:bottom w:val="single" w:sz="4" w:space="0" w:color="auto"/>
              <w:right w:val="single" w:sz="4" w:space="0" w:color="auto"/>
            </w:tcBorders>
            <w:vAlign w:val="center"/>
            <w:hideMark/>
          </w:tcPr>
          <w:p w14:paraId="0E44F95A" w14:textId="77777777" w:rsidR="002949AA" w:rsidRPr="002949AA" w:rsidRDefault="002949AA" w:rsidP="002949AA">
            <w:pPr>
              <w:spacing w:after="0" w:line="240" w:lineRule="auto"/>
              <w:jc w:val="left"/>
              <w:rPr>
                <w:rFonts w:eastAsia="Times New Roman" w:cs="Arial"/>
                <w:color w:val="000000"/>
                <w:sz w:val="18"/>
                <w:szCs w:val="18"/>
                <w:lang w:eastAsia="fr-FR"/>
              </w:rPr>
            </w:pPr>
          </w:p>
        </w:tc>
        <w:tc>
          <w:tcPr>
            <w:tcW w:w="3080" w:type="dxa"/>
            <w:gridSpan w:val="2"/>
            <w:vMerge/>
            <w:tcBorders>
              <w:top w:val="single" w:sz="4" w:space="0" w:color="auto"/>
              <w:left w:val="single" w:sz="4" w:space="0" w:color="auto"/>
              <w:bottom w:val="single" w:sz="4" w:space="0" w:color="000000"/>
              <w:right w:val="single" w:sz="4" w:space="0" w:color="000000"/>
            </w:tcBorders>
            <w:vAlign w:val="center"/>
            <w:hideMark/>
          </w:tcPr>
          <w:p w14:paraId="071EABFE" w14:textId="77777777" w:rsidR="002949AA" w:rsidRPr="002949AA" w:rsidRDefault="002949AA" w:rsidP="002949AA">
            <w:pPr>
              <w:spacing w:after="0" w:line="240" w:lineRule="auto"/>
              <w:jc w:val="left"/>
              <w:rPr>
                <w:rFonts w:eastAsia="Times New Roman" w:cs="Arial"/>
                <w:color w:val="000000"/>
                <w:sz w:val="18"/>
                <w:szCs w:val="18"/>
                <w:lang w:eastAsia="fr-FR"/>
              </w:rPr>
            </w:pPr>
          </w:p>
        </w:tc>
        <w:tc>
          <w:tcPr>
            <w:tcW w:w="200" w:type="dxa"/>
            <w:tcBorders>
              <w:top w:val="nil"/>
              <w:left w:val="nil"/>
              <w:bottom w:val="nil"/>
              <w:right w:val="nil"/>
            </w:tcBorders>
            <w:shd w:val="clear" w:color="auto" w:fill="auto"/>
            <w:noWrap/>
            <w:vAlign w:val="bottom"/>
            <w:hideMark/>
          </w:tcPr>
          <w:p w14:paraId="3EB8EEE3" w14:textId="77777777" w:rsidR="002949AA" w:rsidRPr="002949AA" w:rsidRDefault="002949AA" w:rsidP="002949AA">
            <w:pPr>
              <w:spacing w:after="0" w:line="240" w:lineRule="auto"/>
              <w:jc w:val="center"/>
              <w:rPr>
                <w:rFonts w:ascii="Times New Roman" w:eastAsia="Times New Roman" w:hAnsi="Times New Roman" w:cs="Times New Roman"/>
                <w:sz w:val="20"/>
                <w:szCs w:val="20"/>
                <w:lang w:eastAsia="fr-FR"/>
              </w:rPr>
            </w:pPr>
          </w:p>
        </w:tc>
        <w:tc>
          <w:tcPr>
            <w:tcW w:w="1380" w:type="dxa"/>
            <w:gridSpan w:val="2"/>
            <w:tcBorders>
              <w:top w:val="nil"/>
              <w:left w:val="nil"/>
              <w:bottom w:val="nil"/>
              <w:right w:val="nil"/>
            </w:tcBorders>
            <w:shd w:val="clear" w:color="auto" w:fill="auto"/>
            <w:noWrap/>
            <w:vAlign w:val="bottom"/>
            <w:hideMark/>
          </w:tcPr>
          <w:p w14:paraId="57B15C78" w14:textId="77777777"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c>
          <w:tcPr>
            <w:tcW w:w="880" w:type="dxa"/>
            <w:tcBorders>
              <w:top w:val="nil"/>
              <w:left w:val="nil"/>
              <w:bottom w:val="nil"/>
              <w:right w:val="nil"/>
            </w:tcBorders>
            <w:shd w:val="clear" w:color="auto" w:fill="auto"/>
            <w:noWrap/>
            <w:vAlign w:val="bottom"/>
            <w:hideMark/>
          </w:tcPr>
          <w:p w14:paraId="4A3557E9" w14:textId="331CD511"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c>
          <w:tcPr>
            <w:tcW w:w="820" w:type="dxa"/>
            <w:tcBorders>
              <w:top w:val="nil"/>
              <w:left w:val="nil"/>
              <w:bottom w:val="nil"/>
              <w:right w:val="nil"/>
            </w:tcBorders>
            <w:shd w:val="clear" w:color="auto" w:fill="auto"/>
            <w:noWrap/>
            <w:vAlign w:val="center"/>
            <w:hideMark/>
          </w:tcPr>
          <w:p w14:paraId="7B7A6A32" w14:textId="77777777" w:rsidR="002949AA" w:rsidRPr="002949AA" w:rsidRDefault="002949AA" w:rsidP="002949AA">
            <w:pPr>
              <w:spacing w:after="0" w:line="240" w:lineRule="auto"/>
              <w:jc w:val="left"/>
              <w:rPr>
                <w:rFonts w:ascii="Times New Roman" w:eastAsia="Times New Roman" w:hAnsi="Times New Roman" w:cs="Times New Roman"/>
                <w:sz w:val="20"/>
                <w:szCs w:val="20"/>
                <w:lang w:eastAsia="fr-FR"/>
              </w:rPr>
            </w:pPr>
          </w:p>
        </w:tc>
      </w:tr>
      <w:tr w:rsidR="001734F7" w:rsidRPr="002949AA" w14:paraId="23A68EA8" w14:textId="77777777" w:rsidTr="001734F7">
        <w:trPr>
          <w:trHeight w:val="675"/>
          <w:jc w:val="center"/>
        </w:trPr>
        <w:tc>
          <w:tcPr>
            <w:tcW w:w="1720" w:type="dxa"/>
            <w:tcBorders>
              <w:top w:val="nil"/>
              <w:left w:val="single" w:sz="4" w:space="0" w:color="auto"/>
              <w:bottom w:val="single" w:sz="4" w:space="0" w:color="auto"/>
              <w:right w:val="single" w:sz="4" w:space="0" w:color="auto"/>
            </w:tcBorders>
            <w:shd w:val="clear" w:color="000000" w:fill="FFF2CC"/>
            <w:vAlign w:val="center"/>
            <w:hideMark/>
          </w:tcPr>
          <w:p w14:paraId="644137AC" w14:textId="77777777" w:rsidR="002949AA" w:rsidRPr="002949AA" w:rsidRDefault="002949AA" w:rsidP="0002537E">
            <w:pPr>
              <w:spacing w:after="0" w:line="240" w:lineRule="auto"/>
              <w:jc w:val="left"/>
              <w:rPr>
                <w:rFonts w:eastAsia="Times New Roman" w:cs="Arial"/>
                <w:color w:val="000000"/>
                <w:sz w:val="18"/>
                <w:szCs w:val="18"/>
                <w:lang w:eastAsia="fr-FR"/>
              </w:rPr>
            </w:pPr>
            <w:r w:rsidRPr="002949AA">
              <w:rPr>
                <w:rFonts w:eastAsia="Times New Roman" w:cs="Arial"/>
                <w:color w:val="000000"/>
                <w:sz w:val="18"/>
                <w:szCs w:val="18"/>
                <w:lang w:eastAsia="fr-FR"/>
              </w:rPr>
              <w:t>Consommation Totale</w:t>
            </w:r>
          </w:p>
        </w:tc>
        <w:tc>
          <w:tcPr>
            <w:tcW w:w="1812" w:type="dxa"/>
            <w:tcBorders>
              <w:top w:val="single" w:sz="4" w:space="0" w:color="auto"/>
              <w:left w:val="nil"/>
              <w:bottom w:val="single" w:sz="4" w:space="0" w:color="auto"/>
              <w:right w:val="single" w:sz="4" w:space="0" w:color="auto"/>
            </w:tcBorders>
            <w:shd w:val="clear" w:color="000000" w:fill="FFF2CC"/>
            <w:vAlign w:val="center"/>
            <w:hideMark/>
          </w:tcPr>
          <w:p w14:paraId="3501A5E4" w14:textId="5BB8796C"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 xml:space="preserve">Charcuterie salaison dont saucisserie </w:t>
            </w:r>
            <w:r>
              <w:rPr>
                <w:rFonts w:eastAsia="Times New Roman" w:cs="Arial"/>
                <w:color w:val="000000"/>
                <w:sz w:val="18"/>
                <w:szCs w:val="18"/>
                <w:lang w:eastAsia="fr-FR"/>
              </w:rPr>
              <w:br/>
            </w:r>
            <w:r w:rsidRPr="002949AA">
              <w:rPr>
                <w:rFonts w:eastAsia="Times New Roman" w:cs="Arial"/>
                <w:color w:val="000000"/>
                <w:sz w:val="18"/>
                <w:szCs w:val="18"/>
                <w:lang w:eastAsia="fr-FR"/>
              </w:rPr>
              <w:t>792</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 xml:space="preserve">kt </w:t>
            </w:r>
          </w:p>
        </w:tc>
        <w:tc>
          <w:tcPr>
            <w:tcW w:w="1268" w:type="dxa"/>
            <w:tcBorders>
              <w:top w:val="single" w:sz="4" w:space="0" w:color="auto"/>
              <w:left w:val="nil"/>
              <w:bottom w:val="single" w:sz="4" w:space="0" w:color="auto"/>
              <w:right w:val="single" w:sz="4" w:space="0" w:color="auto"/>
            </w:tcBorders>
            <w:shd w:val="clear" w:color="000000" w:fill="FFF2CC"/>
            <w:vAlign w:val="center"/>
            <w:hideMark/>
          </w:tcPr>
          <w:p w14:paraId="1B45DE98" w14:textId="04F91610"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Porc Ingrédient Traiteur ?</w:t>
            </w:r>
          </w:p>
        </w:tc>
        <w:tc>
          <w:tcPr>
            <w:tcW w:w="1580" w:type="dxa"/>
            <w:gridSpan w:val="3"/>
            <w:tcBorders>
              <w:top w:val="single" w:sz="4" w:space="0" w:color="auto"/>
              <w:left w:val="nil"/>
              <w:bottom w:val="single" w:sz="4" w:space="0" w:color="auto"/>
              <w:right w:val="single" w:sz="4" w:space="0" w:color="000000"/>
            </w:tcBorders>
            <w:shd w:val="clear" w:color="000000" w:fill="FFF2CC"/>
            <w:vAlign w:val="center"/>
            <w:hideMark/>
          </w:tcPr>
          <w:p w14:paraId="62791AA0" w14:textId="2CAC3E20"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Viande de porc 349</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c>
          <w:tcPr>
            <w:tcW w:w="880" w:type="dxa"/>
            <w:tcBorders>
              <w:top w:val="single" w:sz="4" w:space="0" w:color="auto"/>
              <w:left w:val="nil"/>
              <w:bottom w:val="single" w:sz="4" w:space="0" w:color="auto"/>
              <w:right w:val="single" w:sz="4" w:space="0" w:color="auto"/>
            </w:tcBorders>
            <w:shd w:val="clear" w:color="000000" w:fill="FFF2CC"/>
            <w:noWrap/>
            <w:vAlign w:val="center"/>
            <w:hideMark/>
          </w:tcPr>
          <w:p w14:paraId="5AFF48CF" w14:textId="388BC8BB" w:rsidR="002949AA" w:rsidRPr="002949AA" w:rsidRDefault="002949AA" w:rsidP="002949AA">
            <w:pPr>
              <w:spacing w:after="0" w:line="240" w:lineRule="auto"/>
              <w:jc w:val="center"/>
              <w:rPr>
                <w:rFonts w:eastAsia="Times New Roman" w:cs="Arial"/>
                <w:i/>
                <w:iCs/>
                <w:color w:val="000000"/>
                <w:sz w:val="18"/>
                <w:szCs w:val="18"/>
                <w:lang w:eastAsia="fr-FR"/>
              </w:rPr>
            </w:pPr>
            <w:r w:rsidRPr="002949AA">
              <w:rPr>
                <w:rFonts w:eastAsia="Times New Roman" w:cs="Arial"/>
                <w:i/>
                <w:iCs/>
                <w:color w:val="000000"/>
                <w:sz w:val="18"/>
                <w:szCs w:val="18"/>
                <w:lang w:eastAsia="fr-FR"/>
              </w:rPr>
              <w:t xml:space="preserve">Abats </w:t>
            </w:r>
            <w:r w:rsidR="001734F7">
              <w:rPr>
                <w:rFonts w:eastAsia="Times New Roman" w:cs="Arial"/>
                <w:i/>
                <w:iCs/>
                <w:color w:val="000000"/>
                <w:sz w:val="18"/>
                <w:szCs w:val="18"/>
                <w:lang w:eastAsia="fr-FR"/>
              </w:rPr>
              <w:br/>
            </w:r>
            <w:r w:rsidRPr="002949AA">
              <w:rPr>
                <w:rFonts w:eastAsia="Times New Roman" w:cs="Arial"/>
                <w:i/>
                <w:iCs/>
                <w:color w:val="000000"/>
                <w:sz w:val="18"/>
                <w:szCs w:val="18"/>
                <w:lang w:eastAsia="fr-FR"/>
              </w:rPr>
              <w:t>9</w:t>
            </w:r>
            <w:r w:rsidR="003D0D78">
              <w:rPr>
                <w:rFonts w:eastAsia="Times New Roman" w:cs="Arial"/>
                <w:i/>
                <w:iCs/>
                <w:color w:val="000000"/>
                <w:sz w:val="18"/>
                <w:szCs w:val="18"/>
                <w:lang w:eastAsia="fr-FR"/>
              </w:rPr>
              <w:t> </w:t>
            </w:r>
            <w:r w:rsidRPr="002949AA">
              <w:rPr>
                <w:rFonts w:eastAsia="Times New Roman" w:cs="Arial"/>
                <w:i/>
                <w:iCs/>
                <w:color w:val="000000"/>
                <w:sz w:val="18"/>
                <w:szCs w:val="18"/>
                <w:lang w:eastAsia="fr-FR"/>
              </w:rPr>
              <w:t>kt</w:t>
            </w:r>
          </w:p>
        </w:tc>
        <w:tc>
          <w:tcPr>
            <w:tcW w:w="820" w:type="dxa"/>
            <w:tcBorders>
              <w:top w:val="single" w:sz="4" w:space="0" w:color="auto"/>
              <w:left w:val="nil"/>
              <w:bottom w:val="single" w:sz="4" w:space="0" w:color="auto"/>
              <w:right w:val="single" w:sz="4" w:space="0" w:color="auto"/>
            </w:tcBorders>
            <w:shd w:val="clear" w:color="auto" w:fill="auto"/>
            <w:noWrap/>
            <w:vAlign w:val="center"/>
            <w:hideMark/>
          </w:tcPr>
          <w:p w14:paraId="0E99217E" w14:textId="1BDC8621" w:rsidR="002949AA" w:rsidRPr="002949AA" w:rsidRDefault="002949AA" w:rsidP="002949AA">
            <w:pPr>
              <w:spacing w:after="0" w:line="240" w:lineRule="auto"/>
              <w:jc w:val="center"/>
              <w:rPr>
                <w:rFonts w:eastAsia="Times New Roman" w:cs="Arial"/>
                <w:color w:val="000000"/>
                <w:sz w:val="18"/>
                <w:szCs w:val="18"/>
                <w:lang w:eastAsia="fr-FR"/>
              </w:rPr>
            </w:pPr>
            <w:r w:rsidRPr="002949AA">
              <w:rPr>
                <w:rFonts w:eastAsia="Times New Roman" w:cs="Arial"/>
                <w:color w:val="000000"/>
                <w:sz w:val="18"/>
                <w:szCs w:val="18"/>
                <w:lang w:eastAsia="fr-FR"/>
              </w:rPr>
              <w:t>1150</w:t>
            </w:r>
            <w:r w:rsidR="003D0D78">
              <w:rPr>
                <w:rFonts w:eastAsia="Times New Roman" w:cs="Arial"/>
                <w:color w:val="000000"/>
                <w:sz w:val="18"/>
                <w:szCs w:val="18"/>
                <w:lang w:eastAsia="fr-FR"/>
              </w:rPr>
              <w:t> </w:t>
            </w:r>
            <w:r w:rsidRPr="002949AA">
              <w:rPr>
                <w:rFonts w:eastAsia="Times New Roman" w:cs="Arial"/>
                <w:color w:val="000000"/>
                <w:sz w:val="18"/>
                <w:szCs w:val="18"/>
                <w:lang w:eastAsia="fr-FR"/>
              </w:rPr>
              <w:t>kt</w:t>
            </w:r>
          </w:p>
        </w:tc>
      </w:tr>
      <w:tr w:rsidR="001734F7" w:rsidRPr="001734F7" w14:paraId="7ACB8058" w14:textId="77777777" w:rsidTr="001734F7">
        <w:trPr>
          <w:trHeight w:val="675"/>
          <w:jc w:val="center"/>
        </w:trPr>
        <w:tc>
          <w:tcPr>
            <w:tcW w:w="1720" w:type="dxa"/>
            <w:tcBorders>
              <w:top w:val="nil"/>
              <w:left w:val="single" w:sz="4" w:space="0" w:color="auto"/>
              <w:bottom w:val="single" w:sz="4" w:space="0" w:color="auto"/>
              <w:right w:val="single" w:sz="4" w:space="0" w:color="auto"/>
            </w:tcBorders>
            <w:shd w:val="clear" w:color="000000" w:fill="FFF2CC"/>
            <w:vAlign w:val="center"/>
            <w:hideMark/>
          </w:tcPr>
          <w:p w14:paraId="47BB7921" w14:textId="34A2D4A3"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 xml:space="preserve">Dont Consommation </w:t>
            </w:r>
            <w:r w:rsidR="001734F7">
              <w:rPr>
                <w:rFonts w:eastAsia="Times New Roman" w:cs="Arial"/>
                <w:i/>
                <w:color w:val="000000"/>
                <w:sz w:val="18"/>
                <w:szCs w:val="18"/>
                <w:lang w:eastAsia="fr-FR"/>
              </w:rPr>
              <w:br/>
            </w:r>
            <w:r w:rsidRPr="0002537E">
              <w:rPr>
                <w:rFonts w:eastAsia="Times New Roman" w:cs="Arial"/>
                <w:i/>
                <w:color w:val="000000"/>
                <w:sz w:val="18"/>
                <w:szCs w:val="18"/>
                <w:lang w:eastAsia="fr-FR"/>
              </w:rPr>
              <w:t xml:space="preserve">A domicile </w:t>
            </w:r>
          </w:p>
        </w:tc>
        <w:tc>
          <w:tcPr>
            <w:tcW w:w="1812" w:type="dxa"/>
            <w:tcBorders>
              <w:top w:val="single" w:sz="4" w:space="0" w:color="auto"/>
              <w:left w:val="nil"/>
              <w:bottom w:val="single" w:sz="4" w:space="0" w:color="auto"/>
              <w:right w:val="single" w:sz="4" w:space="0" w:color="auto"/>
            </w:tcBorders>
            <w:shd w:val="clear" w:color="000000" w:fill="FFF2CC"/>
            <w:vAlign w:val="center"/>
            <w:hideMark/>
          </w:tcPr>
          <w:p w14:paraId="7E22C65E" w14:textId="3FD333F0"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 xml:space="preserve">Charcuterie salaison dont saucisserie </w:t>
            </w:r>
            <w:r w:rsidRPr="0002537E">
              <w:rPr>
                <w:rFonts w:eastAsia="Times New Roman" w:cs="Arial"/>
                <w:i/>
                <w:color w:val="000000"/>
                <w:sz w:val="18"/>
                <w:szCs w:val="18"/>
                <w:lang w:eastAsia="fr-FR"/>
              </w:rPr>
              <w:br/>
              <w:t>675</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 xml:space="preserve">kt </w:t>
            </w:r>
          </w:p>
        </w:tc>
        <w:tc>
          <w:tcPr>
            <w:tcW w:w="1268" w:type="dxa"/>
            <w:tcBorders>
              <w:top w:val="nil"/>
              <w:left w:val="nil"/>
              <w:bottom w:val="single" w:sz="4" w:space="0" w:color="auto"/>
              <w:right w:val="single" w:sz="4" w:space="0" w:color="auto"/>
            </w:tcBorders>
            <w:shd w:val="clear" w:color="000000" w:fill="FFF2CC"/>
            <w:vAlign w:val="center"/>
            <w:hideMark/>
          </w:tcPr>
          <w:p w14:paraId="17210D1F" w14:textId="6A1F753A"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Porc Ingrédient Traiteur ?</w:t>
            </w:r>
          </w:p>
        </w:tc>
        <w:tc>
          <w:tcPr>
            <w:tcW w:w="1580" w:type="dxa"/>
            <w:gridSpan w:val="3"/>
            <w:tcBorders>
              <w:top w:val="single" w:sz="4" w:space="0" w:color="auto"/>
              <w:left w:val="nil"/>
              <w:bottom w:val="single" w:sz="4" w:space="0" w:color="auto"/>
              <w:right w:val="single" w:sz="4" w:space="0" w:color="000000"/>
            </w:tcBorders>
            <w:shd w:val="clear" w:color="000000" w:fill="FFF2CC"/>
            <w:vAlign w:val="center"/>
            <w:hideMark/>
          </w:tcPr>
          <w:p w14:paraId="6A01133C" w14:textId="45ED3779"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Viande de porc 306</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kt</w:t>
            </w:r>
          </w:p>
        </w:tc>
        <w:tc>
          <w:tcPr>
            <w:tcW w:w="880" w:type="dxa"/>
            <w:tcBorders>
              <w:top w:val="nil"/>
              <w:left w:val="nil"/>
              <w:bottom w:val="single" w:sz="4" w:space="0" w:color="auto"/>
              <w:right w:val="single" w:sz="4" w:space="0" w:color="auto"/>
            </w:tcBorders>
            <w:shd w:val="clear" w:color="000000" w:fill="FFF2CC"/>
            <w:noWrap/>
            <w:vAlign w:val="center"/>
            <w:hideMark/>
          </w:tcPr>
          <w:p w14:paraId="464BCEBF" w14:textId="042F9632"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Abats 9</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kt</w:t>
            </w:r>
          </w:p>
        </w:tc>
        <w:tc>
          <w:tcPr>
            <w:tcW w:w="820" w:type="dxa"/>
            <w:tcBorders>
              <w:top w:val="nil"/>
              <w:left w:val="nil"/>
              <w:bottom w:val="single" w:sz="4" w:space="0" w:color="auto"/>
              <w:right w:val="single" w:sz="4" w:space="0" w:color="auto"/>
            </w:tcBorders>
            <w:shd w:val="clear" w:color="auto" w:fill="auto"/>
            <w:noWrap/>
            <w:vAlign w:val="center"/>
            <w:hideMark/>
          </w:tcPr>
          <w:p w14:paraId="65474914" w14:textId="100D0A4C"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990</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kt</w:t>
            </w:r>
          </w:p>
        </w:tc>
      </w:tr>
      <w:tr w:rsidR="00EB6DA2" w:rsidRPr="001734F7" w14:paraId="1679E7EA" w14:textId="77777777" w:rsidTr="001734F7">
        <w:trPr>
          <w:trHeight w:val="690"/>
          <w:jc w:val="center"/>
        </w:trPr>
        <w:tc>
          <w:tcPr>
            <w:tcW w:w="1720" w:type="dxa"/>
            <w:tcBorders>
              <w:top w:val="nil"/>
              <w:left w:val="single" w:sz="4" w:space="0" w:color="auto"/>
              <w:bottom w:val="single" w:sz="4" w:space="0" w:color="auto"/>
              <w:right w:val="single" w:sz="4" w:space="0" w:color="auto"/>
            </w:tcBorders>
            <w:shd w:val="clear" w:color="000000" w:fill="FFF2CC"/>
            <w:vAlign w:val="center"/>
            <w:hideMark/>
          </w:tcPr>
          <w:p w14:paraId="6C07A860" w14:textId="77777777"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 xml:space="preserve">Dont Consommation Hors domicile </w:t>
            </w:r>
          </w:p>
        </w:tc>
        <w:tc>
          <w:tcPr>
            <w:tcW w:w="1812" w:type="dxa"/>
            <w:tcBorders>
              <w:top w:val="single" w:sz="4" w:space="0" w:color="auto"/>
              <w:left w:val="nil"/>
              <w:bottom w:val="single" w:sz="4" w:space="0" w:color="auto"/>
              <w:right w:val="single" w:sz="4" w:space="0" w:color="auto"/>
            </w:tcBorders>
            <w:shd w:val="clear" w:color="000000" w:fill="FFF2CC"/>
            <w:vAlign w:val="center"/>
            <w:hideMark/>
          </w:tcPr>
          <w:p w14:paraId="7CD3672D" w14:textId="5007E4B3"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 xml:space="preserve">Charcuterie salaison dont sauvisserie </w:t>
            </w:r>
            <w:r w:rsidRPr="0002537E">
              <w:rPr>
                <w:rFonts w:eastAsia="Times New Roman" w:cs="Arial"/>
                <w:i/>
                <w:color w:val="000000"/>
                <w:sz w:val="18"/>
                <w:szCs w:val="18"/>
                <w:lang w:eastAsia="fr-FR"/>
              </w:rPr>
              <w:br/>
              <w:t>117</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 xml:space="preserve">kt </w:t>
            </w:r>
          </w:p>
        </w:tc>
        <w:tc>
          <w:tcPr>
            <w:tcW w:w="1268" w:type="dxa"/>
            <w:tcBorders>
              <w:top w:val="nil"/>
              <w:left w:val="nil"/>
              <w:bottom w:val="single" w:sz="4" w:space="0" w:color="auto"/>
              <w:right w:val="single" w:sz="4" w:space="0" w:color="auto"/>
            </w:tcBorders>
            <w:shd w:val="clear" w:color="000000" w:fill="FFF2CC"/>
            <w:vAlign w:val="center"/>
            <w:hideMark/>
          </w:tcPr>
          <w:p w14:paraId="552A36BD" w14:textId="53E126BC"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Porc Ingrédient Traiteur ?</w:t>
            </w:r>
          </w:p>
        </w:tc>
        <w:tc>
          <w:tcPr>
            <w:tcW w:w="1580" w:type="dxa"/>
            <w:gridSpan w:val="3"/>
            <w:tcBorders>
              <w:top w:val="single" w:sz="4" w:space="0" w:color="auto"/>
              <w:left w:val="nil"/>
              <w:bottom w:val="single" w:sz="4" w:space="0" w:color="auto"/>
              <w:right w:val="single" w:sz="4" w:space="0" w:color="000000"/>
            </w:tcBorders>
            <w:shd w:val="clear" w:color="000000" w:fill="FFF2CC"/>
            <w:vAlign w:val="center"/>
            <w:hideMark/>
          </w:tcPr>
          <w:p w14:paraId="4F82C135" w14:textId="24CC3CF1"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Viande de porc 43</w:t>
            </w:r>
            <w:r w:rsidR="003D0D78">
              <w:rPr>
                <w:rFonts w:eastAsia="Times New Roman" w:cs="Arial"/>
                <w:i/>
                <w:color w:val="000000"/>
                <w:sz w:val="18"/>
                <w:szCs w:val="18"/>
                <w:lang w:eastAsia="fr-FR"/>
              </w:rPr>
              <w:t> </w:t>
            </w:r>
            <w:r w:rsidRPr="0002537E">
              <w:rPr>
                <w:rFonts w:eastAsia="Times New Roman" w:cs="Arial"/>
                <w:i/>
                <w:color w:val="000000"/>
                <w:sz w:val="18"/>
                <w:szCs w:val="18"/>
                <w:lang w:eastAsia="fr-FR"/>
              </w:rPr>
              <w:t>kt</w:t>
            </w:r>
          </w:p>
        </w:tc>
        <w:tc>
          <w:tcPr>
            <w:tcW w:w="880" w:type="dxa"/>
            <w:tcBorders>
              <w:top w:val="nil"/>
              <w:left w:val="nil"/>
              <w:bottom w:val="single" w:sz="4" w:space="0" w:color="auto"/>
              <w:right w:val="single" w:sz="4" w:space="0" w:color="auto"/>
            </w:tcBorders>
            <w:shd w:val="clear" w:color="000000" w:fill="FFF2CC"/>
            <w:vAlign w:val="center"/>
            <w:hideMark/>
          </w:tcPr>
          <w:p w14:paraId="663AF235" w14:textId="77777777"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Abats ?</w:t>
            </w:r>
          </w:p>
        </w:tc>
        <w:tc>
          <w:tcPr>
            <w:tcW w:w="820" w:type="dxa"/>
            <w:tcBorders>
              <w:top w:val="nil"/>
              <w:left w:val="nil"/>
              <w:bottom w:val="single" w:sz="4" w:space="0" w:color="auto"/>
              <w:right w:val="single" w:sz="4" w:space="0" w:color="auto"/>
            </w:tcBorders>
            <w:shd w:val="clear" w:color="auto" w:fill="auto"/>
            <w:noWrap/>
            <w:vAlign w:val="center"/>
            <w:hideMark/>
          </w:tcPr>
          <w:p w14:paraId="7E6AC0EE" w14:textId="39B9318F" w:rsidR="002949AA" w:rsidRPr="0002537E" w:rsidRDefault="002949AA" w:rsidP="0002537E">
            <w:pPr>
              <w:spacing w:after="0" w:line="240" w:lineRule="auto"/>
              <w:jc w:val="right"/>
              <w:rPr>
                <w:rFonts w:eastAsia="Times New Roman" w:cs="Arial"/>
                <w:i/>
                <w:color w:val="000000"/>
                <w:sz w:val="18"/>
                <w:szCs w:val="18"/>
                <w:lang w:eastAsia="fr-FR"/>
              </w:rPr>
            </w:pPr>
            <w:r w:rsidRPr="0002537E">
              <w:rPr>
                <w:rFonts w:eastAsia="Times New Roman" w:cs="Arial"/>
                <w:i/>
                <w:color w:val="000000"/>
                <w:sz w:val="18"/>
                <w:szCs w:val="18"/>
                <w:lang w:eastAsia="fr-FR"/>
              </w:rPr>
              <w:t>160</w:t>
            </w:r>
            <w:r w:rsidR="003D0D78">
              <w:rPr>
                <w:rFonts w:eastAsia="Times New Roman" w:cs="Arial"/>
                <w:i/>
                <w:color w:val="000000"/>
                <w:sz w:val="18"/>
                <w:szCs w:val="18"/>
                <w:lang w:eastAsia="fr-FR"/>
              </w:rPr>
              <w:t> kt</w:t>
            </w:r>
          </w:p>
        </w:tc>
      </w:tr>
    </w:tbl>
    <w:p w14:paraId="06177B52" w14:textId="5A2D3A53" w:rsidR="002949AA" w:rsidRPr="00C122DF" w:rsidRDefault="00162256" w:rsidP="0002537E">
      <w:pPr>
        <w:pStyle w:val="figure"/>
        <w:rPr>
          <w:b w:val="0"/>
          <w:bCs w:val="0"/>
          <w:i/>
          <w:iCs w:val="0"/>
        </w:rPr>
      </w:pPr>
      <w:bookmarkStart w:id="186" w:name="_Toc72143386"/>
      <w:r w:rsidRPr="00926407">
        <w:t xml:space="preserve">Tableau </w:t>
      </w:r>
      <w:r w:rsidR="00E27D6E">
        <w:fldChar w:fldCharType="begin"/>
      </w:r>
      <w:r w:rsidR="00E27D6E">
        <w:instrText xml:space="preserve"> SEQ Tableau \* ARABIC </w:instrText>
      </w:r>
      <w:r w:rsidR="00E27D6E">
        <w:fldChar w:fldCharType="separate"/>
      </w:r>
      <w:r w:rsidR="0007597F">
        <w:rPr>
          <w:noProof/>
        </w:rPr>
        <w:t>38</w:t>
      </w:r>
      <w:r w:rsidR="00E27D6E">
        <w:rPr>
          <w:noProof/>
        </w:rPr>
        <w:fldChar w:fldCharType="end"/>
      </w:r>
      <w:r w:rsidR="00B0396D">
        <w:rPr>
          <w:i/>
        </w:rPr>
        <w:t xml:space="preserve"> : </w:t>
      </w:r>
      <w:r w:rsidR="002949AA" w:rsidRPr="005724C7">
        <w:rPr>
          <w:rStyle w:val="Titre2Car"/>
          <w:b/>
        </w:rPr>
        <w:t>Etat synthétique des connaissan</w:t>
      </w:r>
      <w:r w:rsidR="00EB6DA2" w:rsidRPr="005724C7">
        <w:rPr>
          <w:rStyle w:val="Titre2Car"/>
          <w:b/>
        </w:rPr>
        <w:t>c</w:t>
      </w:r>
      <w:r w:rsidR="002949AA" w:rsidRPr="005724C7">
        <w:rPr>
          <w:rStyle w:val="Titre2Car"/>
          <w:b/>
        </w:rPr>
        <w:t>es du disponible en porc par étape de</w:t>
      </w:r>
      <w:r w:rsidR="00DC2AB8" w:rsidRPr="005724C7">
        <w:rPr>
          <w:rStyle w:val="Titre2Car"/>
          <w:b/>
        </w:rPr>
        <w:t xml:space="preserve"> </w:t>
      </w:r>
      <w:r w:rsidR="002949AA" w:rsidRPr="005724C7">
        <w:rPr>
          <w:rStyle w:val="Titre2Car"/>
          <w:b/>
        </w:rPr>
        <w:t xml:space="preserve">transformation de la filière </w:t>
      </w:r>
      <w:r w:rsidR="002949AA" w:rsidRPr="005724C7">
        <w:rPr>
          <w:bCs w:val="0"/>
        </w:rPr>
        <w:t>en 2018</w:t>
      </w:r>
      <w:bookmarkEnd w:id="186"/>
      <w:r w:rsidR="00C122DF">
        <w:t xml:space="preserve"> </w:t>
      </w:r>
      <w:r w:rsidR="00C122DF" w:rsidRPr="00C122DF">
        <w:rPr>
          <w:b w:val="0"/>
          <w:bCs w:val="0"/>
          <w:i/>
          <w:iCs w:val="0"/>
        </w:rPr>
        <w:t>(Source : Ifip)</w:t>
      </w:r>
    </w:p>
    <w:p w14:paraId="6EB041E0" w14:textId="387603FC" w:rsidR="00162256" w:rsidRDefault="001734F7" w:rsidP="00176C87">
      <w:r>
        <w:t xml:space="preserve">D’une manière générale, cette première partie vient à nouveau souligner la multiplicité des flux produits et marchés des produits du porc. C’est pourquoi, cette seconde partie du rapport s’attachera à réunir l’ensemble des données favorisant la formalisation d’une cartographie prenant appui sur une première analyse des flux matière. </w:t>
      </w:r>
    </w:p>
    <w:p w14:paraId="6B94D9DA" w14:textId="48767C80" w:rsidR="00162256" w:rsidRDefault="00162256" w:rsidP="00176C87"/>
    <w:p w14:paraId="04932188" w14:textId="1B7A0885" w:rsidR="00162256" w:rsidRDefault="00162256" w:rsidP="00176C87"/>
    <w:p w14:paraId="33A58CF1" w14:textId="711CBCFC" w:rsidR="00162256" w:rsidRDefault="00162256" w:rsidP="00176C87"/>
    <w:p w14:paraId="768AFBAA" w14:textId="4CE5AD28" w:rsidR="00162256" w:rsidRDefault="00162256" w:rsidP="00176C87"/>
    <w:p w14:paraId="2230AFE0" w14:textId="40D7DDC5" w:rsidR="00162256" w:rsidRDefault="00162256" w:rsidP="00176C87"/>
    <w:p w14:paraId="67842D31" w14:textId="77777777" w:rsidR="00943C62" w:rsidRDefault="00943C62" w:rsidP="00176C87">
      <w:pPr>
        <w:sectPr w:rsidR="00943C62" w:rsidSect="00B73F4D">
          <w:headerReference w:type="even" r:id="rId47"/>
          <w:headerReference w:type="default" r:id="rId48"/>
          <w:footerReference w:type="even" r:id="rId49"/>
          <w:footerReference w:type="default" r:id="rId50"/>
          <w:pgSz w:w="11906" w:h="16838" w:code="9"/>
          <w:pgMar w:top="1304" w:right="1133" w:bottom="1304" w:left="1418" w:header="567" w:footer="709" w:gutter="0"/>
          <w:cols w:space="708"/>
          <w:docGrid w:linePitch="360"/>
        </w:sectPr>
      </w:pPr>
    </w:p>
    <w:p w14:paraId="0A8A738F" w14:textId="653A3DCA" w:rsidR="004E4EBD" w:rsidRPr="00026C60" w:rsidRDefault="004E4EBD" w:rsidP="00094834">
      <w:pPr>
        <w:pStyle w:val="PARTIE"/>
      </w:pPr>
      <w:bookmarkStart w:id="187" w:name="_Toc78131610"/>
      <w:r w:rsidRPr="00026C60">
        <w:lastRenderedPageBreak/>
        <w:t>Partie 2 : Méthod</w:t>
      </w:r>
      <w:r w:rsidR="007478E0">
        <w:t xml:space="preserve">ologie de quantification </w:t>
      </w:r>
      <w:r w:rsidR="00C1360F">
        <w:t>des produits du porc</w:t>
      </w:r>
      <w:bookmarkEnd w:id="187"/>
    </w:p>
    <w:p w14:paraId="626DA7DD" w14:textId="0E88BADD" w:rsidR="001F4A10" w:rsidRPr="00AD03E9" w:rsidRDefault="0076328B" w:rsidP="00094834">
      <w:pPr>
        <w:rPr>
          <w:lang w:eastAsia="fr-FR"/>
        </w:rPr>
      </w:pPr>
      <w:r w:rsidRPr="00AD03E9">
        <w:rPr>
          <w:lang w:eastAsia="fr-FR"/>
        </w:rPr>
        <w:t xml:space="preserve">L’analyse des </w:t>
      </w:r>
      <w:r w:rsidR="00AD03E9" w:rsidRPr="00AD03E9">
        <w:rPr>
          <w:lang w:eastAsia="fr-FR"/>
        </w:rPr>
        <w:t>données économiques</w:t>
      </w:r>
      <w:r w:rsidRPr="00AD03E9">
        <w:rPr>
          <w:lang w:eastAsia="fr-FR"/>
        </w:rPr>
        <w:t xml:space="preserve"> </w:t>
      </w:r>
      <w:r w:rsidR="00AD03E9" w:rsidRPr="00AD03E9">
        <w:rPr>
          <w:lang w:eastAsia="fr-FR"/>
        </w:rPr>
        <w:t xml:space="preserve">et des enquêtes de la consommation étudiées dans </w:t>
      </w:r>
      <w:r w:rsidR="00DA020E" w:rsidRPr="00AD03E9">
        <w:rPr>
          <w:lang w:eastAsia="fr-FR"/>
        </w:rPr>
        <w:t>la première partie du rapport</w:t>
      </w:r>
      <w:r w:rsidR="00AD03E9" w:rsidRPr="00AD03E9">
        <w:rPr>
          <w:lang w:eastAsia="fr-FR"/>
        </w:rPr>
        <w:t>,</w:t>
      </w:r>
      <w:r w:rsidR="00DA020E" w:rsidRPr="00AD03E9">
        <w:rPr>
          <w:lang w:eastAsia="fr-FR"/>
        </w:rPr>
        <w:t xml:space="preserve"> </w:t>
      </w:r>
      <w:r w:rsidR="00AD03E9" w:rsidRPr="00AD03E9">
        <w:rPr>
          <w:lang w:eastAsia="fr-FR"/>
        </w:rPr>
        <w:t>ont</w:t>
      </w:r>
      <w:r w:rsidR="00DA020E" w:rsidRPr="00AD03E9">
        <w:rPr>
          <w:lang w:eastAsia="fr-FR"/>
        </w:rPr>
        <w:t xml:space="preserve"> fait émerger un certain nombre de limites</w:t>
      </w:r>
      <w:r w:rsidRPr="00AD03E9">
        <w:rPr>
          <w:lang w:eastAsia="fr-FR"/>
        </w:rPr>
        <w:t xml:space="preserve"> de comparaison</w:t>
      </w:r>
      <w:r w:rsidR="00DA020E" w:rsidRPr="00AD03E9">
        <w:rPr>
          <w:lang w:eastAsia="fr-FR"/>
        </w:rPr>
        <w:t>. Celles-ci portent tant sur la robustesse des données</w:t>
      </w:r>
      <w:r w:rsidR="001F4A10" w:rsidRPr="00AD03E9">
        <w:rPr>
          <w:lang w:eastAsia="fr-FR"/>
        </w:rPr>
        <w:t xml:space="preserve"> que sur leur comparabilité à des fins de quantification des marchés du porc.</w:t>
      </w:r>
    </w:p>
    <w:p w14:paraId="33AC19C8" w14:textId="1A1451AB" w:rsidR="0076328B" w:rsidRDefault="001F4A10" w:rsidP="00094834">
      <w:r>
        <w:t>Afin de</w:t>
      </w:r>
      <w:r w:rsidR="0005375F">
        <w:t xml:space="preserve"> </w:t>
      </w:r>
      <w:r w:rsidR="00996A03">
        <w:t xml:space="preserve">caractériser et quantifier </w:t>
      </w:r>
      <w:r w:rsidR="00FC46F9">
        <w:t xml:space="preserve">la </w:t>
      </w:r>
      <w:r w:rsidR="000954DB">
        <w:t xml:space="preserve">fraction </w:t>
      </w:r>
      <w:r w:rsidR="00FC46F9">
        <w:t>du porc à destination de la consommation humaine</w:t>
      </w:r>
      <w:r w:rsidR="0076328B">
        <w:t xml:space="preserve">, </w:t>
      </w:r>
      <w:r w:rsidR="00502D69">
        <w:t xml:space="preserve">dans un premier temps </w:t>
      </w:r>
      <w:r w:rsidR="0076328B">
        <w:t xml:space="preserve">les notions de perte </w:t>
      </w:r>
      <w:r w:rsidR="00502D69">
        <w:t xml:space="preserve">qu’elles soient alimentaires et non alimentaires </w:t>
      </w:r>
      <w:r w:rsidR="0076328B">
        <w:t>seront approchées</w:t>
      </w:r>
      <w:r w:rsidR="005A784B">
        <w:t xml:space="preserve"> </w:t>
      </w:r>
      <w:r w:rsidR="003D0D78">
        <w:t>ainsi que</w:t>
      </w:r>
      <w:r w:rsidR="005A784B">
        <w:t xml:space="preserve"> les rendements technologiques associés</w:t>
      </w:r>
      <w:r w:rsidR="0076328B">
        <w:t>.</w:t>
      </w:r>
      <w:r w:rsidR="00AD03E9">
        <w:t xml:space="preserve"> </w:t>
      </w:r>
      <w:r w:rsidR="00502D69">
        <w:t xml:space="preserve">En effet, </w:t>
      </w:r>
      <w:r w:rsidR="005A784B">
        <w:t>ces facteurs</w:t>
      </w:r>
      <w:r w:rsidR="00502D69">
        <w:t xml:space="preserve"> influent tout au long des étapes de transformation de la carcasse, sur le disponible net à la consommation</w:t>
      </w:r>
      <w:r w:rsidR="003D0D78">
        <w:t xml:space="preserve"> qui sera évalué</w:t>
      </w:r>
      <w:r w:rsidR="00AD03E9">
        <w:t xml:space="preserve"> au stade de l’abattage.</w:t>
      </w:r>
    </w:p>
    <w:p w14:paraId="3940DE70" w14:textId="77777777" w:rsidR="00C37569" w:rsidRDefault="00AD03E9" w:rsidP="00094834">
      <w:r>
        <w:t xml:space="preserve">Par ailleurs </w:t>
      </w:r>
      <w:r w:rsidR="00C37569">
        <w:t>les axes de valorisation des coproduits alimentaires seront étudiés au travers d’</w:t>
      </w:r>
      <w:r w:rsidR="0076328B">
        <w:t>une analyse de l’offre des produits d’assemblage du traiteur et des produits de mélange de la charcuterie de volaille et de gibier</w:t>
      </w:r>
      <w:r w:rsidR="00C37569">
        <w:t>. Celle-ci sera complétée par</w:t>
      </w:r>
      <w:r w:rsidR="0076328B">
        <w:t xml:space="preserve"> une enquête à dire d’experts auprès des professionnels de la filièr</w:t>
      </w:r>
      <w:r>
        <w:t xml:space="preserve">e. </w:t>
      </w:r>
    </w:p>
    <w:p w14:paraId="040C36A5" w14:textId="1230B31A" w:rsidR="0076328B" w:rsidRDefault="00AD03E9" w:rsidP="00094834">
      <w:r>
        <w:t>L</w:t>
      </w:r>
      <w:r w:rsidR="0076328B" w:rsidRPr="00CC116D">
        <w:t xml:space="preserve">es résultats </w:t>
      </w:r>
      <w:r>
        <w:t xml:space="preserve">seront confrontés </w:t>
      </w:r>
      <w:r w:rsidR="0076328B" w:rsidRPr="00CC116D">
        <w:t xml:space="preserve">avec l’analyse </w:t>
      </w:r>
      <w:r>
        <w:t>afin d’</w:t>
      </w:r>
      <w:r w:rsidR="0076328B" w:rsidRPr="00CC116D">
        <w:t>établir les limites de validité de ces données</w:t>
      </w:r>
      <w:r w:rsidR="00C37569">
        <w:t xml:space="preserve"> et approcher de premiers éléments d’incertitude.</w:t>
      </w:r>
    </w:p>
    <w:p w14:paraId="638F6E40" w14:textId="7DE2D37A" w:rsidR="00964826" w:rsidRPr="001C101F" w:rsidRDefault="00C815A7" w:rsidP="00A305CD">
      <w:pPr>
        <w:pStyle w:val="Titre1"/>
        <w:numPr>
          <w:ilvl w:val="0"/>
          <w:numId w:val="24"/>
        </w:numPr>
        <w:rPr>
          <w:rFonts w:eastAsia="Times New Roman"/>
          <w:lang w:eastAsia="fr-FR"/>
        </w:rPr>
      </w:pPr>
      <w:bookmarkStart w:id="188" w:name="_Toc78131611"/>
      <w:r w:rsidRPr="009D7EFF">
        <w:t>Quantification</w:t>
      </w:r>
      <w:r w:rsidRPr="001C101F">
        <w:rPr>
          <w:rFonts w:eastAsia="Times New Roman"/>
          <w:lang w:eastAsia="fr-FR"/>
        </w:rPr>
        <w:t xml:space="preserve"> de la fraction disponible à la consommation humaine</w:t>
      </w:r>
      <w:r w:rsidR="003626B0" w:rsidRPr="001C101F">
        <w:rPr>
          <w:rFonts w:eastAsia="Times New Roman"/>
          <w:lang w:eastAsia="fr-FR"/>
        </w:rPr>
        <w:t xml:space="preserve"> au stade de l’abattage</w:t>
      </w:r>
      <w:bookmarkEnd w:id="188"/>
    </w:p>
    <w:p w14:paraId="55F8100B" w14:textId="0897EF9A" w:rsidR="006E0C1D" w:rsidRPr="00C37569" w:rsidRDefault="006E0C1D" w:rsidP="00C37569">
      <w:pPr>
        <w:pStyle w:val="Corpsdetexte"/>
        <w:spacing w:before="0" w:after="120"/>
        <w:ind w:left="142" w:right="23"/>
      </w:pPr>
      <w:r w:rsidRPr="00AD03E9">
        <w:t xml:space="preserve">Au cours des dernières années, les phases de découpe et de transformation des produits du porc ont donné lieu </w:t>
      </w:r>
      <w:r w:rsidR="00AC4B70" w:rsidRPr="00AD03E9">
        <w:t>à des opérations de</w:t>
      </w:r>
      <w:r w:rsidRPr="00AD03E9">
        <w:t xml:space="preserve"> parage de plus en plus poussé</w:t>
      </w:r>
      <w:r w:rsidR="00AC4B70" w:rsidRPr="00AD03E9">
        <w:t>es</w:t>
      </w:r>
      <w:r w:rsidRPr="00AD03E9">
        <w:t xml:space="preserve"> des muscles. Ainsi les produits de salaison découenné, dégraissé, sans aponévrose et les pièces de viande sans os sont devenus progressivement des standards </w:t>
      </w:r>
      <w:r w:rsidR="00E3345E">
        <w:t xml:space="preserve">des </w:t>
      </w:r>
      <w:r w:rsidRPr="00AD03E9">
        <w:t xml:space="preserve">produits à destination des consommateurs. Les sous-produits ou coproduits qui en sont issus, sont en partie seulement réemployés en charcuterie avec une grande variété et </w:t>
      </w:r>
      <w:r w:rsidR="003D0D78">
        <w:t xml:space="preserve">une </w:t>
      </w:r>
      <w:r w:rsidRPr="00AD03E9">
        <w:t>grande variabilité de recettes en lien avec l’hétérogénéité de</w:t>
      </w:r>
      <w:r w:rsidR="00E3345E">
        <w:t>s</w:t>
      </w:r>
      <w:r w:rsidRPr="00AD03E9">
        <w:t xml:space="preserve"> matière</w:t>
      </w:r>
      <w:r w:rsidR="00E3345E">
        <w:t>s</w:t>
      </w:r>
      <w:r w:rsidRPr="00AD03E9">
        <w:t xml:space="preserve"> première</w:t>
      </w:r>
      <w:r w:rsidR="00E3345E">
        <w:t>s</w:t>
      </w:r>
      <w:r w:rsidRPr="00AD03E9">
        <w:t>.</w:t>
      </w:r>
    </w:p>
    <w:p w14:paraId="2AABAD3C" w14:textId="5358C7EA" w:rsidR="006E0C1D" w:rsidRPr="00AD03E9" w:rsidRDefault="006E0C1D" w:rsidP="00AD03E9">
      <w:pPr>
        <w:pStyle w:val="Corpsdetexte"/>
        <w:spacing w:before="0" w:after="120"/>
        <w:ind w:left="142" w:right="23"/>
      </w:pPr>
      <w:r w:rsidRPr="00AD03E9">
        <w:t xml:space="preserve">Plus généralement, l’ensemble des acteurs sont concernés par l’émission de ces sous-produits ou coproduits soient les abatteurs découpeurs, les transformateurs de charcuterie salaison et dans une moindre mesure les bouchers charcutiers et les laboratoires de découpe du pôle traditionnel des grandes surfaces. </w:t>
      </w:r>
    </w:p>
    <w:p w14:paraId="7484A22D" w14:textId="0D9C2305" w:rsidR="005C6334" w:rsidRPr="00AD03E9" w:rsidRDefault="005C6334" w:rsidP="00AD03E9">
      <w:pPr>
        <w:pStyle w:val="Corpsdetexte"/>
        <w:ind w:left="142" w:right="23"/>
      </w:pPr>
      <w:r w:rsidRPr="00AD03E9">
        <w:t>Conformément à l</w:t>
      </w:r>
      <w:r w:rsidR="006B7C70" w:rsidRPr="00AD03E9">
        <w:t>’approche méthodologique</w:t>
      </w:r>
      <w:r w:rsidRPr="00AD03E9">
        <w:t xml:space="preserve"> décrite dans l’étude INRA (Redlingshöfer, 2015), les différents usages des produits et </w:t>
      </w:r>
      <w:r w:rsidR="000A157C" w:rsidRPr="00AD03E9">
        <w:t>sous-produits</w:t>
      </w:r>
      <w:r w:rsidRPr="00AD03E9">
        <w:t xml:space="preserve"> issus du porc sont traités au travers de </w:t>
      </w:r>
      <w:r w:rsidR="00F55EDB">
        <w:t>plusieurs</w:t>
      </w:r>
      <w:r w:rsidRPr="00AD03E9">
        <w:t xml:space="preserve"> grandes </w:t>
      </w:r>
      <w:r w:rsidR="006B7C70" w:rsidRPr="00AD03E9">
        <w:t xml:space="preserve">typologies de produits : </w:t>
      </w:r>
    </w:p>
    <w:p w14:paraId="1F0E65BB" w14:textId="0FFA2D15" w:rsidR="00B050E0" w:rsidRPr="00AD03E9" w:rsidRDefault="00B050E0" w:rsidP="00AD03E9">
      <w:pPr>
        <w:pStyle w:val="Corpsdetexte"/>
        <w:spacing w:before="0"/>
        <w:ind w:left="142" w:right="23"/>
      </w:pPr>
      <w:r w:rsidRPr="00AD03E9">
        <w:t>- la fraction à destination d’usages non alimentaires</w:t>
      </w:r>
      <w:r w:rsidR="0011561D" w:rsidRPr="00AD03E9">
        <w:t xml:space="preserve"> ou</w:t>
      </w:r>
      <w:r w:rsidR="002F61B3" w:rsidRPr="00AD03E9">
        <w:t xml:space="preserve"> non comestible</w:t>
      </w:r>
      <w:r w:rsidR="00E3345E">
        <w:t>s</w:t>
      </w:r>
      <w:r w:rsidRPr="00AD03E9">
        <w:t xml:space="preserve">, </w:t>
      </w:r>
    </w:p>
    <w:p w14:paraId="1F4E8226" w14:textId="40B58642" w:rsidR="005C6334" w:rsidRPr="00AD03E9" w:rsidRDefault="005C6334" w:rsidP="00AD03E9">
      <w:pPr>
        <w:pStyle w:val="Corpsdetexte"/>
        <w:spacing w:before="0"/>
        <w:ind w:left="142" w:right="23"/>
      </w:pPr>
      <w:r w:rsidRPr="00AD03E9">
        <w:t xml:space="preserve">- </w:t>
      </w:r>
      <w:r w:rsidR="006B7C70" w:rsidRPr="00AD03E9">
        <w:t>l</w:t>
      </w:r>
      <w:r w:rsidRPr="00AD03E9">
        <w:t xml:space="preserve">a fraction </w:t>
      </w:r>
      <w:r w:rsidR="001962C2" w:rsidRPr="00AD03E9">
        <w:t xml:space="preserve">indirectement comestible </w:t>
      </w:r>
      <w:r w:rsidRPr="00AD03E9">
        <w:t>valorisée en alimentation humaine au travers</w:t>
      </w:r>
      <w:r w:rsidR="006B7C70" w:rsidRPr="00AD03E9">
        <w:t xml:space="preserve"> du recyclage des coproduits à destination d’autres filières alimentaires (traiteur, biscuiterie)</w:t>
      </w:r>
      <w:r w:rsidR="002F61B3" w:rsidRPr="00AD03E9">
        <w:t>.</w:t>
      </w:r>
      <w:r w:rsidR="006B7C70" w:rsidRPr="00AD03E9">
        <w:t xml:space="preserve"> </w:t>
      </w:r>
    </w:p>
    <w:p w14:paraId="536C59D0" w14:textId="3C894C0C" w:rsidR="001C618F" w:rsidRDefault="001C618F" w:rsidP="00E8461F">
      <w:pPr>
        <w:pStyle w:val="Corpsdetexte"/>
        <w:spacing w:before="0"/>
        <w:ind w:left="142" w:right="23"/>
      </w:pPr>
      <w:r w:rsidRPr="00AD03E9">
        <w:t xml:space="preserve">- la fraction </w:t>
      </w:r>
      <w:r w:rsidR="001962C2" w:rsidRPr="00AD03E9">
        <w:t xml:space="preserve">directement </w:t>
      </w:r>
      <w:r w:rsidRPr="00AD03E9">
        <w:t>valorisée en alimentation humaine au sein de la filière</w:t>
      </w:r>
    </w:p>
    <w:p w14:paraId="7A374558" w14:textId="0A62DBDC" w:rsidR="000A157C" w:rsidRDefault="000A157C" w:rsidP="00E8461F">
      <w:pPr>
        <w:pStyle w:val="Corpsdetexte"/>
        <w:spacing w:before="0"/>
        <w:ind w:left="142" w:right="23"/>
      </w:pPr>
    </w:p>
    <w:p w14:paraId="0D994A5C" w14:textId="785BCAC7" w:rsidR="00943C62" w:rsidRDefault="00943C62" w:rsidP="00E8461F">
      <w:pPr>
        <w:pStyle w:val="Corpsdetexte"/>
        <w:spacing w:before="0"/>
        <w:ind w:left="142" w:right="23"/>
      </w:pPr>
    </w:p>
    <w:p w14:paraId="747F37A4" w14:textId="2F27EC5C" w:rsidR="00943C62" w:rsidRDefault="00943C62" w:rsidP="00E8461F">
      <w:pPr>
        <w:pStyle w:val="Corpsdetexte"/>
        <w:spacing w:before="0"/>
        <w:ind w:left="142" w:right="23"/>
      </w:pPr>
    </w:p>
    <w:p w14:paraId="29A352F9" w14:textId="54200EBB" w:rsidR="00943C62" w:rsidRDefault="00943C62" w:rsidP="00E8461F">
      <w:pPr>
        <w:pStyle w:val="Corpsdetexte"/>
        <w:spacing w:before="0"/>
        <w:ind w:left="142" w:right="23"/>
      </w:pPr>
    </w:p>
    <w:p w14:paraId="6CE1F0C0" w14:textId="7BD59AC0" w:rsidR="00943C62" w:rsidRDefault="00943C62" w:rsidP="00E8461F">
      <w:pPr>
        <w:pStyle w:val="Corpsdetexte"/>
        <w:spacing w:before="0"/>
        <w:ind w:left="142" w:right="23"/>
      </w:pPr>
    </w:p>
    <w:p w14:paraId="4C9EAB84" w14:textId="77777777" w:rsidR="00943C62" w:rsidRPr="00AD03E9" w:rsidRDefault="00943C62" w:rsidP="00E8461F">
      <w:pPr>
        <w:pStyle w:val="Corpsdetexte"/>
        <w:spacing w:before="0"/>
        <w:ind w:left="142" w:right="23"/>
      </w:pPr>
    </w:p>
    <w:p w14:paraId="2B726A72" w14:textId="4FFE5AE8" w:rsidR="001E3F56" w:rsidRPr="001C101F" w:rsidRDefault="00094834" w:rsidP="00A63F35">
      <w:pPr>
        <w:pStyle w:val="Titre2"/>
        <w:numPr>
          <w:ilvl w:val="0"/>
          <w:numId w:val="0"/>
        </w:numPr>
        <w:ind w:left="360"/>
        <w:rPr>
          <w:rStyle w:val="Titre3Car"/>
          <w:rFonts w:eastAsia="MS PGothic" w:cstheme="minorBidi"/>
          <w:bCs/>
          <w:szCs w:val="22"/>
          <w:u w:val="none"/>
          <w:lang w:eastAsia="en-US"/>
        </w:rPr>
      </w:pPr>
      <w:bookmarkStart w:id="189" w:name="_Toc78131612"/>
      <w:r w:rsidRPr="001C101F">
        <w:lastRenderedPageBreak/>
        <w:t>1.1</w:t>
      </w:r>
      <w:r w:rsidR="001C101F" w:rsidRPr="001C101F">
        <w:t>.</w:t>
      </w:r>
      <w:r w:rsidRPr="001C101F">
        <w:tab/>
      </w:r>
      <w:r w:rsidR="001962C2" w:rsidRPr="001C101F">
        <w:rPr>
          <w:rStyle w:val="Titre3Car"/>
          <w:rFonts w:eastAsia="MS PGothic" w:cstheme="minorBidi"/>
          <w:szCs w:val="22"/>
          <w:u w:val="none"/>
          <w:lang w:eastAsia="en-US"/>
        </w:rPr>
        <w:t>L</w:t>
      </w:r>
      <w:r w:rsidR="005F54DA" w:rsidRPr="001C101F">
        <w:rPr>
          <w:rStyle w:val="Titre3Car"/>
          <w:rFonts w:eastAsia="MS PGothic" w:cstheme="minorBidi"/>
          <w:szCs w:val="22"/>
          <w:u w:val="none"/>
          <w:lang w:eastAsia="en-US"/>
        </w:rPr>
        <w:t>e</w:t>
      </w:r>
      <w:r w:rsidR="001962C2" w:rsidRPr="001C101F">
        <w:rPr>
          <w:rStyle w:val="Titre3Car"/>
          <w:rFonts w:eastAsia="MS PGothic" w:cstheme="minorBidi"/>
          <w:szCs w:val="22"/>
          <w:u w:val="none"/>
          <w:lang w:eastAsia="en-US"/>
        </w:rPr>
        <w:t xml:space="preserve">s </w:t>
      </w:r>
      <w:r w:rsidR="005F54DA" w:rsidRPr="001C101F">
        <w:rPr>
          <w:rStyle w:val="Titre3Car"/>
          <w:rFonts w:eastAsia="MS PGothic" w:cstheme="minorBidi"/>
          <w:szCs w:val="22"/>
          <w:u w:val="none"/>
          <w:lang w:eastAsia="en-US"/>
        </w:rPr>
        <w:t>fraction</w:t>
      </w:r>
      <w:r w:rsidR="001962C2" w:rsidRPr="001C101F">
        <w:rPr>
          <w:rStyle w:val="Titre3Car"/>
          <w:rFonts w:eastAsia="MS PGothic" w:cstheme="minorBidi"/>
          <w:szCs w:val="22"/>
          <w:u w:val="none"/>
          <w:lang w:eastAsia="en-US"/>
        </w:rPr>
        <w:t>s</w:t>
      </w:r>
      <w:r w:rsidR="005F54DA" w:rsidRPr="001C101F">
        <w:rPr>
          <w:rStyle w:val="Titre3Car"/>
          <w:rFonts w:eastAsia="MS PGothic" w:cstheme="minorBidi"/>
          <w:szCs w:val="22"/>
          <w:u w:val="none"/>
          <w:lang w:eastAsia="en-US"/>
        </w:rPr>
        <w:t xml:space="preserve"> </w:t>
      </w:r>
      <w:r w:rsidR="00943C62">
        <w:rPr>
          <w:rStyle w:val="Titre3Car"/>
          <w:rFonts w:eastAsia="MS PGothic" w:cstheme="minorBidi"/>
          <w:szCs w:val="22"/>
          <w:u w:val="none"/>
          <w:lang w:eastAsia="en-US"/>
        </w:rPr>
        <w:t>« </w:t>
      </w:r>
      <w:r w:rsidR="005F54DA" w:rsidRPr="001C101F">
        <w:rPr>
          <w:rStyle w:val="Titre3Car"/>
          <w:rFonts w:eastAsia="MS PGothic" w:cstheme="minorBidi"/>
          <w:szCs w:val="22"/>
          <w:u w:val="none"/>
          <w:lang w:eastAsia="en-US"/>
        </w:rPr>
        <w:t>non comestible</w:t>
      </w:r>
      <w:r w:rsidR="00943C62">
        <w:rPr>
          <w:rStyle w:val="Titre3Car"/>
          <w:rFonts w:eastAsia="MS PGothic" w:cstheme="minorBidi"/>
          <w:szCs w:val="22"/>
          <w:u w:val="none"/>
          <w:lang w:eastAsia="en-US"/>
        </w:rPr>
        <w:t> »</w:t>
      </w:r>
      <w:r w:rsidR="00BE7056" w:rsidRPr="001C101F">
        <w:rPr>
          <w:rStyle w:val="Titre3Car"/>
          <w:rFonts w:eastAsia="MS PGothic" w:cstheme="minorBidi"/>
          <w:szCs w:val="22"/>
          <w:u w:val="none"/>
          <w:lang w:eastAsia="en-US"/>
        </w:rPr>
        <w:t xml:space="preserve"> et </w:t>
      </w:r>
      <w:r w:rsidR="00943C62">
        <w:rPr>
          <w:rStyle w:val="Titre3Car"/>
          <w:rFonts w:eastAsia="MS PGothic" w:cstheme="minorBidi"/>
          <w:szCs w:val="22"/>
          <w:u w:val="none"/>
          <w:lang w:eastAsia="en-US"/>
        </w:rPr>
        <w:t>« </w:t>
      </w:r>
      <w:r w:rsidR="00BE7056" w:rsidRPr="001C101F">
        <w:rPr>
          <w:rStyle w:val="Titre3Car"/>
          <w:rFonts w:eastAsia="MS PGothic" w:cstheme="minorBidi"/>
          <w:szCs w:val="22"/>
          <w:u w:val="none"/>
          <w:lang w:eastAsia="en-US"/>
        </w:rPr>
        <w:t>indirectement comestible</w:t>
      </w:r>
      <w:r w:rsidR="00943C62">
        <w:rPr>
          <w:rStyle w:val="Titre3Car"/>
          <w:rFonts w:eastAsia="MS PGothic" w:cstheme="minorBidi"/>
          <w:szCs w:val="22"/>
          <w:u w:val="none"/>
          <w:lang w:eastAsia="en-US"/>
        </w:rPr>
        <w:t> »</w:t>
      </w:r>
      <w:r w:rsidR="001962C2" w:rsidRPr="001C101F">
        <w:rPr>
          <w:rStyle w:val="Titre3Car"/>
          <w:rFonts w:eastAsia="MS PGothic" w:cstheme="minorBidi"/>
          <w:szCs w:val="22"/>
          <w:u w:val="none"/>
          <w:lang w:eastAsia="en-US"/>
        </w:rPr>
        <w:t> : caractérisation, destination et quantification</w:t>
      </w:r>
      <w:bookmarkEnd w:id="189"/>
    </w:p>
    <w:p w14:paraId="5381AD13" w14:textId="221D8577" w:rsidR="001E3F56" w:rsidRPr="00C122DF" w:rsidRDefault="00943C62" w:rsidP="00C122DF">
      <w:pPr>
        <w:pStyle w:val="Titre3"/>
        <w:spacing w:before="240" w:after="120"/>
        <w:rPr>
          <w:color w:val="000000" w:themeColor="text1"/>
          <w:szCs w:val="22"/>
        </w:rPr>
      </w:pPr>
      <w:bookmarkStart w:id="190" w:name="_Toc78131613"/>
      <w:r w:rsidRPr="00C122DF">
        <w:rPr>
          <w:color w:val="000000" w:themeColor="text1"/>
          <w:szCs w:val="22"/>
          <w:u w:val="none"/>
        </w:rPr>
        <w:t>1.1.1</w:t>
      </w:r>
      <w:r w:rsidR="007F418B">
        <w:rPr>
          <w:color w:val="000000" w:themeColor="text1"/>
          <w:szCs w:val="22"/>
          <w:u w:val="none"/>
        </w:rPr>
        <w:t>.</w:t>
      </w:r>
      <w:r w:rsidRPr="00C122DF">
        <w:rPr>
          <w:color w:val="000000" w:themeColor="text1"/>
          <w:szCs w:val="22"/>
          <w:u w:val="none"/>
        </w:rPr>
        <w:t xml:space="preserve"> </w:t>
      </w:r>
      <w:r w:rsidR="00883DD6" w:rsidRPr="00C122DF">
        <w:rPr>
          <w:color w:val="000000" w:themeColor="text1"/>
          <w:szCs w:val="22"/>
        </w:rPr>
        <w:t>Identification des</w:t>
      </w:r>
      <w:r w:rsidR="00B57429" w:rsidRPr="00C122DF">
        <w:rPr>
          <w:color w:val="000000" w:themeColor="text1"/>
          <w:szCs w:val="22"/>
        </w:rPr>
        <w:t xml:space="preserve"> gisements de</w:t>
      </w:r>
      <w:r w:rsidR="00883DD6" w:rsidRPr="00C122DF">
        <w:rPr>
          <w:color w:val="000000" w:themeColor="text1"/>
          <w:szCs w:val="22"/>
        </w:rPr>
        <w:t xml:space="preserve"> p</w:t>
      </w:r>
      <w:r w:rsidR="00352622" w:rsidRPr="00C122DF">
        <w:rPr>
          <w:color w:val="000000" w:themeColor="text1"/>
          <w:szCs w:val="22"/>
        </w:rPr>
        <w:t>ertes</w:t>
      </w:r>
      <w:r w:rsidR="00C237E3" w:rsidRPr="00C122DF">
        <w:rPr>
          <w:color w:val="000000" w:themeColor="text1"/>
          <w:szCs w:val="22"/>
        </w:rPr>
        <w:t xml:space="preserve"> </w:t>
      </w:r>
      <w:r w:rsidR="00883DD6" w:rsidRPr="00C122DF">
        <w:rPr>
          <w:color w:val="000000" w:themeColor="text1"/>
          <w:szCs w:val="22"/>
        </w:rPr>
        <w:t xml:space="preserve">et </w:t>
      </w:r>
      <w:r w:rsidR="00C237E3" w:rsidRPr="00C122DF">
        <w:rPr>
          <w:color w:val="000000" w:themeColor="text1"/>
          <w:szCs w:val="22"/>
        </w:rPr>
        <w:t>sous</w:t>
      </w:r>
      <w:r w:rsidR="00883DD6" w:rsidRPr="00C122DF">
        <w:rPr>
          <w:color w:val="000000" w:themeColor="text1"/>
          <w:szCs w:val="22"/>
        </w:rPr>
        <w:t>-</w:t>
      </w:r>
      <w:r w:rsidR="00C237E3" w:rsidRPr="00C122DF">
        <w:rPr>
          <w:color w:val="000000" w:themeColor="text1"/>
          <w:szCs w:val="22"/>
        </w:rPr>
        <w:t>produits</w:t>
      </w:r>
      <w:bookmarkEnd w:id="190"/>
    </w:p>
    <w:p w14:paraId="3799EBC3" w14:textId="75410C61" w:rsidR="004F42E6" w:rsidRPr="00F65AFA" w:rsidRDefault="00667130" w:rsidP="00F65AFA">
      <w:pPr>
        <w:pStyle w:val="Corpsdetexte"/>
        <w:ind w:left="142" w:right="23"/>
      </w:pPr>
      <w:r w:rsidRPr="00BD6C77">
        <w:t>Un certain nombre de travaux académiques se sont intéressés</w:t>
      </w:r>
      <w:r w:rsidR="00B57429">
        <w:t xml:space="preserve"> aux</w:t>
      </w:r>
      <w:r w:rsidRPr="00BD6C77">
        <w:t xml:space="preserve"> </w:t>
      </w:r>
      <w:r w:rsidR="00FD0676" w:rsidRPr="00BD6C77">
        <w:t>sous</w:t>
      </w:r>
      <w:r w:rsidR="005C6334" w:rsidRPr="00BD6C77">
        <w:t>-</w:t>
      </w:r>
      <w:r w:rsidR="00FD0676" w:rsidRPr="00BD6C77">
        <w:t>produits</w:t>
      </w:r>
      <w:r w:rsidRPr="00BD6C77">
        <w:t xml:space="preserve"> issus des différentes étapes de process de fabrication au sein des filières agro-alimentaires au travers d’une part</w:t>
      </w:r>
      <w:r w:rsidR="005205A1" w:rsidRPr="00BD6C77">
        <w:t>,</w:t>
      </w:r>
      <w:r w:rsidRPr="00BD6C77">
        <w:t xml:space="preserve"> l’analyse du cycle de vie dans le cadre d’approches environnementales et d’autre part l’extraction, la caractérisation et la valorisation des protéines issues des sous-produits (D. Selmane, 2010). En revanche, leur quantification est peu renseignée d’une manière générale et en ce qui concerne les filières carnées (J</w:t>
      </w:r>
      <w:r w:rsidR="003D0D78">
        <w:t>.</w:t>
      </w:r>
      <w:r w:rsidRPr="00BD6C77">
        <w:t>Y</w:t>
      </w:r>
      <w:r w:rsidR="003D0D78">
        <w:t>.</w:t>
      </w:r>
      <w:r w:rsidRPr="00BD6C77">
        <w:t xml:space="preserve"> Dourmad et al., 2015 ; N</w:t>
      </w:r>
      <w:r w:rsidR="003D0D78">
        <w:t>.</w:t>
      </w:r>
      <w:r w:rsidRPr="00BD6C77">
        <w:t xml:space="preserve"> Bareille, 2015 ; B. Coudurier, 2015).</w:t>
      </w:r>
      <w:r w:rsidR="00F65AFA">
        <w:t xml:space="preserve"> D’une manière générale, les </w:t>
      </w:r>
      <w:r w:rsidRPr="00BD6C77">
        <w:t>volumes</w:t>
      </w:r>
      <w:r w:rsidRPr="00AD03E9">
        <w:rPr>
          <w:bCs/>
        </w:rPr>
        <w:t xml:space="preserve"> en jeu, les indicateurs spécifiques selon les </w:t>
      </w:r>
      <w:r w:rsidR="005C6334" w:rsidRPr="00AD03E9">
        <w:rPr>
          <w:bCs/>
        </w:rPr>
        <w:t>typologies</w:t>
      </w:r>
      <w:r w:rsidRPr="00AD03E9">
        <w:rPr>
          <w:bCs/>
        </w:rPr>
        <w:t xml:space="preserve"> de produits ou les stades de fabrication sont peu étudiés et il n’est pas proposé de cadre méthodologique propice à la comparabilité des données</w:t>
      </w:r>
      <w:r w:rsidR="004F42E6">
        <w:rPr>
          <w:bCs/>
        </w:rPr>
        <w:t>.</w:t>
      </w:r>
    </w:p>
    <w:p w14:paraId="539DBB1A" w14:textId="1539A4ED" w:rsidR="00AB0B06" w:rsidRDefault="00512B9E" w:rsidP="00F65AFA">
      <w:pPr>
        <w:pStyle w:val="Corpsdetexte"/>
        <w:spacing w:after="120"/>
        <w:ind w:left="142" w:right="23"/>
      </w:pPr>
      <w:r>
        <w:rPr>
          <w:bCs/>
        </w:rPr>
        <w:t>Quelques données chiffrées</w:t>
      </w:r>
      <w:r w:rsidR="007C5D64">
        <w:rPr>
          <w:bCs/>
        </w:rPr>
        <w:t xml:space="preserve"> sur les pertes alimentaires</w:t>
      </w:r>
      <w:r>
        <w:rPr>
          <w:bCs/>
        </w:rPr>
        <w:t xml:space="preserve"> ont été émises par l’Ademe à </w:t>
      </w:r>
      <w:r w:rsidR="007C5D64">
        <w:rPr>
          <w:bCs/>
        </w:rPr>
        <w:t>l</w:t>
      </w:r>
      <w:r>
        <w:rPr>
          <w:bCs/>
        </w:rPr>
        <w:t>‘issue d’une</w:t>
      </w:r>
      <w:r w:rsidR="00AB0B06">
        <w:t xml:space="preserve"> étude </w:t>
      </w:r>
      <w:r w:rsidR="00E471D2">
        <w:t xml:space="preserve">de 2016 </w:t>
      </w:r>
      <w:r w:rsidR="00AB0B06">
        <w:t xml:space="preserve">qualitative </w:t>
      </w:r>
      <w:r w:rsidR="00E471D2">
        <w:t xml:space="preserve">et de relevés quantitatifs auprès d’opérateurs sur une période donnée </w:t>
      </w:r>
      <w:r>
        <w:t xml:space="preserve">effectuée </w:t>
      </w:r>
      <w:r w:rsidR="00AB0B06">
        <w:t>simultanément sur les filière porcines et bovines</w:t>
      </w:r>
      <w:r w:rsidR="00E471D2">
        <w:t xml:space="preserve">. En effet, les filières présentent </w:t>
      </w:r>
      <w:r w:rsidR="00AB0B06">
        <w:t xml:space="preserve">de fortes similitudes. </w:t>
      </w:r>
      <w:r w:rsidR="000B7E9C">
        <w:t>C</w:t>
      </w:r>
      <w:r w:rsidR="00AB0B06">
        <w:t>e</w:t>
      </w:r>
      <w:r w:rsidR="00E471D2">
        <w:t>tte étude</w:t>
      </w:r>
      <w:r w:rsidR="00AB0B06">
        <w:t xml:space="preserve"> indique que les pertes et gaspillages alimentaires mesuré</w:t>
      </w:r>
      <w:r w:rsidR="00160B30">
        <w:t>e</w:t>
      </w:r>
      <w:r w:rsidR="00AB0B06">
        <w:t>s par les abattoirs bovins et porcins sont très faibles</w:t>
      </w:r>
      <w:r w:rsidR="009C001B">
        <w:t xml:space="preserve"> </w:t>
      </w:r>
      <w:r w:rsidR="00AB0B06">
        <w:t>dans le cas où les pertes non alimentaires (issues d’abattage et de découpe) ne sont pas prises en compte. Quant aux pertes en transformation industrielle alimentaire sur la part de produits transformés, elles sont d</w:t>
      </w:r>
      <w:r w:rsidR="009C001B">
        <w:t xml:space="preserve">u même ordre soit de </w:t>
      </w:r>
      <w:r w:rsidR="00AB0B06">
        <w:t>1%. L’</w:t>
      </w:r>
      <w:r w:rsidR="00765B8E">
        <w:t>enquête</w:t>
      </w:r>
      <w:r w:rsidR="00AB0B06">
        <w:t xml:space="preserve"> a également été </w:t>
      </w:r>
      <w:r w:rsidR="00765B8E">
        <w:t>administrée</w:t>
      </w:r>
      <w:r w:rsidR="00AB0B06">
        <w:t xml:space="preserve"> auprès de la GMS</w:t>
      </w:r>
      <w:r w:rsidR="001D3570">
        <w:t>,</w:t>
      </w:r>
      <w:r w:rsidR="00AB0B06">
        <w:t xml:space="preserve"> d</w:t>
      </w:r>
      <w:r w:rsidR="00765B8E">
        <w:t>’</w:t>
      </w:r>
      <w:r w:rsidR="00AB0B06">
        <w:t>artisans bouchers charcutiers</w:t>
      </w:r>
      <w:r w:rsidR="001D3570">
        <w:t xml:space="preserve"> et de la RHD avec </w:t>
      </w:r>
      <w:r w:rsidR="00642478">
        <w:t>des différences plus marquées</w:t>
      </w:r>
      <w:r w:rsidR="00AB0B06">
        <w:t xml:space="preserve">. </w:t>
      </w:r>
      <w:r w:rsidR="004B1B13">
        <w:t xml:space="preserve">Les principaux résultats sont résumés </w:t>
      </w:r>
      <w:r w:rsidR="00306179">
        <w:t>dans le tableau ci-après</w:t>
      </w:r>
      <w:r w:rsidR="009C001B">
        <w:t xml:space="preserve"> (</w:t>
      </w:r>
      <w:r w:rsidR="00F52571">
        <w:fldChar w:fldCharType="begin"/>
      </w:r>
      <w:r w:rsidR="00F52571">
        <w:instrText xml:space="preserve"> REF _Ref69316329 \h </w:instrText>
      </w:r>
      <w:r w:rsidR="00F52571">
        <w:fldChar w:fldCharType="separate"/>
      </w:r>
      <w:r w:rsidR="0007597F" w:rsidRPr="002818E6">
        <w:t xml:space="preserve">Tableau </w:t>
      </w:r>
      <w:r w:rsidR="0007597F">
        <w:rPr>
          <w:noProof/>
        </w:rPr>
        <w:t>39</w:t>
      </w:r>
      <w:r w:rsidR="00F52571">
        <w:fldChar w:fldCharType="end"/>
      </w:r>
      <w:r w:rsidR="00DD5163">
        <w:t>)</w:t>
      </w:r>
      <w:r w:rsidR="00306179">
        <w:t>.</w:t>
      </w:r>
    </w:p>
    <w:tbl>
      <w:tblPr>
        <w:tblW w:w="8420" w:type="dxa"/>
        <w:jc w:val="center"/>
        <w:tblCellMar>
          <w:left w:w="70" w:type="dxa"/>
          <w:right w:w="70" w:type="dxa"/>
        </w:tblCellMar>
        <w:tblLook w:val="04A0" w:firstRow="1" w:lastRow="0" w:firstColumn="1" w:lastColumn="0" w:noHBand="0" w:noVBand="1"/>
      </w:tblPr>
      <w:tblGrid>
        <w:gridCol w:w="4815"/>
        <w:gridCol w:w="3605"/>
      </w:tblGrid>
      <w:tr w:rsidR="00320225" w:rsidRPr="00320225" w14:paraId="05AF59A8" w14:textId="77777777" w:rsidTr="00EC453A">
        <w:trPr>
          <w:trHeight w:val="30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72ED01E" w14:textId="77777777" w:rsidR="00320225" w:rsidRPr="00320225" w:rsidRDefault="00320225" w:rsidP="00320225">
            <w:pPr>
              <w:spacing w:after="0" w:line="240" w:lineRule="auto"/>
              <w:jc w:val="left"/>
              <w:rPr>
                <w:rFonts w:ascii="Times New Roman" w:eastAsia="Times New Roman" w:hAnsi="Times New Roman" w:cs="Times New Roman"/>
                <w:sz w:val="24"/>
                <w:szCs w:val="24"/>
                <w:lang w:eastAsia="fr-FR"/>
              </w:rPr>
            </w:pPr>
          </w:p>
        </w:tc>
        <w:tc>
          <w:tcPr>
            <w:tcW w:w="360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9F2E105" w14:textId="03CF7FC5" w:rsidR="00320225" w:rsidRPr="00320225" w:rsidRDefault="00320225" w:rsidP="00320225">
            <w:pPr>
              <w:spacing w:after="0" w:line="240" w:lineRule="auto"/>
              <w:jc w:val="center"/>
              <w:rPr>
                <w:rFonts w:eastAsia="Times New Roman" w:cs="Arial"/>
                <w:b/>
                <w:bCs/>
                <w:color w:val="000000"/>
                <w:sz w:val="20"/>
                <w:szCs w:val="20"/>
                <w:lang w:eastAsia="fr-FR"/>
              </w:rPr>
            </w:pPr>
            <w:r w:rsidRPr="00320225">
              <w:rPr>
                <w:rFonts w:eastAsia="Times New Roman" w:cs="Arial"/>
                <w:b/>
                <w:bCs/>
                <w:color w:val="000000"/>
                <w:sz w:val="20"/>
                <w:szCs w:val="20"/>
                <w:lang w:eastAsia="fr-FR"/>
              </w:rPr>
              <w:t xml:space="preserve">Part en % du total </w:t>
            </w:r>
            <w:r w:rsidR="009B1588">
              <w:rPr>
                <w:rFonts w:eastAsia="Times New Roman" w:cs="Arial"/>
                <w:b/>
                <w:bCs/>
                <w:color w:val="000000"/>
                <w:sz w:val="20"/>
                <w:szCs w:val="20"/>
                <w:lang w:eastAsia="fr-FR"/>
              </w:rPr>
              <w:t>produit</w:t>
            </w:r>
            <w:r w:rsidR="009B1588">
              <w:rPr>
                <w:rFonts w:eastAsia="Times New Roman" w:cs="Arial"/>
                <w:b/>
                <w:bCs/>
                <w:color w:val="000000"/>
                <w:sz w:val="20"/>
                <w:szCs w:val="20"/>
                <w:lang w:eastAsia="fr-FR"/>
              </w:rPr>
              <w:br/>
            </w:r>
            <w:r w:rsidRPr="00320225">
              <w:rPr>
                <w:rFonts w:eastAsia="Times New Roman" w:cs="Arial"/>
                <w:b/>
                <w:bCs/>
                <w:color w:val="000000"/>
                <w:sz w:val="20"/>
                <w:szCs w:val="20"/>
                <w:lang w:eastAsia="fr-FR"/>
              </w:rPr>
              <w:t xml:space="preserve"> ou distribué</w:t>
            </w:r>
          </w:p>
        </w:tc>
      </w:tr>
      <w:tr w:rsidR="00320225" w:rsidRPr="00320225" w14:paraId="3EB1B4FE"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30F3788" w14:textId="77777777" w:rsidR="00320225" w:rsidRPr="00320225" w:rsidRDefault="00320225" w:rsidP="00320225">
            <w:pPr>
              <w:spacing w:after="0" w:line="240" w:lineRule="auto"/>
              <w:jc w:val="left"/>
              <w:rPr>
                <w:rFonts w:eastAsia="Times New Roman" w:cs="Arial"/>
                <w:b/>
                <w:bCs/>
                <w:color w:val="000000"/>
                <w:sz w:val="20"/>
                <w:szCs w:val="20"/>
                <w:lang w:eastAsia="fr-FR"/>
              </w:rPr>
            </w:pPr>
            <w:r w:rsidRPr="00320225">
              <w:rPr>
                <w:rFonts w:eastAsia="Times New Roman" w:cs="Arial"/>
                <w:b/>
                <w:bCs/>
                <w:color w:val="000000"/>
                <w:sz w:val="20"/>
                <w:szCs w:val="20"/>
                <w:lang w:eastAsia="fr-FR"/>
              </w:rPr>
              <w:t>Production France pour l'alimentation humaine</w:t>
            </w:r>
          </w:p>
        </w:tc>
        <w:tc>
          <w:tcPr>
            <w:tcW w:w="360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9D22A68" w14:textId="38C21DE3" w:rsidR="00320225" w:rsidRPr="00320225" w:rsidRDefault="009B1588" w:rsidP="00EC453A">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_</w:t>
            </w:r>
          </w:p>
        </w:tc>
      </w:tr>
      <w:tr w:rsidR="00320225" w:rsidRPr="00320225" w14:paraId="50E104D4"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2794C9D"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 xml:space="preserve">Pertes en abattage découpe </w:t>
            </w:r>
          </w:p>
        </w:tc>
        <w:tc>
          <w:tcPr>
            <w:tcW w:w="360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27D02CB"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1%</w:t>
            </w:r>
          </w:p>
        </w:tc>
      </w:tr>
      <w:tr w:rsidR="00320225" w:rsidRPr="00320225" w14:paraId="49BF57B9"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383261C"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Pertes en transformation industrielle (*)</w:t>
            </w:r>
          </w:p>
        </w:tc>
        <w:tc>
          <w:tcPr>
            <w:tcW w:w="360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959EBFF"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1%</w:t>
            </w:r>
          </w:p>
        </w:tc>
      </w:tr>
      <w:tr w:rsidR="00320225" w:rsidRPr="00320225" w14:paraId="5A1068B4"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C9535FD"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Total produits écartés et déclassés</w:t>
            </w:r>
          </w:p>
        </w:tc>
        <w:tc>
          <w:tcPr>
            <w:tcW w:w="360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3450653"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1,3%</w:t>
            </w:r>
          </w:p>
        </w:tc>
      </w:tr>
      <w:tr w:rsidR="00320225" w:rsidRPr="00320225" w14:paraId="23C81A33"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28DB754" w14:textId="03118A88" w:rsidR="00320225" w:rsidRPr="00320225" w:rsidRDefault="00320225" w:rsidP="00320225">
            <w:pPr>
              <w:spacing w:after="0" w:line="240" w:lineRule="auto"/>
              <w:jc w:val="left"/>
              <w:rPr>
                <w:rFonts w:eastAsia="Times New Roman" w:cs="Arial"/>
                <w:b/>
                <w:bCs/>
                <w:color w:val="000000"/>
                <w:sz w:val="20"/>
                <w:szCs w:val="20"/>
                <w:lang w:eastAsia="fr-FR"/>
              </w:rPr>
            </w:pPr>
            <w:r w:rsidRPr="00320225">
              <w:rPr>
                <w:rFonts w:eastAsia="Times New Roman" w:cs="Arial"/>
                <w:b/>
                <w:bCs/>
                <w:color w:val="000000"/>
                <w:sz w:val="20"/>
                <w:szCs w:val="20"/>
                <w:lang w:eastAsia="fr-FR"/>
              </w:rPr>
              <w:t xml:space="preserve">Distribution </w:t>
            </w:r>
            <w:r w:rsidR="009B1588">
              <w:rPr>
                <w:rFonts w:eastAsia="Times New Roman" w:cs="Arial"/>
                <w:b/>
                <w:bCs/>
                <w:color w:val="000000"/>
                <w:sz w:val="20"/>
                <w:szCs w:val="20"/>
                <w:lang w:eastAsia="fr-FR"/>
              </w:rPr>
              <w:t xml:space="preserve">France </w:t>
            </w:r>
            <w:r w:rsidRPr="00320225">
              <w:rPr>
                <w:rFonts w:eastAsia="Times New Roman" w:cs="Arial"/>
                <w:b/>
                <w:bCs/>
                <w:color w:val="000000"/>
                <w:sz w:val="20"/>
                <w:szCs w:val="20"/>
                <w:lang w:eastAsia="fr-FR"/>
              </w:rPr>
              <w:t xml:space="preserve">pour </w:t>
            </w:r>
            <w:r w:rsidR="009B1588">
              <w:rPr>
                <w:rFonts w:eastAsia="Times New Roman" w:cs="Arial"/>
                <w:b/>
                <w:bCs/>
                <w:color w:val="000000"/>
                <w:sz w:val="20"/>
                <w:szCs w:val="20"/>
                <w:lang w:eastAsia="fr-FR"/>
              </w:rPr>
              <w:t>l’</w:t>
            </w:r>
            <w:r w:rsidRPr="00320225">
              <w:rPr>
                <w:rFonts w:eastAsia="Times New Roman" w:cs="Arial"/>
                <w:b/>
                <w:bCs/>
                <w:color w:val="000000"/>
                <w:sz w:val="20"/>
                <w:szCs w:val="20"/>
                <w:lang w:eastAsia="fr-FR"/>
              </w:rPr>
              <w:t xml:space="preserve">alimentation humaine </w:t>
            </w:r>
          </w:p>
        </w:tc>
        <w:tc>
          <w:tcPr>
            <w:tcW w:w="360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1BEE79C" w14:textId="0A016E20" w:rsidR="00320225" w:rsidRPr="00320225" w:rsidRDefault="009B1588" w:rsidP="00EC453A">
            <w:pPr>
              <w:spacing w:after="0" w:line="240" w:lineRule="auto"/>
              <w:jc w:val="center"/>
              <w:rPr>
                <w:rFonts w:eastAsia="Times New Roman" w:cs="Arial"/>
                <w:b/>
                <w:bCs/>
                <w:color w:val="000000"/>
                <w:sz w:val="20"/>
                <w:szCs w:val="20"/>
                <w:lang w:eastAsia="fr-FR"/>
              </w:rPr>
            </w:pPr>
            <w:r>
              <w:rPr>
                <w:rFonts w:eastAsia="Times New Roman" w:cs="Arial"/>
                <w:b/>
                <w:bCs/>
                <w:color w:val="000000"/>
                <w:sz w:val="20"/>
                <w:szCs w:val="20"/>
                <w:lang w:eastAsia="fr-FR"/>
              </w:rPr>
              <w:t>_</w:t>
            </w:r>
          </w:p>
        </w:tc>
      </w:tr>
      <w:tr w:rsidR="00320225" w:rsidRPr="00320225" w14:paraId="035A008C"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EA1D7CA"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Produits écartés et déclassés bouchers charcutiers</w:t>
            </w:r>
          </w:p>
        </w:tc>
        <w:tc>
          <w:tcPr>
            <w:tcW w:w="360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1E0423E"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7,4%</w:t>
            </w:r>
          </w:p>
        </w:tc>
      </w:tr>
      <w:tr w:rsidR="00320225" w:rsidRPr="00320225" w14:paraId="10AACAB8"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ED39AEE" w14:textId="77777777"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Produits écartés et déclassés GMS</w:t>
            </w:r>
          </w:p>
        </w:tc>
        <w:tc>
          <w:tcPr>
            <w:tcW w:w="360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6EB6C6A"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4,7%</w:t>
            </w:r>
          </w:p>
        </w:tc>
      </w:tr>
      <w:tr w:rsidR="00320225" w:rsidRPr="00320225" w14:paraId="4059D1DB" w14:textId="77777777" w:rsidTr="00EC453A">
        <w:trPr>
          <w:trHeight w:val="240"/>
          <w:jc w:val="center"/>
        </w:trPr>
        <w:tc>
          <w:tcPr>
            <w:tcW w:w="481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32FAEC4" w14:textId="1A828C26" w:rsidR="00320225" w:rsidRPr="00320225" w:rsidRDefault="00320225" w:rsidP="00320225">
            <w:pPr>
              <w:spacing w:after="0" w:line="240" w:lineRule="auto"/>
              <w:jc w:val="left"/>
              <w:rPr>
                <w:rFonts w:eastAsia="Times New Roman" w:cs="Arial"/>
                <w:color w:val="000000"/>
                <w:sz w:val="20"/>
                <w:szCs w:val="20"/>
                <w:lang w:eastAsia="fr-FR"/>
              </w:rPr>
            </w:pPr>
            <w:r w:rsidRPr="00320225">
              <w:rPr>
                <w:rFonts w:eastAsia="Times New Roman" w:cs="Arial"/>
                <w:color w:val="000000"/>
                <w:sz w:val="20"/>
                <w:szCs w:val="20"/>
                <w:lang w:eastAsia="fr-FR"/>
              </w:rPr>
              <w:t>Produits écartés et déclassés RHD (**)</w:t>
            </w:r>
          </w:p>
        </w:tc>
        <w:tc>
          <w:tcPr>
            <w:tcW w:w="360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7505856" w14:textId="77777777" w:rsidR="00320225" w:rsidRPr="00320225" w:rsidRDefault="00320225" w:rsidP="00EC453A">
            <w:pPr>
              <w:spacing w:after="0" w:line="240" w:lineRule="auto"/>
              <w:jc w:val="center"/>
              <w:rPr>
                <w:rFonts w:eastAsia="Times New Roman" w:cs="Arial"/>
                <w:color w:val="000000"/>
                <w:sz w:val="20"/>
                <w:szCs w:val="20"/>
                <w:lang w:eastAsia="fr-FR"/>
              </w:rPr>
            </w:pPr>
            <w:r w:rsidRPr="00320225">
              <w:rPr>
                <w:rFonts w:eastAsia="Times New Roman" w:cs="Arial"/>
                <w:color w:val="000000"/>
                <w:sz w:val="20"/>
                <w:szCs w:val="20"/>
                <w:lang w:eastAsia="fr-FR"/>
              </w:rPr>
              <w:t>20%</w:t>
            </w:r>
          </w:p>
        </w:tc>
      </w:tr>
    </w:tbl>
    <w:p w14:paraId="20F48BAF" w14:textId="77777777" w:rsidR="00F95C13" w:rsidRPr="00F95C13" w:rsidRDefault="00F95C13" w:rsidP="00F95C13">
      <w:pPr>
        <w:spacing w:after="0"/>
        <w:ind w:left="567"/>
        <w:rPr>
          <w:i/>
          <w:sz w:val="18"/>
          <w:szCs w:val="18"/>
          <w:lang w:eastAsia="fr-FR"/>
        </w:rPr>
      </w:pPr>
      <w:bookmarkStart w:id="191" w:name="_Ref68605157"/>
      <w:r w:rsidRPr="00F95C13">
        <w:rPr>
          <w:i/>
          <w:sz w:val="18"/>
          <w:szCs w:val="18"/>
          <w:lang w:eastAsia="fr-FR"/>
        </w:rPr>
        <w:t xml:space="preserve">(*) sur la part de produits transformés </w:t>
      </w:r>
    </w:p>
    <w:p w14:paraId="609F8560" w14:textId="1177936D" w:rsidR="00F95C13" w:rsidRPr="00F95C13" w:rsidRDefault="00F95C13" w:rsidP="00F95C13">
      <w:pPr>
        <w:spacing w:after="0"/>
        <w:ind w:left="567"/>
        <w:rPr>
          <w:i/>
          <w:sz w:val="18"/>
          <w:szCs w:val="18"/>
          <w:lang w:eastAsia="fr-FR"/>
        </w:rPr>
      </w:pPr>
      <w:r w:rsidRPr="00F95C13">
        <w:rPr>
          <w:i/>
          <w:sz w:val="18"/>
          <w:szCs w:val="18"/>
          <w:lang w:eastAsia="fr-FR"/>
        </w:rPr>
        <w:t>(**) Non dissociés de la part de perte liée à la non</w:t>
      </w:r>
      <w:r w:rsidR="003D0D78">
        <w:rPr>
          <w:i/>
          <w:sz w:val="18"/>
          <w:szCs w:val="18"/>
          <w:lang w:eastAsia="fr-FR"/>
        </w:rPr>
        <w:t>-</w:t>
      </w:r>
      <w:r w:rsidRPr="00F95C13">
        <w:rPr>
          <w:i/>
          <w:sz w:val="18"/>
          <w:szCs w:val="18"/>
          <w:lang w:eastAsia="fr-FR"/>
        </w:rPr>
        <w:t>consommation des produits.</w:t>
      </w:r>
    </w:p>
    <w:p w14:paraId="3CD256A2" w14:textId="5F78D5C3" w:rsidR="00B407F0" w:rsidRDefault="00765B8E" w:rsidP="00B407F0">
      <w:pPr>
        <w:pStyle w:val="figure"/>
        <w:rPr>
          <w:i/>
        </w:rPr>
      </w:pPr>
      <w:bookmarkStart w:id="192" w:name="_Ref69316329"/>
      <w:bookmarkStart w:id="193" w:name="_Toc72143387"/>
      <w:r w:rsidRPr="002818E6">
        <w:t xml:space="preserve">Tableau </w:t>
      </w:r>
      <w:r w:rsidR="00E27D6E">
        <w:fldChar w:fldCharType="begin"/>
      </w:r>
      <w:r w:rsidR="00E27D6E">
        <w:instrText xml:space="preserve"> SEQ Tableau \* ARABIC </w:instrText>
      </w:r>
      <w:r w:rsidR="00E27D6E">
        <w:fldChar w:fldCharType="separate"/>
      </w:r>
      <w:r w:rsidR="0007597F">
        <w:rPr>
          <w:noProof/>
        </w:rPr>
        <w:t>39</w:t>
      </w:r>
      <w:r w:rsidR="00E27D6E">
        <w:rPr>
          <w:noProof/>
        </w:rPr>
        <w:fldChar w:fldCharType="end"/>
      </w:r>
      <w:bookmarkEnd w:id="191"/>
      <w:bookmarkEnd w:id="192"/>
      <w:r w:rsidR="002818E6">
        <w:t xml:space="preserve"> : </w:t>
      </w:r>
      <w:r w:rsidR="00994C5E">
        <w:t xml:space="preserve">Part des pertes et gaspillages en porcins et bovins </w:t>
      </w:r>
      <w:r w:rsidR="00DB59F1">
        <w:t>à différents stades de transformation de la filière</w:t>
      </w:r>
      <w:bookmarkEnd w:id="193"/>
      <w:r w:rsidR="00DB59F1">
        <w:t xml:space="preserve"> </w:t>
      </w:r>
    </w:p>
    <w:p w14:paraId="548C5B3A" w14:textId="5AFD271C" w:rsidR="00765B8E" w:rsidRPr="00B407F0" w:rsidRDefault="00994C5E" w:rsidP="00B407F0">
      <w:pPr>
        <w:pStyle w:val="Lgende"/>
      </w:pPr>
      <w:r w:rsidRPr="00B407F0">
        <w:t>(Source</w:t>
      </w:r>
      <w:r w:rsidR="009B1588" w:rsidRPr="00B407F0">
        <w:t xml:space="preserve"> Ifip d’après l’</w:t>
      </w:r>
      <w:r w:rsidRPr="00B407F0">
        <w:t>Ademe, 2016)</w:t>
      </w:r>
    </w:p>
    <w:p w14:paraId="60DF40CF" w14:textId="16B5AB38" w:rsidR="006B3A19" w:rsidRPr="009513D3" w:rsidRDefault="00642478" w:rsidP="006B3A19">
      <w:pPr>
        <w:rPr>
          <w:lang w:eastAsia="fr-FR"/>
        </w:rPr>
      </w:pPr>
      <w:r>
        <w:rPr>
          <w:lang w:eastAsia="fr-FR"/>
        </w:rPr>
        <w:t>Cependant, il</w:t>
      </w:r>
      <w:r w:rsidR="009513D3">
        <w:rPr>
          <w:lang w:eastAsia="fr-FR"/>
        </w:rPr>
        <w:t xml:space="preserve"> s’agit là de chiffres agrégés </w:t>
      </w:r>
      <w:r w:rsidR="00242062">
        <w:rPr>
          <w:lang w:eastAsia="fr-FR"/>
        </w:rPr>
        <w:t xml:space="preserve">pour les porcins et bovins et </w:t>
      </w:r>
      <w:r w:rsidR="009513D3">
        <w:rPr>
          <w:lang w:eastAsia="fr-FR"/>
        </w:rPr>
        <w:t>qui</w:t>
      </w:r>
      <w:r w:rsidR="00242062">
        <w:rPr>
          <w:lang w:eastAsia="fr-FR"/>
        </w:rPr>
        <w:t xml:space="preserve"> par c</w:t>
      </w:r>
      <w:r w:rsidR="00173C4A">
        <w:rPr>
          <w:lang w:eastAsia="fr-FR"/>
        </w:rPr>
        <w:t>o</w:t>
      </w:r>
      <w:r w:rsidR="00242062">
        <w:rPr>
          <w:lang w:eastAsia="fr-FR"/>
        </w:rPr>
        <w:t xml:space="preserve">nséquent </w:t>
      </w:r>
      <w:r w:rsidR="009513D3">
        <w:rPr>
          <w:lang w:eastAsia="fr-FR"/>
        </w:rPr>
        <w:t>ne tient pas compte de la</w:t>
      </w:r>
      <w:r>
        <w:rPr>
          <w:lang w:eastAsia="fr-FR"/>
        </w:rPr>
        <w:t xml:space="preserve"> variabilité</w:t>
      </w:r>
      <w:r w:rsidR="009513D3">
        <w:rPr>
          <w:lang w:eastAsia="fr-FR"/>
        </w:rPr>
        <w:t xml:space="preserve"> </w:t>
      </w:r>
      <w:r w:rsidR="00173C4A">
        <w:rPr>
          <w:lang w:eastAsia="fr-FR"/>
        </w:rPr>
        <w:t xml:space="preserve">des produits </w:t>
      </w:r>
      <w:r>
        <w:rPr>
          <w:lang w:eastAsia="fr-FR"/>
        </w:rPr>
        <w:t>avec os par exemple. En effet, en bovin,</w:t>
      </w:r>
      <w:r w:rsidR="00AA4B30">
        <w:rPr>
          <w:lang w:eastAsia="fr-FR"/>
        </w:rPr>
        <w:t xml:space="preserve"> </w:t>
      </w:r>
      <w:r w:rsidR="006B3A19">
        <w:rPr>
          <w:lang w:eastAsia="fr-FR"/>
        </w:rPr>
        <w:t>en raison de la taille la part des produits distribués avec os est moindre qu’en porc (côtes, travers, palette, poitrine, jambon</w:t>
      </w:r>
      <w:r w:rsidR="003D0D78">
        <w:rPr>
          <w:lang w:eastAsia="fr-FR"/>
        </w:rPr>
        <w:t>…</w:t>
      </w:r>
      <w:r w:rsidR="006B3A19">
        <w:rPr>
          <w:lang w:eastAsia="fr-FR"/>
        </w:rPr>
        <w:t>).</w:t>
      </w:r>
    </w:p>
    <w:p w14:paraId="29EEC8FE" w14:textId="28B2ACD5" w:rsidR="000A37F2" w:rsidRPr="0009762A" w:rsidRDefault="000A37F2" w:rsidP="001856F9">
      <w:pPr>
        <w:pStyle w:val="Titre3"/>
      </w:pPr>
      <w:bookmarkStart w:id="194" w:name="_Toc78131614"/>
      <w:r w:rsidRPr="00C122DF">
        <w:rPr>
          <w:u w:val="none"/>
        </w:rPr>
        <w:t>1.1.</w:t>
      </w:r>
      <w:r w:rsidR="00FA7FE7" w:rsidRPr="00C122DF">
        <w:rPr>
          <w:u w:val="none"/>
        </w:rPr>
        <w:t>2</w:t>
      </w:r>
      <w:r w:rsidRPr="00C122DF">
        <w:rPr>
          <w:u w:val="none"/>
        </w:rPr>
        <w:t xml:space="preserve">. </w:t>
      </w:r>
      <w:r w:rsidR="001962C2">
        <w:t>La fraction non comestible</w:t>
      </w:r>
      <w:bookmarkEnd w:id="194"/>
    </w:p>
    <w:p w14:paraId="251C668B" w14:textId="37F16A2F" w:rsidR="004100BC" w:rsidRPr="00AD355C" w:rsidRDefault="005F54DA" w:rsidP="0098702F">
      <w:pPr>
        <w:rPr>
          <w:lang w:eastAsia="fr-FR"/>
        </w:rPr>
      </w:pPr>
      <w:r w:rsidRPr="00AD355C">
        <w:rPr>
          <w:lang w:eastAsia="fr-FR"/>
        </w:rPr>
        <w:t xml:space="preserve">Les </w:t>
      </w:r>
      <w:r w:rsidR="00A74400" w:rsidRPr="00AD355C">
        <w:rPr>
          <w:lang w:eastAsia="fr-FR"/>
        </w:rPr>
        <w:t xml:space="preserve">Sous-Produits Animaux (SPAn) ou </w:t>
      </w:r>
      <w:r w:rsidRPr="00AD355C">
        <w:rPr>
          <w:lang w:eastAsia="fr-FR"/>
        </w:rPr>
        <w:t xml:space="preserve">coproduits non destinés à rentrer dans le circuit de l’alimentation humaine relèvent du Règlement n1069/2009 </w:t>
      </w:r>
      <w:r w:rsidR="00D87385" w:rsidRPr="00AD355C">
        <w:rPr>
          <w:lang w:eastAsia="fr-FR"/>
        </w:rPr>
        <w:t xml:space="preserve">et sont portés par </w:t>
      </w:r>
      <w:r w:rsidRPr="00AD355C">
        <w:rPr>
          <w:lang w:eastAsia="fr-FR"/>
        </w:rPr>
        <w:t xml:space="preserve">3 catégories soient C1, C2 et C3. </w:t>
      </w:r>
      <w:r w:rsidR="007733C5" w:rsidRPr="00AD355C">
        <w:rPr>
          <w:lang w:eastAsia="fr-FR"/>
        </w:rPr>
        <w:t xml:space="preserve">Le terme de </w:t>
      </w:r>
      <w:r w:rsidR="00A74400" w:rsidRPr="00AD355C">
        <w:rPr>
          <w:lang w:eastAsia="fr-FR"/>
        </w:rPr>
        <w:t xml:space="preserve">sous-produit </w:t>
      </w:r>
      <w:r w:rsidR="00D1113F" w:rsidRPr="00AD355C">
        <w:rPr>
          <w:lang w:eastAsia="fr-FR"/>
        </w:rPr>
        <w:t>(</w:t>
      </w:r>
      <w:r w:rsidR="00D1113F" w:rsidRPr="00AD355C">
        <w:rPr>
          <w:lang w:eastAsia="fr-FR"/>
        </w:rPr>
        <w:footnoteReference w:id="10"/>
      </w:r>
      <w:r w:rsidR="00D1113F" w:rsidRPr="00AD355C">
        <w:rPr>
          <w:lang w:eastAsia="fr-FR"/>
        </w:rPr>
        <w:t xml:space="preserve">) </w:t>
      </w:r>
      <w:r w:rsidR="007733C5" w:rsidRPr="00AD355C">
        <w:rPr>
          <w:lang w:eastAsia="fr-FR"/>
        </w:rPr>
        <w:t xml:space="preserve">n’est pas défini dans la réglementation française et </w:t>
      </w:r>
      <w:r w:rsidR="007733C5" w:rsidRPr="00AD355C">
        <w:rPr>
          <w:lang w:eastAsia="fr-FR"/>
        </w:rPr>
        <w:lastRenderedPageBreak/>
        <w:t>relève plu</w:t>
      </w:r>
      <w:r w:rsidR="004100BC" w:rsidRPr="00AD355C">
        <w:rPr>
          <w:lang w:eastAsia="fr-FR"/>
        </w:rPr>
        <w:t>s du</w:t>
      </w:r>
      <w:r w:rsidR="007733C5" w:rsidRPr="00AD355C">
        <w:rPr>
          <w:lang w:eastAsia="fr-FR"/>
        </w:rPr>
        <w:t xml:space="preserve"> consensus</w:t>
      </w:r>
      <w:r w:rsidR="004100BC" w:rsidRPr="00AD355C">
        <w:rPr>
          <w:lang w:eastAsia="fr-FR"/>
        </w:rPr>
        <w:t xml:space="preserve"> admis par le marché</w:t>
      </w:r>
      <w:r w:rsidR="007733C5" w:rsidRPr="00AD355C">
        <w:rPr>
          <w:lang w:eastAsia="fr-FR"/>
        </w:rPr>
        <w:t xml:space="preserve">. </w:t>
      </w:r>
      <w:r w:rsidR="00A74400" w:rsidRPr="00AD355C">
        <w:rPr>
          <w:lang w:eastAsia="fr-FR"/>
        </w:rPr>
        <w:t>L</w:t>
      </w:r>
      <w:r w:rsidR="007733C5" w:rsidRPr="00AD355C">
        <w:rPr>
          <w:lang w:eastAsia="fr-FR"/>
        </w:rPr>
        <w:t xml:space="preserve">e sous-produit est </w:t>
      </w:r>
      <w:r w:rsidR="004100BC" w:rsidRPr="00AD355C">
        <w:rPr>
          <w:lang w:eastAsia="fr-FR"/>
        </w:rPr>
        <w:t xml:space="preserve">défini comme </w:t>
      </w:r>
      <w:r w:rsidR="007733C5" w:rsidRPr="00AD355C">
        <w:rPr>
          <w:lang w:eastAsia="fr-FR"/>
        </w:rPr>
        <w:t>inévitable</w:t>
      </w:r>
      <w:r w:rsidR="004100BC" w:rsidRPr="00AD355C">
        <w:rPr>
          <w:lang w:eastAsia="fr-FR"/>
        </w:rPr>
        <w:t>, il</w:t>
      </w:r>
      <w:r w:rsidR="007733C5" w:rsidRPr="00AD355C">
        <w:rPr>
          <w:lang w:eastAsia="fr-FR"/>
        </w:rPr>
        <w:t xml:space="preserve"> </w:t>
      </w:r>
      <w:r w:rsidR="004100BC" w:rsidRPr="00AD355C">
        <w:rPr>
          <w:lang w:eastAsia="fr-FR"/>
        </w:rPr>
        <w:t>présente</w:t>
      </w:r>
      <w:r w:rsidR="007733C5" w:rsidRPr="00AD355C">
        <w:rPr>
          <w:lang w:eastAsia="fr-FR"/>
        </w:rPr>
        <w:t xml:space="preserve"> des qualités nutritionnelles variables</w:t>
      </w:r>
      <w:r w:rsidR="004100BC" w:rsidRPr="00AD355C">
        <w:rPr>
          <w:lang w:eastAsia="fr-FR"/>
        </w:rPr>
        <w:t xml:space="preserve"> et sa</w:t>
      </w:r>
      <w:r w:rsidR="007733C5" w:rsidRPr="00AD355C">
        <w:rPr>
          <w:lang w:eastAsia="fr-FR"/>
        </w:rPr>
        <w:t xml:space="preserve"> préparation ou </w:t>
      </w:r>
      <w:r w:rsidR="004100BC" w:rsidRPr="00AD355C">
        <w:rPr>
          <w:lang w:eastAsia="fr-FR"/>
        </w:rPr>
        <w:t>son</w:t>
      </w:r>
      <w:r w:rsidR="007733C5" w:rsidRPr="00AD355C">
        <w:rPr>
          <w:lang w:eastAsia="fr-FR"/>
        </w:rPr>
        <w:t xml:space="preserve"> traitement sont parfois nécessaires </w:t>
      </w:r>
      <w:r w:rsidR="004100BC" w:rsidRPr="00AD355C">
        <w:rPr>
          <w:lang w:eastAsia="fr-FR"/>
        </w:rPr>
        <w:t>pour pouvoir le valoriser</w:t>
      </w:r>
      <w:r w:rsidR="00D1113F" w:rsidRPr="00AD355C">
        <w:rPr>
          <w:lang w:eastAsia="fr-FR"/>
        </w:rPr>
        <w:t>.</w:t>
      </w:r>
      <w:r w:rsidR="00A74400" w:rsidRPr="00AD355C">
        <w:rPr>
          <w:lang w:eastAsia="fr-FR"/>
        </w:rPr>
        <w:t xml:space="preserve"> </w:t>
      </w:r>
      <w:r w:rsidR="004100BC" w:rsidRPr="00AD355C">
        <w:rPr>
          <w:lang w:eastAsia="fr-FR"/>
        </w:rPr>
        <w:t>Comparativement le</w:t>
      </w:r>
      <w:r w:rsidR="00A74400" w:rsidRPr="00AD355C">
        <w:rPr>
          <w:lang w:eastAsia="fr-FR"/>
        </w:rPr>
        <w:t xml:space="preserve"> coproduit présente moins de variabilité. C’est ce dernier terme qui sera retenu</w:t>
      </w:r>
      <w:r w:rsidR="00A66485" w:rsidRPr="00AD355C">
        <w:rPr>
          <w:lang w:eastAsia="fr-FR"/>
        </w:rPr>
        <w:t xml:space="preserve"> pour la suite de l’étude</w:t>
      </w:r>
      <w:r w:rsidR="00A74400" w:rsidRPr="00AD355C">
        <w:rPr>
          <w:lang w:eastAsia="fr-FR"/>
        </w:rPr>
        <w:t>.</w:t>
      </w:r>
    </w:p>
    <w:p w14:paraId="74D28DAC" w14:textId="4D7A3EAA" w:rsidR="00BC51F0" w:rsidRPr="00AD355C" w:rsidRDefault="005F54DA" w:rsidP="0098702F">
      <w:pPr>
        <w:rPr>
          <w:lang w:eastAsia="fr-FR"/>
        </w:rPr>
      </w:pPr>
      <w:r w:rsidRPr="00AD355C">
        <w:rPr>
          <w:lang w:eastAsia="fr-FR"/>
        </w:rPr>
        <w:t xml:space="preserve">Parmi </w:t>
      </w:r>
      <w:r w:rsidR="007F418B">
        <w:rPr>
          <w:lang w:eastAsia="fr-FR"/>
        </w:rPr>
        <w:t>l</w:t>
      </w:r>
      <w:r w:rsidRPr="00AD355C">
        <w:rPr>
          <w:lang w:eastAsia="fr-FR"/>
        </w:rPr>
        <w:t>es différentes catégories de coproduits, la classe C1 issu</w:t>
      </w:r>
      <w:r w:rsidR="00BC51F0" w:rsidRPr="00AD355C">
        <w:rPr>
          <w:lang w:eastAsia="fr-FR"/>
        </w:rPr>
        <w:t>e</w:t>
      </w:r>
      <w:r w:rsidRPr="00AD355C">
        <w:rPr>
          <w:lang w:eastAsia="fr-FR"/>
        </w:rPr>
        <w:t xml:space="preserve"> des saisies à l’abattoir </w:t>
      </w:r>
      <w:r w:rsidR="00685240" w:rsidRPr="00AD355C">
        <w:rPr>
          <w:lang w:eastAsia="fr-FR"/>
        </w:rPr>
        <w:t>et l</w:t>
      </w:r>
      <w:r w:rsidRPr="00AD355C">
        <w:rPr>
          <w:lang w:eastAsia="fr-FR"/>
        </w:rPr>
        <w:t>es coproduits C2 correspondent surtout aux contenus digestifs</w:t>
      </w:r>
      <w:r w:rsidR="0042714F" w:rsidRPr="00AD355C">
        <w:rPr>
          <w:lang w:eastAsia="fr-FR"/>
        </w:rPr>
        <w:t xml:space="preserve">. Ces catégories sont destinées à la transformation en farines animales, à la fertilisation et à la co-incinération </w:t>
      </w:r>
      <w:r w:rsidR="00667130" w:rsidRPr="00AD355C">
        <w:rPr>
          <w:lang w:eastAsia="fr-FR"/>
        </w:rPr>
        <w:t xml:space="preserve">principalement </w:t>
      </w:r>
      <w:r w:rsidR="00245753" w:rsidRPr="00AD355C">
        <w:rPr>
          <w:lang w:eastAsia="fr-FR"/>
        </w:rPr>
        <w:t xml:space="preserve">en </w:t>
      </w:r>
      <w:r w:rsidR="0042714F" w:rsidRPr="00AD355C">
        <w:rPr>
          <w:lang w:eastAsia="fr-FR"/>
        </w:rPr>
        <w:t xml:space="preserve">cimenteries et les graisses sont transformées pour l’essentiel </w:t>
      </w:r>
      <w:r w:rsidR="00667130" w:rsidRPr="00AD355C">
        <w:rPr>
          <w:lang w:eastAsia="fr-FR"/>
        </w:rPr>
        <w:t>en</w:t>
      </w:r>
      <w:r w:rsidR="0042714F" w:rsidRPr="00AD355C">
        <w:rPr>
          <w:lang w:eastAsia="fr-FR"/>
        </w:rPr>
        <w:t xml:space="preserve"> biodiesel</w:t>
      </w:r>
      <w:r w:rsidR="00BC51F0" w:rsidRPr="00AD355C">
        <w:rPr>
          <w:lang w:eastAsia="fr-FR"/>
        </w:rPr>
        <w:t>.</w:t>
      </w:r>
    </w:p>
    <w:p w14:paraId="0111A4C6" w14:textId="4F3BED94" w:rsidR="00245753" w:rsidRPr="00AD355C" w:rsidRDefault="00BC51F0" w:rsidP="0098702F">
      <w:pPr>
        <w:rPr>
          <w:lang w:eastAsia="fr-FR"/>
        </w:rPr>
      </w:pPr>
      <w:r w:rsidRPr="00AD355C">
        <w:rPr>
          <w:lang w:eastAsia="fr-FR"/>
        </w:rPr>
        <w:t>D</w:t>
      </w:r>
      <w:r w:rsidR="00DA415F" w:rsidRPr="00AD355C">
        <w:rPr>
          <w:lang w:eastAsia="fr-FR"/>
        </w:rPr>
        <w:t xml:space="preserve">ans le cadre de </w:t>
      </w:r>
      <w:r w:rsidRPr="00AD355C">
        <w:rPr>
          <w:lang w:eastAsia="fr-FR"/>
        </w:rPr>
        <w:t xml:space="preserve">cette </w:t>
      </w:r>
      <w:r w:rsidR="00DA415F" w:rsidRPr="00AD355C">
        <w:rPr>
          <w:lang w:eastAsia="fr-FR"/>
        </w:rPr>
        <w:t>étude</w:t>
      </w:r>
      <w:r w:rsidRPr="00AD355C">
        <w:rPr>
          <w:lang w:eastAsia="fr-FR"/>
        </w:rPr>
        <w:t>, la</w:t>
      </w:r>
      <w:r w:rsidR="00DA415F" w:rsidRPr="00AD355C">
        <w:rPr>
          <w:lang w:eastAsia="fr-FR"/>
        </w:rPr>
        <w:t xml:space="preserve"> </w:t>
      </w:r>
      <w:r w:rsidR="00E85D0F" w:rsidRPr="00AD355C">
        <w:rPr>
          <w:lang w:eastAsia="fr-FR"/>
        </w:rPr>
        <w:t>fraction C1 n’</w:t>
      </w:r>
      <w:r w:rsidRPr="00AD355C">
        <w:rPr>
          <w:lang w:eastAsia="fr-FR"/>
        </w:rPr>
        <w:t>est</w:t>
      </w:r>
      <w:r w:rsidR="00D553B1" w:rsidRPr="00AD355C">
        <w:rPr>
          <w:lang w:eastAsia="fr-FR"/>
        </w:rPr>
        <w:t xml:space="preserve"> </w:t>
      </w:r>
      <w:r w:rsidR="00E85D0F" w:rsidRPr="00AD355C">
        <w:rPr>
          <w:lang w:eastAsia="fr-FR"/>
        </w:rPr>
        <w:t xml:space="preserve">pas </w:t>
      </w:r>
      <w:r w:rsidR="00D553B1" w:rsidRPr="00AD355C">
        <w:rPr>
          <w:lang w:eastAsia="fr-FR"/>
        </w:rPr>
        <w:t xml:space="preserve">été </w:t>
      </w:r>
      <w:r w:rsidR="00E85D0F" w:rsidRPr="00AD355C">
        <w:rPr>
          <w:lang w:eastAsia="fr-FR"/>
        </w:rPr>
        <w:t>prise en compte</w:t>
      </w:r>
      <w:r w:rsidR="00D553B1" w:rsidRPr="00AD355C">
        <w:rPr>
          <w:lang w:eastAsia="fr-FR"/>
        </w:rPr>
        <w:t xml:space="preserve"> dans </w:t>
      </w:r>
      <w:r w:rsidRPr="00AD355C">
        <w:rPr>
          <w:lang w:eastAsia="fr-FR"/>
        </w:rPr>
        <w:t>la mesure où le poids vif abattu de référence exclu</w:t>
      </w:r>
      <w:r w:rsidR="006B3A19">
        <w:rPr>
          <w:lang w:eastAsia="fr-FR"/>
        </w:rPr>
        <w:t>t</w:t>
      </w:r>
      <w:r w:rsidRPr="00AD355C">
        <w:rPr>
          <w:lang w:eastAsia="fr-FR"/>
        </w:rPr>
        <w:t xml:space="preserve"> de fait les saisies à l’abattoir en ne prenant en compte que les abattages contrôlés. En 2018, l’ensemble de l’activité d'abattage est réalisé dans les abattoirs sous contrôle des services vétérinaires et l’ensemble des abattages étaient contrôlés.</w:t>
      </w:r>
    </w:p>
    <w:p w14:paraId="706B1D76" w14:textId="3AAA9F6D" w:rsidR="00F118BD" w:rsidRPr="00AD355C" w:rsidRDefault="007733C5" w:rsidP="0098702F">
      <w:pPr>
        <w:rPr>
          <w:lang w:eastAsia="fr-FR"/>
        </w:rPr>
      </w:pPr>
      <w:r w:rsidRPr="00AD355C">
        <w:rPr>
          <w:lang w:eastAsia="fr-FR"/>
        </w:rPr>
        <w:t xml:space="preserve">Les coproduits de catégorie 3 </w:t>
      </w:r>
      <w:r w:rsidR="000876ED" w:rsidRPr="00AD355C">
        <w:rPr>
          <w:lang w:eastAsia="fr-FR"/>
        </w:rPr>
        <w:t xml:space="preserve">varient en ce qui concerne l’espèce et le type de matière </w:t>
      </w:r>
      <w:r w:rsidRPr="00AD355C">
        <w:rPr>
          <w:lang w:eastAsia="fr-FR"/>
        </w:rPr>
        <w:t>correspond</w:t>
      </w:r>
      <w:r w:rsidR="009F21FD" w:rsidRPr="00AD355C">
        <w:rPr>
          <w:lang w:eastAsia="fr-FR"/>
        </w:rPr>
        <w:t>an</w:t>
      </w:r>
      <w:r w:rsidRPr="00AD355C">
        <w:rPr>
          <w:lang w:eastAsia="fr-FR"/>
        </w:rPr>
        <w:t>t</w:t>
      </w:r>
      <w:r w:rsidR="00245753" w:rsidRPr="00AD355C">
        <w:rPr>
          <w:lang w:eastAsia="fr-FR"/>
        </w:rPr>
        <w:t>.</w:t>
      </w:r>
      <w:r w:rsidRPr="00AD355C">
        <w:rPr>
          <w:lang w:eastAsia="fr-FR"/>
        </w:rPr>
        <w:t xml:space="preserve"> </w:t>
      </w:r>
      <w:r w:rsidR="00245753" w:rsidRPr="00AD355C">
        <w:rPr>
          <w:lang w:eastAsia="fr-FR"/>
        </w:rPr>
        <w:t>E</w:t>
      </w:r>
      <w:r w:rsidR="00D1113F" w:rsidRPr="00AD355C">
        <w:rPr>
          <w:lang w:eastAsia="fr-FR"/>
        </w:rPr>
        <w:t>n porc</w:t>
      </w:r>
      <w:r w:rsidR="00245753" w:rsidRPr="00AD355C">
        <w:rPr>
          <w:lang w:eastAsia="fr-FR"/>
        </w:rPr>
        <w:t xml:space="preserve">, il s’agit </w:t>
      </w:r>
      <w:r w:rsidR="00FD0676" w:rsidRPr="00AD355C">
        <w:rPr>
          <w:lang w:eastAsia="fr-FR"/>
        </w:rPr>
        <w:t xml:space="preserve">principalement </w:t>
      </w:r>
      <w:r w:rsidRPr="00AD355C">
        <w:rPr>
          <w:lang w:eastAsia="fr-FR"/>
        </w:rPr>
        <w:t>d</w:t>
      </w:r>
      <w:r w:rsidR="00245753" w:rsidRPr="00AD355C">
        <w:rPr>
          <w:lang w:eastAsia="fr-FR"/>
        </w:rPr>
        <w:t>’</w:t>
      </w:r>
      <w:r w:rsidRPr="00AD355C">
        <w:rPr>
          <w:lang w:eastAsia="fr-FR"/>
        </w:rPr>
        <w:t>os, de nerfs,</w:t>
      </w:r>
      <w:r w:rsidR="008659A6" w:rsidRPr="00AD355C">
        <w:rPr>
          <w:lang w:eastAsia="fr-FR"/>
        </w:rPr>
        <w:t xml:space="preserve"> de tendons,</w:t>
      </w:r>
      <w:r w:rsidRPr="00AD355C">
        <w:rPr>
          <w:lang w:eastAsia="fr-FR"/>
        </w:rPr>
        <w:t xml:space="preserve"> d</w:t>
      </w:r>
      <w:r w:rsidR="009F21FD" w:rsidRPr="00AD355C">
        <w:rPr>
          <w:lang w:eastAsia="fr-FR"/>
        </w:rPr>
        <w:t>’</w:t>
      </w:r>
      <w:r w:rsidRPr="00AD355C">
        <w:rPr>
          <w:lang w:eastAsia="fr-FR"/>
        </w:rPr>
        <w:t>aponévroses, de gras intermusculaires et d</w:t>
      </w:r>
      <w:r w:rsidR="009F21FD" w:rsidRPr="00AD355C">
        <w:rPr>
          <w:lang w:eastAsia="fr-FR"/>
        </w:rPr>
        <w:t>’</w:t>
      </w:r>
      <w:r w:rsidRPr="00AD355C">
        <w:rPr>
          <w:lang w:eastAsia="fr-FR"/>
        </w:rPr>
        <w:t>abats mal valorisés ou non exportés par saturation du marché</w:t>
      </w:r>
      <w:r w:rsidR="008659A6" w:rsidRPr="00AD355C">
        <w:rPr>
          <w:lang w:eastAsia="fr-FR"/>
        </w:rPr>
        <w:t>.</w:t>
      </w:r>
      <w:r w:rsidR="00365EE6" w:rsidRPr="00AD355C">
        <w:rPr>
          <w:lang w:eastAsia="fr-FR"/>
        </w:rPr>
        <w:t xml:space="preserve"> Ce dernier point concernant les abats sera détaillé dans la rubrique 1.4 de cette partie. </w:t>
      </w:r>
    </w:p>
    <w:p w14:paraId="002562F5" w14:textId="0C15929D" w:rsidR="000876ED" w:rsidRPr="005B25AF" w:rsidRDefault="007733C5" w:rsidP="0098702F">
      <w:pPr>
        <w:rPr>
          <w:lang w:eastAsia="fr-FR"/>
        </w:rPr>
      </w:pPr>
      <w:r w:rsidRPr="005B25AF">
        <w:rPr>
          <w:lang w:eastAsia="fr-FR"/>
        </w:rPr>
        <w:t>L</w:t>
      </w:r>
      <w:r w:rsidR="000876ED" w:rsidRPr="005B25AF">
        <w:rPr>
          <w:lang w:eastAsia="fr-FR"/>
        </w:rPr>
        <w:t>a</w:t>
      </w:r>
      <w:r w:rsidRPr="005B25AF">
        <w:rPr>
          <w:lang w:eastAsia="fr-FR"/>
        </w:rPr>
        <w:t xml:space="preserve"> transformation de ces coproduits</w:t>
      </w:r>
      <w:r w:rsidR="000876ED" w:rsidRPr="005B25AF">
        <w:rPr>
          <w:lang w:eastAsia="fr-FR"/>
        </w:rPr>
        <w:t xml:space="preserve"> au travers de processus de broyage, cuisson, déshydratation et pressage permet de séparer la graisse de la fraction protéique pour </w:t>
      </w:r>
      <w:r w:rsidRPr="005B25AF">
        <w:rPr>
          <w:lang w:eastAsia="fr-FR"/>
        </w:rPr>
        <w:t>donne</w:t>
      </w:r>
      <w:r w:rsidR="000876ED" w:rsidRPr="005B25AF">
        <w:rPr>
          <w:lang w:eastAsia="fr-FR"/>
        </w:rPr>
        <w:t>r</w:t>
      </w:r>
      <w:r w:rsidRPr="005B25AF">
        <w:rPr>
          <w:lang w:eastAsia="fr-FR"/>
        </w:rPr>
        <w:t xml:space="preserve"> lieu à deux </w:t>
      </w:r>
      <w:r w:rsidR="00D1113F" w:rsidRPr="005B25AF">
        <w:rPr>
          <w:lang w:eastAsia="fr-FR"/>
        </w:rPr>
        <w:t xml:space="preserve">grands </w:t>
      </w:r>
      <w:r w:rsidRPr="005B25AF">
        <w:rPr>
          <w:lang w:eastAsia="fr-FR"/>
        </w:rPr>
        <w:t>types de produits</w:t>
      </w:r>
      <w:r w:rsidR="0042714F" w:rsidRPr="005B25AF">
        <w:rPr>
          <w:lang w:eastAsia="fr-FR"/>
        </w:rPr>
        <w:t xml:space="preserve"> que sont </w:t>
      </w:r>
      <w:r w:rsidR="00D1113F" w:rsidRPr="005B25AF">
        <w:rPr>
          <w:lang w:eastAsia="fr-FR"/>
        </w:rPr>
        <w:t xml:space="preserve">: </w:t>
      </w:r>
    </w:p>
    <w:p w14:paraId="1BBA98D7" w14:textId="2067C8E6" w:rsidR="00902A69" w:rsidRPr="00902A69" w:rsidRDefault="006B3A19" w:rsidP="00DF51F1">
      <w:pPr>
        <w:pStyle w:val="Paragraphedeliste"/>
        <w:numPr>
          <w:ilvl w:val="1"/>
          <w:numId w:val="7"/>
        </w:numPr>
        <w:spacing w:before="0"/>
        <w:ind w:left="567"/>
        <w:textAlignment w:val="baseline"/>
        <w:rPr>
          <w:rFonts w:eastAsia="Times New Roman"/>
          <w:szCs w:val="20"/>
          <w:lang w:eastAsia="fr-FR"/>
        </w:rPr>
      </w:pPr>
      <w:r w:rsidRPr="000A37F2">
        <w:rPr>
          <w:rFonts w:eastAsia="Times New Roman"/>
          <w:szCs w:val="20"/>
          <w:u w:val="single"/>
          <w:lang w:eastAsia="fr-FR"/>
        </w:rPr>
        <w:t>Les</w:t>
      </w:r>
      <w:r w:rsidR="00D1113F" w:rsidRPr="000A37F2">
        <w:rPr>
          <w:rFonts w:eastAsia="Times New Roman"/>
          <w:szCs w:val="20"/>
          <w:u w:val="single"/>
          <w:lang w:eastAsia="fr-FR"/>
        </w:rPr>
        <w:t xml:space="preserve"> Protéines Animales Transformées</w:t>
      </w:r>
      <w:r w:rsidR="00D1113F" w:rsidRPr="007733C5">
        <w:rPr>
          <w:rFonts w:eastAsia="Times New Roman"/>
          <w:szCs w:val="20"/>
          <w:lang w:eastAsia="fr-FR"/>
        </w:rPr>
        <w:t xml:space="preserve"> (PAT) issue</w:t>
      </w:r>
      <w:r w:rsidR="00D1113F">
        <w:rPr>
          <w:rFonts w:eastAsia="Times New Roman"/>
          <w:szCs w:val="20"/>
          <w:lang w:eastAsia="fr-FR"/>
        </w:rPr>
        <w:t>s</w:t>
      </w:r>
      <w:r w:rsidR="00D1113F" w:rsidRPr="007733C5">
        <w:rPr>
          <w:rFonts w:eastAsia="Times New Roman"/>
          <w:szCs w:val="20"/>
          <w:lang w:eastAsia="fr-FR"/>
        </w:rPr>
        <w:t xml:space="preserve"> du broyage de la fraction protéique d</w:t>
      </w:r>
      <w:r w:rsidR="00F118BD">
        <w:rPr>
          <w:rFonts w:eastAsia="Times New Roman"/>
          <w:szCs w:val="20"/>
          <w:lang w:eastAsia="fr-FR"/>
        </w:rPr>
        <w:t>es</w:t>
      </w:r>
      <w:r w:rsidR="00D1113F" w:rsidRPr="007733C5">
        <w:rPr>
          <w:rFonts w:eastAsia="Times New Roman"/>
          <w:szCs w:val="20"/>
          <w:lang w:eastAsia="fr-FR"/>
        </w:rPr>
        <w:t xml:space="preserve"> coproduit</w:t>
      </w:r>
      <w:r w:rsidR="00F118BD">
        <w:rPr>
          <w:rFonts w:eastAsia="Times New Roman"/>
          <w:szCs w:val="20"/>
          <w:lang w:eastAsia="fr-FR"/>
        </w:rPr>
        <w:t>s,</w:t>
      </w:r>
    </w:p>
    <w:p w14:paraId="7F07C433" w14:textId="71CDE1E4" w:rsidR="00902A69" w:rsidRDefault="006B3A19" w:rsidP="00DF51F1">
      <w:pPr>
        <w:pStyle w:val="Paragraphedeliste"/>
        <w:numPr>
          <w:ilvl w:val="1"/>
          <w:numId w:val="7"/>
        </w:numPr>
        <w:ind w:left="567"/>
        <w:textAlignment w:val="baseline"/>
        <w:rPr>
          <w:rFonts w:eastAsia="Times New Roman"/>
          <w:szCs w:val="20"/>
          <w:lang w:eastAsia="fr-FR"/>
        </w:rPr>
      </w:pPr>
      <w:r w:rsidRPr="000A37F2">
        <w:rPr>
          <w:rFonts w:eastAsia="Times New Roman"/>
          <w:szCs w:val="20"/>
          <w:u w:val="single"/>
          <w:lang w:eastAsia="fr-FR"/>
        </w:rPr>
        <w:t>La</w:t>
      </w:r>
      <w:r w:rsidR="007733C5" w:rsidRPr="000A37F2">
        <w:rPr>
          <w:rFonts w:eastAsia="Times New Roman"/>
          <w:szCs w:val="20"/>
          <w:u w:val="single"/>
          <w:lang w:eastAsia="fr-FR"/>
        </w:rPr>
        <w:t xml:space="preserve"> graisse ou </w:t>
      </w:r>
      <w:r w:rsidR="0042714F" w:rsidRPr="000A37F2">
        <w:rPr>
          <w:rFonts w:eastAsia="Times New Roman"/>
          <w:szCs w:val="20"/>
          <w:u w:val="single"/>
          <w:lang w:eastAsia="fr-FR"/>
        </w:rPr>
        <w:t>l</w:t>
      </w:r>
      <w:r w:rsidR="004312E8" w:rsidRPr="000A37F2">
        <w:rPr>
          <w:rFonts w:eastAsia="Times New Roman"/>
          <w:szCs w:val="20"/>
          <w:u w:val="single"/>
          <w:lang w:eastAsia="fr-FR"/>
        </w:rPr>
        <w:t xml:space="preserve">es </w:t>
      </w:r>
      <w:r w:rsidR="007733C5" w:rsidRPr="000A37F2">
        <w:rPr>
          <w:rFonts w:eastAsia="Times New Roman"/>
          <w:szCs w:val="20"/>
          <w:u w:val="single"/>
          <w:lang w:eastAsia="fr-FR"/>
        </w:rPr>
        <w:t>corps gras</w:t>
      </w:r>
      <w:r w:rsidR="007733C5" w:rsidRPr="007733C5">
        <w:rPr>
          <w:rFonts w:eastAsia="Times New Roman"/>
          <w:szCs w:val="20"/>
          <w:lang w:eastAsia="fr-FR"/>
        </w:rPr>
        <w:t xml:space="preserve"> décanté</w:t>
      </w:r>
      <w:r w:rsidR="004312E8">
        <w:rPr>
          <w:rFonts w:eastAsia="Times New Roman"/>
          <w:szCs w:val="20"/>
          <w:lang w:eastAsia="fr-FR"/>
        </w:rPr>
        <w:t>s</w:t>
      </w:r>
      <w:r w:rsidR="007733C5" w:rsidRPr="007733C5">
        <w:rPr>
          <w:rFonts w:eastAsia="Times New Roman"/>
          <w:szCs w:val="20"/>
          <w:lang w:eastAsia="fr-FR"/>
        </w:rPr>
        <w:t>, puis centrifugé</w:t>
      </w:r>
      <w:r w:rsidR="004312E8">
        <w:rPr>
          <w:rFonts w:eastAsia="Times New Roman"/>
          <w:szCs w:val="20"/>
          <w:lang w:eastAsia="fr-FR"/>
        </w:rPr>
        <w:t>s</w:t>
      </w:r>
      <w:r w:rsidR="007733C5" w:rsidRPr="007733C5">
        <w:rPr>
          <w:rFonts w:eastAsia="Times New Roman"/>
          <w:szCs w:val="20"/>
          <w:lang w:eastAsia="fr-FR"/>
        </w:rPr>
        <w:t xml:space="preserve"> ou filtré</w:t>
      </w:r>
      <w:r w:rsidR="004312E8">
        <w:rPr>
          <w:rFonts w:eastAsia="Times New Roman"/>
          <w:szCs w:val="20"/>
          <w:lang w:eastAsia="fr-FR"/>
        </w:rPr>
        <w:t>s.</w:t>
      </w:r>
    </w:p>
    <w:p w14:paraId="7CBB443B" w14:textId="3B14BE08" w:rsidR="00902A69" w:rsidRDefault="00902A69" w:rsidP="00DF51F1">
      <w:pPr>
        <w:spacing w:after="0"/>
        <w:ind w:left="567"/>
        <w:textAlignment w:val="baseline"/>
        <w:rPr>
          <w:rFonts w:eastAsia="Times New Roman"/>
          <w:szCs w:val="20"/>
          <w:lang w:eastAsia="fr-FR"/>
        </w:rPr>
      </w:pPr>
    </w:p>
    <w:p w14:paraId="6D1BE2AD" w14:textId="12E97744" w:rsidR="006003E5" w:rsidRDefault="00902A69" w:rsidP="00C13FAA">
      <w:pPr>
        <w:spacing w:after="0" w:line="240" w:lineRule="auto"/>
        <w:ind w:left="142"/>
        <w:textAlignment w:val="baseline"/>
        <w:rPr>
          <w:rFonts w:eastAsia="Times New Roman" w:cs="Arial"/>
          <w:szCs w:val="20"/>
          <w:lang w:eastAsia="fr-FR"/>
        </w:rPr>
      </w:pPr>
      <w:r w:rsidRPr="00A74400">
        <w:rPr>
          <w:rFonts w:eastAsia="Times New Roman" w:cs="Arial"/>
          <w:szCs w:val="20"/>
          <w:lang w:eastAsia="fr-FR"/>
        </w:rPr>
        <w:t>Ces coproduits constituent des matières premières à destination</w:t>
      </w:r>
      <w:r w:rsidR="004312E8">
        <w:rPr>
          <w:rFonts w:eastAsia="Times New Roman" w:cs="Arial"/>
          <w:szCs w:val="20"/>
          <w:lang w:eastAsia="fr-FR"/>
        </w:rPr>
        <w:t xml:space="preserve"> : </w:t>
      </w:r>
    </w:p>
    <w:p w14:paraId="5028944B" w14:textId="45127BEE" w:rsidR="0012264A" w:rsidRDefault="006B3A19" w:rsidP="00DF51F1">
      <w:pPr>
        <w:pStyle w:val="Paragraphedeliste"/>
        <w:numPr>
          <w:ilvl w:val="1"/>
          <w:numId w:val="7"/>
        </w:numPr>
        <w:tabs>
          <w:tab w:val="left" w:pos="721"/>
        </w:tabs>
        <w:spacing w:before="0"/>
        <w:ind w:left="567"/>
        <w:textAlignment w:val="baseline"/>
        <w:rPr>
          <w:rFonts w:eastAsia="Times New Roman"/>
          <w:szCs w:val="20"/>
          <w:lang w:eastAsia="fr-FR"/>
        </w:rPr>
      </w:pPr>
      <w:r w:rsidRPr="000A37F2">
        <w:rPr>
          <w:rFonts w:eastAsia="Times New Roman"/>
          <w:szCs w:val="20"/>
          <w:u w:val="single"/>
          <w:lang w:eastAsia="fr-FR"/>
        </w:rPr>
        <w:t>Des</w:t>
      </w:r>
      <w:r w:rsidR="00902A69" w:rsidRPr="000A37F2">
        <w:rPr>
          <w:rFonts w:eastAsia="Times New Roman"/>
          <w:szCs w:val="20"/>
          <w:u w:val="single"/>
          <w:lang w:eastAsia="fr-FR"/>
        </w:rPr>
        <w:t xml:space="preserve"> aliments pour animaux de compagnie</w:t>
      </w:r>
      <w:r w:rsidR="00902A69" w:rsidRPr="006003E5">
        <w:rPr>
          <w:rFonts w:eastAsia="Times New Roman"/>
          <w:szCs w:val="20"/>
          <w:lang w:eastAsia="fr-FR"/>
        </w:rPr>
        <w:t xml:space="preserve"> (petfood) </w:t>
      </w:r>
      <w:r w:rsidR="001B64ED">
        <w:rPr>
          <w:rFonts w:eastAsia="Times New Roman"/>
          <w:szCs w:val="20"/>
          <w:lang w:eastAsia="fr-FR"/>
        </w:rPr>
        <w:t xml:space="preserve">sous </w:t>
      </w:r>
      <w:r w:rsidR="000876ED">
        <w:rPr>
          <w:rFonts w:eastAsia="Times New Roman"/>
          <w:szCs w:val="20"/>
          <w:lang w:eastAsia="fr-FR"/>
        </w:rPr>
        <w:t xml:space="preserve">une forme humide ou </w:t>
      </w:r>
      <w:r w:rsidR="001B64ED">
        <w:rPr>
          <w:rFonts w:eastAsia="Times New Roman"/>
          <w:szCs w:val="20"/>
          <w:lang w:eastAsia="fr-FR"/>
        </w:rPr>
        <w:t xml:space="preserve">sèche </w:t>
      </w:r>
      <w:r w:rsidR="000876ED">
        <w:rPr>
          <w:rFonts w:eastAsia="Times New Roman"/>
          <w:szCs w:val="20"/>
          <w:lang w:eastAsia="fr-FR"/>
        </w:rPr>
        <w:t xml:space="preserve">au travers </w:t>
      </w:r>
      <w:r w:rsidR="00DA07BA" w:rsidRPr="006003E5">
        <w:rPr>
          <w:rFonts w:eastAsia="Times New Roman"/>
          <w:szCs w:val="20"/>
          <w:lang w:eastAsia="fr-FR"/>
        </w:rPr>
        <w:t>de croquette</w:t>
      </w:r>
      <w:r w:rsidR="009B1BC2">
        <w:rPr>
          <w:rFonts w:eastAsia="Times New Roman"/>
          <w:szCs w:val="20"/>
          <w:lang w:eastAsia="fr-FR"/>
        </w:rPr>
        <w:t>s</w:t>
      </w:r>
      <w:r w:rsidR="00DA07BA" w:rsidRPr="006003E5">
        <w:rPr>
          <w:rFonts w:eastAsia="Times New Roman"/>
          <w:szCs w:val="20"/>
          <w:lang w:eastAsia="fr-FR"/>
        </w:rPr>
        <w:t xml:space="preserve"> </w:t>
      </w:r>
      <w:r w:rsidR="000876ED">
        <w:rPr>
          <w:rFonts w:eastAsia="Times New Roman"/>
          <w:szCs w:val="20"/>
          <w:lang w:eastAsia="fr-FR"/>
        </w:rPr>
        <w:t>issues</w:t>
      </w:r>
      <w:r w:rsidR="00DA07BA" w:rsidRPr="006003E5">
        <w:rPr>
          <w:rFonts w:eastAsia="Times New Roman"/>
          <w:szCs w:val="20"/>
          <w:lang w:eastAsia="fr-FR"/>
        </w:rPr>
        <w:t xml:space="preserve"> de PAT de porc, de cretons et de graisses de porc</w:t>
      </w:r>
      <w:r w:rsidR="00356EA9">
        <w:rPr>
          <w:rFonts w:eastAsia="Times New Roman"/>
          <w:szCs w:val="20"/>
          <w:lang w:eastAsia="fr-FR"/>
        </w:rPr>
        <w:t xml:space="preserve"> mais aussi de plasma ou de sang (</w:t>
      </w:r>
      <w:r w:rsidR="00356EA9" w:rsidRPr="004312E8">
        <w:rPr>
          <w:rFonts w:eastAsia="Times New Roman"/>
          <w:szCs w:val="20"/>
          <w:lang w:eastAsia="fr-FR"/>
        </w:rPr>
        <w:t>règlement (CE) n° 1069/2009</w:t>
      </w:r>
      <w:r w:rsidR="00356EA9">
        <w:rPr>
          <w:rFonts w:eastAsia="Times New Roman"/>
          <w:szCs w:val="20"/>
          <w:lang w:eastAsia="fr-FR"/>
        </w:rPr>
        <w:t>)</w:t>
      </w:r>
      <w:r w:rsidR="00DA07BA" w:rsidRPr="006003E5">
        <w:rPr>
          <w:rFonts w:eastAsia="Times New Roman"/>
          <w:szCs w:val="20"/>
          <w:lang w:eastAsia="fr-FR"/>
        </w:rPr>
        <w:t xml:space="preserve">. </w:t>
      </w:r>
      <w:r w:rsidR="006003E5">
        <w:rPr>
          <w:rFonts w:eastAsia="Times New Roman"/>
          <w:szCs w:val="20"/>
          <w:lang w:eastAsia="fr-FR"/>
        </w:rPr>
        <w:t>Selon le SIFCO</w:t>
      </w:r>
      <w:r w:rsidR="008B363C">
        <w:rPr>
          <w:rFonts w:eastAsia="Times New Roman"/>
          <w:szCs w:val="20"/>
          <w:lang w:eastAsia="fr-FR"/>
        </w:rPr>
        <w:t xml:space="preserve"> (</w:t>
      </w:r>
      <w:r w:rsidR="008B363C">
        <w:rPr>
          <w:rFonts w:eastAsia="Times New Roman"/>
          <w:bCs/>
          <w:szCs w:val="20"/>
        </w:rPr>
        <w:t>Syndicat de l’Industrie Française des COproduits animaux)</w:t>
      </w:r>
      <w:r w:rsidR="006003E5">
        <w:rPr>
          <w:rFonts w:eastAsia="Times New Roman"/>
          <w:szCs w:val="20"/>
          <w:lang w:eastAsia="fr-FR"/>
        </w:rPr>
        <w:t>, les protéines sont recherchées pour leur appétence et leurs qualités nutritionnelles et les graisses pour leurs apports en acides gras essentiels et leurs valeurs énergétiques</w:t>
      </w:r>
      <w:r w:rsidR="00245753">
        <w:rPr>
          <w:rFonts w:eastAsia="Times New Roman"/>
          <w:szCs w:val="20"/>
          <w:lang w:eastAsia="fr-FR"/>
        </w:rPr>
        <w:t>,</w:t>
      </w:r>
    </w:p>
    <w:p w14:paraId="12832991" w14:textId="5493834A" w:rsidR="0012264A" w:rsidRDefault="006B3A19" w:rsidP="00DF51F1">
      <w:pPr>
        <w:pStyle w:val="Paragraphedeliste"/>
        <w:numPr>
          <w:ilvl w:val="1"/>
          <w:numId w:val="7"/>
        </w:numPr>
        <w:spacing w:before="0"/>
        <w:ind w:left="567"/>
        <w:textAlignment w:val="baseline"/>
        <w:rPr>
          <w:rFonts w:eastAsia="Times New Roman"/>
          <w:szCs w:val="20"/>
          <w:lang w:eastAsia="fr-FR"/>
        </w:rPr>
      </w:pPr>
      <w:r w:rsidRPr="000A37F2">
        <w:rPr>
          <w:rFonts w:eastAsia="Times New Roman"/>
          <w:szCs w:val="20"/>
          <w:u w:val="single"/>
          <w:lang w:eastAsia="fr-FR"/>
        </w:rPr>
        <w:t>De</w:t>
      </w:r>
      <w:r w:rsidR="00902A69" w:rsidRPr="000A37F2">
        <w:rPr>
          <w:rFonts w:eastAsia="Times New Roman"/>
          <w:szCs w:val="20"/>
          <w:u w:val="single"/>
          <w:lang w:eastAsia="fr-FR"/>
        </w:rPr>
        <w:t xml:space="preserve"> la fabrication d’engrais ou amendements organiques</w:t>
      </w:r>
      <w:r w:rsidR="008659A6">
        <w:rPr>
          <w:rFonts w:eastAsia="Times New Roman"/>
          <w:szCs w:val="20"/>
          <w:lang w:eastAsia="fr-FR"/>
        </w:rPr>
        <w:t xml:space="preserve"> à partir de</w:t>
      </w:r>
      <w:r w:rsidR="00245753" w:rsidRPr="0012264A">
        <w:rPr>
          <w:rFonts w:eastAsia="Times New Roman"/>
          <w:szCs w:val="20"/>
          <w:lang w:eastAsia="fr-FR"/>
        </w:rPr>
        <w:t xml:space="preserve"> PAT de porc et </w:t>
      </w:r>
      <w:r w:rsidR="008659A6">
        <w:rPr>
          <w:rFonts w:eastAsia="Times New Roman"/>
          <w:szCs w:val="20"/>
          <w:lang w:eastAsia="fr-FR"/>
        </w:rPr>
        <w:t xml:space="preserve">de </w:t>
      </w:r>
      <w:r w:rsidR="00245753" w:rsidRPr="0012264A">
        <w:rPr>
          <w:rFonts w:eastAsia="Times New Roman"/>
          <w:szCs w:val="20"/>
          <w:lang w:eastAsia="fr-FR"/>
        </w:rPr>
        <w:t xml:space="preserve">protéine de sang de porc </w:t>
      </w:r>
      <w:r w:rsidR="008659A6">
        <w:rPr>
          <w:rFonts w:eastAsia="Times New Roman"/>
          <w:szCs w:val="20"/>
          <w:lang w:eastAsia="fr-FR"/>
        </w:rPr>
        <w:t xml:space="preserve">qui représente une </w:t>
      </w:r>
      <w:r w:rsidR="00245753" w:rsidRPr="0012264A">
        <w:rPr>
          <w:rFonts w:eastAsia="Times New Roman"/>
          <w:szCs w:val="20"/>
          <w:lang w:eastAsia="fr-FR"/>
        </w:rPr>
        <w:t>alternative</w:t>
      </w:r>
      <w:r w:rsidR="008659A6">
        <w:rPr>
          <w:rFonts w:eastAsia="Times New Roman"/>
          <w:szCs w:val="20"/>
          <w:lang w:eastAsia="fr-FR"/>
        </w:rPr>
        <w:t xml:space="preserve"> d’intérêt</w:t>
      </w:r>
      <w:r w:rsidR="00245753" w:rsidRPr="0012264A">
        <w:rPr>
          <w:rFonts w:eastAsia="Times New Roman"/>
          <w:szCs w:val="20"/>
          <w:lang w:eastAsia="fr-FR"/>
        </w:rPr>
        <w:t xml:space="preserve"> aux engrais chimiques et au</w:t>
      </w:r>
      <w:r w:rsidR="008659A6">
        <w:rPr>
          <w:rFonts w:eastAsia="Times New Roman"/>
          <w:szCs w:val="20"/>
          <w:lang w:eastAsia="fr-FR"/>
        </w:rPr>
        <w:t xml:space="preserve">x </w:t>
      </w:r>
      <w:r w:rsidR="00245753" w:rsidRPr="0012264A">
        <w:rPr>
          <w:rFonts w:eastAsia="Times New Roman"/>
          <w:szCs w:val="20"/>
          <w:lang w:eastAsia="fr-FR"/>
        </w:rPr>
        <w:t>fertilisants d’origine fossile.</w:t>
      </w:r>
    </w:p>
    <w:p w14:paraId="1E25162B" w14:textId="77777777" w:rsidR="00667130" w:rsidRDefault="00667130" w:rsidP="00171AA4">
      <w:pPr>
        <w:pStyle w:val="Paragraphedeliste"/>
        <w:numPr>
          <w:ilvl w:val="0"/>
          <w:numId w:val="0"/>
        </w:numPr>
        <w:spacing w:before="0"/>
        <w:ind w:left="142"/>
        <w:textAlignment w:val="baseline"/>
        <w:rPr>
          <w:rFonts w:eastAsia="Times New Roman"/>
          <w:szCs w:val="20"/>
          <w:lang w:eastAsia="fr-FR"/>
        </w:rPr>
      </w:pPr>
    </w:p>
    <w:p w14:paraId="28BDCEB1" w14:textId="1A27151E" w:rsidR="00DA0DFA" w:rsidRDefault="008659A6" w:rsidP="00171AA4">
      <w:pPr>
        <w:shd w:val="clear" w:color="auto" w:fill="FFFFFF"/>
        <w:spacing w:after="0" w:line="240" w:lineRule="auto"/>
        <w:ind w:left="142"/>
        <w:textAlignment w:val="baseline"/>
        <w:rPr>
          <w:rFonts w:eastAsia="Times New Roman" w:cs="Arial"/>
          <w:szCs w:val="20"/>
          <w:lang w:eastAsia="fr-FR"/>
        </w:rPr>
      </w:pPr>
      <w:r w:rsidRPr="008659A6">
        <w:rPr>
          <w:rFonts w:eastAsia="Times New Roman"/>
          <w:bCs/>
          <w:szCs w:val="20"/>
        </w:rPr>
        <w:t>A noter</w:t>
      </w:r>
      <w:r w:rsidR="007455F4">
        <w:rPr>
          <w:rFonts w:eastAsia="Times New Roman"/>
          <w:bCs/>
          <w:szCs w:val="20"/>
        </w:rPr>
        <w:t>,</w:t>
      </w:r>
      <w:r w:rsidRPr="008659A6">
        <w:rPr>
          <w:rFonts w:eastAsia="Times New Roman"/>
          <w:bCs/>
          <w:szCs w:val="20"/>
        </w:rPr>
        <w:t xml:space="preserve"> il existe une fraction </w:t>
      </w:r>
      <w:r w:rsidR="007455F4" w:rsidRPr="008659A6">
        <w:rPr>
          <w:rFonts w:eastAsia="Times New Roman"/>
          <w:bCs/>
          <w:szCs w:val="20"/>
        </w:rPr>
        <w:t xml:space="preserve">indifférenciée </w:t>
      </w:r>
      <w:r w:rsidRPr="008659A6">
        <w:rPr>
          <w:rFonts w:eastAsia="Times New Roman"/>
          <w:bCs/>
          <w:szCs w:val="20"/>
        </w:rPr>
        <w:t xml:space="preserve">de </w:t>
      </w:r>
      <w:r w:rsidR="00C0290F">
        <w:rPr>
          <w:rFonts w:eastAsia="Times New Roman"/>
          <w:bCs/>
          <w:szCs w:val="20"/>
        </w:rPr>
        <w:t>protéines et de gras</w:t>
      </w:r>
      <w:r w:rsidRPr="008659A6">
        <w:rPr>
          <w:rFonts w:eastAsia="Times New Roman"/>
          <w:bCs/>
          <w:szCs w:val="20"/>
        </w:rPr>
        <w:t xml:space="preserve"> multi</w:t>
      </w:r>
      <w:r w:rsidR="007455F4">
        <w:rPr>
          <w:rFonts w:eastAsia="Times New Roman"/>
          <w:bCs/>
          <w:szCs w:val="20"/>
        </w:rPr>
        <w:t>-</w:t>
      </w:r>
      <w:r w:rsidRPr="008659A6">
        <w:rPr>
          <w:rFonts w:eastAsia="Times New Roman"/>
          <w:bCs/>
          <w:szCs w:val="20"/>
        </w:rPr>
        <w:t xml:space="preserve">espèces issue de porc, de bovin ou volaille qui a pour vocation à être utilisée en oléochimie </w:t>
      </w:r>
      <w:r w:rsidRPr="008659A6">
        <w:rPr>
          <w:rFonts w:eastAsia="Times New Roman" w:cs="Arial"/>
          <w:szCs w:val="20"/>
          <w:lang w:eastAsia="fr-FR"/>
        </w:rPr>
        <w:t>pour la fabrication de savons, détergents, lubrifiants et peintures.</w:t>
      </w:r>
      <w:r w:rsidR="00C0290F" w:rsidRPr="00C0290F">
        <w:rPr>
          <w:rFonts w:eastAsia="Times New Roman" w:cs="Arial"/>
          <w:szCs w:val="20"/>
          <w:lang w:eastAsia="fr-FR"/>
        </w:rPr>
        <w:t xml:space="preserve"> </w:t>
      </w:r>
      <w:r w:rsidR="00214EF1">
        <w:rPr>
          <w:rFonts w:eastAsia="Times New Roman" w:cs="Arial"/>
          <w:szCs w:val="20"/>
          <w:lang w:eastAsia="fr-FR"/>
        </w:rPr>
        <w:t xml:space="preserve">Celle-ci </w:t>
      </w:r>
      <w:r w:rsidR="00C0290F">
        <w:rPr>
          <w:rFonts w:eastAsia="Times New Roman" w:cs="Arial"/>
          <w:szCs w:val="20"/>
          <w:lang w:eastAsia="fr-FR"/>
        </w:rPr>
        <w:t xml:space="preserve">peut également à défaut être utilisée </w:t>
      </w:r>
      <w:r w:rsidR="00C0290F" w:rsidRPr="004312E8">
        <w:rPr>
          <w:rFonts w:eastAsia="Times New Roman" w:cs="Arial"/>
          <w:szCs w:val="20"/>
          <w:lang w:eastAsia="fr-FR"/>
        </w:rPr>
        <w:t>comme combustible par les cimenteries</w:t>
      </w:r>
      <w:r w:rsidR="00C0290F">
        <w:rPr>
          <w:rFonts w:eastAsia="Times New Roman" w:cs="Arial"/>
          <w:szCs w:val="20"/>
          <w:lang w:eastAsia="fr-FR"/>
        </w:rPr>
        <w:t>,</w:t>
      </w:r>
      <w:r w:rsidR="00C0290F" w:rsidRPr="004312E8">
        <w:rPr>
          <w:rFonts w:eastAsia="Times New Roman" w:cs="Arial"/>
          <w:szCs w:val="20"/>
          <w:lang w:eastAsia="fr-FR"/>
        </w:rPr>
        <w:t xml:space="preserve"> les usines d’incinération</w:t>
      </w:r>
      <w:r w:rsidR="00C0290F">
        <w:rPr>
          <w:rFonts w:eastAsia="Times New Roman" w:cs="Arial"/>
          <w:szCs w:val="20"/>
          <w:lang w:eastAsia="fr-FR"/>
        </w:rPr>
        <w:t xml:space="preserve"> ou les </w:t>
      </w:r>
      <w:r w:rsidR="00C0290F" w:rsidRPr="004312E8">
        <w:rPr>
          <w:rFonts w:eastAsia="Times New Roman" w:cs="Arial"/>
          <w:szCs w:val="20"/>
          <w:lang w:eastAsia="fr-FR"/>
        </w:rPr>
        <w:t>entreprises de transformation</w:t>
      </w:r>
      <w:r w:rsidR="00DA0DFA">
        <w:rPr>
          <w:rFonts w:eastAsia="Times New Roman" w:cs="Arial"/>
          <w:szCs w:val="20"/>
          <w:lang w:eastAsia="fr-FR"/>
        </w:rPr>
        <w:t xml:space="preserve"> au regard de leur</w:t>
      </w:r>
      <w:r w:rsidR="00C0290F" w:rsidRPr="004312E8">
        <w:rPr>
          <w:rFonts w:eastAsia="Times New Roman" w:cs="Arial"/>
          <w:szCs w:val="20"/>
          <w:lang w:eastAsia="fr-FR"/>
        </w:rPr>
        <w:t xml:space="preserve"> pouvoir calorifique</w:t>
      </w:r>
      <w:r w:rsidR="00DA0DFA">
        <w:rPr>
          <w:rFonts w:eastAsia="Times New Roman" w:cs="Arial"/>
          <w:szCs w:val="20"/>
          <w:lang w:eastAsia="fr-FR"/>
        </w:rPr>
        <w:t xml:space="preserve"> élevé</w:t>
      </w:r>
      <w:r w:rsidR="00C0290F" w:rsidRPr="004312E8">
        <w:rPr>
          <w:rFonts w:eastAsia="Times New Roman" w:cs="Arial"/>
          <w:szCs w:val="20"/>
          <w:lang w:eastAsia="fr-FR"/>
        </w:rPr>
        <w:t>.</w:t>
      </w:r>
      <w:r w:rsidR="00C0290F">
        <w:rPr>
          <w:rFonts w:eastAsia="Times New Roman" w:cs="Arial"/>
          <w:szCs w:val="20"/>
          <w:lang w:eastAsia="fr-FR"/>
        </w:rPr>
        <w:t xml:space="preserve"> </w:t>
      </w:r>
      <w:r w:rsidR="00C0290F" w:rsidRPr="004312E8">
        <w:rPr>
          <w:rFonts w:eastAsia="Times New Roman" w:cs="Arial"/>
          <w:szCs w:val="20"/>
          <w:lang w:eastAsia="fr-FR"/>
        </w:rPr>
        <w:t xml:space="preserve">Les graisses animales </w:t>
      </w:r>
      <w:r w:rsidR="00DA0DFA">
        <w:rPr>
          <w:rFonts w:eastAsia="Times New Roman" w:cs="Arial"/>
          <w:szCs w:val="20"/>
          <w:lang w:eastAsia="fr-FR"/>
        </w:rPr>
        <w:t xml:space="preserve">peuvent enfin être </w:t>
      </w:r>
      <w:r w:rsidR="00FD0676">
        <w:rPr>
          <w:rFonts w:eastAsia="Times New Roman" w:cs="Arial"/>
          <w:szCs w:val="20"/>
          <w:lang w:eastAsia="fr-FR"/>
        </w:rPr>
        <w:t>absorbées par</w:t>
      </w:r>
      <w:r w:rsidR="00DA0DFA">
        <w:rPr>
          <w:rFonts w:eastAsia="Times New Roman" w:cs="Arial"/>
          <w:szCs w:val="20"/>
          <w:lang w:eastAsia="fr-FR"/>
        </w:rPr>
        <w:t xml:space="preserve"> </w:t>
      </w:r>
      <w:r w:rsidR="00C0290F" w:rsidRPr="004312E8">
        <w:rPr>
          <w:rFonts w:eastAsia="Times New Roman" w:cs="Arial"/>
          <w:szCs w:val="20"/>
          <w:lang w:eastAsia="fr-FR"/>
        </w:rPr>
        <w:t>la production de biocarburants.</w:t>
      </w:r>
      <w:r w:rsidR="000A37F2">
        <w:rPr>
          <w:rFonts w:eastAsia="Times New Roman" w:cs="Arial"/>
          <w:szCs w:val="20"/>
          <w:lang w:eastAsia="fr-FR"/>
        </w:rPr>
        <w:t xml:space="preserve"> D</w:t>
      </w:r>
      <w:r w:rsidR="00DA0DFA">
        <w:rPr>
          <w:rFonts w:eastAsia="Times New Roman" w:cs="Arial"/>
          <w:szCs w:val="20"/>
          <w:lang w:eastAsia="fr-FR"/>
        </w:rPr>
        <w:t xml:space="preserve">e manière plus marginale, la graisse de porc peut être utilisée </w:t>
      </w:r>
      <w:r w:rsidR="00DA0DFA" w:rsidRPr="004312E8">
        <w:rPr>
          <w:rFonts w:eastAsia="Times New Roman" w:cs="Arial"/>
          <w:szCs w:val="20"/>
          <w:lang w:eastAsia="fr-FR"/>
        </w:rPr>
        <w:t>dans l’alimentation des animaux de rente</w:t>
      </w:r>
      <w:r w:rsidR="00DA0DFA">
        <w:rPr>
          <w:rFonts w:eastAsia="Times New Roman" w:cs="Arial"/>
          <w:szCs w:val="20"/>
          <w:lang w:eastAsia="fr-FR"/>
        </w:rPr>
        <w:t>, hors</w:t>
      </w:r>
      <w:r w:rsidR="00DA0DFA" w:rsidRPr="004312E8">
        <w:rPr>
          <w:rFonts w:eastAsia="Times New Roman" w:cs="Arial"/>
          <w:szCs w:val="20"/>
          <w:lang w:eastAsia="fr-FR"/>
        </w:rPr>
        <w:t xml:space="preserve"> ruminant</w:t>
      </w:r>
      <w:r w:rsidR="00DA0DFA">
        <w:rPr>
          <w:rFonts w:eastAsia="Times New Roman" w:cs="Arial"/>
          <w:szCs w:val="20"/>
          <w:lang w:eastAsia="fr-FR"/>
        </w:rPr>
        <w:t>s,</w:t>
      </w:r>
      <w:r w:rsidR="00DA0DFA" w:rsidRPr="004312E8">
        <w:rPr>
          <w:rFonts w:eastAsia="Times New Roman" w:cs="Arial"/>
          <w:szCs w:val="20"/>
          <w:lang w:eastAsia="fr-FR"/>
        </w:rPr>
        <w:t xml:space="preserve"> ainsi qu’en aquaculture</w:t>
      </w:r>
      <w:r w:rsidR="00DA0DFA">
        <w:rPr>
          <w:rFonts w:eastAsia="Times New Roman" w:cs="Arial"/>
          <w:szCs w:val="20"/>
          <w:lang w:eastAsia="fr-FR"/>
        </w:rPr>
        <w:t>.</w:t>
      </w:r>
    </w:p>
    <w:p w14:paraId="2572B7EF" w14:textId="7BDA52C8" w:rsidR="00667130" w:rsidRPr="00667130" w:rsidRDefault="00667130" w:rsidP="00171AA4">
      <w:pPr>
        <w:pStyle w:val="Titre3"/>
        <w:spacing w:before="120" w:after="120"/>
        <w:ind w:left="142"/>
        <w:rPr>
          <w:color w:val="000000" w:themeColor="text1"/>
          <w:szCs w:val="22"/>
        </w:rPr>
      </w:pPr>
      <w:bookmarkStart w:id="195" w:name="_Toc78131615"/>
      <w:r w:rsidRPr="00667130">
        <w:rPr>
          <w:color w:val="000000" w:themeColor="text1"/>
          <w:szCs w:val="22"/>
          <w:u w:val="none"/>
        </w:rPr>
        <w:t>1.1.</w:t>
      </w:r>
      <w:r w:rsidR="00FA7FE7">
        <w:rPr>
          <w:color w:val="000000" w:themeColor="text1"/>
          <w:szCs w:val="22"/>
          <w:u w:val="none"/>
        </w:rPr>
        <w:t>3</w:t>
      </w:r>
      <w:r w:rsidRPr="00667130">
        <w:rPr>
          <w:color w:val="000000" w:themeColor="text1"/>
          <w:szCs w:val="22"/>
          <w:u w:val="none"/>
        </w:rPr>
        <w:t xml:space="preserve">. </w:t>
      </w:r>
      <w:r w:rsidR="001962C2">
        <w:rPr>
          <w:color w:val="000000" w:themeColor="text1"/>
          <w:szCs w:val="22"/>
        </w:rPr>
        <w:t>La fraction indirectement alimentaire</w:t>
      </w:r>
      <w:bookmarkEnd w:id="195"/>
    </w:p>
    <w:p w14:paraId="227050A7" w14:textId="44397DC0" w:rsidR="000A37F2" w:rsidRDefault="00667130" w:rsidP="00171AA4">
      <w:pPr>
        <w:shd w:val="clear" w:color="auto" w:fill="FFFFFF"/>
        <w:spacing w:after="0" w:line="120" w:lineRule="atLeast"/>
        <w:ind w:left="142"/>
        <w:textAlignment w:val="baseline"/>
        <w:rPr>
          <w:rFonts w:eastAsia="Times New Roman" w:cs="Arial"/>
          <w:szCs w:val="20"/>
          <w:lang w:eastAsia="fr-FR"/>
        </w:rPr>
      </w:pPr>
      <w:r>
        <w:rPr>
          <w:rFonts w:eastAsia="Times New Roman" w:cs="Arial"/>
          <w:szCs w:val="20"/>
          <w:lang w:eastAsia="fr-FR"/>
        </w:rPr>
        <w:t xml:space="preserve">Une part réduite des produits </w:t>
      </w:r>
      <w:r w:rsidR="00B572FA">
        <w:rPr>
          <w:rFonts w:eastAsia="Times New Roman" w:cs="Arial"/>
          <w:szCs w:val="20"/>
          <w:lang w:eastAsia="fr-FR"/>
        </w:rPr>
        <w:t>issus d</w:t>
      </w:r>
      <w:r w:rsidR="001962C2">
        <w:rPr>
          <w:rFonts w:eastAsia="Times New Roman" w:cs="Arial"/>
          <w:szCs w:val="20"/>
          <w:lang w:eastAsia="fr-FR"/>
        </w:rPr>
        <w:t>es coproduits du</w:t>
      </w:r>
      <w:r w:rsidR="00B572FA">
        <w:rPr>
          <w:rFonts w:eastAsia="Times New Roman" w:cs="Arial"/>
          <w:szCs w:val="20"/>
          <w:lang w:eastAsia="fr-FR"/>
        </w:rPr>
        <w:t xml:space="preserve"> porc</w:t>
      </w:r>
      <w:r>
        <w:rPr>
          <w:rFonts w:eastAsia="Times New Roman" w:cs="Arial"/>
          <w:szCs w:val="20"/>
          <w:lang w:eastAsia="fr-FR"/>
        </w:rPr>
        <w:t xml:space="preserve"> peut être transformée en</w:t>
      </w:r>
      <w:r w:rsidR="000A37F2" w:rsidRPr="000A37F2">
        <w:rPr>
          <w:rFonts w:eastAsia="Times New Roman" w:cs="Arial"/>
          <w:szCs w:val="20"/>
          <w:lang w:eastAsia="fr-FR"/>
        </w:rPr>
        <w:t xml:space="preserve"> </w:t>
      </w:r>
      <w:r w:rsidR="00B572FA">
        <w:rPr>
          <w:rFonts w:eastAsia="Times New Roman" w:cs="Arial"/>
          <w:szCs w:val="20"/>
          <w:lang w:eastAsia="fr-FR"/>
        </w:rPr>
        <w:t>D</w:t>
      </w:r>
      <w:r w:rsidR="000A37F2" w:rsidRPr="000A37F2">
        <w:rPr>
          <w:rFonts w:eastAsia="Times New Roman" w:cs="Arial"/>
          <w:szCs w:val="20"/>
          <w:lang w:eastAsia="fr-FR"/>
        </w:rPr>
        <w:t xml:space="preserve">enrées </w:t>
      </w:r>
      <w:r w:rsidR="00B572FA">
        <w:rPr>
          <w:rFonts w:eastAsia="Times New Roman" w:cs="Arial"/>
          <w:szCs w:val="20"/>
          <w:lang w:eastAsia="fr-FR"/>
        </w:rPr>
        <w:t>A</w:t>
      </w:r>
      <w:r w:rsidR="000A37F2" w:rsidRPr="000A37F2">
        <w:rPr>
          <w:rFonts w:eastAsia="Times New Roman" w:cs="Arial"/>
          <w:szCs w:val="20"/>
          <w:lang w:eastAsia="fr-FR"/>
        </w:rPr>
        <w:t>limentaires d’</w:t>
      </w:r>
      <w:r w:rsidR="00B572FA">
        <w:rPr>
          <w:rFonts w:eastAsia="Times New Roman" w:cs="Arial"/>
          <w:szCs w:val="20"/>
          <w:lang w:eastAsia="fr-FR"/>
        </w:rPr>
        <w:t>O</w:t>
      </w:r>
      <w:r w:rsidR="000A37F2" w:rsidRPr="000A37F2">
        <w:rPr>
          <w:rFonts w:eastAsia="Times New Roman" w:cs="Arial"/>
          <w:szCs w:val="20"/>
          <w:lang w:eastAsia="fr-FR"/>
        </w:rPr>
        <w:t xml:space="preserve">rigine </w:t>
      </w:r>
      <w:r w:rsidR="00B572FA">
        <w:rPr>
          <w:rFonts w:eastAsia="Times New Roman" w:cs="Arial"/>
          <w:szCs w:val="20"/>
          <w:lang w:eastAsia="fr-FR"/>
        </w:rPr>
        <w:t>A</w:t>
      </w:r>
      <w:r w:rsidR="000A37F2" w:rsidRPr="000A37F2">
        <w:rPr>
          <w:rFonts w:eastAsia="Times New Roman" w:cs="Arial"/>
          <w:szCs w:val="20"/>
          <w:lang w:eastAsia="fr-FR"/>
        </w:rPr>
        <w:t xml:space="preserve">nimale (DAOA) </w:t>
      </w:r>
      <w:r w:rsidR="00826B6B">
        <w:rPr>
          <w:rFonts w:eastAsia="Times New Roman" w:cs="Arial"/>
          <w:szCs w:val="20"/>
          <w:lang w:eastAsia="fr-FR"/>
        </w:rPr>
        <w:t>selon</w:t>
      </w:r>
      <w:r w:rsidR="000A37F2" w:rsidRPr="000A37F2">
        <w:rPr>
          <w:rFonts w:eastAsia="Times New Roman" w:cs="Arial"/>
          <w:szCs w:val="20"/>
          <w:lang w:eastAsia="fr-FR"/>
        </w:rPr>
        <w:t xml:space="preserve"> le règlement (CE) n° 853/2004. </w:t>
      </w:r>
    </w:p>
    <w:p w14:paraId="22613A4F" w14:textId="5385BA5F" w:rsidR="00826B6B" w:rsidRDefault="00826B6B" w:rsidP="00171AA4">
      <w:pPr>
        <w:shd w:val="clear" w:color="auto" w:fill="FFFFFF"/>
        <w:spacing w:after="0" w:line="120" w:lineRule="atLeast"/>
        <w:ind w:left="142"/>
        <w:textAlignment w:val="baseline"/>
        <w:rPr>
          <w:rFonts w:eastAsia="Times New Roman" w:cs="Arial"/>
          <w:szCs w:val="20"/>
          <w:lang w:eastAsia="fr-FR"/>
        </w:rPr>
      </w:pPr>
      <w:r>
        <w:rPr>
          <w:rFonts w:eastAsia="Times New Roman" w:cs="Arial"/>
          <w:szCs w:val="20"/>
          <w:lang w:eastAsia="fr-FR"/>
        </w:rPr>
        <w:t xml:space="preserve">Il s’agit de matière grasses destinées aux </w:t>
      </w:r>
      <w:r w:rsidR="000A37F2" w:rsidRPr="000A37F2">
        <w:rPr>
          <w:rFonts w:eastAsia="Times New Roman" w:cs="Arial"/>
          <w:szCs w:val="20"/>
          <w:lang w:eastAsia="fr-FR"/>
        </w:rPr>
        <w:t xml:space="preserve">fondoirs exclusivement alimentaires </w:t>
      </w:r>
      <w:r>
        <w:rPr>
          <w:rFonts w:eastAsia="Times New Roman" w:cs="Arial"/>
          <w:szCs w:val="20"/>
          <w:lang w:eastAsia="fr-FR"/>
        </w:rPr>
        <w:t xml:space="preserve">avec différentes applications </w:t>
      </w:r>
      <w:r w:rsidR="000A37F2" w:rsidRPr="000A37F2">
        <w:rPr>
          <w:rFonts w:eastAsia="Times New Roman" w:cs="Arial"/>
          <w:szCs w:val="20"/>
          <w:lang w:eastAsia="fr-FR"/>
        </w:rPr>
        <w:t>dans l’alimentation humaine</w:t>
      </w:r>
      <w:r>
        <w:rPr>
          <w:rFonts w:eastAsia="Times New Roman" w:cs="Arial"/>
          <w:szCs w:val="20"/>
          <w:lang w:eastAsia="fr-FR"/>
        </w:rPr>
        <w:t xml:space="preserve"> soient</w:t>
      </w:r>
      <w:r w:rsidR="00117DC1">
        <w:rPr>
          <w:rFonts w:eastAsia="Times New Roman" w:cs="Arial"/>
          <w:szCs w:val="20"/>
          <w:lang w:eastAsia="fr-FR"/>
        </w:rPr>
        <w:t> :</w:t>
      </w:r>
    </w:p>
    <w:p w14:paraId="39D223AE" w14:textId="3483A58F" w:rsidR="00826B6B" w:rsidRDefault="00826B6B" w:rsidP="00DF51F1">
      <w:pPr>
        <w:pStyle w:val="Paragraphedeliste"/>
        <w:numPr>
          <w:ilvl w:val="0"/>
          <w:numId w:val="7"/>
        </w:numPr>
        <w:shd w:val="clear" w:color="auto" w:fill="FFFFFF"/>
        <w:spacing w:line="120" w:lineRule="atLeast"/>
        <w:ind w:left="567"/>
        <w:textAlignment w:val="baseline"/>
        <w:rPr>
          <w:rFonts w:eastAsia="Times New Roman"/>
          <w:szCs w:val="20"/>
          <w:lang w:eastAsia="fr-FR"/>
        </w:rPr>
      </w:pPr>
      <w:r w:rsidRPr="00797BD4">
        <w:rPr>
          <w:rFonts w:eastAsia="Times New Roman"/>
          <w:szCs w:val="20"/>
          <w:u w:val="single"/>
          <w:lang w:eastAsia="fr-FR"/>
        </w:rPr>
        <w:t>le saindoux</w:t>
      </w:r>
      <w:r>
        <w:rPr>
          <w:rFonts w:eastAsia="Times New Roman"/>
          <w:szCs w:val="20"/>
          <w:lang w:eastAsia="fr-FR"/>
        </w:rPr>
        <w:t xml:space="preserve"> à destination </w:t>
      </w:r>
      <w:r w:rsidR="000A37F2" w:rsidRPr="00826B6B">
        <w:rPr>
          <w:rFonts w:eastAsia="Times New Roman"/>
          <w:szCs w:val="20"/>
          <w:lang w:eastAsia="fr-FR"/>
        </w:rPr>
        <w:t>de</w:t>
      </w:r>
      <w:r>
        <w:rPr>
          <w:rFonts w:eastAsia="Times New Roman"/>
          <w:szCs w:val="20"/>
          <w:lang w:eastAsia="fr-FR"/>
        </w:rPr>
        <w:t xml:space="preserve"> l’industrie des</w:t>
      </w:r>
      <w:r w:rsidR="000A37F2" w:rsidRPr="00826B6B">
        <w:rPr>
          <w:rFonts w:eastAsia="Times New Roman"/>
          <w:szCs w:val="20"/>
          <w:lang w:eastAsia="fr-FR"/>
        </w:rPr>
        <w:t xml:space="preserve"> plats cuisinés et </w:t>
      </w:r>
      <w:r>
        <w:rPr>
          <w:rFonts w:eastAsia="Times New Roman"/>
          <w:szCs w:val="20"/>
          <w:lang w:eastAsia="fr-FR"/>
        </w:rPr>
        <w:t>de la</w:t>
      </w:r>
      <w:r w:rsidR="000A37F2" w:rsidRPr="00826B6B">
        <w:rPr>
          <w:rFonts w:eastAsia="Times New Roman"/>
          <w:szCs w:val="20"/>
          <w:lang w:eastAsia="fr-FR"/>
        </w:rPr>
        <w:t xml:space="preserve"> biscuiterie</w:t>
      </w:r>
      <w:r>
        <w:rPr>
          <w:rFonts w:eastAsia="Times New Roman"/>
          <w:szCs w:val="20"/>
          <w:lang w:eastAsia="fr-FR"/>
        </w:rPr>
        <w:t xml:space="preserve"> mais aussi de la restauration hors domicile</w:t>
      </w:r>
      <w:r w:rsidR="00797BD4">
        <w:rPr>
          <w:rFonts w:eastAsia="Times New Roman"/>
          <w:szCs w:val="20"/>
          <w:lang w:eastAsia="fr-FR"/>
        </w:rPr>
        <w:t xml:space="preserve"> </w:t>
      </w:r>
      <w:r w:rsidR="007455F4">
        <w:rPr>
          <w:rFonts w:eastAsia="Times New Roman"/>
          <w:szCs w:val="20"/>
          <w:lang w:eastAsia="fr-FR"/>
        </w:rPr>
        <w:t>recherchés</w:t>
      </w:r>
      <w:r w:rsidR="00797BD4">
        <w:rPr>
          <w:rFonts w:eastAsia="Times New Roman"/>
          <w:szCs w:val="20"/>
          <w:lang w:eastAsia="fr-FR"/>
        </w:rPr>
        <w:t xml:space="preserve"> pour ses </w:t>
      </w:r>
      <w:r w:rsidR="007455F4">
        <w:rPr>
          <w:rFonts w:eastAsia="Times New Roman"/>
          <w:szCs w:val="20"/>
          <w:lang w:eastAsia="fr-FR"/>
        </w:rPr>
        <w:t>propriétés</w:t>
      </w:r>
      <w:r w:rsidR="00797BD4">
        <w:rPr>
          <w:rFonts w:eastAsia="Times New Roman"/>
          <w:szCs w:val="20"/>
          <w:lang w:eastAsia="fr-FR"/>
        </w:rPr>
        <w:t xml:space="preserve"> organoleptiques, </w:t>
      </w:r>
    </w:p>
    <w:p w14:paraId="3E101213" w14:textId="1F3412A4" w:rsidR="00826B6B" w:rsidRPr="00826B6B" w:rsidRDefault="00826B6B" w:rsidP="00DF51F1">
      <w:pPr>
        <w:pStyle w:val="Paragraphedeliste"/>
        <w:numPr>
          <w:ilvl w:val="0"/>
          <w:numId w:val="7"/>
        </w:numPr>
        <w:shd w:val="clear" w:color="auto" w:fill="FFFFFF"/>
        <w:spacing w:line="120" w:lineRule="atLeast"/>
        <w:ind w:left="567"/>
        <w:textAlignment w:val="baseline"/>
        <w:rPr>
          <w:rFonts w:eastAsia="Times New Roman"/>
          <w:szCs w:val="20"/>
          <w:lang w:eastAsia="fr-FR"/>
        </w:rPr>
      </w:pPr>
      <w:r w:rsidRPr="00797BD4">
        <w:rPr>
          <w:rFonts w:eastAsia="Times New Roman"/>
          <w:szCs w:val="20"/>
          <w:u w:val="single"/>
          <w:lang w:eastAsia="fr-FR"/>
        </w:rPr>
        <w:lastRenderedPageBreak/>
        <w:t>les os de porc</w:t>
      </w:r>
      <w:r w:rsidRPr="00826B6B">
        <w:rPr>
          <w:rFonts w:eastAsia="Times New Roman"/>
          <w:szCs w:val="20"/>
          <w:lang w:eastAsia="fr-FR"/>
        </w:rPr>
        <w:t xml:space="preserve"> dégraissés et déshydratés ainsi que les couennes de porc transformés en gélatine</w:t>
      </w:r>
      <w:r w:rsidR="00797BD4">
        <w:rPr>
          <w:rFonts w:eastAsia="Times New Roman"/>
          <w:szCs w:val="20"/>
          <w:lang w:eastAsia="fr-FR"/>
        </w:rPr>
        <w:t xml:space="preserve">. Cette dernière génère également </w:t>
      </w:r>
      <w:r w:rsidRPr="00826B6B">
        <w:rPr>
          <w:rFonts w:eastAsia="Times New Roman"/>
          <w:szCs w:val="20"/>
          <w:lang w:eastAsia="fr-FR"/>
        </w:rPr>
        <w:t xml:space="preserve">des coproduits </w:t>
      </w:r>
      <w:r w:rsidR="00797BD4">
        <w:rPr>
          <w:rFonts w:eastAsia="Times New Roman"/>
          <w:szCs w:val="20"/>
          <w:lang w:eastAsia="fr-FR"/>
        </w:rPr>
        <w:t xml:space="preserve">sous la forme de </w:t>
      </w:r>
      <w:r w:rsidRPr="00826B6B">
        <w:rPr>
          <w:rFonts w:eastAsia="Times New Roman"/>
          <w:szCs w:val="20"/>
          <w:lang w:eastAsia="fr-FR"/>
        </w:rPr>
        <w:t>graisses et protéines</w:t>
      </w:r>
      <w:r w:rsidR="007455F4">
        <w:rPr>
          <w:rFonts w:eastAsia="Times New Roman"/>
          <w:szCs w:val="20"/>
          <w:lang w:eastAsia="fr-FR"/>
        </w:rPr>
        <w:t xml:space="preserve"> absorbés par</w:t>
      </w:r>
      <w:r w:rsidR="00797BD4">
        <w:rPr>
          <w:rFonts w:eastAsia="Times New Roman"/>
          <w:szCs w:val="20"/>
          <w:lang w:eastAsia="fr-FR"/>
        </w:rPr>
        <w:t xml:space="preserve"> </w:t>
      </w:r>
      <w:r w:rsidRPr="00826B6B">
        <w:rPr>
          <w:rFonts w:eastAsia="Times New Roman"/>
          <w:szCs w:val="20"/>
          <w:lang w:eastAsia="fr-FR"/>
        </w:rPr>
        <w:t>l’alimentation des animaux de compagnie</w:t>
      </w:r>
      <w:r w:rsidR="00797BD4">
        <w:rPr>
          <w:rFonts w:eastAsia="Times New Roman"/>
          <w:szCs w:val="20"/>
          <w:lang w:eastAsia="fr-FR"/>
        </w:rPr>
        <w:t xml:space="preserve"> évoquée plus haut</w:t>
      </w:r>
      <w:r w:rsidRPr="00826B6B">
        <w:rPr>
          <w:rFonts w:eastAsia="Times New Roman"/>
          <w:szCs w:val="20"/>
          <w:lang w:eastAsia="fr-FR"/>
        </w:rPr>
        <w:t>.</w:t>
      </w:r>
    </w:p>
    <w:p w14:paraId="3BAC8520" w14:textId="74A4A614" w:rsidR="00D75E5D" w:rsidRDefault="00797BD4" w:rsidP="00DF51F1">
      <w:pPr>
        <w:pStyle w:val="Paragraphedeliste"/>
        <w:numPr>
          <w:ilvl w:val="0"/>
          <w:numId w:val="7"/>
        </w:numPr>
        <w:shd w:val="clear" w:color="auto" w:fill="FFFFFF"/>
        <w:spacing w:line="120" w:lineRule="atLeast"/>
        <w:ind w:left="567"/>
        <w:textAlignment w:val="baseline"/>
        <w:rPr>
          <w:rFonts w:eastAsia="Times New Roman"/>
          <w:bCs/>
          <w:szCs w:val="20"/>
        </w:rPr>
      </w:pPr>
      <w:r w:rsidRPr="00797BD4">
        <w:rPr>
          <w:rFonts w:eastAsia="Times New Roman"/>
          <w:szCs w:val="20"/>
          <w:u w:val="single"/>
          <w:lang w:eastAsia="fr-FR"/>
        </w:rPr>
        <w:t>l</w:t>
      </w:r>
      <w:r w:rsidR="000A37F2" w:rsidRPr="00797BD4">
        <w:rPr>
          <w:rFonts w:eastAsia="Times New Roman"/>
          <w:szCs w:val="20"/>
          <w:u w:val="single"/>
          <w:lang w:eastAsia="fr-FR"/>
        </w:rPr>
        <w:t>e sang de porc alimentaire</w:t>
      </w:r>
      <w:r w:rsidR="000A37F2" w:rsidRPr="00797BD4">
        <w:rPr>
          <w:rFonts w:eastAsia="Times New Roman"/>
          <w:szCs w:val="20"/>
          <w:lang w:eastAsia="fr-FR"/>
        </w:rPr>
        <w:t xml:space="preserve"> </w:t>
      </w:r>
      <w:r w:rsidR="00FD0676">
        <w:rPr>
          <w:rFonts w:eastAsia="Times New Roman"/>
          <w:szCs w:val="20"/>
          <w:lang w:eastAsia="fr-FR"/>
        </w:rPr>
        <w:t>trouve des débouchés sous la forme de</w:t>
      </w:r>
      <w:r w:rsidR="000A37F2" w:rsidRPr="00797BD4">
        <w:rPr>
          <w:rFonts w:eastAsia="Times New Roman"/>
          <w:szCs w:val="20"/>
          <w:lang w:eastAsia="fr-FR"/>
        </w:rPr>
        <w:t xml:space="preserve"> </w:t>
      </w:r>
      <w:r w:rsidRPr="000A37F2">
        <w:rPr>
          <w:rFonts w:eastAsia="Times New Roman"/>
          <w:szCs w:val="20"/>
          <w:lang w:eastAsia="fr-FR"/>
        </w:rPr>
        <w:t xml:space="preserve">plasma et </w:t>
      </w:r>
      <w:r w:rsidR="00FD0676">
        <w:rPr>
          <w:rFonts w:eastAsia="Times New Roman"/>
          <w:szCs w:val="20"/>
          <w:lang w:eastAsia="fr-FR"/>
        </w:rPr>
        <w:t>d</w:t>
      </w:r>
      <w:r w:rsidRPr="000A37F2">
        <w:rPr>
          <w:rFonts w:eastAsia="Times New Roman"/>
          <w:szCs w:val="20"/>
          <w:lang w:eastAsia="fr-FR"/>
        </w:rPr>
        <w:t>’hémoglobine</w:t>
      </w:r>
      <w:r w:rsidR="00FD0676">
        <w:rPr>
          <w:rFonts w:eastAsia="Times New Roman"/>
          <w:szCs w:val="20"/>
          <w:lang w:eastAsia="fr-FR"/>
        </w:rPr>
        <w:t xml:space="preserve"> </w:t>
      </w:r>
      <w:r w:rsidR="007455F4">
        <w:rPr>
          <w:rFonts w:eastAsia="Times New Roman"/>
          <w:szCs w:val="20"/>
          <w:lang w:eastAsia="fr-FR"/>
        </w:rPr>
        <w:t>en</w:t>
      </w:r>
      <w:r w:rsidRPr="000A37F2">
        <w:rPr>
          <w:rFonts w:eastAsia="Times New Roman"/>
          <w:szCs w:val="20"/>
          <w:lang w:eastAsia="fr-FR"/>
        </w:rPr>
        <w:t xml:space="preserve"> congelé ou déshydraté</w:t>
      </w:r>
      <w:r w:rsidR="00FD0676">
        <w:rPr>
          <w:rFonts w:eastAsia="Times New Roman"/>
          <w:szCs w:val="20"/>
          <w:lang w:eastAsia="fr-FR"/>
        </w:rPr>
        <w:t xml:space="preserve"> </w:t>
      </w:r>
      <w:r w:rsidR="007455F4">
        <w:rPr>
          <w:rFonts w:eastAsia="Times New Roman"/>
          <w:szCs w:val="20"/>
          <w:lang w:eastAsia="fr-FR"/>
        </w:rPr>
        <w:t>à destination de</w:t>
      </w:r>
      <w:r w:rsidR="00FD0676">
        <w:rPr>
          <w:rFonts w:eastAsia="Times New Roman"/>
          <w:szCs w:val="20"/>
          <w:lang w:eastAsia="fr-FR"/>
        </w:rPr>
        <w:t xml:space="preserve"> l’alimentation humaine</w:t>
      </w:r>
      <w:r w:rsidRPr="000A37F2">
        <w:rPr>
          <w:rFonts w:eastAsia="Times New Roman"/>
          <w:szCs w:val="20"/>
          <w:lang w:eastAsia="fr-FR"/>
        </w:rPr>
        <w:t>.</w:t>
      </w:r>
    </w:p>
    <w:p w14:paraId="39A7CDD6" w14:textId="491DD6D7" w:rsidR="00D75E5D" w:rsidRPr="00667130" w:rsidRDefault="00667130" w:rsidP="00171AA4">
      <w:pPr>
        <w:pStyle w:val="Titre3"/>
        <w:spacing w:before="120" w:after="120"/>
        <w:ind w:left="142"/>
        <w:rPr>
          <w:color w:val="000000" w:themeColor="text1"/>
          <w:szCs w:val="22"/>
        </w:rPr>
      </w:pPr>
      <w:bookmarkStart w:id="196" w:name="_Toc78131616"/>
      <w:r w:rsidRPr="00667130">
        <w:rPr>
          <w:color w:val="000000" w:themeColor="text1"/>
          <w:szCs w:val="22"/>
          <w:u w:val="none"/>
        </w:rPr>
        <w:t>1.</w:t>
      </w:r>
      <w:r w:rsidR="00002CC0">
        <w:rPr>
          <w:color w:val="000000" w:themeColor="text1"/>
          <w:szCs w:val="22"/>
          <w:u w:val="none"/>
        </w:rPr>
        <w:t>1</w:t>
      </w:r>
      <w:r w:rsidRPr="00667130">
        <w:rPr>
          <w:color w:val="000000" w:themeColor="text1"/>
          <w:szCs w:val="22"/>
          <w:u w:val="none"/>
        </w:rPr>
        <w:t>.</w:t>
      </w:r>
      <w:r w:rsidR="00002CC0">
        <w:rPr>
          <w:color w:val="000000" w:themeColor="text1"/>
          <w:szCs w:val="22"/>
          <w:u w:val="none"/>
        </w:rPr>
        <w:t>4</w:t>
      </w:r>
      <w:r w:rsidRPr="00667130">
        <w:rPr>
          <w:color w:val="000000" w:themeColor="text1"/>
          <w:szCs w:val="22"/>
          <w:u w:val="none"/>
        </w:rPr>
        <w:t xml:space="preserve"> </w:t>
      </w:r>
      <w:r w:rsidR="00B550B4">
        <w:rPr>
          <w:color w:val="000000" w:themeColor="text1"/>
          <w:szCs w:val="22"/>
        </w:rPr>
        <w:t>Compos</w:t>
      </w:r>
      <w:r w:rsidR="00002CC0">
        <w:rPr>
          <w:color w:val="000000" w:themeColor="text1"/>
          <w:szCs w:val="22"/>
        </w:rPr>
        <w:t>ition</w:t>
      </w:r>
      <w:r w:rsidR="00B550B4">
        <w:rPr>
          <w:color w:val="000000" w:themeColor="text1"/>
          <w:szCs w:val="22"/>
        </w:rPr>
        <w:t xml:space="preserve"> massique</w:t>
      </w:r>
      <w:r>
        <w:rPr>
          <w:color w:val="000000" w:themeColor="text1"/>
          <w:szCs w:val="22"/>
        </w:rPr>
        <w:t xml:space="preserve"> des coproduits</w:t>
      </w:r>
      <w:bookmarkEnd w:id="196"/>
      <w:r w:rsidR="00797BD4">
        <w:rPr>
          <w:color w:val="000000" w:themeColor="text1"/>
          <w:szCs w:val="22"/>
        </w:rPr>
        <w:t xml:space="preserve"> </w:t>
      </w:r>
    </w:p>
    <w:p w14:paraId="486059C1" w14:textId="4C583C2E" w:rsidR="00026610" w:rsidRDefault="00797EB5" w:rsidP="00E8461F">
      <w:r>
        <w:t>Le</w:t>
      </w:r>
      <w:r w:rsidRPr="00EB7500">
        <w:t xml:space="preserve"> SIFCO</w:t>
      </w:r>
      <w:r w:rsidR="006B3A19">
        <w:t xml:space="preserve"> fédère </w:t>
      </w:r>
      <w:r>
        <w:t>la majeure partie des opérateurs du marché</w:t>
      </w:r>
      <w:r w:rsidR="006B3A19">
        <w:t xml:space="preserve"> des coproduits qui collectent ces derniers </w:t>
      </w:r>
      <w:r w:rsidRPr="00EB7500">
        <w:t xml:space="preserve">tout au long de la filière (abatteurs, </w:t>
      </w:r>
      <w:r>
        <w:t>industries agro-alimentaires</w:t>
      </w:r>
      <w:r w:rsidRPr="00EB7500">
        <w:t xml:space="preserve">, </w:t>
      </w:r>
      <w:r>
        <w:t>artisans boucher charcutiers traiteurs</w:t>
      </w:r>
      <w:r w:rsidRPr="00EB7500">
        <w:t>)</w:t>
      </w:r>
      <w:r w:rsidR="006B3A19">
        <w:t>. Les données qui émanent de cet organisme ne</w:t>
      </w:r>
      <w:r w:rsidR="003271B1">
        <w:t xml:space="preserve"> permet</w:t>
      </w:r>
      <w:r w:rsidR="006B3A19">
        <w:t>tent</w:t>
      </w:r>
      <w:r w:rsidR="003271B1">
        <w:t xml:space="preserve"> pas d</w:t>
      </w:r>
      <w:r w:rsidR="00500810">
        <w:t>’identifier</w:t>
      </w:r>
      <w:r w:rsidR="003271B1">
        <w:t xml:space="preserve"> à quel stade de </w:t>
      </w:r>
      <w:r w:rsidR="00500810">
        <w:t xml:space="preserve">transformation de </w:t>
      </w:r>
      <w:r w:rsidR="003271B1">
        <w:t>la filière</w:t>
      </w:r>
      <w:r w:rsidR="00500810">
        <w:t>, la collecte s’effectue</w:t>
      </w:r>
      <w:r w:rsidRPr="00EB7500">
        <w:t>.</w:t>
      </w:r>
      <w:r w:rsidR="00500810">
        <w:t xml:space="preserve"> L’organisme ne délivre par conséquent que des données agrégées</w:t>
      </w:r>
      <w:r w:rsidR="00026610">
        <w:t xml:space="preserve"> pour l’ensemble d’une filière. </w:t>
      </w:r>
    </w:p>
    <w:p w14:paraId="0BA3A829" w14:textId="5E7D841D" w:rsidR="002C09D6" w:rsidRPr="00EB7500" w:rsidRDefault="00026610" w:rsidP="00E8461F">
      <w:r>
        <w:t>Ainsi, l</w:t>
      </w:r>
      <w:r w:rsidR="001B64ED">
        <w:t xml:space="preserve">e gisement </w:t>
      </w:r>
      <w:r w:rsidR="008659A6">
        <w:t xml:space="preserve">de coproduits </w:t>
      </w:r>
      <w:r w:rsidR="001B64ED">
        <w:t xml:space="preserve">toutes espèces </w:t>
      </w:r>
      <w:r w:rsidR="008659A6">
        <w:t xml:space="preserve">animales </w:t>
      </w:r>
      <w:r w:rsidR="001B64ED">
        <w:t xml:space="preserve">confondues et toutes catégories selon </w:t>
      </w:r>
      <w:r w:rsidR="00AD30DB">
        <w:t>cet organisme</w:t>
      </w:r>
      <w:r w:rsidR="001B64ED">
        <w:t xml:space="preserve"> représente en 2018, 3</w:t>
      </w:r>
      <w:r w:rsidR="007455F4">
        <w:t> </w:t>
      </w:r>
      <w:r w:rsidR="001B64ED">
        <w:t>232</w:t>
      </w:r>
      <w:r w:rsidR="007455F4">
        <w:t> </w:t>
      </w:r>
      <w:r w:rsidR="001B64ED">
        <w:t>k</w:t>
      </w:r>
      <w:r w:rsidR="00E85D0F">
        <w:t>t</w:t>
      </w:r>
      <w:r w:rsidR="001B64ED">
        <w:t xml:space="preserve"> parmi lesquel</w:t>
      </w:r>
      <w:r w:rsidR="00797BD4">
        <w:t>le</w:t>
      </w:r>
      <w:r w:rsidR="001B64ED">
        <w:t xml:space="preserve">s la catégorie C3 </w:t>
      </w:r>
      <w:r w:rsidR="007455F4">
        <w:t xml:space="preserve">représente la majeure partie </w:t>
      </w:r>
      <w:r w:rsidR="008659A6">
        <w:t>soit</w:t>
      </w:r>
      <w:r w:rsidR="007455F4">
        <w:t xml:space="preserve"> 72 %</w:t>
      </w:r>
      <w:r w:rsidR="008659A6">
        <w:t xml:space="preserve"> </w:t>
      </w:r>
      <w:r w:rsidR="007455F4">
        <w:t>(</w:t>
      </w:r>
      <w:r w:rsidR="001D2767">
        <w:t>2</w:t>
      </w:r>
      <w:r w:rsidR="007455F4">
        <w:t> </w:t>
      </w:r>
      <w:r w:rsidR="001D2767">
        <w:t>329</w:t>
      </w:r>
      <w:r w:rsidR="007455F4">
        <w:t> </w:t>
      </w:r>
      <w:r w:rsidR="001D2767">
        <w:t>k</w:t>
      </w:r>
      <w:r w:rsidR="007455F4">
        <w:t>t)</w:t>
      </w:r>
      <w:r w:rsidR="001B64ED">
        <w:t xml:space="preserve">. </w:t>
      </w:r>
    </w:p>
    <w:p w14:paraId="72DF4029" w14:textId="0EA905EB" w:rsidR="00E85D0F" w:rsidRDefault="001B64ED" w:rsidP="00E8461F">
      <w:r>
        <w:t xml:space="preserve">Au sein de cette fraction, </w:t>
      </w:r>
      <w:r w:rsidR="008659A6">
        <w:t>l</w:t>
      </w:r>
      <w:r w:rsidR="00797BD4">
        <w:t>es coproduits du porc</w:t>
      </w:r>
      <w:r w:rsidR="008659A6">
        <w:t xml:space="preserve"> </w:t>
      </w:r>
      <w:r w:rsidR="00797BD4">
        <w:t>ne pèsent que</w:t>
      </w:r>
      <w:r w:rsidR="008659A6">
        <w:t xml:space="preserve"> 22,8</w:t>
      </w:r>
      <w:r w:rsidR="007455F4">
        <w:t> </w:t>
      </w:r>
      <w:r w:rsidR="008659A6">
        <w:t>%</w:t>
      </w:r>
      <w:r w:rsidR="00797BD4">
        <w:t xml:space="preserve"> </w:t>
      </w:r>
      <w:r w:rsidR="002C09D6">
        <w:t>alors que la consommation de viande par bilan</w:t>
      </w:r>
      <w:r w:rsidR="007455F4">
        <w:t xml:space="preserve"> toutes espèces</w:t>
      </w:r>
      <w:r w:rsidR="002C09D6">
        <w:t xml:space="preserve"> donne un poids relatif du porc de 38</w:t>
      </w:r>
      <w:r w:rsidR="007455F4">
        <w:t> </w:t>
      </w:r>
      <w:r w:rsidR="002C09D6">
        <w:t>%</w:t>
      </w:r>
      <w:r w:rsidR="007455F4">
        <w:t>.</w:t>
      </w:r>
    </w:p>
    <w:p w14:paraId="5E2D0185" w14:textId="0554C4B1" w:rsidR="000D6A68" w:rsidRPr="0031219D" w:rsidRDefault="00E85D0F" w:rsidP="00E8461F">
      <w:r>
        <w:t xml:space="preserve">Au global en porc, les fractions </w:t>
      </w:r>
      <w:r w:rsidRPr="00C92ABF">
        <w:t>C3</w:t>
      </w:r>
      <w:r>
        <w:t xml:space="preserve">, </w:t>
      </w:r>
      <w:r w:rsidRPr="00C92ABF">
        <w:t xml:space="preserve">C2 </w:t>
      </w:r>
      <w:r>
        <w:t xml:space="preserve">et la part à destination de l’alimentation humaine représentent </w:t>
      </w:r>
      <w:r w:rsidRPr="00C92ABF">
        <w:t xml:space="preserve">en moyenne annuelle sur 10 ans </w:t>
      </w:r>
      <w:r w:rsidRPr="00D553B1">
        <w:t>17</w:t>
      </w:r>
      <w:r w:rsidR="007455F4">
        <w:t> </w:t>
      </w:r>
      <w:r w:rsidRPr="00D553B1">
        <w:t>% du vif entrée abattoir</w:t>
      </w:r>
      <w:r w:rsidR="00D553B1">
        <w:t xml:space="preserve"> (Figure 22)</w:t>
      </w:r>
      <w:r w:rsidRPr="00C92ABF">
        <w:t>.</w:t>
      </w:r>
      <w:r w:rsidR="00D553B1">
        <w:t xml:space="preserve"> </w:t>
      </w:r>
      <w:r w:rsidRPr="00C92ABF">
        <w:t xml:space="preserve">Après une tendance à la hausse </w:t>
      </w:r>
      <w:r w:rsidR="00C455FF">
        <w:t>avec un plus haut en 2016</w:t>
      </w:r>
      <w:r w:rsidRPr="00C92ABF">
        <w:t xml:space="preserve">, </w:t>
      </w:r>
      <w:r w:rsidRPr="0011561D">
        <w:t xml:space="preserve">l’évolution </w:t>
      </w:r>
      <w:r w:rsidR="00D553B1" w:rsidRPr="0011561D">
        <w:t xml:space="preserve">des coproduits </w:t>
      </w:r>
      <w:r w:rsidRPr="0011561D">
        <w:t xml:space="preserve">repart à la baisse </w:t>
      </w:r>
      <w:r w:rsidR="00633FEA" w:rsidRPr="0011561D">
        <w:t xml:space="preserve">principalement </w:t>
      </w:r>
      <w:r w:rsidR="00C455FF" w:rsidRPr="0011561D">
        <w:t>par</w:t>
      </w:r>
      <w:r w:rsidRPr="0011561D">
        <w:t xml:space="preserve"> optimisation des process</w:t>
      </w:r>
      <w:r w:rsidR="00633FEA" w:rsidRPr="0011561D">
        <w:t xml:space="preserve"> et compte tenu d’une part moindre de viande à destination de la découpe</w:t>
      </w:r>
      <w:r w:rsidRPr="0011561D">
        <w:t>.</w:t>
      </w:r>
    </w:p>
    <w:p w14:paraId="4AC1642C" w14:textId="20CA3A5E" w:rsidR="00A47285" w:rsidRDefault="006362B4" w:rsidP="00181795">
      <w:pPr>
        <w:jc w:val="center"/>
      </w:pPr>
      <w:r w:rsidRPr="00317599">
        <w:rPr>
          <w:noProof/>
        </w:rPr>
        <mc:AlternateContent>
          <mc:Choice Requires="wps">
            <w:drawing>
              <wp:anchor distT="0" distB="0" distL="114300" distR="114300" simplePos="0" relativeHeight="251658281" behindDoc="0" locked="0" layoutInCell="1" allowOverlap="1" wp14:anchorId="00D3C79D" wp14:editId="03549F48">
                <wp:simplePos x="0" y="0"/>
                <wp:positionH relativeFrom="column">
                  <wp:posOffset>2973421</wp:posOffset>
                </wp:positionH>
                <wp:positionV relativeFrom="paragraph">
                  <wp:posOffset>336172</wp:posOffset>
                </wp:positionV>
                <wp:extent cx="1264596" cy="231627"/>
                <wp:effectExtent l="0" t="57150" r="12065" b="35560"/>
                <wp:wrapNone/>
                <wp:docPr id="319" name="Connecteur droit avec flèch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264596" cy="231627"/>
                        </a:xfrm>
                        <a:prstGeom prst="straightConnector1">
                          <a:avLst/>
                        </a:prstGeom>
                        <a:ln>
                          <a:solidFill>
                            <a:schemeClr val="tx1">
                              <a:lumMod val="65000"/>
                              <a:lumOff val="35000"/>
                            </a:schemeClr>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9DEBB4" id="Connecteur droit avec flèche 15" o:spid="_x0000_s1026" type="#_x0000_t32" style="position:absolute;margin-left:234.15pt;margin-top:26.45pt;width:99.55pt;height:18.25pt;flip:y;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DrLAIAAKEEAAAOAAAAZHJzL2Uyb0RvYy54bWysVMuO0zAU3SPxD5b3NI/SwkRNZ9Fh2AxQ&#10;McDe49iNhV+y3TT9I/6DH+PaTgMDCCTExoqvfc6599zrbK5HJdHAnBdGt7halBgxTU0n9KHFHz/c&#10;PnuJkQ9Ed0QazVp8Zh5fb58+2Zxsw2rTG9kxh4BE++ZkW9yHYJui8LRniviFsUzDITdOkQBbdyg6&#10;R07ArmRRl+W6OBnXWWco8x6iN/kQbxM/54yGd5x7FpBsMeQW0urS+hDXYrshzcER2ws6pUH+IQtF&#10;hAbRmeqGBIKOTvxCpQR1xhseFtSownAuKEs1QDVV+VM19z2xLNUC5ng72+T/Hy19O+wdEl2Ll9UV&#10;RpooaNLOaA3OsaNDnTMiIDIwirj8+gXagqpVdO1kfQPgnd67WDcd9b29M/Szh7Pi0WHceJuvjdwp&#10;IBL2EwxLMgwsQGPqx3nuBxsDohCs6vXz1dUaIwpn9bJa1y+idEGayBNlrfPhNTMKxY8W++CIOPRh&#10;KsC4rEGGOx8y8AKIYKnj6o0U3a2QMm3i3LGddGggMDFhzATyqN6YLsfWq7Kc5gbCMF05vLyEIbs0&#10;vZEl5fpIIBAhX+kOhbMFo4MTRB8km6qKCSXvsl3JuHCWLCf7nnFoFNhSJ+NmkaxPKGU6VDMT3I4w&#10;DoXNwPLvwOl+hLL0fGZwduKPqjMiKRsdZrAS2rjfqUeHc2d4vn9xINcdLXgw3XnvLmMF7yC5Or3Z&#10;+NB+3Cf49z/L9hsAAAD//wMAUEsDBBQABgAIAAAAIQAUSXmJ4AAAAAkBAAAPAAAAZHJzL2Rvd25y&#10;ZXYueG1sTI9BS8NAEIXvgv9hGcGb3bSNMYmZFBEsglBs9OBxmmyT0OxsyG7T9d+7nvQ4vI/3vik2&#10;Xg9iVpPtDSMsFxEIxbVpem4RPj9e7lIQ1hE3NBhWCN/Kwqa8vioob8yF92quXCtCCducEDrnxlxK&#10;W3dKk12YUXHIjmbS5MI5tbKZ6BLK9SBXUZRITT2HhY5G9dyp+lSdNcLWvb1/LV932fq05epI3td+&#10;3iPe3vinRxBOefcHw69+UIcyOB3MmRsrBoQ4SdcBRbhfZSACkCQPMYgDQprFIMtC/v+g/AEAAP//&#10;AwBQSwECLQAUAAYACAAAACEAtoM4kv4AAADhAQAAEwAAAAAAAAAAAAAAAAAAAAAAW0NvbnRlbnRf&#10;VHlwZXNdLnhtbFBLAQItABQABgAIAAAAIQA4/SH/1gAAAJQBAAALAAAAAAAAAAAAAAAAAC8BAABf&#10;cmVscy8ucmVsc1BLAQItABQABgAIAAAAIQD/3iDrLAIAAKEEAAAOAAAAAAAAAAAAAAAAAC4CAABk&#10;cnMvZTJvRG9jLnhtbFBLAQItABQABgAIAAAAIQAUSXmJ4AAAAAkBAAAPAAAAAAAAAAAAAAAAAIYE&#10;AABkcnMvZG93bnJldi54bWxQSwUGAAAAAAQABADzAAAAkwUAAAAA&#10;" strokecolor="#5a5a5a [2109]" strokeweight="1pt">
                <v:stroke endarrow="block" joinstyle="miter"/>
                <o:lock v:ext="edit" shapetype="f"/>
              </v:shape>
            </w:pict>
          </mc:Fallback>
        </mc:AlternateContent>
      </w:r>
      <w:r w:rsidRPr="00317599">
        <w:rPr>
          <w:noProof/>
        </w:rPr>
        <mc:AlternateContent>
          <mc:Choice Requires="wps">
            <w:drawing>
              <wp:anchor distT="0" distB="0" distL="114300" distR="114300" simplePos="0" relativeHeight="251658282" behindDoc="0" locked="0" layoutInCell="1" allowOverlap="1" wp14:anchorId="192D30FF" wp14:editId="1AB31672">
                <wp:simplePos x="0" y="0"/>
                <wp:positionH relativeFrom="column">
                  <wp:posOffset>4322445</wp:posOffset>
                </wp:positionH>
                <wp:positionV relativeFrom="paragraph">
                  <wp:posOffset>332308</wp:posOffset>
                </wp:positionV>
                <wp:extent cx="1332230" cy="205105"/>
                <wp:effectExtent l="38100" t="57150" r="20320" b="23495"/>
                <wp:wrapNone/>
                <wp:docPr id="320" name="Connecteur droit avec flèch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332230" cy="205105"/>
                        </a:xfrm>
                        <a:prstGeom prst="straightConnector1">
                          <a:avLst/>
                        </a:prstGeom>
                        <a:ln>
                          <a:solidFill>
                            <a:schemeClr val="tx1">
                              <a:lumMod val="65000"/>
                              <a:lumOff val="35000"/>
                            </a:schemeClr>
                          </a:solidFill>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AFF056C" id="Connecteur droit avec flèche 15" o:spid="_x0000_s1026" type="#_x0000_t32" style="position:absolute;margin-left:340.35pt;margin-top:26.15pt;width:104.9pt;height:16.15pt;flip:x y;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IdHLwIAAKsEAAAOAAAAZHJzL2Uyb0RvYy54bWysVMuOEzEQvCPxD5bvZB5RVijKZA9ZFg4L&#10;RCxw93rsjIXttmwnmfwR/8GP0baTWRYQSIiLNe52VXWX27O6Ho0mB+GDAtvRZlZTIiyHXtldRz99&#10;vH3xkpIQme2ZBis6ehKBXq+fP1sd3VK0MIDuhSdIYsPy6Do6xOiWVRX4IAwLM3DCYlKCNyzi1u+q&#10;3rMjshtdtXV9VR3B984DFyFg9KYk6TrzSyl4fC9lEJHojmJtMa8+rw9prdYrttx55gbFz2Wwf6jC&#10;MGVRdKK6YZGRvVe/UBnFPQSQccbBVCCl4iL3gN009U/d3A/MidwLmhPcZFP4f7T83WHrieo7Om/R&#10;H8sMXtIGrEXnxN6T3oOKhB0EJ1J/+4rXQppFcu3owhLBG7v1qW8+2nt3B/xLwFz1JJk2wZVjo/QG&#10;iZR7g8NC89fn9JUo0Awy5ps5TTcjxkg4Bpv5vG3nWCDHXFsvmjoXUbFlYkxo50N8LcCQ9NHRED1T&#10;uyGeWwFfNNjhLsRU4SMggbVNawCt+luldd6kCRQb7cmB4ezEsRDovXkLfYldLer6PEEYxjkr4fkl&#10;jCJ5jhNLlnwiEJnSr2xP4smh5dErZndaJGsRlwrKLhbjsoXxpEUp9oOQeGVoS5uNm0SKPuNc2NhM&#10;THg6wSQ2NgHrvwPP5xNU5Ic0gYsTf1SdEFkZbJzARlnwv1NPDpfmZTl/caD0nSx4gP609ZcBwxeR&#10;vTq/3vTkftxn+OM/Zv0dAAD//wMAUEsDBBQABgAIAAAAIQC8mB3T4QAAAAkBAAAPAAAAZHJzL2Rv&#10;d25yZXYueG1sTI/BTsMwDIbvSLxDZCRuLNnGulKaTgg0GBJo2kCcvSa0FY1TmmwrPD3mBDdb/vT7&#10;+/PF4FpxsH1oPGkYjxQIS6U3DVUaXl+WFymIEJEMtp6shi8bYFGcnuSYGX+kjT1sYyU4hEKGGuoY&#10;u0zKUNbWYRj5zhLf3n3vMPLaV9L0eORw18qJUol02BB/qLGzt7UtP7Z7p+FpM30c17ge3u4flqu7&#10;1fcnuudE6/Oz4eYaRLRD/IPhV5/VoWCnnd+TCaLVkKRqzqiG2WQKgoH0Ss1A7Hi4TEAWufzfoPgB&#10;AAD//wMAUEsBAi0AFAAGAAgAAAAhALaDOJL+AAAA4QEAABMAAAAAAAAAAAAAAAAAAAAAAFtDb250&#10;ZW50X1R5cGVzXS54bWxQSwECLQAUAAYACAAAACEAOP0h/9YAAACUAQAACwAAAAAAAAAAAAAAAAAv&#10;AQAAX3JlbHMvLnJlbHNQSwECLQAUAAYACAAAACEAFxyHRy8CAACrBAAADgAAAAAAAAAAAAAAAAAu&#10;AgAAZHJzL2Uyb0RvYy54bWxQSwECLQAUAAYACAAAACEAvJgd0+EAAAAJAQAADwAAAAAAAAAAAAAA&#10;AACJBAAAZHJzL2Rvd25yZXYueG1sUEsFBgAAAAAEAAQA8wAAAJcFAAAAAA==&#10;" strokecolor="#5a5a5a [2109]" strokeweight="1pt">
                <v:stroke endarrow="block" joinstyle="miter"/>
                <o:lock v:ext="edit" shapetype="f"/>
              </v:shape>
            </w:pict>
          </mc:Fallback>
        </mc:AlternateContent>
      </w:r>
      <w:r w:rsidR="00E30E95" w:rsidRPr="00E30E95">
        <w:rPr>
          <w:noProof/>
        </w:rPr>
        <w:drawing>
          <wp:inline distT="0" distB="0" distL="0" distR="0" wp14:anchorId="730691CC" wp14:editId="05F7DC5F">
            <wp:extent cx="4988342" cy="1603612"/>
            <wp:effectExtent l="0" t="0" r="3175" b="0"/>
            <wp:docPr id="318" name="Graphique 318">
              <a:extLst xmlns:a="http://schemas.openxmlformats.org/drawingml/2006/main">
                <a:ext uri="{FF2B5EF4-FFF2-40B4-BE49-F238E27FC236}">
                  <a16:creationId xmlns:a16="http://schemas.microsoft.com/office/drawing/2014/main" id="{6EBE485D-4660-49B5-814C-311FEAA2F1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CD2712E" w14:textId="02C9AE72" w:rsidR="00E8461F" w:rsidRPr="00AC4581" w:rsidRDefault="00797BD4" w:rsidP="00AC4581">
      <w:pPr>
        <w:pStyle w:val="figure"/>
      </w:pPr>
      <w:bookmarkStart w:id="197" w:name="_Toc69511415"/>
      <w:r w:rsidRPr="00AC4581">
        <w:t xml:space="preserve">Figure </w:t>
      </w:r>
      <w:r w:rsidR="00E27D6E">
        <w:fldChar w:fldCharType="begin"/>
      </w:r>
      <w:r w:rsidR="00E27D6E">
        <w:instrText xml:space="preserve"> SEQ Figure \* ARABIC </w:instrText>
      </w:r>
      <w:r w:rsidR="00E27D6E">
        <w:fldChar w:fldCharType="separate"/>
      </w:r>
      <w:r w:rsidR="0007597F">
        <w:rPr>
          <w:noProof/>
        </w:rPr>
        <w:t>23</w:t>
      </w:r>
      <w:r w:rsidR="00E27D6E">
        <w:rPr>
          <w:noProof/>
        </w:rPr>
        <w:fldChar w:fldCharType="end"/>
      </w:r>
      <w:r w:rsidR="00E8461F" w:rsidRPr="00AC4581">
        <w:t> :</w:t>
      </w:r>
      <w:r w:rsidRPr="00AC4581">
        <w:t xml:space="preserve"> Volume des catégories C3</w:t>
      </w:r>
      <w:r w:rsidR="00317599" w:rsidRPr="00AC4581">
        <w:t xml:space="preserve"> et</w:t>
      </w:r>
      <w:r w:rsidRPr="00AC4581">
        <w:t xml:space="preserve"> C2 issues de la filière porcine en k</w:t>
      </w:r>
      <w:r w:rsidR="00C455FF" w:rsidRPr="00AC4581">
        <w:t>t</w:t>
      </w:r>
      <w:bookmarkEnd w:id="197"/>
      <w:r w:rsidRPr="00AC4581">
        <w:t xml:space="preserve"> </w:t>
      </w:r>
    </w:p>
    <w:p w14:paraId="5AF1D7D1" w14:textId="099B1071" w:rsidR="00797BD4" w:rsidRPr="00AC4581" w:rsidRDefault="00CD6FFF" w:rsidP="00AC4581">
      <w:pPr>
        <w:pStyle w:val="Lgende"/>
      </w:pPr>
      <w:r w:rsidRPr="00AC4581">
        <w:t>(</w:t>
      </w:r>
      <w:r w:rsidR="00733CF0" w:rsidRPr="00AC4581">
        <w:t>S</w:t>
      </w:r>
      <w:r w:rsidR="00797BD4" w:rsidRPr="00AC4581">
        <w:t>ource : Ifip d’après SIFCO</w:t>
      </w:r>
      <w:r w:rsidRPr="00AC4581">
        <w:t>)</w:t>
      </w:r>
    </w:p>
    <w:p w14:paraId="69A72C1E" w14:textId="656A25BB" w:rsidR="00F024CD" w:rsidRDefault="000D6A68" w:rsidP="00E8461F">
      <w:r>
        <w:t xml:space="preserve">En 2018, la fraction mise en œuvre en provenance du porc s’établit </w:t>
      </w:r>
      <w:r w:rsidRPr="00FA3BF8">
        <w:rPr>
          <w:b/>
        </w:rPr>
        <w:t>à 531</w:t>
      </w:r>
      <w:r w:rsidR="007455F4">
        <w:rPr>
          <w:b/>
        </w:rPr>
        <w:t> </w:t>
      </w:r>
      <w:r w:rsidRPr="00FA3BF8">
        <w:rPr>
          <w:b/>
        </w:rPr>
        <w:t>kt en recul de 5,9</w:t>
      </w:r>
      <w:r w:rsidR="007455F4">
        <w:rPr>
          <w:b/>
        </w:rPr>
        <w:t> </w:t>
      </w:r>
      <w:r w:rsidRPr="00FA3BF8">
        <w:rPr>
          <w:b/>
        </w:rPr>
        <w:t>% comparativement à 2017</w:t>
      </w:r>
      <w:r>
        <w:t xml:space="preserve"> et représente </w:t>
      </w:r>
      <w:r w:rsidRPr="00FA3BF8">
        <w:rPr>
          <w:b/>
        </w:rPr>
        <w:t>19</w:t>
      </w:r>
      <w:r w:rsidR="007455F4">
        <w:rPr>
          <w:b/>
        </w:rPr>
        <w:t> </w:t>
      </w:r>
      <w:r w:rsidRPr="00FA3BF8">
        <w:rPr>
          <w:b/>
        </w:rPr>
        <w:t xml:space="preserve">% du poids du porc vif total </w:t>
      </w:r>
      <w:r>
        <w:t>sur la base d’un total porc vif entrant abattoir de 2</w:t>
      </w:r>
      <w:r w:rsidR="007455F4">
        <w:t> </w:t>
      </w:r>
      <w:r>
        <w:t>770</w:t>
      </w:r>
      <w:r w:rsidR="007455F4">
        <w:t> </w:t>
      </w:r>
      <w:r>
        <w:t>kt</w:t>
      </w:r>
      <w:r w:rsidR="0048149C">
        <w:t xml:space="preserve"> déduit à partir </w:t>
      </w:r>
      <w:r w:rsidR="002A242B">
        <w:t>des 22,</w:t>
      </w:r>
      <w:r w:rsidR="00B118C4">
        <w:t xml:space="preserve">8 Mios de porc charcutiers </w:t>
      </w:r>
      <w:r w:rsidR="00787F75">
        <w:t>avec</w:t>
      </w:r>
      <w:r w:rsidR="00B118C4">
        <w:t xml:space="preserve"> un poids moyen poids vif de 121</w:t>
      </w:r>
      <w:r w:rsidR="007455F4">
        <w:t> </w:t>
      </w:r>
      <w:r w:rsidR="00B118C4">
        <w:t xml:space="preserve">kg. </w:t>
      </w:r>
      <w:r>
        <w:t>C’est ce chiffre qui sera utilisé en tant que cadre de référence pour l’étude.</w:t>
      </w:r>
      <w:r w:rsidR="006C14E4">
        <w:t xml:space="preserve"> </w:t>
      </w:r>
    </w:p>
    <w:p w14:paraId="3DC00BBA" w14:textId="34365891" w:rsidR="00026610" w:rsidRPr="000F5766" w:rsidRDefault="00933AFF" w:rsidP="00E8461F">
      <w:r w:rsidRPr="000F5766">
        <w:t>Dans le détail, le total produit fini disponible sous la forme de PAT ou de graisse</w:t>
      </w:r>
      <w:r w:rsidR="001B0D5F" w:rsidRPr="000F5766">
        <w:t xml:space="preserve">s est de </w:t>
      </w:r>
      <w:r w:rsidR="0085739C" w:rsidRPr="000F5766">
        <w:t>216,5</w:t>
      </w:r>
      <w:r w:rsidR="007455F4">
        <w:t> </w:t>
      </w:r>
      <w:r w:rsidR="001B0D5F" w:rsidRPr="000F5766">
        <w:t>kt</w:t>
      </w:r>
      <w:r w:rsidR="0085739C" w:rsidRPr="000F5766">
        <w:t xml:space="preserve"> </w:t>
      </w:r>
      <w:r w:rsidR="001734FB" w:rsidRPr="000F5766">
        <w:t xml:space="preserve">puisque </w:t>
      </w:r>
      <w:r w:rsidR="0085739C" w:rsidRPr="000F5766">
        <w:t xml:space="preserve">plus de la moitié </w:t>
      </w:r>
      <w:r w:rsidR="001734FB" w:rsidRPr="000F5766">
        <w:t xml:space="preserve">du disponible </w:t>
      </w:r>
      <w:r w:rsidR="00A47285" w:rsidRPr="000F5766">
        <w:t>est éliminé par évaporation et dessication expliquant le différentiel important entre entrée et sortie dans la phase de transformation des coproduits du porc.</w:t>
      </w:r>
      <w:r w:rsidR="0085739C" w:rsidRPr="000F5766">
        <w:t xml:space="preserve"> </w:t>
      </w:r>
      <w:r w:rsidR="00522A26" w:rsidRPr="000F5766">
        <w:t xml:space="preserve">Concernant les données relatives à la part de coproduits à destination du petfood humide, de la méthanisation et de la fonte, elles sont évaluées à dire d’expert sur la base du tiers de la fraction toutes espèces </w:t>
      </w:r>
      <w:r w:rsidR="008B46BF" w:rsidRPr="000F5766">
        <w:t>(</w:t>
      </w:r>
      <w:r w:rsidR="00F52571">
        <w:fldChar w:fldCharType="begin"/>
      </w:r>
      <w:r w:rsidR="00F52571">
        <w:instrText xml:space="preserve"> REF _Ref68528043 \h </w:instrText>
      </w:r>
      <w:r w:rsidR="00F52571">
        <w:fldChar w:fldCharType="separate"/>
      </w:r>
      <w:r w:rsidR="0007597F" w:rsidRPr="00A47285">
        <w:t xml:space="preserve">Tableau </w:t>
      </w:r>
      <w:r w:rsidR="0007597F">
        <w:rPr>
          <w:noProof/>
        </w:rPr>
        <w:t>40</w:t>
      </w:r>
      <w:r w:rsidR="00F52571">
        <w:fldChar w:fldCharType="end"/>
      </w:r>
      <w:r w:rsidR="00522A26" w:rsidRPr="000F5766">
        <w:t>). Toutes espèces confondues, une part importante des produits finis est destinée à l’exportation.</w:t>
      </w:r>
    </w:p>
    <w:tbl>
      <w:tblPr>
        <w:tblW w:w="9351" w:type="dxa"/>
        <w:jc w:val="center"/>
        <w:tblCellMar>
          <w:left w:w="70" w:type="dxa"/>
          <w:right w:w="70" w:type="dxa"/>
        </w:tblCellMar>
        <w:tblLook w:val="0600" w:firstRow="0" w:lastRow="0" w:firstColumn="0" w:lastColumn="0" w:noHBand="1" w:noVBand="1"/>
      </w:tblPr>
      <w:tblGrid>
        <w:gridCol w:w="1981"/>
        <w:gridCol w:w="939"/>
        <w:gridCol w:w="1027"/>
        <w:gridCol w:w="748"/>
        <w:gridCol w:w="746"/>
        <w:gridCol w:w="1361"/>
        <w:gridCol w:w="2549"/>
      </w:tblGrid>
      <w:tr w:rsidR="00A47285" w:rsidRPr="00A47285" w14:paraId="13054295" w14:textId="77777777" w:rsidTr="00DF51F1">
        <w:trPr>
          <w:trHeight w:val="197"/>
          <w:jc w:val="center"/>
        </w:trPr>
        <w:tc>
          <w:tcPr>
            <w:tcW w:w="2043" w:type="dxa"/>
            <w:tcBorders>
              <w:top w:val="single" w:sz="4" w:space="0" w:color="auto"/>
              <w:left w:val="single" w:sz="4" w:space="0" w:color="auto"/>
              <w:bottom w:val="nil"/>
              <w:right w:val="nil"/>
            </w:tcBorders>
            <w:shd w:val="clear" w:color="000000" w:fill="D9D9D9"/>
            <w:vAlign w:val="center"/>
            <w:hideMark/>
          </w:tcPr>
          <w:p w14:paraId="3DF32F91"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lastRenderedPageBreak/>
              <w:t> </w:t>
            </w:r>
          </w:p>
        </w:tc>
        <w:tc>
          <w:tcPr>
            <w:tcW w:w="963" w:type="dxa"/>
            <w:tcBorders>
              <w:top w:val="single" w:sz="4" w:space="0" w:color="auto"/>
              <w:left w:val="nil"/>
              <w:bottom w:val="nil"/>
              <w:right w:val="nil"/>
            </w:tcBorders>
            <w:shd w:val="clear" w:color="000000" w:fill="D9D9D9"/>
            <w:vAlign w:val="center"/>
            <w:hideMark/>
          </w:tcPr>
          <w:p w14:paraId="3574B1A2"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Total</w:t>
            </w:r>
          </w:p>
        </w:tc>
        <w:tc>
          <w:tcPr>
            <w:tcW w:w="1027" w:type="dxa"/>
            <w:tcBorders>
              <w:top w:val="single" w:sz="4" w:space="0" w:color="auto"/>
              <w:left w:val="nil"/>
              <w:bottom w:val="nil"/>
              <w:right w:val="nil"/>
            </w:tcBorders>
            <w:shd w:val="clear" w:color="000000" w:fill="D9D9D9"/>
            <w:vAlign w:val="center"/>
            <w:hideMark/>
          </w:tcPr>
          <w:p w14:paraId="58CF532A"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Petfood</w:t>
            </w:r>
          </w:p>
        </w:tc>
        <w:tc>
          <w:tcPr>
            <w:tcW w:w="1494" w:type="dxa"/>
            <w:gridSpan w:val="2"/>
            <w:tcBorders>
              <w:top w:val="single" w:sz="4" w:space="0" w:color="auto"/>
              <w:left w:val="nil"/>
              <w:bottom w:val="nil"/>
              <w:right w:val="nil"/>
            </w:tcBorders>
            <w:shd w:val="clear" w:color="000000" w:fill="D9D9D9"/>
            <w:vAlign w:val="center"/>
            <w:hideMark/>
          </w:tcPr>
          <w:p w14:paraId="24B65EC2" w14:textId="7E91CA85"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Energie</w:t>
            </w:r>
          </w:p>
        </w:tc>
        <w:tc>
          <w:tcPr>
            <w:tcW w:w="1131" w:type="dxa"/>
            <w:tcBorders>
              <w:top w:val="single" w:sz="4" w:space="0" w:color="auto"/>
              <w:left w:val="nil"/>
              <w:bottom w:val="nil"/>
              <w:right w:val="nil"/>
            </w:tcBorders>
            <w:shd w:val="clear" w:color="000000" w:fill="D9D9D9"/>
            <w:vAlign w:val="center"/>
            <w:hideMark/>
          </w:tcPr>
          <w:p w14:paraId="035DEC8E" w14:textId="3A134056"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Fertilisant</w:t>
            </w:r>
          </w:p>
        </w:tc>
        <w:tc>
          <w:tcPr>
            <w:tcW w:w="2693" w:type="dxa"/>
            <w:tcBorders>
              <w:top w:val="single" w:sz="4" w:space="0" w:color="auto"/>
              <w:left w:val="nil"/>
              <w:bottom w:val="nil"/>
              <w:right w:val="single" w:sz="4" w:space="0" w:color="auto"/>
            </w:tcBorders>
            <w:shd w:val="clear" w:color="000000" w:fill="D9D9D9"/>
            <w:vAlign w:val="center"/>
            <w:hideMark/>
          </w:tcPr>
          <w:p w14:paraId="4548C047"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Aquaculture</w:t>
            </w:r>
          </w:p>
        </w:tc>
      </w:tr>
      <w:tr w:rsidR="00A47285" w:rsidRPr="00A47285" w14:paraId="246DCEA0" w14:textId="77777777" w:rsidTr="00DF51F1">
        <w:trPr>
          <w:trHeight w:val="300"/>
          <w:jc w:val="center"/>
        </w:trPr>
        <w:tc>
          <w:tcPr>
            <w:tcW w:w="2043" w:type="dxa"/>
            <w:tcBorders>
              <w:top w:val="nil"/>
              <w:left w:val="single" w:sz="4" w:space="0" w:color="auto"/>
              <w:bottom w:val="nil"/>
              <w:right w:val="nil"/>
            </w:tcBorders>
            <w:shd w:val="clear" w:color="auto" w:fill="auto"/>
            <w:vAlign w:val="center"/>
            <w:hideMark/>
          </w:tcPr>
          <w:p w14:paraId="4BD7F8FD"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 xml:space="preserve">PAT Porc </w:t>
            </w:r>
          </w:p>
        </w:tc>
        <w:tc>
          <w:tcPr>
            <w:tcW w:w="963" w:type="dxa"/>
            <w:tcBorders>
              <w:top w:val="nil"/>
              <w:left w:val="nil"/>
              <w:bottom w:val="nil"/>
              <w:right w:val="nil"/>
            </w:tcBorders>
            <w:shd w:val="clear" w:color="auto" w:fill="auto"/>
            <w:vAlign w:val="center"/>
            <w:hideMark/>
          </w:tcPr>
          <w:p w14:paraId="3777D7DB"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62,8</w:t>
            </w:r>
          </w:p>
        </w:tc>
        <w:tc>
          <w:tcPr>
            <w:tcW w:w="1027" w:type="dxa"/>
            <w:tcBorders>
              <w:top w:val="nil"/>
              <w:left w:val="nil"/>
              <w:bottom w:val="nil"/>
              <w:right w:val="nil"/>
            </w:tcBorders>
            <w:shd w:val="clear" w:color="auto" w:fill="auto"/>
            <w:vAlign w:val="center"/>
            <w:hideMark/>
          </w:tcPr>
          <w:p w14:paraId="0BA0AD26"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52,4</w:t>
            </w:r>
          </w:p>
        </w:tc>
        <w:tc>
          <w:tcPr>
            <w:tcW w:w="1494" w:type="dxa"/>
            <w:gridSpan w:val="2"/>
            <w:tcBorders>
              <w:top w:val="nil"/>
              <w:left w:val="nil"/>
              <w:bottom w:val="nil"/>
              <w:right w:val="nil"/>
            </w:tcBorders>
            <w:shd w:val="clear" w:color="auto" w:fill="auto"/>
            <w:vAlign w:val="center"/>
            <w:hideMark/>
          </w:tcPr>
          <w:p w14:paraId="2E1F5450"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0,23</w:t>
            </w:r>
          </w:p>
        </w:tc>
        <w:tc>
          <w:tcPr>
            <w:tcW w:w="1131" w:type="dxa"/>
            <w:tcBorders>
              <w:top w:val="nil"/>
              <w:left w:val="nil"/>
              <w:bottom w:val="nil"/>
              <w:right w:val="nil"/>
            </w:tcBorders>
            <w:shd w:val="clear" w:color="auto" w:fill="auto"/>
            <w:vAlign w:val="center"/>
            <w:hideMark/>
          </w:tcPr>
          <w:p w14:paraId="02F23BCF"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0,03</w:t>
            </w:r>
          </w:p>
        </w:tc>
        <w:tc>
          <w:tcPr>
            <w:tcW w:w="2693" w:type="dxa"/>
            <w:tcBorders>
              <w:top w:val="nil"/>
              <w:left w:val="nil"/>
              <w:bottom w:val="nil"/>
              <w:right w:val="single" w:sz="4" w:space="0" w:color="auto"/>
            </w:tcBorders>
            <w:shd w:val="clear" w:color="auto" w:fill="auto"/>
            <w:vAlign w:val="center"/>
            <w:hideMark/>
          </w:tcPr>
          <w:p w14:paraId="21ED3743"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10,1</w:t>
            </w:r>
          </w:p>
        </w:tc>
      </w:tr>
      <w:tr w:rsidR="00A47285" w:rsidRPr="00A47285" w14:paraId="300AEE6E" w14:textId="77777777" w:rsidTr="00DF51F1">
        <w:trPr>
          <w:trHeight w:val="300"/>
          <w:jc w:val="center"/>
        </w:trPr>
        <w:tc>
          <w:tcPr>
            <w:tcW w:w="2043" w:type="dxa"/>
            <w:tcBorders>
              <w:top w:val="nil"/>
              <w:left w:val="single" w:sz="4" w:space="0" w:color="auto"/>
              <w:bottom w:val="nil"/>
              <w:right w:val="nil"/>
            </w:tcBorders>
            <w:shd w:val="clear" w:color="000000" w:fill="D9D9D9"/>
            <w:vAlign w:val="center"/>
            <w:hideMark/>
          </w:tcPr>
          <w:p w14:paraId="239C8CF8" w14:textId="79DA5F43"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Petfood humide</w:t>
            </w:r>
          </w:p>
        </w:tc>
        <w:tc>
          <w:tcPr>
            <w:tcW w:w="963" w:type="dxa"/>
            <w:tcBorders>
              <w:top w:val="nil"/>
              <w:left w:val="nil"/>
              <w:bottom w:val="nil"/>
              <w:right w:val="nil"/>
            </w:tcBorders>
            <w:shd w:val="clear" w:color="000000" w:fill="D9D9D9"/>
            <w:vAlign w:val="center"/>
            <w:hideMark/>
          </w:tcPr>
          <w:p w14:paraId="47D8CC74"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50</w:t>
            </w:r>
          </w:p>
        </w:tc>
        <w:tc>
          <w:tcPr>
            <w:tcW w:w="1027" w:type="dxa"/>
            <w:tcBorders>
              <w:top w:val="nil"/>
              <w:left w:val="nil"/>
              <w:bottom w:val="nil"/>
              <w:right w:val="nil"/>
            </w:tcBorders>
            <w:shd w:val="clear" w:color="000000" w:fill="D9D9D9"/>
            <w:vAlign w:val="center"/>
            <w:hideMark/>
          </w:tcPr>
          <w:p w14:paraId="6328471E"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50</w:t>
            </w:r>
          </w:p>
        </w:tc>
        <w:tc>
          <w:tcPr>
            <w:tcW w:w="748" w:type="dxa"/>
            <w:tcBorders>
              <w:top w:val="nil"/>
              <w:left w:val="nil"/>
              <w:bottom w:val="nil"/>
              <w:right w:val="nil"/>
            </w:tcBorders>
            <w:shd w:val="clear" w:color="000000" w:fill="D9D9D9"/>
            <w:vAlign w:val="center"/>
            <w:hideMark/>
          </w:tcPr>
          <w:p w14:paraId="1B3D46F5" w14:textId="770D51EE"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746" w:type="dxa"/>
            <w:tcBorders>
              <w:top w:val="nil"/>
              <w:left w:val="nil"/>
              <w:bottom w:val="nil"/>
              <w:right w:val="nil"/>
            </w:tcBorders>
            <w:shd w:val="clear" w:color="000000" w:fill="D9D9D9"/>
            <w:vAlign w:val="center"/>
            <w:hideMark/>
          </w:tcPr>
          <w:p w14:paraId="18D7DE8D" w14:textId="550D0096"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1131" w:type="dxa"/>
            <w:tcBorders>
              <w:top w:val="nil"/>
              <w:left w:val="nil"/>
              <w:bottom w:val="nil"/>
              <w:right w:val="nil"/>
            </w:tcBorders>
            <w:shd w:val="clear" w:color="000000" w:fill="D9D9D9"/>
            <w:vAlign w:val="center"/>
            <w:hideMark/>
          </w:tcPr>
          <w:p w14:paraId="2C818DE2" w14:textId="6EDC4E56"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2693" w:type="dxa"/>
            <w:tcBorders>
              <w:top w:val="nil"/>
              <w:left w:val="nil"/>
              <w:bottom w:val="nil"/>
              <w:right w:val="single" w:sz="4" w:space="0" w:color="auto"/>
            </w:tcBorders>
            <w:shd w:val="clear" w:color="000000" w:fill="D9D9D9"/>
            <w:vAlign w:val="center"/>
            <w:hideMark/>
          </w:tcPr>
          <w:p w14:paraId="012CD599" w14:textId="14B61CE6"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r>
      <w:tr w:rsidR="00A47285" w:rsidRPr="00A47285" w14:paraId="6D6352DD" w14:textId="77777777" w:rsidTr="00DF51F1">
        <w:trPr>
          <w:trHeight w:val="300"/>
          <w:jc w:val="center"/>
        </w:trPr>
        <w:tc>
          <w:tcPr>
            <w:tcW w:w="2043" w:type="dxa"/>
            <w:tcBorders>
              <w:top w:val="nil"/>
              <w:left w:val="single" w:sz="4" w:space="0" w:color="auto"/>
              <w:bottom w:val="single" w:sz="4" w:space="0" w:color="000000"/>
              <w:right w:val="nil"/>
            </w:tcBorders>
            <w:shd w:val="clear" w:color="000000" w:fill="D9D9D9"/>
            <w:vAlign w:val="center"/>
            <w:hideMark/>
          </w:tcPr>
          <w:p w14:paraId="2E69AD02"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 xml:space="preserve">Méthanisation (*) </w:t>
            </w:r>
          </w:p>
        </w:tc>
        <w:tc>
          <w:tcPr>
            <w:tcW w:w="963" w:type="dxa"/>
            <w:tcBorders>
              <w:top w:val="nil"/>
              <w:left w:val="nil"/>
              <w:bottom w:val="single" w:sz="4" w:space="0" w:color="000000"/>
              <w:right w:val="nil"/>
            </w:tcBorders>
            <w:shd w:val="clear" w:color="000000" w:fill="D9D9D9"/>
            <w:vAlign w:val="center"/>
            <w:hideMark/>
          </w:tcPr>
          <w:p w14:paraId="271EE9CD"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0,1</w:t>
            </w:r>
          </w:p>
        </w:tc>
        <w:tc>
          <w:tcPr>
            <w:tcW w:w="1027" w:type="dxa"/>
            <w:tcBorders>
              <w:top w:val="nil"/>
              <w:left w:val="nil"/>
              <w:bottom w:val="single" w:sz="4" w:space="0" w:color="000000"/>
              <w:right w:val="nil"/>
            </w:tcBorders>
            <w:shd w:val="clear" w:color="000000" w:fill="D9D9D9"/>
            <w:vAlign w:val="center"/>
            <w:hideMark/>
          </w:tcPr>
          <w:p w14:paraId="67FC24EA" w14:textId="297F6D83"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1494" w:type="dxa"/>
            <w:gridSpan w:val="2"/>
            <w:tcBorders>
              <w:top w:val="nil"/>
              <w:left w:val="nil"/>
              <w:bottom w:val="single" w:sz="4" w:space="0" w:color="000000"/>
              <w:right w:val="nil"/>
            </w:tcBorders>
            <w:shd w:val="clear" w:color="000000" w:fill="D9D9D9"/>
            <w:vAlign w:val="center"/>
            <w:hideMark/>
          </w:tcPr>
          <w:p w14:paraId="4F21197C"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0,1</w:t>
            </w:r>
          </w:p>
        </w:tc>
        <w:tc>
          <w:tcPr>
            <w:tcW w:w="1131" w:type="dxa"/>
            <w:tcBorders>
              <w:top w:val="nil"/>
              <w:left w:val="nil"/>
              <w:bottom w:val="single" w:sz="4" w:space="0" w:color="000000"/>
              <w:right w:val="nil"/>
            </w:tcBorders>
            <w:shd w:val="clear" w:color="000000" w:fill="D9D9D9"/>
            <w:vAlign w:val="center"/>
            <w:hideMark/>
          </w:tcPr>
          <w:p w14:paraId="43DB7E91" w14:textId="1898F8C8"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c>
          <w:tcPr>
            <w:tcW w:w="2693" w:type="dxa"/>
            <w:tcBorders>
              <w:top w:val="nil"/>
              <w:left w:val="nil"/>
              <w:bottom w:val="single" w:sz="4" w:space="0" w:color="000000"/>
              <w:right w:val="single" w:sz="4" w:space="0" w:color="auto"/>
            </w:tcBorders>
            <w:shd w:val="clear" w:color="000000" w:fill="D9D9D9"/>
            <w:vAlign w:val="center"/>
            <w:hideMark/>
          </w:tcPr>
          <w:p w14:paraId="56935651" w14:textId="3F8CE15B"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p>
        </w:tc>
      </w:tr>
      <w:tr w:rsidR="00A47285" w:rsidRPr="00A47285" w14:paraId="1D0E0FAC" w14:textId="77777777" w:rsidTr="00DF51F1">
        <w:trPr>
          <w:trHeight w:val="257"/>
          <w:jc w:val="center"/>
        </w:trPr>
        <w:tc>
          <w:tcPr>
            <w:tcW w:w="2043" w:type="dxa"/>
            <w:tcBorders>
              <w:top w:val="nil"/>
              <w:left w:val="single" w:sz="4" w:space="0" w:color="auto"/>
              <w:bottom w:val="nil"/>
              <w:right w:val="nil"/>
            </w:tcBorders>
            <w:shd w:val="clear" w:color="000000" w:fill="D9D9D9"/>
            <w:vAlign w:val="center"/>
            <w:hideMark/>
          </w:tcPr>
          <w:p w14:paraId="166EE8A4"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 </w:t>
            </w:r>
          </w:p>
        </w:tc>
        <w:tc>
          <w:tcPr>
            <w:tcW w:w="963" w:type="dxa"/>
            <w:tcBorders>
              <w:top w:val="nil"/>
              <w:left w:val="nil"/>
              <w:bottom w:val="nil"/>
              <w:right w:val="nil"/>
            </w:tcBorders>
            <w:shd w:val="clear" w:color="000000" w:fill="D9D9D9"/>
            <w:vAlign w:val="center"/>
            <w:hideMark/>
          </w:tcPr>
          <w:p w14:paraId="37DF94E6" w14:textId="0F97EC00"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Total</w:t>
            </w:r>
          </w:p>
        </w:tc>
        <w:tc>
          <w:tcPr>
            <w:tcW w:w="1027" w:type="dxa"/>
            <w:tcBorders>
              <w:top w:val="nil"/>
              <w:left w:val="nil"/>
              <w:bottom w:val="nil"/>
              <w:right w:val="nil"/>
            </w:tcBorders>
            <w:shd w:val="clear" w:color="000000" w:fill="D9D9D9"/>
            <w:vAlign w:val="center"/>
            <w:hideMark/>
          </w:tcPr>
          <w:p w14:paraId="176013AC"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Petfood</w:t>
            </w:r>
          </w:p>
        </w:tc>
        <w:tc>
          <w:tcPr>
            <w:tcW w:w="1494" w:type="dxa"/>
            <w:gridSpan w:val="2"/>
            <w:tcBorders>
              <w:top w:val="single" w:sz="4" w:space="0" w:color="auto"/>
              <w:left w:val="nil"/>
              <w:bottom w:val="nil"/>
              <w:right w:val="nil"/>
            </w:tcBorders>
            <w:shd w:val="clear" w:color="000000" w:fill="D9D9D9"/>
            <w:vAlign w:val="center"/>
            <w:hideMark/>
          </w:tcPr>
          <w:p w14:paraId="5BDF7856"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Combustible</w:t>
            </w:r>
          </w:p>
        </w:tc>
        <w:tc>
          <w:tcPr>
            <w:tcW w:w="1131" w:type="dxa"/>
            <w:tcBorders>
              <w:top w:val="nil"/>
              <w:left w:val="nil"/>
              <w:bottom w:val="nil"/>
              <w:right w:val="nil"/>
            </w:tcBorders>
            <w:shd w:val="clear" w:color="000000" w:fill="D9D9D9"/>
            <w:vAlign w:val="center"/>
            <w:hideMark/>
          </w:tcPr>
          <w:p w14:paraId="271866B1" w14:textId="77777777"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Oléochimie</w:t>
            </w:r>
          </w:p>
        </w:tc>
        <w:tc>
          <w:tcPr>
            <w:tcW w:w="2693" w:type="dxa"/>
            <w:tcBorders>
              <w:top w:val="nil"/>
              <w:left w:val="nil"/>
              <w:bottom w:val="nil"/>
              <w:right w:val="single" w:sz="4" w:space="0" w:color="auto"/>
            </w:tcBorders>
            <w:shd w:val="clear" w:color="000000" w:fill="D9D9D9"/>
            <w:vAlign w:val="center"/>
            <w:hideMark/>
          </w:tcPr>
          <w:p w14:paraId="6E2859E8" w14:textId="0360E250" w:rsidR="00A47285" w:rsidRPr="00A47285" w:rsidRDefault="00A47285" w:rsidP="002E750F">
            <w:pPr>
              <w:keepNext/>
              <w:spacing w:after="0" w:line="240" w:lineRule="auto"/>
              <w:ind w:left="142"/>
              <w:jc w:val="center"/>
              <w:rPr>
                <w:rFonts w:eastAsia="Times New Roman" w:cs="Arial"/>
                <w:b/>
                <w:bCs/>
                <w:color w:val="000000"/>
                <w:sz w:val="20"/>
                <w:szCs w:val="20"/>
                <w:lang w:eastAsia="fr-FR"/>
              </w:rPr>
            </w:pPr>
            <w:r w:rsidRPr="00A47285">
              <w:rPr>
                <w:rFonts w:eastAsia="Times New Roman" w:cs="Arial"/>
                <w:b/>
                <w:bCs/>
                <w:color w:val="000000"/>
                <w:sz w:val="20"/>
                <w:szCs w:val="20"/>
                <w:lang w:eastAsia="fr-FR"/>
              </w:rPr>
              <w:t>Alimentation animale</w:t>
            </w:r>
            <w:r w:rsidR="00DF51F1">
              <w:rPr>
                <w:rFonts w:eastAsia="Times New Roman" w:cs="Arial"/>
                <w:b/>
                <w:bCs/>
                <w:color w:val="000000"/>
                <w:sz w:val="20"/>
                <w:szCs w:val="20"/>
                <w:lang w:eastAsia="fr-FR"/>
              </w:rPr>
              <w:t xml:space="preserve"> </w:t>
            </w:r>
            <w:r w:rsidRPr="00A47285">
              <w:rPr>
                <w:rFonts w:eastAsia="Times New Roman" w:cs="Arial"/>
                <w:b/>
                <w:bCs/>
                <w:color w:val="000000"/>
                <w:sz w:val="20"/>
                <w:szCs w:val="20"/>
                <w:lang w:eastAsia="fr-FR"/>
              </w:rPr>
              <w:t>(*</w:t>
            </w:r>
            <w:r w:rsidR="0085739C">
              <w:rPr>
                <w:rFonts w:eastAsia="Times New Roman" w:cs="Arial"/>
                <w:b/>
                <w:bCs/>
                <w:color w:val="000000"/>
                <w:sz w:val="20"/>
                <w:szCs w:val="20"/>
                <w:lang w:eastAsia="fr-FR"/>
              </w:rPr>
              <w:t>)</w:t>
            </w:r>
          </w:p>
        </w:tc>
      </w:tr>
      <w:tr w:rsidR="00A47285" w:rsidRPr="00A47285" w14:paraId="01FBD3E6" w14:textId="77777777" w:rsidTr="00DF51F1">
        <w:trPr>
          <w:trHeight w:val="510"/>
          <w:jc w:val="center"/>
        </w:trPr>
        <w:tc>
          <w:tcPr>
            <w:tcW w:w="2043" w:type="dxa"/>
            <w:tcBorders>
              <w:top w:val="nil"/>
              <w:left w:val="single" w:sz="4" w:space="0" w:color="auto"/>
              <w:bottom w:val="nil"/>
              <w:right w:val="nil"/>
            </w:tcBorders>
            <w:shd w:val="clear" w:color="auto" w:fill="auto"/>
            <w:vAlign w:val="center"/>
            <w:hideMark/>
          </w:tcPr>
          <w:p w14:paraId="3F7BECA9"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 xml:space="preserve">Graisse de porc / de couenne </w:t>
            </w:r>
          </w:p>
        </w:tc>
        <w:tc>
          <w:tcPr>
            <w:tcW w:w="963" w:type="dxa"/>
            <w:tcBorders>
              <w:top w:val="nil"/>
              <w:left w:val="nil"/>
              <w:bottom w:val="nil"/>
              <w:right w:val="nil"/>
            </w:tcBorders>
            <w:shd w:val="clear" w:color="auto" w:fill="auto"/>
            <w:vAlign w:val="center"/>
            <w:hideMark/>
          </w:tcPr>
          <w:p w14:paraId="1032EB8F"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70,8</w:t>
            </w:r>
          </w:p>
        </w:tc>
        <w:tc>
          <w:tcPr>
            <w:tcW w:w="1027" w:type="dxa"/>
            <w:tcBorders>
              <w:top w:val="nil"/>
              <w:left w:val="nil"/>
              <w:bottom w:val="nil"/>
              <w:right w:val="nil"/>
            </w:tcBorders>
            <w:shd w:val="clear" w:color="auto" w:fill="auto"/>
            <w:vAlign w:val="center"/>
            <w:hideMark/>
          </w:tcPr>
          <w:p w14:paraId="0C839077"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6,4</w:t>
            </w:r>
          </w:p>
        </w:tc>
        <w:tc>
          <w:tcPr>
            <w:tcW w:w="748" w:type="dxa"/>
            <w:tcBorders>
              <w:top w:val="nil"/>
              <w:left w:val="nil"/>
              <w:bottom w:val="nil"/>
              <w:right w:val="nil"/>
            </w:tcBorders>
            <w:shd w:val="clear" w:color="auto" w:fill="auto"/>
            <w:vAlign w:val="center"/>
            <w:hideMark/>
          </w:tcPr>
          <w:p w14:paraId="2E49CB98"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0,15</w:t>
            </w:r>
          </w:p>
        </w:tc>
        <w:tc>
          <w:tcPr>
            <w:tcW w:w="746" w:type="dxa"/>
            <w:tcBorders>
              <w:top w:val="nil"/>
              <w:left w:val="nil"/>
              <w:bottom w:val="nil"/>
              <w:right w:val="nil"/>
            </w:tcBorders>
            <w:shd w:val="clear" w:color="auto" w:fill="auto"/>
            <w:vAlign w:val="center"/>
            <w:hideMark/>
          </w:tcPr>
          <w:p w14:paraId="6014600E"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26,8</w:t>
            </w:r>
          </w:p>
        </w:tc>
        <w:tc>
          <w:tcPr>
            <w:tcW w:w="1131" w:type="dxa"/>
            <w:tcBorders>
              <w:top w:val="nil"/>
              <w:left w:val="nil"/>
              <w:bottom w:val="nil"/>
              <w:right w:val="nil"/>
            </w:tcBorders>
            <w:shd w:val="clear" w:color="auto" w:fill="auto"/>
            <w:vAlign w:val="center"/>
            <w:hideMark/>
          </w:tcPr>
          <w:p w14:paraId="08B5F120"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14,2</w:t>
            </w:r>
          </w:p>
        </w:tc>
        <w:tc>
          <w:tcPr>
            <w:tcW w:w="2693" w:type="dxa"/>
            <w:tcBorders>
              <w:top w:val="nil"/>
              <w:left w:val="nil"/>
              <w:bottom w:val="nil"/>
              <w:right w:val="single" w:sz="4" w:space="0" w:color="auto"/>
            </w:tcBorders>
            <w:shd w:val="clear" w:color="auto" w:fill="auto"/>
            <w:vAlign w:val="center"/>
            <w:hideMark/>
          </w:tcPr>
          <w:p w14:paraId="46F00BA7" w14:textId="77777777" w:rsidR="00A47285" w:rsidRPr="00A47285" w:rsidRDefault="00A47285" w:rsidP="002E750F">
            <w:pPr>
              <w:keepNext/>
              <w:spacing w:after="0" w:line="240" w:lineRule="auto"/>
              <w:ind w:left="142"/>
              <w:jc w:val="center"/>
              <w:rPr>
                <w:rFonts w:eastAsia="Times New Roman" w:cs="Arial"/>
                <w:color w:val="000000"/>
                <w:sz w:val="20"/>
                <w:szCs w:val="20"/>
                <w:lang w:eastAsia="fr-FR"/>
              </w:rPr>
            </w:pPr>
            <w:r w:rsidRPr="00A47285">
              <w:rPr>
                <w:rFonts w:eastAsia="Times New Roman" w:cs="Arial"/>
                <w:color w:val="000000"/>
                <w:sz w:val="20"/>
                <w:szCs w:val="20"/>
                <w:lang w:eastAsia="fr-FR"/>
              </w:rPr>
              <w:t>23,2</w:t>
            </w:r>
          </w:p>
        </w:tc>
      </w:tr>
      <w:tr w:rsidR="00A47285" w:rsidRPr="00A47285" w14:paraId="282FE465" w14:textId="77777777" w:rsidTr="00DF51F1">
        <w:trPr>
          <w:trHeight w:val="300"/>
          <w:jc w:val="center"/>
        </w:trPr>
        <w:tc>
          <w:tcPr>
            <w:tcW w:w="2043" w:type="dxa"/>
            <w:tcBorders>
              <w:top w:val="nil"/>
              <w:left w:val="single" w:sz="4" w:space="0" w:color="auto"/>
              <w:bottom w:val="single" w:sz="4" w:space="0" w:color="auto"/>
              <w:right w:val="nil"/>
            </w:tcBorders>
            <w:shd w:val="clear" w:color="000000" w:fill="D9D9D9"/>
            <w:vAlign w:val="center"/>
            <w:hideMark/>
          </w:tcPr>
          <w:p w14:paraId="34FCC3F2" w14:textId="7A85617A"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 xml:space="preserve">Fonte </w:t>
            </w:r>
          </w:p>
        </w:tc>
        <w:tc>
          <w:tcPr>
            <w:tcW w:w="963" w:type="dxa"/>
            <w:tcBorders>
              <w:top w:val="nil"/>
              <w:left w:val="nil"/>
              <w:bottom w:val="single" w:sz="4" w:space="0" w:color="auto"/>
              <w:right w:val="nil"/>
            </w:tcBorders>
            <w:shd w:val="clear" w:color="000000" w:fill="D9D9D9"/>
            <w:vAlign w:val="center"/>
            <w:hideMark/>
          </w:tcPr>
          <w:p w14:paraId="5FF5E6E4"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32,8</w:t>
            </w:r>
          </w:p>
        </w:tc>
        <w:tc>
          <w:tcPr>
            <w:tcW w:w="1027" w:type="dxa"/>
            <w:tcBorders>
              <w:top w:val="nil"/>
              <w:left w:val="nil"/>
              <w:bottom w:val="single" w:sz="4" w:space="0" w:color="auto"/>
              <w:right w:val="nil"/>
            </w:tcBorders>
            <w:shd w:val="clear" w:color="000000" w:fill="D9D9D9"/>
            <w:vAlign w:val="center"/>
            <w:hideMark/>
          </w:tcPr>
          <w:p w14:paraId="77A7B0B6"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1,02</w:t>
            </w:r>
          </w:p>
        </w:tc>
        <w:tc>
          <w:tcPr>
            <w:tcW w:w="748" w:type="dxa"/>
            <w:tcBorders>
              <w:top w:val="nil"/>
              <w:left w:val="nil"/>
              <w:bottom w:val="single" w:sz="4" w:space="0" w:color="auto"/>
              <w:right w:val="nil"/>
            </w:tcBorders>
            <w:shd w:val="clear" w:color="000000" w:fill="D9D9D9"/>
            <w:vAlign w:val="center"/>
            <w:hideMark/>
          </w:tcPr>
          <w:p w14:paraId="773327EE"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 </w:t>
            </w:r>
          </w:p>
        </w:tc>
        <w:tc>
          <w:tcPr>
            <w:tcW w:w="746" w:type="dxa"/>
            <w:tcBorders>
              <w:top w:val="nil"/>
              <w:left w:val="nil"/>
              <w:bottom w:val="single" w:sz="4" w:space="0" w:color="auto"/>
              <w:right w:val="nil"/>
            </w:tcBorders>
            <w:shd w:val="clear" w:color="000000" w:fill="D9D9D9"/>
            <w:vAlign w:val="center"/>
            <w:hideMark/>
          </w:tcPr>
          <w:p w14:paraId="008FD25F"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1,9</w:t>
            </w:r>
          </w:p>
        </w:tc>
        <w:tc>
          <w:tcPr>
            <w:tcW w:w="1131" w:type="dxa"/>
            <w:tcBorders>
              <w:top w:val="nil"/>
              <w:left w:val="nil"/>
              <w:bottom w:val="single" w:sz="4" w:space="0" w:color="auto"/>
              <w:right w:val="nil"/>
            </w:tcBorders>
            <w:shd w:val="clear" w:color="000000" w:fill="D9D9D9"/>
            <w:vAlign w:val="center"/>
            <w:hideMark/>
          </w:tcPr>
          <w:p w14:paraId="28863232"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25,9</w:t>
            </w:r>
          </w:p>
        </w:tc>
        <w:tc>
          <w:tcPr>
            <w:tcW w:w="2693" w:type="dxa"/>
            <w:tcBorders>
              <w:top w:val="nil"/>
              <w:left w:val="nil"/>
              <w:bottom w:val="single" w:sz="4" w:space="0" w:color="auto"/>
              <w:right w:val="single" w:sz="4" w:space="0" w:color="auto"/>
            </w:tcBorders>
            <w:shd w:val="clear" w:color="000000" w:fill="D9D9D9"/>
            <w:vAlign w:val="center"/>
            <w:hideMark/>
          </w:tcPr>
          <w:p w14:paraId="3F407E09" w14:textId="77777777" w:rsidR="00A47285" w:rsidRPr="00A47285" w:rsidRDefault="00A47285" w:rsidP="002E750F">
            <w:pPr>
              <w:keepNext/>
              <w:spacing w:after="0" w:line="240" w:lineRule="auto"/>
              <w:ind w:left="142"/>
              <w:jc w:val="center"/>
              <w:rPr>
                <w:rFonts w:eastAsia="Times New Roman" w:cs="Arial"/>
                <w:i/>
                <w:iCs/>
                <w:color w:val="000000"/>
                <w:sz w:val="20"/>
                <w:szCs w:val="20"/>
                <w:lang w:eastAsia="fr-FR"/>
              </w:rPr>
            </w:pPr>
            <w:r w:rsidRPr="00A47285">
              <w:rPr>
                <w:rFonts w:eastAsia="Times New Roman" w:cs="Arial"/>
                <w:i/>
                <w:iCs/>
                <w:color w:val="000000"/>
                <w:sz w:val="20"/>
                <w:szCs w:val="20"/>
                <w:lang w:eastAsia="fr-FR"/>
              </w:rPr>
              <w:t>4,0</w:t>
            </w:r>
          </w:p>
        </w:tc>
      </w:tr>
    </w:tbl>
    <w:p w14:paraId="4F9C6DFE" w14:textId="1C7B1613" w:rsidR="0085739C" w:rsidRPr="007455F4" w:rsidRDefault="00821812" w:rsidP="007455F4">
      <w:pPr>
        <w:pStyle w:val="figure"/>
        <w:ind w:left="284" w:right="-1"/>
      </w:pPr>
      <w:bookmarkStart w:id="198" w:name="_Ref68528043"/>
      <w:bookmarkStart w:id="199" w:name="_Toc72143388"/>
      <w:bookmarkStart w:id="200" w:name="_Ref68528038"/>
      <w:r w:rsidRPr="00A47285">
        <w:t xml:space="preserve">Tableau </w:t>
      </w:r>
      <w:r w:rsidR="00926407">
        <w:fldChar w:fldCharType="begin"/>
      </w:r>
      <w:r w:rsidR="00926407">
        <w:rPr>
          <w:b w:val="0"/>
          <w:bCs w:val="0"/>
          <w:iCs w:val="0"/>
        </w:rPr>
        <w:instrText xml:space="preserve"> SEQ Tableau \* ARABIC </w:instrText>
      </w:r>
      <w:r w:rsidR="00926407">
        <w:fldChar w:fldCharType="separate"/>
      </w:r>
      <w:r w:rsidR="0007597F">
        <w:rPr>
          <w:noProof/>
        </w:rPr>
        <w:t>40</w:t>
      </w:r>
      <w:r w:rsidR="00926407">
        <w:rPr>
          <w:noProof/>
        </w:rPr>
        <w:fldChar w:fldCharType="end"/>
      </w:r>
      <w:bookmarkEnd w:id="198"/>
      <w:r w:rsidR="00261767">
        <w:t xml:space="preserve"> :</w:t>
      </w:r>
      <w:r w:rsidRPr="00A47285">
        <w:t xml:space="preserve"> </w:t>
      </w:r>
      <w:r w:rsidR="009A7DA9">
        <w:t>Ventilation en volume</w:t>
      </w:r>
      <w:r w:rsidRPr="00A47285">
        <w:t xml:space="preserve"> des</w:t>
      </w:r>
      <w:r w:rsidR="009A7DA9">
        <w:t xml:space="preserve"> coproduits</w:t>
      </w:r>
      <w:r w:rsidRPr="00A47285">
        <w:t xml:space="preserve"> C3 et </w:t>
      </w:r>
      <w:r w:rsidR="00BE7056">
        <w:t>C2 dérogatoire</w:t>
      </w:r>
      <w:r w:rsidR="00E8461F">
        <w:rPr>
          <w:i/>
        </w:rPr>
        <w:t xml:space="preserve"> </w:t>
      </w:r>
      <w:r w:rsidRPr="00A47285">
        <w:t xml:space="preserve">issus de la filière porcine </w:t>
      </w:r>
      <w:r w:rsidR="00A47285">
        <w:t>en kt</w:t>
      </w:r>
      <w:bookmarkEnd w:id="199"/>
      <w:r w:rsidR="002631E5">
        <w:t xml:space="preserve"> </w:t>
      </w:r>
      <w:r w:rsidR="00CD6FFF" w:rsidRPr="007455F4">
        <w:rPr>
          <w:b w:val="0"/>
          <w:i/>
        </w:rPr>
        <w:t>(</w:t>
      </w:r>
      <w:r w:rsidR="00733CF0" w:rsidRPr="007455F4">
        <w:rPr>
          <w:b w:val="0"/>
          <w:i/>
        </w:rPr>
        <w:t>S</w:t>
      </w:r>
      <w:r w:rsidR="002631E5" w:rsidRPr="007455F4">
        <w:rPr>
          <w:b w:val="0"/>
          <w:i/>
        </w:rPr>
        <w:t>ource : I</w:t>
      </w:r>
      <w:r w:rsidR="00733CF0" w:rsidRPr="007455F4">
        <w:rPr>
          <w:b w:val="0"/>
          <w:i/>
        </w:rPr>
        <w:t>FIP</w:t>
      </w:r>
      <w:r w:rsidR="002631E5" w:rsidRPr="007455F4">
        <w:rPr>
          <w:b w:val="0"/>
          <w:i/>
        </w:rPr>
        <w:t xml:space="preserve"> d’après SIFCO</w:t>
      </w:r>
      <w:r w:rsidR="00CD6FFF" w:rsidRPr="007455F4">
        <w:rPr>
          <w:b w:val="0"/>
          <w:i/>
        </w:rPr>
        <w:t>)</w:t>
      </w:r>
      <w:bookmarkEnd w:id="200"/>
    </w:p>
    <w:p w14:paraId="2B08D5DB" w14:textId="522D40A2" w:rsidR="001734FB" w:rsidRDefault="0085739C" w:rsidP="002E750F">
      <w:pPr>
        <w:pStyle w:val="Lgende"/>
      </w:pPr>
      <w:r w:rsidRPr="00E8461F">
        <w:t>(*) Alimentation animale hors ruminants.</w:t>
      </w:r>
    </w:p>
    <w:p w14:paraId="1F778C28" w14:textId="21C5C7B4" w:rsidR="00780D3D" w:rsidRPr="00780D3D" w:rsidRDefault="0080621C" w:rsidP="00A63F35">
      <w:pPr>
        <w:pStyle w:val="Titre2"/>
        <w:numPr>
          <w:ilvl w:val="0"/>
          <w:numId w:val="0"/>
        </w:numPr>
        <w:ind w:left="360"/>
      </w:pPr>
      <w:bookmarkStart w:id="201" w:name="_Toc78131617"/>
      <w:r>
        <w:t xml:space="preserve">1.2. </w:t>
      </w:r>
      <w:r w:rsidR="00C815A7" w:rsidRPr="00780D3D">
        <w:t>Composition massique de la carcasse</w:t>
      </w:r>
      <w:r w:rsidR="005F54DA">
        <w:t xml:space="preserve"> </w:t>
      </w:r>
      <w:r w:rsidR="00B24913">
        <w:t>et des abats issus de l’éviscération</w:t>
      </w:r>
      <w:bookmarkEnd w:id="201"/>
      <w:r w:rsidR="00B24913">
        <w:t xml:space="preserve"> </w:t>
      </w:r>
    </w:p>
    <w:p w14:paraId="75702E7B" w14:textId="2E15B6D6" w:rsidR="00B24913" w:rsidRPr="000A157C" w:rsidRDefault="00B24913" w:rsidP="00A305CD">
      <w:pPr>
        <w:pStyle w:val="Titre3"/>
        <w:numPr>
          <w:ilvl w:val="2"/>
          <w:numId w:val="15"/>
        </w:numPr>
      </w:pPr>
      <w:bookmarkStart w:id="202" w:name="_Toc78131618"/>
      <w:r w:rsidRPr="000A157C">
        <w:t>Composition massique de la carcasse</w:t>
      </w:r>
      <w:bookmarkEnd w:id="202"/>
    </w:p>
    <w:p w14:paraId="0E075B8C" w14:textId="191C34D5" w:rsidR="005F54DA" w:rsidRDefault="00B62719" w:rsidP="000A157C">
      <w:r>
        <w:t xml:space="preserve">A l’entrée de l’abattoir, la présentation des carcasses de porcs </w:t>
      </w:r>
      <w:r w:rsidR="00A9096D">
        <w:t xml:space="preserve">charcutiers </w:t>
      </w:r>
      <w:r>
        <w:t xml:space="preserve">à la pesée est définie par le règlement (CE) </w:t>
      </w:r>
      <w:r w:rsidR="00A9096D">
        <w:t>(</w:t>
      </w:r>
      <w:r w:rsidR="00A9096D">
        <w:rPr>
          <w:rStyle w:val="Appelnotedebasdep"/>
        </w:rPr>
        <w:footnoteReference w:id="11"/>
      </w:r>
      <w:r w:rsidR="00A9096D">
        <w:t>)</w:t>
      </w:r>
      <w:r>
        <w:t>. Le poids net de la carcasse froide correspond au poids constaté à chaud après abatt</w:t>
      </w:r>
      <w:r w:rsidR="005F54DA">
        <w:t>ement</w:t>
      </w:r>
      <w:r>
        <w:t xml:space="preserve"> </w:t>
      </w:r>
      <w:r w:rsidR="00A9096D">
        <w:t xml:space="preserve">lié </w:t>
      </w:r>
      <w:r w:rsidR="00A56288">
        <w:t xml:space="preserve">aux pertes en eau du ressuage </w:t>
      </w:r>
      <w:r w:rsidR="00A9096D">
        <w:t>de</w:t>
      </w:r>
      <w:r>
        <w:t xml:space="preserve"> 2%</w:t>
      </w:r>
      <w:r w:rsidR="005F54DA">
        <w:t xml:space="preserve"> </w:t>
      </w:r>
      <w:r w:rsidR="00A65851">
        <w:t>(</w:t>
      </w:r>
      <w:r w:rsidR="00A65851">
        <w:rPr>
          <w:rStyle w:val="Appelnotedebasdep"/>
        </w:rPr>
        <w:footnoteReference w:id="12"/>
      </w:r>
      <w:r w:rsidR="00A65851">
        <w:t>)</w:t>
      </w:r>
      <w:r w:rsidR="00015BB2">
        <w:t xml:space="preserve">. A noter cependant, ce taux de ressuage a été estimé il y a plusieurs années et la réalité technique pourrait être comprise entre 1% et 1,5% en France tenant compte de l’évolution des systèmes de réfrigération. </w:t>
      </w:r>
      <w:r w:rsidR="003B7D57">
        <w:t>Dans le cas d’une pesée avec la langue, le poids chaud constaté est diminué de 0.5% supplémentaire</w:t>
      </w:r>
      <w:r w:rsidR="00C11066">
        <w:t xml:space="preserve"> tenant compte du poids de la pièce</w:t>
      </w:r>
      <w:r w:rsidR="003B7D57">
        <w:t>. Le poids net de la carcasse froide correspond dans ce dernier cas au poids constaté à chaud après abattement de 2,5</w:t>
      </w:r>
      <w:r w:rsidR="00015BB2">
        <w:t>%.</w:t>
      </w:r>
      <w:r w:rsidR="00FD2269">
        <w:t xml:space="preserve"> C’est ce taux </w:t>
      </w:r>
      <w:r w:rsidR="007F418B">
        <w:t xml:space="preserve">de 2,5% </w:t>
      </w:r>
      <w:r w:rsidR="00FD2269">
        <w:t xml:space="preserve">qui sera pris en référence dans le cadre de l’étude </w:t>
      </w:r>
      <w:r w:rsidR="00BF57B9">
        <w:t xml:space="preserve">dans la détermination de </w:t>
      </w:r>
      <w:r w:rsidR="00FD2269">
        <w:t xml:space="preserve">la </w:t>
      </w:r>
      <w:r w:rsidR="00BF57B9">
        <w:t>fraction à destination de la consommation humaine</w:t>
      </w:r>
      <w:r w:rsidR="00C11066">
        <w:t xml:space="preserve">, la grande majorité des porcs étant pesée avec la langue (Ifip, 2015). </w:t>
      </w:r>
    </w:p>
    <w:p w14:paraId="02ACD5CE" w14:textId="6B51FD91" w:rsidR="003E0089" w:rsidRPr="00112DE9" w:rsidRDefault="00A21494" w:rsidP="000A157C">
      <w:r>
        <w:t>Les données de composition massique de la carcasse évoluent notamment en fonction de la génétique, de l’alimentation et des méthodes de conduite d’élevage. Dans la ligne droite du mémento des viandes et charcuteries (IFIP, 2015) qui décrit de manière précise ces données</w:t>
      </w:r>
      <w:r w:rsidRPr="00814A4E">
        <w:t xml:space="preserve"> </w:t>
      </w:r>
      <w:r>
        <w:t xml:space="preserve">mais à partir d’essais de dissection de 2008, il s’est agi dans le cadre de l’étude de s’appuyer sur </w:t>
      </w:r>
      <w:r w:rsidR="00BF57B9">
        <w:t>un essai</w:t>
      </w:r>
      <w:r>
        <w:t xml:space="preserve"> </w:t>
      </w:r>
      <w:r w:rsidR="00BF57B9">
        <w:t xml:space="preserve">de </w:t>
      </w:r>
      <w:r>
        <w:t>dissection de 201</w:t>
      </w:r>
      <w:r w:rsidR="00BF57B9">
        <w:t>6</w:t>
      </w:r>
      <w:r w:rsidR="007F418B">
        <w:t xml:space="preserve"> conduit par l’Ifip</w:t>
      </w:r>
      <w:r w:rsidR="00BF57B9">
        <w:t>. Ce</w:t>
      </w:r>
      <w:r w:rsidR="00097656">
        <w:t xml:space="preserve"> dernier</w:t>
      </w:r>
      <w:r w:rsidR="00BF57B9">
        <w:t xml:space="preserve"> a été effectué sur une série de 172 animaux,</w:t>
      </w:r>
      <w:r w:rsidR="00BF57B9" w:rsidRPr="00BF57B9">
        <w:t xml:space="preserve"> sans valeurs extrêmes, repondéré selon les proportions par sexe </w:t>
      </w:r>
      <w:r w:rsidR="00097656">
        <w:t>de</w:t>
      </w:r>
      <w:r w:rsidR="00D82F63">
        <w:t xml:space="preserve"> la base des données</w:t>
      </w:r>
      <w:r w:rsidR="00BF57B9">
        <w:t xml:space="preserve"> </w:t>
      </w:r>
      <w:r w:rsidR="00BF57B9" w:rsidRPr="00BF57B9">
        <w:t>Uniporc 2019</w:t>
      </w:r>
      <w:r>
        <w:t>.</w:t>
      </w:r>
      <w:r w:rsidR="00310089">
        <w:t xml:space="preserve"> </w:t>
      </w:r>
      <w:r w:rsidR="007F418B">
        <w:t xml:space="preserve">Celui-ci </w:t>
      </w:r>
      <w:r w:rsidR="00BF57B9">
        <w:t xml:space="preserve">donne </w:t>
      </w:r>
      <w:r w:rsidR="00813946">
        <w:t>à partir d’</w:t>
      </w:r>
      <w:r w:rsidR="00310089">
        <w:t xml:space="preserve">une </w:t>
      </w:r>
      <w:r w:rsidR="00310089" w:rsidRPr="00310089">
        <w:t>Découpe Industrielle Normalisée (actualisation 2019 de la D</w:t>
      </w:r>
      <w:r w:rsidR="00310089">
        <w:t>écoupe Hollandaise Normalisée</w:t>
      </w:r>
      <w:r w:rsidR="00310089" w:rsidRPr="00310089">
        <w:t>)</w:t>
      </w:r>
      <w:r w:rsidR="00310089">
        <w:t xml:space="preserve">, </w:t>
      </w:r>
      <w:r>
        <w:t>un poids moyen de carcasse froide de 9</w:t>
      </w:r>
      <w:r w:rsidR="007266F4">
        <w:t>4</w:t>
      </w:r>
      <w:r>
        <w:t>,4</w:t>
      </w:r>
      <w:r w:rsidR="000A157C">
        <w:t> </w:t>
      </w:r>
      <w:r>
        <w:t>kg</w:t>
      </w:r>
      <w:r w:rsidR="00560004">
        <w:t xml:space="preserve"> dont la répartition entre les différents morceaux de découpe primaire </w:t>
      </w:r>
      <w:r w:rsidR="00112DE9">
        <w:t>soit</w:t>
      </w:r>
      <w:r w:rsidR="00560004">
        <w:t xml:space="preserve"> la longe, le jambon, la poitrine et l’épaule est rapportée</w:t>
      </w:r>
      <w:r w:rsidR="000F2226">
        <w:t xml:space="preserve"> (</w:t>
      </w:r>
      <w:r w:rsidR="00F52571">
        <w:fldChar w:fldCharType="begin"/>
      </w:r>
      <w:r w:rsidR="00F52571">
        <w:instrText xml:space="preserve"> REF _Ref68535708 \h </w:instrText>
      </w:r>
      <w:r w:rsidR="00F52571">
        <w:fldChar w:fldCharType="separate"/>
      </w:r>
      <w:r w:rsidR="0007597F" w:rsidRPr="00426119">
        <w:t xml:space="preserve">Tableau </w:t>
      </w:r>
      <w:r w:rsidR="0007597F">
        <w:rPr>
          <w:noProof/>
        </w:rPr>
        <w:t>41</w:t>
      </w:r>
      <w:r w:rsidR="00F52571">
        <w:fldChar w:fldCharType="end"/>
      </w:r>
      <w:r w:rsidR="000F2226">
        <w:t>)</w:t>
      </w:r>
      <w:r w:rsidR="00426119">
        <w:t>.</w:t>
      </w:r>
      <w:r w:rsidR="00112DE9">
        <w:t xml:space="preserve"> Ce dernier récapitule également la répartition </w:t>
      </w:r>
      <w:r w:rsidR="007F418B">
        <w:t xml:space="preserve">des </w:t>
      </w:r>
      <w:r w:rsidR="00112DE9">
        <w:t>différentes fractions muscle, gras, os et couenne pour les</w:t>
      </w:r>
      <w:r w:rsidR="00112DE9" w:rsidRPr="00112DE9">
        <w:t xml:space="preserve"> </w:t>
      </w:r>
      <w:r w:rsidR="00112DE9">
        <w:t>quatre pièces de découpe primaire.</w:t>
      </w:r>
    </w:p>
    <w:tbl>
      <w:tblPr>
        <w:tblW w:w="8364" w:type="dxa"/>
        <w:jc w:val="center"/>
        <w:tblCellMar>
          <w:left w:w="70" w:type="dxa"/>
          <w:right w:w="70" w:type="dxa"/>
        </w:tblCellMar>
        <w:tblLook w:val="04A0" w:firstRow="1" w:lastRow="0" w:firstColumn="1" w:lastColumn="0" w:noHBand="0" w:noVBand="1"/>
      </w:tblPr>
      <w:tblGrid>
        <w:gridCol w:w="2836"/>
        <w:gridCol w:w="2829"/>
        <w:gridCol w:w="2699"/>
      </w:tblGrid>
      <w:tr w:rsidR="00EF600B" w:rsidRPr="00CD6FFF" w14:paraId="09FED8A7" w14:textId="77777777" w:rsidTr="000F5766">
        <w:trPr>
          <w:trHeight w:val="267"/>
          <w:jc w:val="center"/>
        </w:trPr>
        <w:tc>
          <w:tcPr>
            <w:tcW w:w="2836" w:type="dxa"/>
            <w:tcBorders>
              <w:top w:val="single" w:sz="4" w:space="0" w:color="auto"/>
              <w:left w:val="single" w:sz="4" w:space="0" w:color="auto"/>
              <w:bottom w:val="single" w:sz="4" w:space="0" w:color="000000"/>
              <w:right w:val="single" w:sz="4" w:space="0" w:color="000000"/>
            </w:tcBorders>
            <w:shd w:val="clear" w:color="D9D9D9" w:fill="D9D9D9"/>
            <w:noWrap/>
            <w:vAlign w:val="center"/>
            <w:hideMark/>
          </w:tcPr>
          <w:p w14:paraId="0CAF8068" w14:textId="77777777" w:rsidR="00EF600B" w:rsidRPr="000F5766" w:rsidRDefault="00EF600B" w:rsidP="002E750F">
            <w:pPr>
              <w:keepNext/>
              <w:spacing w:after="0" w:line="240" w:lineRule="auto"/>
              <w:jc w:val="left"/>
              <w:rPr>
                <w:rFonts w:eastAsia="Times New Roman" w:cs="Arial"/>
                <w:color w:val="000000"/>
                <w:sz w:val="20"/>
                <w:szCs w:val="20"/>
                <w:lang w:eastAsia="fr-FR"/>
              </w:rPr>
            </w:pPr>
            <w:r w:rsidRPr="000F5766">
              <w:rPr>
                <w:rFonts w:eastAsia="Times New Roman" w:cs="Arial"/>
                <w:color w:val="000000"/>
                <w:sz w:val="20"/>
                <w:szCs w:val="20"/>
                <w:lang w:eastAsia="fr-FR"/>
              </w:rPr>
              <w:lastRenderedPageBreak/>
              <w:t>Pièce</w:t>
            </w:r>
          </w:p>
        </w:tc>
        <w:tc>
          <w:tcPr>
            <w:tcW w:w="2829" w:type="dxa"/>
            <w:tcBorders>
              <w:top w:val="single" w:sz="4" w:space="0" w:color="auto"/>
              <w:left w:val="nil"/>
              <w:bottom w:val="single" w:sz="4" w:space="0" w:color="000000"/>
              <w:right w:val="single" w:sz="4" w:space="0" w:color="000000"/>
            </w:tcBorders>
            <w:shd w:val="clear" w:color="D9D9D9" w:fill="D9D9D9"/>
            <w:vAlign w:val="center"/>
            <w:hideMark/>
          </w:tcPr>
          <w:p w14:paraId="43DDCD9A" w14:textId="4DCAF74A" w:rsidR="00EF600B" w:rsidRPr="000F5766" w:rsidRDefault="00EF600B"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Poids froid de la carcasse</w:t>
            </w:r>
          </w:p>
        </w:tc>
        <w:tc>
          <w:tcPr>
            <w:tcW w:w="2699" w:type="dxa"/>
            <w:tcBorders>
              <w:top w:val="single" w:sz="4" w:space="0" w:color="auto"/>
              <w:left w:val="nil"/>
              <w:bottom w:val="single" w:sz="4" w:space="0" w:color="000000"/>
              <w:right w:val="single" w:sz="4" w:space="0" w:color="auto"/>
            </w:tcBorders>
            <w:shd w:val="clear" w:color="D9D9D9" w:fill="D9D9D9"/>
            <w:vAlign w:val="center"/>
            <w:hideMark/>
          </w:tcPr>
          <w:p w14:paraId="2F257326" w14:textId="31C315C7" w:rsidR="00EF600B" w:rsidRPr="000F5766" w:rsidRDefault="00EF600B"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 xml:space="preserve">% </w:t>
            </w:r>
            <w:r w:rsidR="002314F0" w:rsidRPr="000F5766">
              <w:rPr>
                <w:rFonts w:eastAsia="Times New Roman" w:cs="Arial"/>
                <w:color w:val="000000"/>
                <w:sz w:val="20"/>
                <w:szCs w:val="20"/>
                <w:lang w:eastAsia="fr-FR"/>
              </w:rPr>
              <w:t>P</w:t>
            </w:r>
            <w:r w:rsidRPr="000F5766">
              <w:rPr>
                <w:rFonts w:eastAsia="Times New Roman" w:cs="Arial"/>
                <w:color w:val="000000"/>
                <w:sz w:val="20"/>
                <w:szCs w:val="20"/>
                <w:lang w:eastAsia="fr-FR"/>
              </w:rPr>
              <w:t xml:space="preserve">oids de carcasse froide </w:t>
            </w:r>
          </w:p>
        </w:tc>
      </w:tr>
      <w:tr w:rsidR="0075644F" w:rsidRPr="00CD6FFF" w14:paraId="3007CAFC" w14:textId="77777777" w:rsidTr="000F5766">
        <w:trPr>
          <w:trHeight w:val="271"/>
          <w:jc w:val="center"/>
        </w:trPr>
        <w:tc>
          <w:tcPr>
            <w:tcW w:w="2836" w:type="dxa"/>
            <w:tcBorders>
              <w:top w:val="nil"/>
              <w:left w:val="single" w:sz="4" w:space="0" w:color="auto"/>
              <w:bottom w:val="nil"/>
              <w:right w:val="single" w:sz="4" w:space="0" w:color="000000"/>
            </w:tcBorders>
            <w:shd w:val="clear" w:color="auto" w:fill="auto"/>
            <w:noWrap/>
            <w:vAlign w:val="center"/>
            <w:hideMark/>
          </w:tcPr>
          <w:p w14:paraId="10CA3B5D" w14:textId="564659A2" w:rsidR="0075644F" w:rsidRPr="000F5766" w:rsidRDefault="00367E38" w:rsidP="002E750F">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Dont </w:t>
            </w:r>
            <w:r w:rsidR="0075644F" w:rsidRPr="000F5766">
              <w:rPr>
                <w:rFonts w:eastAsia="Times New Roman" w:cs="Arial"/>
                <w:color w:val="000000"/>
                <w:sz w:val="20"/>
                <w:szCs w:val="20"/>
                <w:lang w:eastAsia="fr-FR"/>
              </w:rPr>
              <w:t>Jambon</w:t>
            </w:r>
          </w:p>
        </w:tc>
        <w:tc>
          <w:tcPr>
            <w:tcW w:w="2829" w:type="dxa"/>
            <w:tcBorders>
              <w:top w:val="nil"/>
              <w:left w:val="nil"/>
              <w:bottom w:val="nil"/>
              <w:right w:val="single" w:sz="4" w:space="0" w:color="000000"/>
            </w:tcBorders>
            <w:shd w:val="clear" w:color="auto" w:fill="auto"/>
            <w:noWrap/>
            <w:vAlign w:val="center"/>
            <w:hideMark/>
          </w:tcPr>
          <w:p w14:paraId="39541735" w14:textId="46241F61" w:rsidR="0075644F" w:rsidRPr="0075644F" w:rsidRDefault="0075644F" w:rsidP="002E750F">
            <w:pPr>
              <w:keepNext/>
              <w:spacing w:after="0" w:line="240" w:lineRule="auto"/>
              <w:jc w:val="center"/>
              <w:rPr>
                <w:rFonts w:eastAsia="Times New Roman" w:cs="Arial"/>
                <w:color w:val="000000"/>
                <w:sz w:val="20"/>
                <w:szCs w:val="20"/>
                <w:lang w:eastAsia="fr-FR"/>
              </w:rPr>
            </w:pPr>
            <w:r w:rsidRPr="0075644F">
              <w:rPr>
                <w:rFonts w:cs="Arial"/>
                <w:color w:val="000000"/>
                <w:sz w:val="20"/>
                <w:szCs w:val="20"/>
              </w:rPr>
              <w:t>21,5</w:t>
            </w:r>
          </w:p>
        </w:tc>
        <w:tc>
          <w:tcPr>
            <w:tcW w:w="2699" w:type="dxa"/>
            <w:tcBorders>
              <w:top w:val="nil"/>
              <w:left w:val="nil"/>
              <w:bottom w:val="nil"/>
              <w:right w:val="single" w:sz="4" w:space="0" w:color="auto"/>
            </w:tcBorders>
            <w:shd w:val="clear" w:color="auto" w:fill="auto"/>
            <w:noWrap/>
            <w:vAlign w:val="center"/>
            <w:hideMark/>
          </w:tcPr>
          <w:p w14:paraId="6A0B1D79" w14:textId="77777777" w:rsidR="0075644F" w:rsidRPr="000F5766" w:rsidRDefault="0075644F"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22,8%</w:t>
            </w:r>
          </w:p>
        </w:tc>
      </w:tr>
      <w:tr w:rsidR="0075644F" w:rsidRPr="00CD6FFF" w14:paraId="74F66585" w14:textId="77777777" w:rsidTr="000F5766">
        <w:trPr>
          <w:trHeight w:val="275"/>
          <w:jc w:val="center"/>
        </w:trPr>
        <w:tc>
          <w:tcPr>
            <w:tcW w:w="283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602EED4" w14:textId="43F60069" w:rsidR="0075644F" w:rsidRPr="000F5766" w:rsidRDefault="00367E38" w:rsidP="002E750F">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Dont </w:t>
            </w:r>
            <w:r w:rsidR="0075644F" w:rsidRPr="000F5766">
              <w:rPr>
                <w:rFonts w:eastAsia="Times New Roman" w:cs="Arial"/>
                <w:color w:val="000000"/>
                <w:sz w:val="20"/>
                <w:szCs w:val="20"/>
                <w:lang w:eastAsia="fr-FR"/>
              </w:rPr>
              <w:t>Longe avec bardière</w:t>
            </w:r>
          </w:p>
        </w:tc>
        <w:tc>
          <w:tcPr>
            <w:tcW w:w="2829" w:type="dxa"/>
            <w:tcBorders>
              <w:top w:val="single" w:sz="4" w:space="0" w:color="auto"/>
              <w:left w:val="nil"/>
              <w:bottom w:val="single" w:sz="4" w:space="0" w:color="auto"/>
              <w:right w:val="single" w:sz="4" w:space="0" w:color="auto"/>
            </w:tcBorders>
            <w:shd w:val="clear" w:color="D9D9D9" w:fill="D9D9D9"/>
            <w:noWrap/>
            <w:vAlign w:val="center"/>
            <w:hideMark/>
          </w:tcPr>
          <w:p w14:paraId="29910738" w14:textId="65330512" w:rsidR="0075644F" w:rsidRPr="0075644F" w:rsidRDefault="0075644F" w:rsidP="002E750F">
            <w:pPr>
              <w:keepNext/>
              <w:spacing w:after="0" w:line="240" w:lineRule="auto"/>
              <w:jc w:val="center"/>
              <w:rPr>
                <w:rFonts w:eastAsia="Times New Roman" w:cs="Arial"/>
                <w:color w:val="000000"/>
                <w:sz w:val="20"/>
                <w:szCs w:val="20"/>
                <w:lang w:eastAsia="fr-FR"/>
              </w:rPr>
            </w:pPr>
            <w:r w:rsidRPr="0075644F">
              <w:rPr>
                <w:rFonts w:cs="Arial"/>
                <w:color w:val="000000"/>
                <w:sz w:val="20"/>
                <w:szCs w:val="20"/>
              </w:rPr>
              <w:t>29,9</w:t>
            </w:r>
          </w:p>
        </w:tc>
        <w:tc>
          <w:tcPr>
            <w:tcW w:w="2699" w:type="dxa"/>
            <w:tcBorders>
              <w:top w:val="single" w:sz="4" w:space="0" w:color="auto"/>
              <w:left w:val="nil"/>
              <w:bottom w:val="single" w:sz="4" w:space="0" w:color="auto"/>
              <w:right w:val="single" w:sz="4" w:space="0" w:color="auto"/>
            </w:tcBorders>
            <w:shd w:val="clear" w:color="D9D9D9" w:fill="D9D9D9"/>
            <w:noWrap/>
            <w:vAlign w:val="center"/>
            <w:hideMark/>
          </w:tcPr>
          <w:p w14:paraId="3BCEBEC5" w14:textId="77777777" w:rsidR="0075644F" w:rsidRPr="000F5766" w:rsidRDefault="0075644F"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31,6%</w:t>
            </w:r>
          </w:p>
        </w:tc>
      </w:tr>
      <w:tr w:rsidR="0075644F" w:rsidRPr="00CD6FFF" w14:paraId="4ABDD411" w14:textId="77777777" w:rsidTr="000F5766">
        <w:trPr>
          <w:trHeight w:val="137"/>
          <w:jc w:val="center"/>
        </w:trPr>
        <w:tc>
          <w:tcPr>
            <w:tcW w:w="2836"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2BA1885E"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dont longe</w:t>
            </w:r>
          </w:p>
        </w:tc>
        <w:tc>
          <w:tcPr>
            <w:tcW w:w="2829" w:type="dxa"/>
            <w:tcBorders>
              <w:top w:val="single" w:sz="4" w:space="0" w:color="auto"/>
              <w:left w:val="nil"/>
              <w:bottom w:val="single" w:sz="4" w:space="0" w:color="auto"/>
              <w:right w:val="single" w:sz="4" w:space="0" w:color="auto"/>
            </w:tcBorders>
            <w:shd w:val="clear" w:color="000000" w:fill="E7E6E6"/>
            <w:noWrap/>
            <w:vAlign w:val="center"/>
            <w:hideMark/>
          </w:tcPr>
          <w:p w14:paraId="6EF94B19" w14:textId="1C34824A" w:rsidR="0075644F" w:rsidRPr="0075644F" w:rsidRDefault="0075644F" w:rsidP="002E750F">
            <w:pPr>
              <w:keepNext/>
              <w:spacing w:after="0" w:line="240" w:lineRule="auto"/>
              <w:jc w:val="right"/>
              <w:rPr>
                <w:rFonts w:eastAsia="Times New Roman" w:cs="Arial"/>
                <w:i/>
                <w:iCs/>
                <w:color w:val="000000"/>
                <w:sz w:val="20"/>
                <w:szCs w:val="20"/>
                <w:lang w:eastAsia="fr-FR"/>
              </w:rPr>
            </w:pPr>
            <w:r w:rsidRPr="0075644F">
              <w:rPr>
                <w:rFonts w:cs="Arial"/>
                <w:i/>
                <w:iCs/>
                <w:color w:val="000000"/>
                <w:sz w:val="20"/>
                <w:szCs w:val="20"/>
              </w:rPr>
              <w:t>24,5</w:t>
            </w:r>
          </w:p>
        </w:tc>
        <w:tc>
          <w:tcPr>
            <w:tcW w:w="2699" w:type="dxa"/>
            <w:tcBorders>
              <w:top w:val="single" w:sz="4" w:space="0" w:color="auto"/>
              <w:left w:val="nil"/>
              <w:bottom w:val="single" w:sz="4" w:space="0" w:color="auto"/>
              <w:right w:val="single" w:sz="4" w:space="0" w:color="auto"/>
            </w:tcBorders>
            <w:shd w:val="clear" w:color="000000" w:fill="E7E6E6"/>
            <w:noWrap/>
            <w:vAlign w:val="center"/>
            <w:hideMark/>
          </w:tcPr>
          <w:p w14:paraId="6CC2ECD3"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25,9%</w:t>
            </w:r>
          </w:p>
        </w:tc>
      </w:tr>
      <w:tr w:rsidR="0075644F" w:rsidRPr="00CD6FFF" w14:paraId="444A5CF8" w14:textId="77777777" w:rsidTr="000F5766">
        <w:trPr>
          <w:trHeight w:val="170"/>
          <w:jc w:val="center"/>
        </w:trPr>
        <w:tc>
          <w:tcPr>
            <w:tcW w:w="2836"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6F7D7A59"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dont bardière</w:t>
            </w:r>
          </w:p>
        </w:tc>
        <w:tc>
          <w:tcPr>
            <w:tcW w:w="2829" w:type="dxa"/>
            <w:tcBorders>
              <w:top w:val="single" w:sz="4" w:space="0" w:color="auto"/>
              <w:left w:val="nil"/>
              <w:bottom w:val="single" w:sz="4" w:space="0" w:color="auto"/>
              <w:right w:val="single" w:sz="4" w:space="0" w:color="auto"/>
            </w:tcBorders>
            <w:shd w:val="clear" w:color="000000" w:fill="E7E6E6"/>
            <w:noWrap/>
            <w:vAlign w:val="center"/>
            <w:hideMark/>
          </w:tcPr>
          <w:p w14:paraId="3BCB90EF" w14:textId="624B0AF4" w:rsidR="0075644F" w:rsidRPr="0075644F" w:rsidRDefault="0075644F" w:rsidP="002E750F">
            <w:pPr>
              <w:keepNext/>
              <w:spacing w:after="0" w:line="240" w:lineRule="auto"/>
              <w:jc w:val="right"/>
              <w:rPr>
                <w:rFonts w:eastAsia="Times New Roman" w:cs="Arial"/>
                <w:i/>
                <w:iCs/>
                <w:color w:val="000000"/>
                <w:sz w:val="20"/>
                <w:szCs w:val="20"/>
                <w:lang w:eastAsia="fr-FR"/>
              </w:rPr>
            </w:pPr>
            <w:r w:rsidRPr="0075644F">
              <w:rPr>
                <w:rFonts w:cs="Arial"/>
                <w:i/>
                <w:iCs/>
                <w:color w:val="000000"/>
                <w:sz w:val="20"/>
                <w:szCs w:val="20"/>
              </w:rPr>
              <w:t>5,4</w:t>
            </w:r>
          </w:p>
        </w:tc>
        <w:tc>
          <w:tcPr>
            <w:tcW w:w="2699" w:type="dxa"/>
            <w:tcBorders>
              <w:top w:val="single" w:sz="4" w:space="0" w:color="auto"/>
              <w:left w:val="nil"/>
              <w:bottom w:val="single" w:sz="4" w:space="0" w:color="auto"/>
              <w:right w:val="single" w:sz="4" w:space="0" w:color="auto"/>
            </w:tcBorders>
            <w:shd w:val="clear" w:color="000000" w:fill="E7E6E6"/>
            <w:noWrap/>
            <w:vAlign w:val="center"/>
            <w:hideMark/>
          </w:tcPr>
          <w:p w14:paraId="0B83EA2F"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5,7%</w:t>
            </w:r>
          </w:p>
        </w:tc>
      </w:tr>
      <w:tr w:rsidR="0075644F" w:rsidRPr="00CD6FFF" w14:paraId="21422F87" w14:textId="77777777" w:rsidTr="000F5766">
        <w:trPr>
          <w:trHeight w:val="73"/>
          <w:jc w:val="center"/>
        </w:trPr>
        <w:tc>
          <w:tcPr>
            <w:tcW w:w="2836" w:type="dxa"/>
            <w:tcBorders>
              <w:top w:val="nil"/>
              <w:left w:val="single" w:sz="4" w:space="0" w:color="auto"/>
              <w:bottom w:val="nil"/>
              <w:right w:val="single" w:sz="4" w:space="0" w:color="000000"/>
            </w:tcBorders>
            <w:shd w:val="clear" w:color="auto" w:fill="auto"/>
            <w:noWrap/>
            <w:vAlign w:val="center"/>
            <w:hideMark/>
          </w:tcPr>
          <w:p w14:paraId="73DD80DD" w14:textId="3B1069FD" w:rsidR="0075644F" w:rsidRPr="000F5766" w:rsidRDefault="00367E38" w:rsidP="002E750F">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Dont </w:t>
            </w:r>
            <w:r w:rsidR="0075644F" w:rsidRPr="000F5766">
              <w:rPr>
                <w:rFonts w:eastAsia="Times New Roman" w:cs="Arial"/>
                <w:color w:val="000000"/>
                <w:sz w:val="20"/>
                <w:szCs w:val="20"/>
                <w:lang w:eastAsia="fr-FR"/>
              </w:rPr>
              <w:t>Poitrine</w:t>
            </w:r>
          </w:p>
        </w:tc>
        <w:tc>
          <w:tcPr>
            <w:tcW w:w="2829" w:type="dxa"/>
            <w:tcBorders>
              <w:top w:val="nil"/>
              <w:left w:val="nil"/>
              <w:bottom w:val="nil"/>
              <w:right w:val="single" w:sz="4" w:space="0" w:color="000000"/>
            </w:tcBorders>
            <w:shd w:val="clear" w:color="auto" w:fill="auto"/>
            <w:noWrap/>
            <w:vAlign w:val="center"/>
            <w:hideMark/>
          </w:tcPr>
          <w:p w14:paraId="13A59845" w14:textId="5E4637E2" w:rsidR="0075644F" w:rsidRPr="0075644F" w:rsidRDefault="0075644F" w:rsidP="002E750F">
            <w:pPr>
              <w:keepNext/>
              <w:spacing w:after="0" w:line="240" w:lineRule="auto"/>
              <w:jc w:val="center"/>
              <w:rPr>
                <w:rFonts w:eastAsia="Times New Roman" w:cs="Arial"/>
                <w:color w:val="000000"/>
                <w:sz w:val="20"/>
                <w:szCs w:val="20"/>
                <w:lang w:eastAsia="fr-FR"/>
              </w:rPr>
            </w:pPr>
            <w:r w:rsidRPr="0075644F">
              <w:rPr>
                <w:rFonts w:cs="Arial"/>
                <w:color w:val="000000"/>
                <w:sz w:val="20"/>
                <w:szCs w:val="20"/>
              </w:rPr>
              <w:t>12,2</w:t>
            </w:r>
          </w:p>
        </w:tc>
        <w:tc>
          <w:tcPr>
            <w:tcW w:w="2699" w:type="dxa"/>
            <w:tcBorders>
              <w:top w:val="nil"/>
              <w:left w:val="nil"/>
              <w:bottom w:val="nil"/>
              <w:right w:val="single" w:sz="4" w:space="0" w:color="auto"/>
            </w:tcBorders>
            <w:shd w:val="clear" w:color="auto" w:fill="auto"/>
            <w:noWrap/>
            <w:vAlign w:val="center"/>
            <w:hideMark/>
          </w:tcPr>
          <w:p w14:paraId="52CF5DD1" w14:textId="77777777" w:rsidR="0075644F" w:rsidRPr="000F5766" w:rsidRDefault="0075644F"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12,9%</w:t>
            </w:r>
          </w:p>
        </w:tc>
      </w:tr>
      <w:tr w:rsidR="0075644F" w:rsidRPr="00CD6FFF" w14:paraId="5CDE22FA" w14:textId="77777777" w:rsidTr="000F5766">
        <w:trPr>
          <w:trHeight w:val="120"/>
          <w:jc w:val="center"/>
        </w:trPr>
        <w:tc>
          <w:tcPr>
            <w:tcW w:w="283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3260040" w14:textId="7A1492E8" w:rsidR="0075644F" w:rsidRPr="000F5766" w:rsidRDefault="00367E38" w:rsidP="002E750F">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Dont </w:t>
            </w:r>
            <w:r w:rsidR="0075644F" w:rsidRPr="000F5766">
              <w:rPr>
                <w:rFonts w:eastAsia="Times New Roman" w:cs="Arial"/>
                <w:color w:val="000000"/>
                <w:sz w:val="20"/>
                <w:szCs w:val="20"/>
                <w:lang w:eastAsia="fr-FR"/>
              </w:rPr>
              <w:t>Epaule avec gorge</w:t>
            </w:r>
          </w:p>
        </w:tc>
        <w:tc>
          <w:tcPr>
            <w:tcW w:w="2829" w:type="dxa"/>
            <w:tcBorders>
              <w:top w:val="single" w:sz="4" w:space="0" w:color="auto"/>
              <w:left w:val="nil"/>
              <w:bottom w:val="single" w:sz="4" w:space="0" w:color="auto"/>
              <w:right w:val="single" w:sz="4" w:space="0" w:color="auto"/>
            </w:tcBorders>
            <w:shd w:val="clear" w:color="D9D9D9" w:fill="D9D9D9"/>
            <w:noWrap/>
            <w:vAlign w:val="center"/>
            <w:hideMark/>
          </w:tcPr>
          <w:p w14:paraId="63E43F2F" w14:textId="530EEB2F" w:rsidR="0075644F" w:rsidRPr="0075644F" w:rsidRDefault="0075644F" w:rsidP="002E750F">
            <w:pPr>
              <w:keepNext/>
              <w:spacing w:after="0" w:line="240" w:lineRule="auto"/>
              <w:jc w:val="center"/>
              <w:rPr>
                <w:rFonts w:eastAsia="Times New Roman" w:cs="Arial"/>
                <w:color w:val="000000"/>
                <w:sz w:val="20"/>
                <w:szCs w:val="20"/>
                <w:lang w:eastAsia="fr-FR"/>
              </w:rPr>
            </w:pPr>
            <w:r w:rsidRPr="0075644F">
              <w:rPr>
                <w:rFonts w:cs="Arial"/>
                <w:color w:val="000000"/>
                <w:sz w:val="20"/>
                <w:szCs w:val="20"/>
              </w:rPr>
              <w:t>19,4</w:t>
            </w:r>
          </w:p>
        </w:tc>
        <w:tc>
          <w:tcPr>
            <w:tcW w:w="2699" w:type="dxa"/>
            <w:tcBorders>
              <w:top w:val="single" w:sz="4" w:space="0" w:color="auto"/>
              <w:left w:val="nil"/>
              <w:bottom w:val="single" w:sz="4" w:space="0" w:color="auto"/>
              <w:right w:val="single" w:sz="4" w:space="0" w:color="auto"/>
            </w:tcBorders>
            <w:shd w:val="clear" w:color="D9D9D9" w:fill="D9D9D9"/>
            <w:noWrap/>
            <w:vAlign w:val="center"/>
            <w:hideMark/>
          </w:tcPr>
          <w:p w14:paraId="4658E729" w14:textId="77777777" w:rsidR="0075644F" w:rsidRPr="000F5766" w:rsidRDefault="0075644F" w:rsidP="002E750F">
            <w:pPr>
              <w:keepNext/>
              <w:spacing w:after="0" w:line="240" w:lineRule="auto"/>
              <w:jc w:val="center"/>
              <w:rPr>
                <w:rFonts w:eastAsia="Times New Roman" w:cs="Arial"/>
                <w:color w:val="000000"/>
                <w:sz w:val="20"/>
                <w:szCs w:val="20"/>
                <w:lang w:eastAsia="fr-FR"/>
              </w:rPr>
            </w:pPr>
            <w:r w:rsidRPr="000F5766">
              <w:rPr>
                <w:rFonts w:eastAsia="Times New Roman" w:cs="Arial"/>
                <w:color w:val="000000"/>
                <w:sz w:val="20"/>
                <w:szCs w:val="20"/>
                <w:lang w:eastAsia="fr-FR"/>
              </w:rPr>
              <w:t>20,5%</w:t>
            </w:r>
          </w:p>
        </w:tc>
      </w:tr>
      <w:tr w:rsidR="0075644F" w:rsidRPr="00CD6FFF" w14:paraId="5AFDC26F" w14:textId="77777777" w:rsidTr="000F5766">
        <w:trPr>
          <w:trHeight w:val="165"/>
          <w:jc w:val="center"/>
        </w:trPr>
        <w:tc>
          <w:tcPr>
            <w:tcW w:w="2836"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50F0CAA7"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dont épaule</w:t>
            </w:r>
          </w:p>
        </w:tc>
        <w:tc>
          <w:tcPr>
            <w:tcW w:w="2829" w:type="dxa"/>
            <w:tcBorders>
              <w:top w:val="single" w:sz="4" w:space="0" w:color="auto"/>
              <w:left w:val="nil"/>
              <w:bottom w:val="single" w:sz="4" w:space="0" w:color="auto"/>
              <w:right w:val="single" w:sz="4" w:space="0" w:color="auto"/>
            </w:tcBorders>
            <w:shd w:val="clear" w:color="000000" w:fill="E7E6E6"/>
            <w:noWrap/>
            <w:vAlign w:val="center"/>
            <w:hideMark/>
          </w:tcPr>
          <w:p w14:paraId="409B4FD8" w14:textId="73018A7D" w:rsidR="0075644F" w:rsidRPr="0075644F" w:rsidRDefault="0075644F" w:rsidP="002E750F">
            <w:pPr>
              <w:keepNext/>
              <w:spacing w:after="0" w:line="240" w:lineRule="auto"/>
              <w:jc w:val="right"/>
              <w:rPr>
                <w:rFonts w:eastAsia="Times New Roman" w:cs="Arial"/>
                <w:i/>
                <w:iCs/>
                <w:color w:val="000000"/>
                <w:sz w:val="20"/>
                <w:szCs w:val="20"/>
                <w:lang w:eastAsia="fr-FR"/>
              </w:rPr>
            </w:pPr>
            <w:r w:rsidRPr="0075644F">
              <w:rPr>
                <w:rFonts w:cs="Arial"/>
                <w:i/>
                <w:iCs/>
                <w:color w:val="000000"/>
                <w:sz w:val="20"/>
                <w:szCs w:val="20"/>
              </w:rPr>
              <w:t>16,1</w:t>
            </w:r>
          </w:p>
        </w:tc>
        <w:tc>
          <w:tcPr>
            <w:tcW w:w="2699" w:type="dxa"/>
            <w:tcBorders>
              <w:top w:val="single" w:sz="4" w:space="0" w:color="auto"/>
              <w:left w:val="nil"/>
              <w:bottom w:val="single" w:sz="4" w:space="0" w:color="auto"/>
              <w:right w:val="single" w:sz="4" w:space="0" w:color="auto"/>
            </w:tcBorders>
            <w:shd w:val="clear" w:color="000000" w:fill="E7E6E6"/>
            <w:noWrap/>
            <w:vAlign w:val="center"/>
            <w:hideMark/>
          </w:tcPr>
          <w:p w14:paraId="2152EFE1"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17,0%</w:t>
            </w:r>
          </w:p>
        </w:tc>
      </w:tr>
      <w:tr w:rsidR="0075644F" w:rsidRPr="00CD6FFF" w14:paraId="19086579" w14:textId="77777777" w:rsidTr="000F5766">
        <w:trPr>
          <w:trHeight w:val="212"/>
          <w:jc w:val="center"/>
        </w:trPr>
        <w:tc>
          <w:tcPr>
            <w:tcW w:w="2836" w:type="dxa"/>
            <w:tcBorders>
              <w:top w:val="single" w:sz="4" w:space="0" w:color="auto"/>
              <w:left w:val="single" w:sz="4" w:space="0" w:color="auto"/>
              <w:bottom w:val="single" w:sz="4" w:space="0" w:color="auto"/>
              <w:right w:val="single" w:sz="4" w:space="0" w:color="auto"/>
            </w:tcBorders>
            <w:shd w:val="clear" w:color="000000" w:fill="E7E6E6"/>
            <w:noWrap/>
            <w:vAlign w:val="center"/>
            <w:hideMark/>
          </w:tcPr>
          <w:p w14:paraId="5418FC62"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dont gorge</w:t>
            </w:r>
          </w:p>
        </w:tc>
        <w:tc>
          <w:tcPr>
            <w:tcW w:w="2829" w:type="dxa"/>
            <w:tcBorders>
              <w:top w:val="single" w:sz="4" w:space="0" w:color="auto"/>
              <w:left w:val="nil"/>
              <w:bottom w:val="single" w:sz="4" w:space="0" w:color="auto"/>
              <w:right w:val="single" w:sz="4" w:space="0" w:color="auto"/>
            </w:tcBorders>
            <w:shd w:val="clear" w:color="000000" w:fill="E7E6E6"/>
            <w:noWrap/>
            <w:vAlign w:val="center"/>
            <w:hideMark/>
          </w:tcPr>
          <w:p w14:paraId="5D971032" w14:textId="103FA4E4" w:rsidR="0075644F" w:rsidRPr="0075644F" w:rsidRDefault="0075644F" w:rsidP="002E750F">
            <w:pPr>
              <w:keepNext/>
              <w:spacing w:after="0" w:line="240" w:lineRule="auto"/>
              <w:jc w:val="right"/>
              <w:rPr>
                <w:rFonts w:eastAsia="Times New Roman" w:cs="Arial"/>
                <w:i/>
                <w:iCs/>
                <w:color w:val="000000"/>
                <w:sz w:val="20"/>
                <w:szCs w:val="20"/>
                <w:lang w:eastAsia="fr-FR"/>
              </w:rPr>
            </w:pPr>
            <w:r w:rsidRPr="0075644F">
              <w:rPr>
                <w:rFonts w:cs="Arial"/>
                <w:i/>
                <w:iCs/>
                <w:color w:val="000000"/>
                <w:sz w:val="20"/>
                <w:szCs w:val="20"/>
              </w:rPr>
              <w:t>3,3</w:t>
            </w:r>
          </w:p>
        </w:tc>
        <w:tc>
          <w:tcPr>
            <w:tcW w:w="2699" w:type="dxa"/>
            <w:tcBorders>
              <w:top w:val="single" w:sz="4" w:space="0" w:color="auto"/>
              <w:left w:val="nil"/>
              <w:bottom w:val="single" w:sz="4" w:space="0" w:color="auto"/>
              <w:right w:val="single" w:sz="4" w:space="0" w:color="auto"/>
            </w:tcBorders>
            <w:shd w:val="clear" w:color="000000" w:fill="E7E6E6"/>
            <w:noWrap/>
            <w:vAlign w:val="center"/>
            <w:hideMark/>
          </w:tcPr>
          <w:p w14:paraId="07552AC7" w14:textId="77777777" w:rsidR="0075644F" w:rsidRPr="000F5766" w:rsidRDefault="0075644F" w:rsidP="002E750F">
            <w:pPr>
              <w:keepNext/>
              <w:spacing w:after="0" w:line="240" w:lineRule="auto"/>
              <w:jc w:val="right"/>
              <w:rPr>
                <w:rFonts w:eastAsia="Times New Roman" w:cs="Arial"/>
                <w:i/>
                <w:iCs/>
                <w:color w:val="000000"/>
                <w:sz w:val="20"/>
                <w:szCs w:val="20"/>
                <w:lang w:eastAsia="fr-FR"/>
              </w:rPr>
            </w:pPr>
            <w:r w:rsidRPr="000F5766">
              <w:rPr>
                <w:rFonts w:eastAsia="Times New Roman" w:cs="Arial"/>
                <w:i/>
                <w:iCs/>
                <w:color w:val="000000"/>
                <w:sz w:val="20"/>
                <w:szCs w:val="20"/>
                <w:lang w:eastAsia="fr-FR"/>
              </w:rPr>
              <w:t>3,5%</w:t>
            </w:r>
          </w:p>
        </w:tc>
      </w:tr>
      <w:tr w:rsidR="002800F8" w:rsidRPr="002800F8" w14:paraId="4BF5895C" w14:textId="77777777" w:rsidTr="002800F8">
        <w:trPr>
          <w:trHeight w:val="212"/>
          <w:jc w:val="center"/>
        </w:trPr>
        <w:tc>
          <w:tcPr>
            <w:tcW w:w="283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0559DA" w14:textId="2916442C" w:rsidR="002800F8" w:rsidRPr="00522D6D" w:rsidRDefault="00522D6D" w:rsidP="002E750F">
            <w:pPr>
              <w:keepNext/>
              <w:spacing w:after="0" w:line="240" w:lineRule="auto"/>
              <w:jc w:val="left"/>
              <w:rPr>
                <w:rFonts w:eastAsia="Times New Roman" w:cs="Arial"/>
                <w:b/>
                <w:color w:val="000000"/>
                <w:sz w:val="20"/>
                <w:szCs w:val="20"/>
                <w:lang w:eastAsia="fr-FR"/>
              </w:rPr>
            </w:pPr>
            <w:r w:rsidRPr="00522D6D">
              <w:rPr>
                <w:rFonts w:eastAsia="Times New Roman" w:cs="Arial"/>
                <w:b/>
                <w:color w:val="000000"/>
                <w:sz w:val="20"/>
                <w:szCs w:val="20"/>
                <w:lang w:eastAsia="fr-FR"/>
              </w:rPr>
              <w:t>Total Carcasse froide</w:t>
            </w:r>
          </w:p>
        </w:tc>
        <w:tc>
          <w:tcPr>
            <w:tcW w:w="2829" w:type="dxa"/>
            <w:tcBorders>
              <w:top w:val="single" w:sz="4" w:space="0" w:color="auto"/>
              <w:left w:val="nil"/>
              <w:bottom w:val="single" w:sz="4" w:space="0" w:color="auto"/>
              <w:right w:val="single" w:sz="4" w:space="0" w:color="auto"/>
            </w:tcBorders>
            <w:shd w:val="clear" w:color="auto" w:fill="auto"/>
            <w:noWrap/>
            <w:vAlign w:val="center"/>
          </w:tcPr>
          <w:p w14:paraId="6054D443" w14:textId="2BC26827" w:rsidR="002800F8" w:rsidRPr="00522D6D" w:rsidRDefault="00522D6D" w:rsidP="002E750F">
            <w:pPr>
              <w:keepNext/>
              <w:spacing w:after="0" w:line="240" w:lineRule="auto"/>
              <w:jc w:val="center"/>
              <w:rPr>
                <w:rFonts w:eastAsia="Times New Roman" w:cs="Arial"/>
                <w:b/>
                <w:color w:val="000000"/>
                <w:sz w:val="20"/>
                <w:szCs w:val="20"/>
                <w:lang w:eastAsia="fr-FR"/>
              </w:rPr>
            </w:pPr>
            <w:r w:rsidRPr="00522D6D">
              <w:rPr>
                <w:rFonts w:eastAsia="Times New Roman" w:cs="Arial"/>
                <w:b/>
                <w:color w:val="000000"/>
                <w:sz w:val="20"/>
                <w:szCs w:val="20"/>
                <w:lang w:eastAsia="fr-FR"/>
              </w:rPr>
              <w:t>94,4</w:t>
            </w:r>
          </w:p>
        </w:tc>
        <w:tc>
          <w:tcPr>
            <w:tcW w:w="2699" w:type="dxa"/>
            <w:tcBorders>
              <w:top w:val="single" w:sz="4" w:space="0" w:color="auto"/>
              <w:left w:val="nil"/>
              <w:bottom w:val="single" w:sz="4" w:space="0" w:color="auto"/>
              <w:right w:val="single" w:sz="4" w:space="0" w:color="auto"/>
            </w:tcBorders>
            <w:shd w:val="clear" w:color="auto" w:fill="auto"/>
            <w:noWrap/>
            <w:vAlign w:val="center"/>
          </w:tcPr>
          <w:p w14:paraId="316006E7" w14:textId="7978111B" w:rsidR="00A56864" w:rsidRPr="00522D6D" w:rsidRDefault="00A56864" w:rsidP="002E750F">
            <w:pPr>
              <w:keepNext/>
              <w:spacing w:after="0" w:line="240" w:lineRule="auto"/>
              <w:jc w:val="center"/>
              <w:rPr>
                <w:rFonts w:eastAsia="Times New Roman" w:cs="Arial"/>
                <w:b/>
                <w:color w:val="000000"/>
                <w:sz w:val="20"/>
                <w:szCs w:val="20"/>
                <w:lang w:eastAsia="fr-FR"/>
              </w:rPr>
            </w:pPr>
            <w:r>
              <w:rPr>
                <w:rFonts w:eastAsia="Times New Roman" w:cs="Arial"/>
                <w:b/>
                <w:color w:val="000000"/>
                <w:sz w:val="20"/>
                <w:szCs w:val="20"/>
                <w:lang w:eastAsia="fr-FR"/>
              </w:rPr>
              <w:t>100%</w:t>
            </w:r>
          </w:p>
        </w:tc>
      </w:tr>
    </w:tbl>
    <w:p w14:paraId="066AEF31" w14:textId="32734713" w:rsidR="007B1F77" w:rsidRDefault="00426119" w:rsidP="002E750F">
      <w:pPr>
        <w:pStyle w:val="figure"/>
      </w:pPr>
      <w:bookmarkStart w:id="203" w:name="_Ref68535708"/>
      <w:bookmarkStart w:id="204" w:name="_Toc72143389"/>
      <w:r w:rsidRPr="00426119">
        <w:t xml:space="preserve">Tableau </w:t>
      </w:r>
      <w:r w:rsidR="00E27D6E">
        <w:fldChar w:fldCharType="begin"/>
      </w:r>
      <w:r w:rsidR="00E27D6E">
        <w:instrText xml:space="preserve"> SEQ Tableau \* ARABIC </w:instrText>
      </w:r>
      <w:r w:rsidR="00E27D6E">
        <w:fldChar w:fldCharType="separate"/>
      </w:r>
      <w:r w:rsidR="0007597F">
        <w:rPr>
          <w:noProof/>
        </w:rPr>
        <w:t>41</w:t>
      </w:r>
      <w:r w:rsidR="00E27D6E">
        <w:rPr>
          <w:noProof/>
        </w:rPr>
        <w:fldChar w:fldCharType="end"/>
      </w:r>
      <w:bookmarkEnd w:id="203"/>
      <w:r>
        <w:rPr>
          <w:sz w:val="22"/>
        </w:rPr>
        <w:t> :</w:t>
      </w:r>
      <w:r w:rsidR="00261767">
        <w:rPr>
          <w:sz w:val="22"/>
        </w:rPr>
        <w:t xml:space="preserve"> </w:t>
      </w:r>
      <w:r w:rsidR="00CD6FFF" w:rsidRPr="00FF36E4">
        <w:t xml:space="preserve">Ventilation des pièces de découpe primaire </w:t>
      </w:r>
      <w:r w:rsidR="007B1F77">
        <w:t>à partir d’une carcasse froide</w:t>
      </w:r>
      <w:bookmarkEnd w:id="204"/>
    </w:p>
    <w:p w14:paraId="5206AD3F" w14:textId="1F56005E" w:rsidR="00EC33E4" w:rsidRPr="00AC4581" w:rsidRDefault="00D770BF" w:rsidP="002E750F">
      <w:pPr>
        <w:pStyle w:val="Lgende"/>
      </w:pPr>
      <w:r w:rsidRPr="00AC4581">
        <w:t>(</w:t>
      </w:r>
      <w:r w:rsidR="007B1F77" w:rsidRPr="00AC4581">
        <w:t xml:space="preserve">Source : D’après IFIP, </w:t>
      </w:r>
      <w:r w:rsidR="003E0089" w:rsidRPr="00AC4581">
        <w:t>2016)</w:t>
      </w:r>
    </w:p>
    <w:p w14:paraId="08E816A3" w14:textId="25D43016" w:rsidR="000F2226" w:rsidRDefault="003C5C34" w:rsidP="000A157C">
      <w:r w:rsidRPr="003C5C34">
        <w:t>Au total, les</w:t>
      </w:r>
      <w:r w:rsidR="00D368E5" w:rsidRPr="003C5C34">
        <w:t xml:space="preserve"> quatre pièces nobles (longe, jambon, épaule, poitrine) </w:t>
      </w:r>
      <w:r w:rsidR="00455099">
        <w:t>représente</w:t>
      </w:r>
      <w:r w:rsidR="00F70FB1">
        <w:t>nt en viande net</w:t>
      </w:r>
      <w:r w:rsidR="006B3A19">
        <w:t>te</w:t>
      </w:r>
      <w:r w:rsidR="00F70FB1">
        <w:t xml:space="preserve"> </w:t>
      </w:r>
      <w:r w:rsidR="00D368E5" w:rsidRPr="003C5C34">
        <w:t>environ 8</w:t>
      </w:r>
      <w:r w:rsidR="00765AE2">
        <w:t>8</w:t>
      </w:r>
      <w:r w:rsidR="000A157C">
        <w:t> </w:t>
      </w:r>
      <w:r w:rsidR="00D368E5" w:rsidRPr="003C5C34">
        <w:t>% de la masse froide de la</w:t>
      </w:r>
      <w:r w:rsidR="00765AE2">
        <w:t xml:space="preserve"> </w:t>
      </w:r>
      <w:r w:rsidR="00D368E5" w:rsidRPr="003C5C34">
        <w:t>carcasse (</w:t>
      </w:r>
      <w:r w:rsidR="00765AE2">
        <w:t>9</w:t>
      </w:r>
      <w:r w:rsidR="007266F4">
        <w:t>4</w:t>
      </w:r>
      <w:r w:rsidR="00D368E5" w:rsidRPr="003C5C34">
        <w:t>,</w:t>
      </w:r>
      <w:r w:rsidR="00765AE2">
        <w:t>4</w:t>
      </w:r>
      <w:r w:rsidR="000A157C">
        <w:t> </w:t>
      </w:r>
      <w:r w:rsidR="00D368E5" w:rsidRPr="003C5C34">
        <w:t xml:space="preserve">kg). </w:t>
      </w:r>
      <w:r w:rsidR="001C618F" w:rsidRPr="003C5C34">
        <w:rPr>
          <w:lang w:eastAsia="fr-FR"/>
        </w:rPr>
        <w:t xml:space="preserve">Ce sont ces données qui </w:t>
      </w:r>
      <w:r w:rsidR="00C90E58" w:rsidRPr="003C5C34">
        <w:rPr>
          <w:lang w:eastAsia="fr-FR"/>
        </w:rPr>
        <w:t>s</w:t>
      </w:r>
      <w:r w:rsidR="00DF2C4E" w:rsidRPr="003C5C34">
        <w:rPr>
          <w:lang w:eastAsia="fr-FR"/>
        </w:rPr>
        <w:t>er</w:t>
      </w:r>
      <w:r w:rsidR="001C618F" w:rsidRPr="003C5C34">
        <w:rPr>
          <w:lang w:eastAsia="fr-FR"/>
        </w:rPr>
        <w:t>ont utilisées pour paramétrer le modèle de travail à partir des pièces primaires.</w:t>
      </w:r>
    </w:p>
    <w:p w14:paraId="503D256C" w14:textId="01B08586" w:rsidR="00EC33E4" w:rsidRPr="00EC33E4" w:rsidRDefault="00EC33E4" w:rsidP="00D4568C">
      <w:pPr>
        <w:spacing w:after="0"/>
        <w:ind w:left="142"/>
        <w:jc w:val="left"/>
        <w:rPr>
          <w:sz w:val="20"/>
          <w:szCs w:val="20"/>
          <w:lang w:eastAsia="fr-FR"/>
        </w:rPr>
      </w:pPr>
      <w:r w:rsidRPr="005652F1">
        <w:rPr>
          <w:i/>
          <w:iCs/>
          <w:sz w:val="20"/>
          <w:szCs w:val="20"/>
          <w:lang w:eastAsia="fr-FR"/>
        </w:rPr>
        <w:t>L</w:t>
      </w:r>
      <w:r w:rsidRPr="00EC33E4">
        <w:rPr>
          <w:i/>
          <w:iCs/>
          <w:sz w:val="20"/>
          <w:szCs w:val="20"/>
          <w:lang w:eastAsia="fr-FR"/>
        </w:rPr>
        <w:t xml:space="preserve">es pièces primaires </w:t>
      </w:r>
      <w:r w:rsidR="006C6AD6">
        <w:rPr>
          <w:i/>
          <w:iCs/>
          <w:sz w:val="20"/>
          <w:szCs w:val="20"/>
          <w:lang w:eastAsia="fr-FR"/>
        </w:rPr>
        <w:t>issues de dissection correspondent de</w:t>
      </w:r>
      <w:r w:rsidR="005652F1">
        <w:rPr>
          <w:i/>
          <w:iCs/>
          <w:sz w:val="20"/>
          <w:szCs w:val="20"/>
          <w:lang w:eastAsia="fr-FR"/>
        </w:rPr>
        <w:t xml:space="preserve"> manière détaillée à </w:t>
      </w:r>
      <w:r w:rsidR="006C6AD6">
        <w:rPr>
          <w:sz w:val="20"/>
          <w:szCs w:val="20"/>
          <w:lang w:eastAsia="fr-FR"/>
        </w:rPr>
        <w:br/>
      </w:r>
      <w:r w:rsidRPr="00EC33E4">
        <w:rPr>
          <w:i/>
          <w:iCs/>
          <w:sz w:val="20"/>
          <w:szCs w:val="20"/>
          <w:lang w:eastAsia="fr-FR"/>
        </w:rPr>
        <w:t>- Longe entière non désossée avec bardière : échine, carré, pointe, filet mignon</w:t>
      </w:r>
      <w:r w:rsidR="00A73C58">
        <w:rPr>
          <w:i/>
          <w:iCs/>
          <w:sz w:val="20"/>
          <w:szCs w:val="20"/>
          <w:lang w:eastAsia="fr-FR"/>
        </w:rPr>
        <w:t xml:space="preserve">, </w:t>
      </w:r>
      <w:r w:rsidRPr="00EC33E4">
        <w:rPr>
          <w:i/>
          <w:iCs/>
          <w:sz w:val="20"/>
          <w:szCs w:val="20"/>
          <w:lang w:eastAsia="fr-FR"/>
        </w:rPr>
        <w:t>gras de bardière</w:t>
      </w:r>
      <w:r w:rsidR="00A73C58">
        <w:rPr>
          <w:i/>
          <w:iCs/>
          <w:sz w:val="20"/>
          <w:szCs w:val="20"/>
          <w:lang w:eastAsia="fr-FR"/>
        </w:rPr>
        <w:t>,</w:t>
      </w:r>
      <w:r w:rsidRPr="00EC33E4">
        <w:rPr>
          <w:i/>
          <w:iCs/>
          <w:sz w:val="20"/>
          <w:szCs w:val="20"/>
          <w:lang w:eastAsia="fr-FR"/>
        </w:rPr>
        <w:t xml:space="preserve"> couenne</w:t>
      </w:r>
      <w:r w:rsidR="006B3A19">
        <w:rPr>
          <w:i/>
          <w:iCs/>
          <w:sz w:val="20"/>
          <w:szCs w:val="20"/>
          <w:lang w:eastAsia="fr-FR"/>
        </w:rPr>
        <w:t>,</w:t>
      </w:r>
    </w:p>
    <w:p w14:paraId="54D187A2" w14:textId="6AA56675" w:rsidR="00EC33E4" w:rsidRPr="00EC33E4" w:rsidRDefault="00EC33E4" w:rsidP="00EC33E4">
      <w:pPr>
        <w:spacing w:after="0"/>
        <w:ind w:left="142"/>
        <w:rPr>
          <w:sz w:val="20"/>
          <w:szCs w:val="20"/>
          <w:lang w:eastAsia="fr-FR"/>
        </w:rPr>
      </w:pPr>
      <w:r w:rsidRPr="00EC33E4">
        <w:rPr>
          <w:i/>
          <w:iCs/>
          <w:sz w:val="20"/>
          <w:szCs w:val="20"/>
          <w:lang w:eastAsia="fr-FR"/>
        </w:rPr>
        <w:t>- Jambon brut sans pied (avec jambonneau)</w:t>
      </w:r>
      <w:r w:rsidR="006B3A19">
        <w:rPr>
          <w:i/>
          <w:iCs/>
          <w:sz w:val="20"/>
          <w:szCs w:val="20"/>
          <w:lang w:eastAsia="fr-FR"/>
        </w:rPr>
        <w:t>,</w:t>
      </w:r>
    </w:p>
    <w:p w14:paraId="054D452C" w14:textId="66589162" w:rsidR="00EC33E4" w:rsidRPr="00EC33E4" w:rsidRDefault="00EC33E4" w:rsidP="00EC33E4">
      <w:pPr>
        <w:spacing w:after="0"/>
        <w:ind w:left="142"/>
        <w:rPr>
          <w:sz w:val="20"/>
          <w:szCs w:val="20"/>
          <w:lang w:eastAsia="fr-FR"/>
        </w:rPr>
      </w:pPr>
      <w:r w:rsidRPr="00EC33E4">
        <w:rPr>
          <w:i/>
          <w:iCs/>
          <w:sz w:val="20"/>
          <w:szCs w:val="20"/>
          <w:lang w:eastAsia="fr-FR"/>
        </w:rPr>
        <w:t>- Epaule brute sans pied (avec cotis, avec jarret) et gorge avec couenne</w:t>
      </w:r>
      <w:r w:rsidR="006B3A19">
        <w:rPr>
          <w:i/>
          <w:iCs/>
          <w:sz w:val="20"/>
          <w:szCs w:val="20"/>
          <w:lang w:eastAsia="fr-FR"/>
        </w:rPr>
        <w:t>,</w:t>
      </w:r>
    </w:p>
    <w:p w14:paraId="70BDD2E8" w14:textId="0DE3C6B8" w:rsidR="00EC33E4" w:rsidRDefault="00EC33E4" w:rsidP="005652F1">
      <w:pPr>
        <w:spacing w:after="0"/>
        <w:ind w:left="142"/>
        <w:rPr>
          <w:i/>
          <w:iCs/>
          <w:sz w:val="20"/>
          <w:szCs w:val="20"/>
          <w:lang w:eastAsia="fr-FR"/>
        </w:rPr>
      </w:pPr>
      <w:r w:rsidRPr="00EC33E4">
        <w:rPr>
          <w:i/>
          <w:iCs/>
          <w:sz w:val="20"/>
          <w:szCs w:val="20"/>
          <w:lang w:eastAsia="fr-FR"/>
        </w:rPr>
        <w:t>- Poitrine brute avec mouille</w:t>
      </w:r>
      <w:r w:rsidR="006C6AD6">
        <w:rPr>
          <w:i/>
          <w:iCs/>
          <w:sz w:val="20"/>
          <w:szCs w:val="20"/>
          <w:lang w:eastAsia="fr-FR"/>
        </w:rPr>
        <w:t>.</w:t>
      </w:r>
    </w:p>
    <w:p w14:paraId="324FBA5C" w14:textId="5D9B691B" w:rsidR="00A21494" w:rsidRPr="00B63BE8" w:rsidRDefault="00A21494" w:rsidP="00A305CD">
      <w:pPr>
        <w:pStyle w:val="Titre3"/>
        <w:numPr>
          <w:ilvl w:val="2"/>
          <w:numId w:val="15"/>
        </w:numPr>
      </w:pPr>
      <w:bookmarkStart w:id="205" w:name="_Toc78131619"/>
      <w:r w:rsidRPr="00B63BE8">
        <w:t>Composition massique des abats</w:t>
      </w:r>
      <w:bookmarkEnd w:id="205"/>
    </w:p>
    <w:p w14:paraId="2596FC44" w14:textId="193D5C1C" w:rsidR="008456A6" w:rsidRPr="008456A6" w:rsidRDefault="00365EE6" w:rsidP="000A157C">
      <w:pPr>
        <w:rPr>
          <w:spacing w:val="1"/>
        </w:rPr>
      </w:pPr>
      <w:r>
        <w:t>En dehors de</w:t>
      </w:r>
      <w:r w:rsidR="005400BC">
        <w:t>s pièces de viandes</w:t>
      </w:r>
      <w:r w:rsidR="00E868EC">
        <w:t>,</w:t>
      </w:r>
      <w:r>
        <w:t xml:space="preserve"> </w:t>
      </w:r>
      <w:r w:rsidR="00E868EC">
        <w:t xml:space="preserve">une partie </w:t>
      </w:r>
      <w:r w:rsidR="00E868EC" w:rsidRPr="00780D3D">
        <w:rPr>
          <w:bCs/>
        </w:rPr>
        <w:t xml:space="preserve">de l’animal abattu </w:t>
      </w:r>
      <w:r w:rsidR="00115141">
        <w:rPr>
          <w:bCs/>
        </w:rPr>
        <w:t xml:space="preserve">est </w:t>
      </w:r>
      <w:r w:rsidR="00E868EC">
        <w:rPr>
          <w:bCs/>
        </w:rPr>
        <w:t>désigné</w:t>
      </w:r>
      <w:r w:rsidR="00115141">
        <w:rPr>
          <w:bCs/>
        </w:rPr>
        <w:t>e</w:t>
      </w:r>
      <w:r w:rsidR="00E868EC">
        <w:rPr>
          <w:bCs/>
        </w:rPr>
        <w:t xml:space="preserve"> sous le terme de </w:t>
      </w:r>
      <w:r w:rsidR="00E868EC" w:rsidRPr="00780D3D">
        <w:rPr>
          <w:bCs/>
        </w:rPr>
        <w:t>«</w:t>
      </w:r>
      <w:r w:rsidR="00E868EC">
        <w:rPr>
          <w:bCs/>
        </w:rPr>
        <w:t> </w:t>
      </w:r>
      <w:r w:rsidR="00E868EC" w:rsidRPr="00780D3D">
        <w:rPr>
          <w:bCs/>
        </w:rPr>
        <w:t>Cinquième quartier</w:t>
      </w:r>
      <w:r w:rsidR="00E868EC">
        <w:rPr>
          <w:bCs/>
        </w:rPr>
        <w:t> »</w:t>
      </w:r>
      <w:r w:rsidR="00E868EC">
        <w:t xml:space="preserve"> et </w:t>
      </w:r>
      <w:r w:rsidR="00E868EC">
        <w:rPr>
          <w:bCs/>
        </w:rPr>
        <w:t xml:space="preserve">correspond à </w:t>
      </w:r>
      <w:r w:rsidR="008B46BF">
        <w:t>l’ensemble des abats séparés de la carcasse des animaux à</w:t>
      </w:r>
      <w:r w:rsidR="008B46BF">
        <w:rPr>
          <w:spacing w:val="1"/>
        </w:rPr>
        <w:t xml:space="preserve"> </w:t>
      </w:r>
      <w:r w:rsidR="008B46BF">
        <w:t>l'abattoir</w:t>
      </w:r>
      <w:r w:rsidR="008B46BF">
        <w:rPr>
          <w:spacing w:val="1"/>
        </w:rPr>
        <w:t xml:space="preserve"> </w:t>
      </w:r>
      <w:r w:rsidR="008B46BF">
        <w:t>lors</w:t>
      </w:r>
      <w:r w:rsidR="008B46BF">
        <w:rPr>
          <w:spacing w:val="1"/>
        </w:rPr>
        <w:t xml:space="preserve"> </w:t>
      </w:r>
      <w:r w:rsidR="008B46BF">
        <w:t>de</w:t>
      </w:r>
      <w:r w:rsidR="008B46BF">
        <w:rPr>
          <w:spacing w:val="1"/>
        </w:rPr>
        <w:t xml:space="preserve"> </w:t>
      </w:r>
      <w:r w:rsidR="008B46BF">
        <w:t>l’éviscération</w:t>
      </w:r>
      <w:r w:rsidR="005400BC">
        <w:t xml:space="preserve"> </w:t>
      </w:r>
      <w:r w:rsidR="00115141">
        <w:t>ainsi que ceux</w:t>
      </w:r>
      <w:r w:rsidR="005400BC">
        <w:t xml:space="preserve"> rattachés à la carcasse</w:t>
      </w:r>
      <w:r w:rsidR="008B46BF">
        <w:t>.</w:t>
      </w:r>
      <w:r w:rsidR="008B46BF">
        <w:rPr>
          <w:spacing w:val="1"/>
        </w:rPr>
        <w:t xml:space="preserve"> </w:t>
      </w:r>
      <w:r w:rsidR="008456A6">
        <w:t>La spécification technique du Ministère des Finances, de l’Economie et de l’Industrie, n° B1-17-05 du 8 décembre 2005 applicable aux abats de boucherie, donne une définition des abats réglementairement</w:t>
      </w:r>
      <w:r w:rsidR="001A0533">
        <w:t xml:space="preserve"> </w:t>
      </w:r>
      <w:r w:rsidR="005C5524">
        <w:t>« toutes les parties comestibles des animaux domestiques des espèces bovines porcine, ovine et caprine, autres que la carcasse »</w:t>
      </w:r>
      <w:r w:rsidR="0035116D">
        <w:t xml:space="preserve">. </w:t>
      </w:r>
    </w:p>
    <w:p w14:paraId="139EA685" w14:textId="1BD4C411" w:rsidR="00103215" w:rsidRDefault="00FA2A74" w:rsidP="000A157C">
      <w:r>
        <w:t xml:space="preserve">A partir de l’ensemble des abats, il va s’agir de distinguer les abats attachés à la carcasse et les abats obtenus par éviscération du porc afin de pouvoir comptabiliser la fraction à destination de la consommation humaine. </w:t>
      </w:r>
      <w:r w:rsidR="00E868EC">
        <w:t>Ces</w:t>
      </w:r>
      <w:r w:rsidR="00C021D1">
        <w:t xml:space="preserve"> valeurs </w:t>
      </w:r>
      <w:r w:rsidR="00C14235">
        <w:t xml:space="preserve">massiques </w:t>
      </w:r>
      <w:r w:rsidR="00C021D1">
        <w:t xml:space="preserve">d’abats disponibles ont </w:t>
      </w:r>
      <w:r w:rsidR="005C5524">
        <w:t xml:space="preserve">par conséquent </w:t>
      </w:r>
      <w:r w:rsidR="00C021D1">
        <w:t xml:space="preserve">été </w:t>
      </w:r>
      <w:r w:rsidR="007671D7">
        <w:t>approchées</w:t>
      </w:r>
      <w:r w:rsidR="00C021D1">
        <w:t xml:space="preserve"> </w:t>
      </w:r>
      <w:r w:rsidR="00103215">
        <w:t>de deux manières</w:t>
      </w:r>
      <w:r w:rsidR="00EC3F35">
        <w:t xml:space="preserve"> : </w:t>
      </w:r>
    </w:p>
    <w:p w14:paraId="475BC2BC" w14:textId="23177C19" w:rsidR="00145D84" w:rsidRDefault="00145D84" w:rsidP="00A305CD">
      <w:pPr>
        <w:pStyle w:val="Paragraphedeliste"/>
        <w:numPr>
          <w:ilvl w:val="0"/>
          <w:numId w:val="19"/>
        </w:numPr>
      </w:pPr>
      <w:r>
        <w:t>Pour la fraction rattachée à la carcasse, les données prises en compte sont les données de dissection de la série de 2016 réalisée par l’IFIP.</w:t>
      </w:r>
    </w:p>
    <w:p w14:paraId="40AF7764" w14:textId="0F1A7AE7" w:rsidR="00103215" w:rsidRDefault="002B1A23" w:rsidP="00A305CD">
      <w:pPr>
        <w:pStyle w:val="Paragraphedeliste"/>
        <w:numPr>
          <w:ilvl w:val="0"/>
          <w:numId w:val="19"/>
        </w:numPr>
      </w:pPr>
      <w:r>
        <w:t xml:space="preserve">Pour la fraction obtenue par </w:t>
      </w:r>
      <w:r w:rsidR="00F469CD">
        <w:t>é</w:t>
      </w:r>
      <w:r>
        <w:t>viscération</w:t>
      </w:r>
      <w:r w:rsidR="00F469CD">
        <w:t> : les</w:t>
      </w:r>
      <w:r w:rsidR="00C14235">
        <w:t xml:space="preserve"> données </w:t>
      </w:r>
      <w:r w:rsidR="00F469CD">
        <w:t xml:space="preserve">sont issues </w:t>
      </w:r>
      <w:r w:rsidR="00C14235">
        <w:t>d</w:t>
      </w:r>
      <w:r w:rsidR="00F469CD">
        <w:t>u</w:t>
      </w:r>
      <w:r w:rsidR="00C14235">
        <w:t xml:space="preserve"> rapport FranceAgrimer Blezat </w:t>
      </w:r>
      <w:r w:rsidR="00FF660E">
        <w:t xml:space="preserve">de </w:t>
      </w:r>
      <w:r w:rsidR="00C14235">
        <w:t xml:space="preserve">2013 et de données </w:t>
      </w:r>
      <w:r w:rsidR="00D00A02">
        <w:t xml:space="preserve">par enquête </w:t>
      </w:r>
      <w:r w:rsidR="00C14235">
        <w:t xml:space="preserve">à dire d’expert </w:t>
      </w:r>
      <w:r w:rsidR="00005DA0">
        <w:t>auprès</w:t>
      </w:r>
      <w:r w:rsidR="00C14235">
        <w:t xml:space="preserve"> de Celene (</w:t>
      </w:r>
      <w:r w:rsidR="00C14235" w:rsidRPr="00E868EC">
        <w:t>Cellule énergie et environnement des entreprises françaises de production</w:t>
      </w:r>
      <w:r w:rsidR="00C14235">
        <w:t xml:space="preserve"> de viande)</w:t>
      </w:r>
      <w:r w:rsidR="00C56990">
        <w:t>.</w:t>
      </w:r>
    </w:p>
    <w:p w14:paraId="1185F157" w14:textId="0681AA01" w:rsidR="000B06C2" w:rsidRDefault="00CB064B" w:rsidP="000A157C">
      <w:pPr>
        <w:rPr>
          <w:lang w:eastAsia="fr-FR"/>
        </w:rPr>
      </w:pPr>
      <w:bookmarkStart w:id="206" w:name="_TOC_250027"/>
      <w:r>
        <w:rPr>
          <w:lang w:eastAsia="fr-FR"/>
        </w:rPr>
        <w:t>A cette fraction d’abats, s’ajoute une partie du sang</w:t>
      </w:r>
      <w:r w:rsidR="00BF40B5">
        <w:rPr>
          <w:lang w:eastAsia="fr-FR"/>
        </w:rPr>
        <w:t>, soit environ 50</w:t>
      </w:r>
      <w:r w:rsidR="000A157C">
        <w:rPr>
          <w:lang w:eastAsia="fr-FR"/>
        </w:rPr>
        <w:t> </w:t>
      </w:r>
      <w:r w:rsidR="00BF40B5">
        <w:rPr>
          <w:lang w:eastAsia="fr-FR"/>
        </w:rPr>
        <w:t xml:space="preserve">% </w:t>
      </w:r>
      <w:r w:rsidR="00520CAA">
        <w:rPr>
          <w:lang w:eastAsia="fr-FR"/>
        </w:rPr>
        <w:t>(2</w:t>
      </w:r>
      <w:r w:rsidR="00B61D77">
        <w:rPr>
          <w:lang w:eastAsia="fr-FR"/>
        </w:rPr>
        <w:t>l</w:t>
      </w:r>
      <w:r w:rsidR="00520CAA">
        <w:rPr>
          <w:lang w:eastAsia="fr-FR"/>
        </w:rPr>
        <w:t xml:space="preserve"> par carcasse) </w:t>
      </w:r>
      <w:r w:rsidR="00BF40B5">
        <w:rPr>
          <w:lang w:eastAsia="fr-FR"/>
        </w:rPr>
        <w:t>à destination de la consommation humaine.</w:t>
      </w:r>
    </w:p>
    <w:p w14:paraId="1092568E" w14:textId="3180E738" w:rsidR="004238AD" w:rsidRDefault="004238AD" w:rsidP="000A157C">
      <w:r>
        <w:t>Rattachés à la carcasse sont comptabilisés, la tête, les pieds avant et arrière, la queue et d’autres pièces de moindre représentation massique tels que la langue. La tête comprend</w:t>
      </w:r>
      <w:r w:rsidR="00D4568C">
        <w:t xml:space="preserve"> </w:t>
      </w:r>
      <w:r>
        <w:t>: la cervelle, le masque, les oreilles, les joues et la tête dépouillée. Cette fraction rattachée à la carcasse représente 12,</w:t>
      </w:r>
      <w:r w:rsidR="00DC6F08">
        <w:t>1</w:t>
      </w:r>
      <w:r w:rsidR="007022E5">
        <w:t> </w:t>
      </w:r>
      <w:r>
        <w:t xml:space="preserve">% du poids de la carcasse froide </w:t>
      </w:r>
      <w:r w:rsidR="007022E5">
        <w:t>et 1</w:t>
      </w:r>
      <w:r w:rsidR="006118A4">
        <w:t>1,4</w:t>
      </w:r>
      <w:r w:rsidR="000A157C">
        <w:t> </w:t>
      </w:r>
      <w:r w:rsidR="007022E5">
        <w:t xml:space="preserve">kg </w:t>
      </w:r>
      <w:r>
        <w:t>selon la série de dissection de 2016 mentionnée plus haut (IFIP)</w:t>
      </w:r>
      <w:r w:rsidR="004E359D">
        <w:t xml:space="preserve"> </w:t>
      </w:r>
      <w:r w:rsidR="007B7E0E">
        <w:t>(</w:t>
      </w:r>
      <w:r w:rsidR="00F52571">
        <w:fldChar w:fldCharType="begin"/>
      </w:r>
      <w:r w:rsidR="00F52571">
        <w:instrText xml:space="preserve"> REF _Ref68535004 \h </w:instrText>
      </w:r>
      <w:r w:rsidR="00F52571">
        <w:fldChar w:fldCharType="separate"/>
      </w:r>
      <w:r w:rsidR="0007597F" w:rsidRPr="007B1F77">
        <w:t xml:space="preserve">Tableau </w:t>
      </w:r>
      <w:r w:rsidR="0007597F">
        <w:rPr>
          <w:noProof/>
        </w:rPr>
        <w:t>42</w:t>
      </w:r>
      <w:r w:rsidR="00F52571">
        <w:fldChar w:fldCharType="end"/>
      </w:r>
      <w:r w:rsidR="00A52BC1">
        <w:t>)</w:t>
      </w:r>
      <w:r>
        <w:t>.</w:t>
      </w:r>
    </w:p>
    <w:p w14:paraId="1F3EC39E" w14:textId="77777777" w:rsidR="001856F9" w:rsidRDefault="001856F9" w:rsidP="000A157C"/>
    <w:tbl>
      <w:tblPr>
        <w:tblW w:w="7726" w:type="dxa"/>
        <w:jc w:val="center"/>
        <w:tblCellMar>
          <w:left w:w="70" w:type="dxa"/>
          <w:right w:w="70" w:type="dxa"/>
        </w:tblCellMar>
        <w:tblLook w:val="04A0" w:firstRow="1" w:lastRow="0" w:firstColumn="1" w:lastColumn="0" w:noHBand="0" w:noVBand="1"/>
      </w:tblPr>
      <w:tblGrid>
        <w:gridCol w:w="3006"/>
        <w:gridCol w:w="1620"/>
        <w:gridCol w:w="3100"/>
      </w:tblGrid>
      <w:tr w:rsidR="00DB12EF" w:rsidRPr="00DB12EF" w14:paraId="0278D594" w14:textId="77777777" w:rsidTr="00C56CE3">
        <w:trPr>
          <w:trHeight w:val="345"/>
          <w:jc w:val="center"/>
        </w:trPr>
        <w:tc>
          <w:tcPr>
            <w:tcW w:w="30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CAA292" w14:textId="77777777" w:rsidR="00DB12EF" w:rsidRPr="00DB12EF" w:rsidRDefault="00DB12EF" w:rsidP="00DB12E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lastRenderedPageBreak/>
              <w:t xml:space="preserve">Dénomination </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14:paraId="0CCB83B9" w14:textId="77777777" w:rsidR="00DB12EF" w:rsidRPr="00DB12EF" w:rsidRDefault="00DB12EF" w:rsidP="00DB12E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Poids net en kg</w:t>
            </w:r>
          </w:p>
        </w:tc>
        <w:tc>
          <w:tcPr>
            <w:tcW w:w="3100" w:type="dxa"/>
            <w:tcBorders>
              <w:top w:val="single" w:sz="4" w:space="0" w:color="auto"/>
              <w:left w:val="nil"/>
              <w:bottom w:val="single" w:sz="4" w:space="0" w:color="auto"/>
              <w:right w:val="single" w:sz="4" w:space="0" w:color="auto"/>
            </w:tcBorders>
            <w:shd w:val="clear" w:color="auto" w:fill="auto"/>
            <w:vAlign w:val="center"/>
            <w:hideMark/>
          </w:tcPr>
          <w:p w14:paraId="76890B06" w14:textId="77777777" w:rsidR="00DB12EF" w:rsidRPr="00DB12EF" w:rsidRDefault="00DB12EF" w:rsidP="00DB12E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 xml:space="preserve">% du poids de carcasse froide </w:t>
            </w:r>
          </w:p>
        </w:tc>
      </w:tr>
      <w:tr w:rsidR="008111DF" w:rsidRPr="00DB12EF" w14:paraId="6375D703" w14:textId="77777777" w:rsidTr="00C56CE3">
        <w:trPr>
          <w:trHeight w:val="154"/>
          <w:jc w:val="center"/>
        </w:trPr>
        <w:tc>
          <w:tcPr>
            <w:tcW w:w="300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0A62D8F" w14:textId="77777777"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Tête</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22EB9E5" w14:textId="31DB8222"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8,2</w:t>
            </w:r>
          </w:p>
        </w:tc>
        <w:tc>
          <w:tcPr>
            <w:tcW w:w="310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59E42CF"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8,7%</w:t>
            </w:r>
          </w:p>
        </w:tc>
      </w:tr>
      <w:tr w:rsidR="008111DF" w:rsidRPr="00DB12EF" w14:paraId="2126CEFA" w14:textId="77777777" w:rsidTr="00C56CE3">
        <w:trPr>
          <w:trHeight w:val="199"/>
          <w:jc w:val="center"/>
        </w:trPr>
        <w:tc>
          <w:tcPr>
            <w:tcW w:w="30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C689CC" w14:textId="2B5C039F"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Pied</w:t>
            </w:r>
            <w:r>
              <w:rPr>
                <w:rFonts w:eastAsia="Times New Roman" w:cs="Arial"/>
                <w:color w:val="000000"/>
                <w:sz w:val="20"/>
                <w:szCs w:val="20"/>
                <w:lang w:eastAsia="fr-FR"/>
              </w:rPr>
              <w:t>s</w:t>
            </w:r>
            <w:r w:rsidRPr="00DB12EF">
              <w:rPr>
                <w:rFonts w:eastAsia="Times New Roman" w:cs="Arial"/>
                <w:color w:val="000000"/>
                <w:sz w:val="20"/>
                <w:szCs w:val="20"/>
                <w:lang w:eastAsia="fr-FR"/>
              </w:rPr>
              <w:t xml:space="preserve"> arrière</w:t>
            </w:r>
          </w:p>
        </w:tc>
        <w:tc>
          <w:tcPr>
            <w:tcW w:w="1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DA12CAD" w14:textId="4AD2BCC0"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1,7</w:t>
            </w:r>
          </w:p>
        </w:tc>
        <w:tc>
          <w:tcPr>
            <w:tcW w:w="31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3BD352"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1,8%</w:t>
            </w:r>
          </w:p>
        </w:tc>
      </w:tr>
      <w:tr w:rsidR="008111DF" w:rsidRPr="00DB12EF" w14:paraId="09974E8B" w14:textId="77777777" w:rsidTr="00C56CE3">
        <w:trPr>
          <w:trHeight w:val="300"/>
          <w:jc w:val="center"/>
        </w:trPr>
        <w:tc>
          <w:tcPr>
            <w:tcW w:w="300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8DF0CA8" w14:textId="0403B698"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Pied</w:t>
            </w:r>
            <w:r>
              <w:rPr>
                <w:rFonts w:eastAsia="Times New Roman" w:cs="Arial"/>
                <w:color w:val="000000"/>
                <w:sz w:val="20"/>
                <w:szCs w:val="20"/>
                <w:lang w:eastAsia="fr-FR"/>
              </w:rPr>
              <w:t>s</w:t>
            </w:r>
            <w:r w:rsidRPr="00DB12EF">
              <w:rPr>
                <w:rFonts w:eastAsia="Times New Roman" w:cs="Arial"/>
                <w:color w:val="000000"/>
                <w:sz w:val="20"/>
                <w:szCs w:val="20"/>
                <w:lang w:eastAsia="fr-FR"/>
              </w:rPr>
              <w:t xml:space="preserve"> avant</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FF57FF1" w14:textId="40FAFC0F"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0,8</w:t>
            </w:r>
          </w:p>
        </w:tc>
        <w:tc>
          <w:tcPr>
            <w:tcW w:w="310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83A2482"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0,9%</w:t>
            </w:r>
          </w:p>
        </w:tc>
      </w:tr>
      <w:tr w:rsidR="008111DF" w:rsidRPr="00DB12EF" w14:paraId="786D1BF3" w14:textId="77777777" w:rsidTr="00C56CE3">
        <w:trPr>
          <w:trHeight w:val="300"/>
          <w:jc w:val="center"/>
        </w:trPr>
        <w:tc>
          <w:tcPr>
            <w:tcW w:w="30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ACF0A2" w14:textId="77777777"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Queue</w:t>
            </w:r>
          </w:p>
        </w:tc>
        <w:tc>
          <w:tcPr>
            <w:tcW w:w="16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1982AED" w14:textId="034BCF36"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0,2</w:t>
            </w:r>
          </w:p>
        </w:tc>
        <w:tc>
          <w:tcPr>
            <w:tcW w:w="31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B3A928"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0,2%</w:t>
            </w:r>
          </w:p>
        </w:tc>
      </w:tr>
      <w:tr w:rsidR="008111DF" w:rsidRPr="00DB12EF" w14:paraId="1C5D6BB0" w14:textId="77777777" w:rsidTr="00C56CE3">
        <w:trPr>
          <w:trHeight w:val="300"/>
          <w:jc w:val="center"/>
        </w:trPr>
        <w:tc>
          <w:tcPr>
            <w:tcW w:w="300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CD630DE" w14:textId="5B98A4C6" w:rsidR="008111DF" w:rsidRPr="00DB12EF" w:rsidRDefault="008111DF" w:rsidP="008111DF">
            <w:pPr>
              <w:spacing w:after="0" w:line="240" w:lineRule="auto"/>
              <w:jc w:val="left"/>
              <w:rPr>
                <w:rFonts w:eastAsia="Times New Roman" w:cs="Arial"/>
                <w:color w:val="000000"/>
                <w:sz w:val="20"/>
                <w:szCs w:val="20"/>
                <w:lang w:eastAsia="fr-FR"/>
              </w:rPr>
            </w:pPr>
            <w:r w:rsidRPr="00DB12EF">
              <w:rPr>
                <w:rFonts w:eastAsia="Times New Roman" w:cs="Arial"/>
                <w:color w:val="000000"/>
                <w:sz w:val="20"/>
                <w:szCs w:val="20"/>
                <w:lang w:eastAsia="fr-FR"/>
              </w:rPr>
              <w:t>Autres</w:t>
            </w:r>
            <w:r>
              <w:rPr>
                <w:rFonts w:eastAsia="Times New Roman" w:cs="Arial"/>
                <w:color w:val="000000"/>
                <w:sz w:val="20"/>
                <w:szCs w:val="20"/>
                <w:lang w:eastAsia="fr-FR"/>
              </w:rPr>
              <w:t xml:space="preserve"> (dont langue)</w:t>
            </w:r>
            <w:r w:rsidRPr="00DB12EF">
              <w:rPr>
                <w:rFonts w:eastAsia="Times New Roman" w:cs="Arial"/>
                <w:color w:val="000000"/>
                <w:sz w:val="20"/>
                <w:szCs w:val="20"/>
                <w:lang w:eastAsia="fr-FR"/>
              </w:rPr>
              <w:t xml:space="preserve"> </w:t>
            </w:r>
          </w:p>
        </w:tc>
        <w:tc>
          <w:tcPr>
            <w:tcW w:w="162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01D643B" w14:textId="09631604" w:rsidR="008111DF" w:rsidRPr="008111DF" w:rsidRDefault="008111DF" w:rsidP="008111DF">
            <w:pPr>
              <w:spacing w:after="0" w:line="240" w:lineRule="auto"/>
              <w:jc w:val="center"/>
              <w:rPr>
                <w:rFonts w:eastAsia="Times New Roman" w:cs="Arial"/>
                <w:color w:val="000000"/>
                <w:sz w:val="20"/>
                <w:szCs w:val="20"/>
                <w:lang w:eastAsia="fr-FR"/>
              </w:rPr>
            </w:pPr>
            <w:r w:rsidRPr="008111DF">
              <w:rPr>
                <w:rFonts w:cs="Arial"/>
                <w:color w:val="000000"/>
                <w:sz w:val="20"/>
                <w:szCs w:val="20"/>
              </w:rPr>
              <w:t>0,5</w:t>
            </w:r>
          </w:p>
        </w:tc>
        <w:tc>
          <w:tcPr>
            <w:tcW w:w="310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29AEC05" w14:textId="77777777" w:rsidR="008111DF" w:rsidRPr="00DB12EF" w:rsidRDefault="008111DF" w:rsidP="008111DF">
            <w:pPr>
              <w:spacing w:after="0" w:line="240" w:lineRule="auto"/>
              <w:jc w:val="center"/>
              <w:rPr>
                <w:rFonts w:eastAsia="Times New Roman" w:cs="Arial"/>
                <w:color w:val="000000"/>
                <w:sz w:val="20"/>
                <w:szCs w:val="20"/>
                <w:lang w:eastAsia="fr-FR"/>
              </w:rPr>
            </w:pPr>
            <w:r w:rsidRPr="00DB12EF">
              <w:rPr>
                <w:rFonts w:eastAsia="Times New Roman" w:cs="Arial"/>
                <w:color w:val="000000"/>
                <w:sz w:val="20"/>
                <w:szCs w:val="20"/>
                <w:lang w:eastAsia="fr-FR"/>
              </w:rPr>
              <w:t>0,5%</w:t>
            </w:r>
          </w:p>
        </w:tc>
      </w:tr>
      <w:tr w:rsidR="00DB12EF" w:rsidRPr="00DB12EF" w14:paraId="3BB52B57" w14:textId="77777777" w:rsidTr="00C56CE3">
        <w:trPr>
          <w:trHeight w:val="300"/>
          <w:jc w:val="center"/>
        </w:trPr>
        <w:tc>
          <w:tcPr>
            <w:tcW w:w="300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F8F9AE" w14:textId="1B854F2C" w:rsidR="00DB12EF" w:rsidRPr="00DB12EF" w:rsidRDefault="00C56CE3" w:rsidP="00DB12EF">
            <w:pPr>
              <w:spacing w:after="0" w:line="240" w:lineRule="auto"/>
              <w:jc w:val="left"/>
              <w:rPr>
                <w:rFonts w:eastAsia="Times New Roman" w:cs="Arial"/>
                <w:b/>
                <w:i/>
                <w:color w:val="000000"/>
                <w:sz w:val="20"/>
                <w:szCs w:val="20"/>
                <w:lang w:eastAsia="fr-FR"/>
              </w:rPr>
            </w:pPr>
            <w:r w:rsidRPr="00317F66">
              <w:rPr>
                <w:rFonts w:eastAsia="Times New Roman" w:cs="Arial"/>
                <w:b/>
                <w:i/>
                <w:color w:val="000000"/>
                <w:sz w:val="20"/>
                <w:szCs w:val="20"/>
                <w:lang w:eastAsia="fr-FR"/>
              </w:rPr>
              <w:t>Poids</w:t>
            </w:r>
            <w:r w:rsidR="00DB12EF" w:rsidRPr="00DB12EF">
              <w:rPr>
                <w:rFonts w:eastAsia="Times New Roman" w:cs="Arial"/>
                <w:b/>
                <w:i/>
                <w:color w:val="000000"/>
                <w:sz w:val="20"/>
                <w:szCs w:val="20"/>
                <w:lang w:eastAsia="fr-FR"/>
              </w:rPr>
              <w:t xml:space="preserve"> </w:t>
            </w:r>
            <w:r w:rsidRPr="00317F66">
              <w:rPr>
                <w:rFonts w:eastAsia="Times New Roman" w:cs="Arial"/>
                <w:b/>
                <w:i/>
                <w:color w:val="000000"/>
                <w:sz w:val="20"/>
                <w:szCs w:val="20"/>
                <w:lang w:eastAsia="fr-FR"/>
              </w:rPr>
              <w:t xml:space="preserve">carcasse </w:t>
            </w:r>
            <w:r w:rsidR="00DB12EF" w:rsidRPr="00DB12EF">
              <w:rPr>
                <w:rFonts w:eastAsia="Times New Roman" w:cs="Arial"/>
                <w:b/>
                <w:i/>
                <w:color w:val="000000"/>
                <w:sz w:val="20"/>
                <w:szCs w:val="20"/>
                <w:lang w:eastAsia="fr-FR"/>
              </w:rPr>
              <w:t>poids froid</w:t>
            </w:r>
          </w:p>
        </w:tc>
        <w:tc>
          <w:tcPr>
            <w:tcW w:w="1620"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588F71A2" w14:textId="25BE700B" w:rsidR="00DB12EF" w:rsidRPr="00DB12EF" w:rsidRDefault="0075644F" w:rsidP="002C4E2E">
            <w:pPr>
              <w:spacing w:after="0" w:line="240" w:lineRule="auto"/>
              <w:jc w:val="center"/>
              <w:rPr>
                <w:rFonts w:eastAsia="Times New Roman" w:cs="Arial"/>
                <w:b/>
                <w:i/>
                <w:color w:val="000000"/>
                <w:sz w:val="20"/>
                <w:szCs w:val="20"/>
                <w:lang w:eastAsia="fr-FR"/>
              </w:rPr>
            </w:pPr>
            <w:r>
              <w:rPr>
                <w:rFonts w:eastAsia="Times New Roman" w:cs="Arial"/>
                <w:b/>
                <w:i/>
                <w:color w:val="000000"/>
                <w:sz w:val="20"/>
                <w:szCs w:val="20"/>
                <w:lang w:eastAsia="fr-FR"/>
              </w:rPr>
              <w:t>94,4</w:t>
            </w:r>
          </w:p>
        </w:tc>
        <w:tc>
          <w:tcPr>
            <w:tcW w:w="31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07437F" w14:textId="32504F89" w:rsidR="00317F66" w:rsidRPr="00DB12EF" w:rsidRDefault="00317F66" w:rsidP="00317F66">
            <w:pPr>
              <w:spacing w:after="0" w:line="240" w:lineRule="auto"/>
              <w:jc w:val="center"/>
              <w:rPr>
                <w:rFonts w:eastAsia="Times New Roman" w:cs="Arial"/>
                <w:b/>
                <w:bCs/>
                <w:i/>
                <w:color w:val="000000"/>
                <w:sz w:val="20"/>
                <w:szCs w:val="20"/>
                <w:lang w:eastAsia="fr-FR"/>
              </w:rPr>
            </w:pPr>
            <w:r>
              <w:rPr>
                <w:rFonts w:eastAsia="Times New Roman" w:cs="Arial"/>
                <w:b/>
                <w:bCs/>
                <w:i/>
                <w:color w:val="000000"/>
                <w:sz w:val="20"/>
                <w:szCs w:val="20"/>
                <w:lang w:eastAsia="fr-FR"/>
              </w:rPr>
              <w:t>100%</w:t>
            </w:r>
          </w:p>
        </w:tc>
      </w:tr>
    </w:tbl>
    <w:p w14:paraId="75C1AA29" w14:textId="2CFF0D88" w:rsidR="000A157C" w:rsidRDefault="007B1F77" w:rsidP="000A157C">
      <w:pPr>
        <w:pStyle w:val="figure"/>
      </w:pPr>
      <w:bookmarkStart w:id="207" w:name="_Ref68535004"/>
      <w:bookmarkStart w:id="208" w:name="_Toc72143390"/>
      <w:r w:rsidRPr="007B1F77">
        <w:t xml:space="preserve">Tableau </w:t>
      </w:r>
      <w:r w:rsidR="00E27D6E">
        <w:fldChar w:fldCharType="begin"/>
      </w:r>
      <w:r w:rsidR="00E27D6E">
        <w:instrText xml:space="preserve"> SEQ Tableau \* ARABIC </w:instrText>
      </w:r>
      <w:r w:rsidR="00E27D6E">
        <w:fldChar w:fldCharType="separate"/>
      </w:r>
      <w:r w:rsidR="0007597F">
        <w:rPr>
          <w:noProof/>
        </w:rPr>
        <w:t>42</w:t>
      </w:r>
      <w:r w:rsidR="00E27D6E">
        <w:rPr>
          <w:noProof/>
        </w:rPr>
        <w:fldChar w:fldCharType="end"/>
      </w:r>
      <w:bookmarkEnd w:id="207"/>
      <w:r w:rsidRPr="007B1F77">
        <w:t xml:space="preserve"> </w:t>
      </w:r>
      <w:r w:rsidRPr="00BE7056">
        <w:t>:</w:t>
      </w:r>
      <w:r w:rsidRPr="007B1F77">
        <w:t xml:space="preserve"> </w:t>
      </w:r>
      <w:r w:rsidR="00152EB0">
        <w:t>Composition massique</w:t>
      </w:r>
      <w:r w:rsidRPr="007B1F77">
        <w:t xml:space="preserve"> </w:t>
      </w:r>
      <w:r w:rsidRPr="00BE7056">
        <w:t>d</w:t>
      </w:r>
      <w:r w:rsidR="001E3A66">
        <w:t>e la fraction d</w:t>
      </w:r>
      <w:r w:rsidR="002532F7">
        <w:t xml:space="preserve">es abats </w:t>
      </w:r>
      <w:r w:rsidR="00145D84">
        <w:t>rattaché</w:t>
      </w:r>
      <w:r w:rsidR="002532F7">
        <w:t>s</w:t>
      </w:r>
      <w:r w:rsidR="00145D84">
        <w:t xml:space="preserve"> à la carcasse</w:t>
      </w:r>
      <w:bookmarkEnd w:id="206"/>
      <w:r w:rsidR="00ED0925">
        <w:t xml:space="preserve"> </w:t>
      </w:r>
      <w:r w:rsidR="002532F7">
        <w:t>b</w:t>
      </w:r>
      <w:r w:rsidR="00145D84">
        <w:t xml:space="preserve">ase 100% de carcasse </w:t>
      </w:r>
      <w:r>
        <w:t>froid</w:t>
      </w:r>
      <w:r w:rsidR="00145D84">
        <w:t>e</w:t>
      </w:r>
      <w:bookmarkEnd w:id="208"/>
    </w:p>
    <w:p w14:paraId="7A762090" w14:textId="7E2BEA1F" w:rsidR="00201ECD" w:rsidRPr="000A157C" w:rsidRDefault="007B1F77" w:rsidP="000A157C">
      <w:pPr>
        <w:pStyle w:val="Lgende"/>
      </w:pPr>
      <w:r w:rsidRPr="000A157C">
        <w:t xml:space="preserve"> (Source : </w:t>
      </w:r>
      <w:r w:rsidR="00145D84" w:rsidRPr="000A157C">
        <w:t xml:space="preserve">d’après </w:t>
      </w:r>
      <w:r w:rsidR="001E3A66" w:rsidRPr="000A157C">
        <w:t>I</w:t>
      </w:r>
      <w:r w:rsidR="00145D84" w:rsidRPr="000A157C">
        <w:t>FIP 2016</w:t>
      </w:r>
      <w:r w:rsidRPr="000A157C">
        <w:t>).</w:t>
      </w:r>
    </w:p>
    <w:p w14:paraId="4DBF56D6" w14:textId="4580DFBA" w:rsidR="009276BC" w:rsidRDefault="00216A7F" w:rsidP="000A157C">
      <w:r>
        <w:t>C</w:t>
      </w:r>
      <w:r w:rsidR="00F80C5A">
        <w:t>oncernant la fraction des abats obtenue par éviscération</w:t>
      </w:r>
      <w:r w:rsidR="00B61F5F">
        <w:t xml:space="preserve">, elle pèse </w:t>
      </w:r>
      <w:r w:rsidR="00DE1564">
        <w:t>5,4</w:t>
      </w:r>
      <w:r w:rsidR="000A157C">
        <w:t> </w:t>
      </w:r>
      <w:r w:rsidR="00DE1564">
        <w:t xml:space="preserve">% </w:t>
      </w:r>
      <w:r w:rsidR="006B3A19">
        <w:t xml:space="preserve">de la carcasse chaude </w:t>
      </w:r>
      <w:r w:rsidR="00DE1564">
        <w:t xml:space="preserve">pour un poids moyen de </w:t>
      </w:r>
      <w:r w:rsidR="00CC219E">
        <w:t>5,7</w:t>
      </w:r>
      <w:r w:rsidR="000A157C">
        <w:t> </w:t>
      </w:r>
      <w:r w:rsidR="00CC219E">
        <w:t>kg</w:t>
      </w:r>
      <w:r w:rsidR="00E74E69">
        <w:t>. C’est en particulier cette fraction qui n’est pas prise en compte dans le cadre d’une analyse par bilan</w:t>
      </w:r>
      <w:r w:rsidR="00B37A4C">
        <w:t xml:space="preserve"> de la consommation</w:t>
      </w:r>
      <w:r w:rsidR="007B7E0E">
        <w:t xml:space="preserve"> (</w:t>
      </w:r>
      <w:r w:rsidR="00F52571">
        <w:fldChar w:fldCharType="begin"/>
      </w:r>
      <w:r w:rsidR="00F52571">
        <w:instrText xml:space="preserve"> REF _Ref68612766 \h </w:instrText>
      </w:r>
      <w:r w:rsidR="00F52571">
        <w:fldChar w:fldCharType="separate"/>
      </w:r>
      <w:r w:rsidR="0007597F" w:rsidRPr="00553551">
        <w:t xml:space="preserve">Tableau </w:t>
      </w:r>
      <w:r w:rsidR="0007597F">
        <w:rPr>
          <w:noProof/>
        </w:rPr>
        <w:t>43</w:t>
      </w:r>
      <w:r w:rsidR="00F52571">
        <w:fldChar w:fldCharType="end"/>
      </w:r>
      <w:r w:rsidR="00A015F6">
        <w:t>)</w:t>
      </w:r>
      <w:r w:rsidR="000A157C">
        <w:t>.</w:t>
      </w:r>
    </w:p>
    <w:tbl>
      <w:tblPr>
        <w:tblW w:w="8081" w:type="dxa"/>
        <w:jc w:val="center"/>
        <w:tblCellMar>
          <w:left w:w="70" w:type="dxa"/>
          <w:right w:w="70" w:type="dxa"/>
        </w:tblCellMar>
        <w:tblLook w:val="04A0" w:firstRow="1" w:lastRow="0" w:firstColumn="1" w:lastColumn="0" w:noHBand="0" w:noVBand="1"/>
      </w:tblPr>
      <w:tblGrid>
        <w:gridCol w:w="3291"/>
        <w:gridCol w:w="1671"/>
        <w:gridCol w:w="3119"/>
      </w:tblGrid>
      <w:tr w:rsidR="00B62BE6" w:rsidRPr="00B62BE6" w14:paraId="04918CC9" w14:textId="77777777" w:rsidTr="00B62BE6">
        <w:trPr>
          <w:trHeight w:val="363"/>
          <w:jc w:val="center"/>
        </w:trPr>
        <w:tc>
          <w:tcPr>
            <w:tcW w:w="329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D3D9B96" w14:textId="77777777" w:rsidR="00B62BE6" w:rsidRPr="00B62BE6" w:rsidRDefault="00B62BE6" w:rsidP="000A157C">
            <w:pPr>
              <w:keepNext/>
              <w:spacing w:after="0" w:line="240" w:lineRule="auto"/>
              <w:jc w:val="left"/>
              <w:rPr>
                <w:rFonts w:eastAsia="Times New Roman" w:cs="Arial"/>
                <w:bCs/>
                <w:color w:val="000000"/>
                <w:sz w:val="20"/>
                <w:szCs w:val="20"/>
                <w:lang w:eastAsia="fr-FR"/>
              </w:rPr>
            </w:pPr>
            <w:r w:rsidRPr="00B62BE6">
              <w:rPr>
                <w:rFonts w:eastAsia="Times New Roman" w:cs="Arial"/>
                <w:bCs/>
                <w:color w:val="000000"/>
                <w:sz w:val="20"/>
                <w:szCs w:val="20"/>
                <w:lang w:eastAsia="fr-FR"/>
              </w:rPr>
              <w:t xml:space="preserve">Dénomination </w:t>
            </w:r>
          </w:p>
        </w:tc>
        <w:tc>
          <w:tcPr>
            <w:tcW w:w="167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F86A129" w14:textId="77777777" w:rsidR="00B62BE6" w:rsidRPr="00B62BE6" w:rsidRDefault="00B62BE6" w:rsidP="000A157C">
            <w:pPr>
              <w:keepNext/>
              <w:spacing w:after="0" w:line="240" w:lineRule="auto"/>
              <w:jc w:val="left"/>
              <w:rPr>
                <w:rFonts w:eastAsia="Times New Roman" w:cs="Arial"/>
                <w:bCs/>
                <w:color w:val="000000"/>
                <w:sz w:val="20"/>
                <w:szCs w:val="20"/>
                <w:lang w:eastAsia="fr-FR"/>
              </w:rPr>
            </w:pPr>
            <w:r w:rsidRPr="00B62BE6">
              <w:rPr>
                <w:rFonts w:eastAsia="Times New Roman" w:cs="Arial"/>
                <w:bCs/>
                <w:color w:val="000000"/>
                <w:sz w:val="20"/>
                <w:szCs w:val="20"/>
                <w:lang w:eastAsia="fr-FR"/>
              </w:rPr>
              <w:t>Poids net en kg</w:t>
            </w:r>
          </w:p>
        </w:tc>
        <w:tc>
          <w:tcPr>
            <w:tcW w:w="3119"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AE1694E" w14:textId="77777777" w:rsidR="00B62BE6" w:rsidRPr="00B62BE6" w:rsidRDefault="00B62BE6" w:rsidP="000A157C">
            <w:pPr>
              <w:keepNext/>
              <w:spacing w:after="0" w:line="240" w:lineRule="auto"/>
              <w:jc w:val="left"/>
              <w:rPr>
                <w:rFonts w:eastAsia="Times New Roman" w:cs="Arial"/>
                <w:bCs/>
                <w:color w:val="000000"/>
                <w:sz w:val="20"/>
                <w:szCs w:val="20"/>
                <w:lang w:eastAsia="fr-FR"/>
              </w:rPr>
            </w:pPr>
            <w:r w:rsidRPr="00B62BE6">
              <w:rPr>
                <w:rFonts w:eastAsia="Times New Roman" w:cs="Arial"/>
                <w:bCs/>
                <w:color w:val="000000"/>
                <w:sz w:val="20"/>
                <w:szCs w:val="20"/>
                <w:lang w:eastAsia="fr-FR"/>
              </w:rPr>
              <w:t>% du poids de carcasse chaude</w:t>
            </w:r>
          </w:p>
        </w:tc>
      </w:tr>
      <w:tr w:rsidR="00B62BE6" w:rsidRPr="00B62BE6" w14:paraId="4A7D4711" w14:textId="77777777" w:rsidTr="00B62BE6">
        <w:trPr>
          <w:trHeight w:val="269"/>
          <w:jc w:val="center"/>
        </w:trPr>
        <w:tc>
          <w:tcPr>
            <w:tcW w:w="329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ED2BE61" w14:textId="77777777"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Foie</w:t>
            </w:r>
          </w:p>
        </w:tc>
        <w:tc>
          <w:tcPr>
            <w:tcW w:w="167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5DE7464"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1,5</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2240269"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1,4%</w:t>
            </w:r>
          </w:p>
        </w:tc>
      </w:tr>
      <w:tr w:rsidR="00B62BE6" w:rsidRPr="00B62BE6" w14:paraId="648CE285" w14:textId="77777777" w:rsidTr="00B62BE6">
        <w:trPr>
          <w:trHeight w:val="300"/>
          <w:jc w:val="center"/>
        </w:trPr>
        <w:tc>
          <w:tcPr>
            <w:tcW w:w="329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31C379C" w14:textId="0FFDAE30"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Cœur</w:t>
            </w:r>
          </w:p>
        </w:tc>
        <w:tc>
          <w:tcPr>
            <w:tcW w:w="167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8E2CBF"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0,3</w:t>
            </w:r>
          </w:p>
        </w:tc>
        <w:tc>
          <w:tcPr>
            <w:tcW w:w="31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5576364"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0,3%</w:t>
            </w:r>
          </w:p>
        </w:tc>
      </w:tr>
      <w:tr w:rsidR="00B62BE6" w:rsidRPr="00B62BE6" w14:paraId="01C3DFF9" w14:textId="77777777" w:rsidTr="000452A4">
        <w:trPr>
          <w:trHeight w:val="233"/>
          <w:jc w:val="center"/>
        </w:trPr>
        <w:tc>
          <w:tcPr>
            <w:tcW w:w="329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BDAF770" w14:textId="12102C86"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Ris</w:t>
            </w:r>
          </w:p>
        </w:tc>
        <w:tc>
          <w:tcPr>
            <w:tcW w:w="167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A534579"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0,06</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79D1F3B"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0,1%</w:t>
            </w:r>
          </w:p>
        </w:tc>
      </w:tr>
      <w:tr w:rsidR="00B62BE6" w:rsidRPr="00B62BE6" w14:paraId="23856126" w14:textId="77777777" w:rsidTr="00B62BE6">
        <w:trPr>
          <w:trHeight w:val="300"/>
          <w:jc w:val="center"/>
        </w:trPr>
        <w:tc>
          <w:tcPr>
            <w:tcW w:w="329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273F626" w14:textId="1188D64B"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Rognon</w:t>
            </w:r>
          </w:p>
        </w:tc>
        <w:tc>
          <w:tcPr>
            <w:tcW w:w="167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5B6ED78"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0,4</w:t>
            </w:r>
          </w:p>
        </w:tc>
        <w:tc>
          <w:tcPr>
            <w:tcW w:w="31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5C0E106"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0,4%</w:t>
            </w:r>
          </w:p>
        </w:tc>
      </w:tr>
      <w:tr w:rsidR="00B62BE6" w:rsidRPr="00B62BE6" w14:paraId="4F036D83" w14:textId="77777777" w:rsidTr="00B62BE6">
        <w:trPr>
          <w:trHeight w:val="215"/>
          <w:jc w:val="center"/>
        </w:trPr>
        <w:tc>
          <w:tcPr>
            <w:tcW w:w="329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EECAA99" w14:textId="4991A4E8"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Crépine</w:t>
            </w:r>
          </w:p>
        </w:tc>
        <w:tc>
          <w:tcPr>
            <w:tcW w:w="167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8598779"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0,45</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DAF0945"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0,4%</w:t>
            </w:r>
          </w:p>
        </w:tc>
      </w:tr>
      <w:tr w:rsidR="00B62BE6" w:rsidRPr="00B62BE6" w14:paraId="1139AFC8" w14:textId="77777777" w:rsidTr="00B62BE6">
        <w:trPr>
          <w:trHeight w:val="177"/>
          <w:jc w:val="center"/>
        </w:trPr>
        <w:tc>
          <w:tcPr>
            <w:tcW w:w="329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18D2570" w14:textId="737031D1"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Intestin</w:t>
            </w:r>
          </w:p>
        </w:tc>
        <w:tc>
          <w:tcPr>
            <w:tcW w:w="167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EE21447"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2,5</w:t>
            </w:r>
          </w:p>
        </w:tc>
        <w:tc>
          <w:tcPr>
            <w:tcW w:w="31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230B26C"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2,3%</w:t>
            </w:r>
          </w:p>
        </w:tc>
      </w:tr>
      <w:tr w:rsidR="00B62BE6" w:rsidRPr="00B62BE6" w14:paraId="77BA01EB" w14:textId="77777777" w:rsidTr="000452A4">
        <w:trPr>
          <w:trHeight w:val="277"/>
          <w:jc w:val="center"/>
        </w:trPr>
        <w:tc>
          <w:tcPr>
            <w:tcW w:w="329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D193743" w14:textId="32342174" w:rsidR="00B62BE6" w:rsidRPr="00B62BE6" w:rsidRDefault="00B62BE6" w:rsidP="000A157C">
            <w:pPr>
              <w:keepNext/>
              <w:spacing w:after="0" w:line="240" w:lineRule="auto"/>
              <w:jc w:val="left"/>
              <w:rPr>
                <w:rFonts w:eastAsia="Times New Roman" w:cs="Arial"/>
                <w:color w:val="000000"/>
                <w:sz w:val="20"/>
                <w:szCs w:val="20"/>
                <w:lang w:eastAsia="fr-FR"/>
              </w:rPr>
            </w:pPr>
            <w:r w:rsidRPr="00B62BE6">
              <w:rPr>
                <w:rFonts w:eastAsia="Times New Roman" w:cs="Arial"/>
                <w:color w:val="000000"/>
                <w:sz w:val="20"/>
                <w:szCs w:val="20"/>
                <w:lang w:eastAsia="fr-FR"/>
              </w:rPr>
              <w:t>Estomac</w:t>
            </w:r>
          </w:p>
        </w:tc>
        <w:tc>
          <w:tcPr>
            <w:tcW w:w="167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B69FA99"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0,5</w:t>
            </w:r>
          </w:p>
        </w:tc>
        <w:tc>
          <w:tcPr>
            <w:tcW w:w="31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BBFCA20" w14:textId="77777777" w:rsidR="00B62BE6" w:rsidRPr="00B62BE6" w:rsidRDefault="00B62BE6" w:rsidP="000A157C">
            <w:pPr>
              <w:keepNext/>
              <w:spacing w:after="0" w:line="240" w:lineRule="auto"/>
              <w:jc w:val="center"/>
              <w:rPr>
                <w:rFonts w:eastAsia="Times New Roman" w:cs="Arial"/>
                <w:color w:val="000000"/>
                <w:sz w:val="20"/>
                <w:szCs w:val="20"/>
                <w:lang w:eastAsia="fr-FR"/>
              </w:rPr>
            </w:pPr>
            <w:r w:rsidRPr="00B62BE6">
              <w:rPr>
                <w:rFonts w:eastAsia="Times New Roman" w:cs="Arial"/>
                <w:color w:val="000000"/>
                <w:sz w:val="20"/>
                <w:szCs w:val="20"/>
                <w:lang w:eastAsia="fr-FR"/>
              </w:rPr>
              <w:t>0,5%</w:t>
            </w:r>
          </w:p>
        </w:tc>
      </w:tr>
      <w:tr w:rsidR="00B62BE6" w:rsidRPr="00B62BE6" w14:paraId="2017068C" w14:textId="77777777" w:rsidTr="00B62BE6">
        <w:trPr>
          <w:trHeight w:val="300"/>
          <w:jc w:val="center"/>
        </w:trPr>
        <w:tc>
          <w:tcPr>
            <w:tcW w:w="329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5E87B79" w14:textId="77777777" w:rsidR="00B62BE6" w:rsidRPr="00B62BE6" w:rsidRDefault="00B62BE6" w:rsidP="000A157C">
            <w:pPr>
              <w:keepNext/>
              <w:spacing w:after="0" w:line="240" w:lineRule="auto"/>
              <w:jc w:val="left"/>
              <w:rPr>
                <w:rFonts w:eastAsia="Times New Roman" w:cs="Arial"/>
                <w:b/>
                <w:i/>
                <w:color w:val="000000"/>
                <w:sz w:val="20"/>
                <w:szCs w:val="20"/>
                <w:lang w:eastAsia="fr-FR"/>
              </w:rPr>
            </w:pPr>
            <w:r w:rsidRPr="00B62BE6">
              <w:rPr>
                <w:rFonts w:eastAsia="Times New Roman" w:cs="Arial"/>
                <w:b/>
                <w:i/>
                <w:color w:val="000000"/>
                <w:sz w:val="20"/>
                <w:szCs w:val="20"/>
                <w:lang w:eastAsia="fr-FR"/>
              </w:rPr>
              <w:t>Poids moyen carcasse chaude</w:t>
            </w:r>
          </w:p>
        </w:tc>
        <w:tc>
          <w:tcPr>
            <w:tcW w:w="167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2D5A866" w14:textId="77777777" w:rsidR="00B62BE6" w:rsidRPr="00B62BE6" w:rsidRDefault="00B62BE6" w:rsidP="000A157C">
            <w:pPr>
              <w:keepNext/>
              <w:spacing w:after="0" w:line="240" w:lineRule="auto"/>
              <w:jc w:val="center"/>
              <w:rPr>
                <w:rFonts w:eastAsia="Times New Roman" w:cs="Arial"/>
                <w:b/>
                <w:i/>
                <w:color w:val="000000"/>
                <w:sz w:val="20"/>
                <w:szCs w:val="20"/>
                <w:lang w:eastAsia="fr-FR"/>
              </w:rPr>
            </w:pPr>
            <w:r w:rsidRPr="00B62BE6">
              <w:rPr>
                <w:rFonts w:eastAsia="Times New Roman" w:cs="Arial"/>
                <w:b/>
                <w:i/>
                <w:color w:val="000000"/>
                <w:sz w:val="20"/>
                <w:szCs w:val="20"/>
                <w:lang w:eastAsia="fr-FR"/>
              </w:rPr>
              <w:t>110</w:t>
            </w:r>
          </w:p>
        </w:tc>
        <w:tc>
          <w:tcPr>
            <w:tcW w:w="31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9AA29EB" w14:textId="77777777" w:rsidR="00B62BE6" w:rsidRPr="00B62BE6" w:rsidRDefault="00B62BE6" w:rsidP="000A157C">
            <w:pPr>
              <w:keepNext/>
              <w:spacing w:after="0" w:line="240" w:lineRule="auto"/>
              <w:jc w:val="center"/>
              <w:rPr>
                <w:rFonts w:eastAsia="Times New Roman" w:cs="Arial"/>
                <w:b/>
                <w:i/>
                <w:color w:val="000000"/>
                <w:sz w:val="20"/>
                <w:szCs w:val="20"/>
                <w:lang w:eastAsia="fr-FR"/>
              </w:rPr>
            </w:pPr>
            <w:r w:rsidRPr="00B62BE6">
              <w:rPr>
                <w:rFonts w:eastAsia="Times New Roman" w:cs="Arial"/>
                <w:b/>
                <w:i/>
                <w:color w:val="000000"/>
                <w:sz w:val="20"/>
                <w:szCs w:val="20"/>
                <w:lang w:eastAsia="fr-FR"/>
              </w:rPr>
              <w:t>100%</w:t>
            </w:r>
          </w:p>
        </w:tc>
      </w:tr>
    </w:tbl>
    <w:p w14:paraId="0BA10134" w14:textId="7C13A9D3" w:rsidR="00181795" w:rsidRDefault="00B62BE6" w:rsidP="00181795">
      <w:pPr>
        <w:pStyle w:val="figure"/>
      </w:pPr>
      <w:bookmarkStart w:id="209" w:name="_Ref68612766"/>
      <w:bookmarkStart w:id="210" w:name="_Toc72143391"/>
      <w:r w:rsidRPr="00553551">
        <w:t xml:space="preserve">Tableau </w:t>
      </w:r>
      <w:r w:rsidR="00E27D6E">
        <w:fldChar w:fldCharType="begin"/>
      </w:r>
      <w:r w:rsidR="00E27D6E">
        <w:instrText xml:space="preserve"> SEQ Tableau \* ARABIC </w:instrText>
      </w:r>
      <w:r w:rsidR="00E27D6E">
        <w:fldChar w:fldCharType="separate"/>
      </w:r>
      <w:r w:rsidR="0007597F">
        <w:rPr>
          <w:noProof/>
        </w:rPr>
        <w:t>43</w:t>
      </w:r>
      <w:r w:rsidR="00E27D6E">
        <w:rPr>
          <w:noProof/>
        </w:rPr>
        <w:fldChar w:fldCharType="end"/>
      </w:r>
      <w:bookmarkEnd w:id="209"/>
      <w:r w:rsidR="00181795">
        <w:t xml:space="preserve"> : </w:t>
      </w:r>
      <w:r>
        <w:t>Composition massique</w:t>
      </w:r>
      <w:r w:rsidRPr="007B1F77">
        <w:t xml:space="preserve"> </w:t>
      </w:r>
      <w:r w:rsidRPr="00BE7056">
        <w:t>d</w:t>
      </w:r>
      <w:r>
        <w:t>e la fraction des abats obtenus par éviscération</w:t>
      </w:r>
      <w:r w:rsidR="000A157C">
        <w:t xml:space="preserve"> </w:t>
      </w:r>
      <w:r>
        <w:t>de la carcasse base 100</w:t>
      </w:r>
      <w:r w:rsidR="00181795">
        <w:t> </w:t>
      </w:r>
      <w:r>
        <w:t>% de carcasse chaude</w:t>
      </w:r>
      <w:bookmarkEnd w:id="210"/>
      <w:r>
        <w:t xml:space="preserve"> </w:t>
      </w:r>
    </w:p>
    <w:p w14:paraId="0FB642C5" w14:textId="450C8040" w:rsidR="00B62BE6" w:rsidRPr="00751CFA" w:rsidRDefault="00B62BE6" w:rsidP="000A157C">
      <w:pPr>
        <w:pStyle w:val="Lgende"/>
        <w:spacing w:after="0"/>
        <w:ind w:left="0"/>
        <w:rPr>
          <w:b/>
          <w:i w:val="0"/>
        </w:rPr>
      </w:pPr>
      <w:r>
        <w:t>(Source : d’après Célène).</w:t>
      </w:r>
    </w:p>
    <w:p w14:paraId="69663A5A" w14:textId="254E5354" w:rsidR="00B96555" w:rsidRDefault="00B96555" w:rsidP="000A157C">
      <w:r>
        <w:t xml:space="preserve">Au global, on considère que : </w:t>
      </w:r>
    </w:p>
    <w:p w14:paraId="11D97C05" w14:textId="03459915" w:rsidR="00B96555" w:rsidRDefault="00B96555" w:rsidP="00A305CD">
      <w:pPr>
        <w:pStyle w:val="Paragraphedeliste"/>
        <w:numPr>
          <w:ilvl w:val="0"/>
          <w:numId w:val="20"/>
        </w:numPr>
      </w:pPr>
      <w:r>
        <w:t>Les abats rouges comprennent des morceaux utilisés en alimentation humaine soient principalement le foie, les rognons, le cœur</w:t>
      </w:r>
      <w:r w:rsidR="006970B3">
        <w:t>,</w:t>
      </w:r>
      <w:r>
        <w:t xml:space="preserve"> le museau et le masque de la tête, les oreilles, la langue, les joues, </w:t>
      </w:r>
    </w:p>
    <w:p w14:paraId="5F777FD1" w14:textId="77777777" w:rsidR="00B96555" w:rsidRDefault="00B96555" w:rsidP="00A305CD">
      <w:pPr>
        <w:pStyle w:val="Paragraphedeliste"/>
        <w:numPr>
          <w:ilvl w:val="0"/>
          <w:numId w:val="20"/>
        </w:numPr>
      </w:pPr>
      <w:r>
        <w:t>Les abats blancs comestibles sont : l'estomac, les</w:t>
      </w:r>
      <w:r w:rsidRPr="000A157C">
        <w:rPr>
          <w:spacing w:val="1"/>
        </w:rPr>
        <w:t xml:space="preserve"> </w:t>
      </w:r>
      <w:r>
        <w:t>intestins (menu, chaudin, rosette, fuseau),</w:t>
      </w:r>
      <w:r w:rsidRPr="000A157C">
        <w:rPr>
          <w:spacing w:val="-1"/>
        </w:rPr>
        <w:t xml:space="preserve"> </w:t>
      </w:r>
      <w:r>
        <w:t>les pieds,</w:t>
      </w:r>
      <w:r w:rsidRPr="00F769B7">
        <w:rPr>
          <w:noProof/>
        </w:rPr>
        <w:t xml:space="preserve"> </w:t>
      </w:r>
      <w:r>
        <w:t>la queue, la tête dépouillée.</w:t>
      </w:r>
    </w:p>
    <w:p w14:paraId="0FCF8617" w14:textId="738C2F26" w:rsidR="00EB6BA4" w:rsidRDefault="00BB7184" w:rsidP="000A157C">
      <w:r>
        <w:t xml:space="preserve">Selon les typologies d’abats leur destination est </w:t>
      </w:r>
      <w:r w:rsidR="002F5006">
        <w:t>assez hétérogène</w:t>
      </w:r>
      <w:r w:rsidR="005F7592">
        <w:t xml:space="preserve">. Quant au sang, il est </w:t>
      </w:r>
      <w:r w:rsidR="004B2186">
        <w:t xml:space="preserve">valorisé dans des préparations </w:t>
      </w:r>
      <w:r w:rsidR="006970B3">
        <w:t xml:space="preserve">charcutière </w:t>
      </w:r>
      <w:r w:rsidR="004B2186">
        <w:t xml:space="preserve">de type </w:t>
      </w:r>
      <w:r w:rsidR="006970B3">
        <w:t>« </w:t>
      </w:r>
      <w:r w:rsidR="004B2186">
        <w:t>boudin noir</w:t>
      </w:r>
      <w:r w:rsidR="006970B3">
        <w:t> »</w:t>
      </w:r>
      <w:r w:rsidR="009F34A7">
        <w:t>.</w:t>
      </w:r>
    </w:p>
    <w:tbl>
      <w:tblPr>
        <w:tblW w:w="8926" w:type="dxa"/>
        <w:jc w:val="center"/>
        <w:tblCellMar>
          <w:left w:w="70" w:type="dxa"/>
          <w:right w:w="70" w:type="dxa"/>
        </w:tblCellMar>
        <w:tblLook w:val="04A0" w:firstRow="1" w:lastRow="0" w:firstColumn="1" w:lastColumn="0" w:noHBand="0" w:noVBand="1"/>
      </w:tblPr>
      <w:tblGrid>
        <w:gridCol w:w="2122"/>
        <w:gridCol w:w="6804"/>
      </w:tblGrid>
      <w:tr w:rsidR="00553551" w:rsidRPr="00553551" w14:paraId="64069781"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C4B99EA"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Catégorie de produit </w:t>
            </w:r>
          </w:p>
        </w:tc>
        <w:tc>
          <w:tcPr>
            <w:tcW w:w="68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B5C6E77" w14:textId="1A59DDEB"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Destination</w:t>
            </w:r>
            <w:r w:rsidR="0014118E">
              <w:rPr>
                <w:rFonts w:eastAsia="Times New Roman" w:cs="Arial"/>
                <w:color w:val="000000"/>
                <w:sz w:val="20"/>
                <w:szCs w:val="20"/>
                <w:lang w:eastAsia="fr-FR"/>
              </w:rPr>
              <w:t xml:space="preserve"> </w:t>
            </w:r>
            <w:r w:rsidR="005D0F6B">
              <w:rPr>
                <w:rFonts w:eastAsia="Times New Roman" w:cs="Arial"/>
                <w:color w:val="000000"/>
                <w:sz w:val="20"/>
                <w:szCs w:val="20"/>
                <w:lang w:eastAsia="fr-FR"/>
              </w:rPr>
              <w:t>en</w:t>
            </w:r>
            <w:r w:rsidRPr="00553551">
              <w:rPr>
                <w:rFonts w:eastAsia="Times New Roman" w:cs="Arial"/>
                <w:color w:val="000000"/>
                <w:sz w:val="20"/>
                <w:szCs w:val="20"/>
                <w:lang w:eastAsia="fr-FR"/>
              </w:rPr>
              <w:t xml:space="preserve"> produit</w:t>
            </w:r>
            <w:r w:rsidR="002F0435">
              <w:rPr>
                <w:rFonts w:eastAsia="Times New Roman" w:cs="Arial"/>
                <w:color w:val="000000"/>
                <w:sz w:val="20"/>
                <w:szCs w:val="20"/>
                <w:lang w:eastAsia="fr-FR"/>
              </w:rPr>
              <w:t xml:space="preserve">s </w:t>
            </w:r>
            <w:r w:rsidR="005D0F6B">
              <w:rPr>
                <w:rFonts w:eastAsia="Times New Roman" w:cs="Arial"/>
                <w:color w:val="000000"/>
                <w:sz w:val="20"/>
                <w:szCs w:val="20"/>
                <w:lang w:eastAsia="fr-FR"/>
              </w:rPr>
              <w:t xml:space="preserve">finis des </w:t>
            </w:r>
            <w:r w:rsidR="002F0435">
              <w:rPr>
                <w:rFonts w:eastAsia="Times New Roman" w:cs="Arial"/>
                <w:color w:val="000000"/>
                <w:sz w:val="20"/>
                <w:szCs w:val="20"/>
                <w:lang w:eastAsia="fr-FR"/>
              </w:rPr>
              <w:t>principale</w:t>
            </w:r>
            <w:r w:rsidR="005D0F6B">
              <w:rPr>
                <w:rFonts w:eastAsia="Times New Roman" w:cs="Arial"/>
                <w:color w:val="000000"/>
                <w:sz w:val="20"/>
                <w:szCs w:val="20"/>
                <w:lang w:eastAsia="fr-FR"/>
              </w:rPr>
              <w:t>s</w:t>
            </w:r>
            <w:r w:rsidR="002F0435">
              <w:rPr>
                <w:rFonts w:eastAsia="Times New Roman" w:cs="Arial"/>
                <w:color w:val="000000"/>
                <w:sz w:val="20"/>
                <w:szCs w:val="20"/>
                <w:lang w:eastAsia="fr-FR"/>
              </w:rPr>
              <w:t xml:space="preserve"> catégorie</w:t>
            </w:r>
            <w:r w:rsidR="005D0F6B">
              <w:rPr>
                <w:rFonts w:eastAsia="Times New Roman" w:cs="Arial"/>
                <w:color w:val="000000"/>
                <w:sz w:val="20"/>
                <w:szCs w:val="20"/>
                <w:lang w:eastAsia="fr-FR"/>
              </w:rPr>
              <w:t>s</w:t>
            </w:r>
            <w:r w:rsidR="002F0435">
              <w:rPr>
                <w:rFonts w:eastAsia="Times New Roman" w:cs="Arial"/>
                <w:color w:val="000000"/>
                <w:sz w:val="20"/>
                <w:szCs w:val="20"/>
                <w:lang w:eastAsia="fr-FR"/>
              </w:rPr>
              <w:t xml:space="preserve"> d’abat</w:t>
            </w:r>
            <w:r w:rsidR="005639EE">
              <w:rPr>
                <w:rFonts w:eastAsia="Times New Roman" w:cs="Arial"/>
                <w:color w:val="000000"/>
                <w:sz w:val="20"/>
                <w:szCs w:val="20"/>
                <w:lang w:eastAsia="fr-FR"/>
              </w:rPr>
              <w:t xml:space="preserve"> de porc</w:t>
            </w:r>
          </w:p>
        </w:tc>
      </w:tr>
      <w:tr w:rsidR="00553551" w:rsidRPr="00553551" w14:paraId="0C25D041"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BEF2C9E"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Estomac</w:t>
            </w:r>
          </w:p>
        </w:tc>
        <w:tc>
          <w:tcPr>
            <w:tcW w:w="68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18F93CC" w14:textId="69CEBE6C" w:rsidR="00553551" w:rsidRPr="00553551" w:rsidRDefault="004539FE"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 xml:space="preserve">Pour la confection des andouilles et andouillettes, </w:t>
            </w:r>
          </w:p>
        </w:tc>
      </w:tr>
      <w:tr w:rsidR="00553551" w:rsidRPr="00553551" w14:paraId="6B45EB0B"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1B30A9B"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Intestin </w:t>
            </w:r>
          </w:p>
        </w:tc>
        <w:tc>
          <w:tcPr>
            <w:tcW w:w="68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CAAB09A" w14:textId="1F412087" w:rsidR="00553551" w:rsidRPr="00553551" w:rsidRDefault="009F34A7"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Boyauderie </w:t>
            </w:r>
            <w:r w:rsidR="00272C90">
              <w:rPr>
                <w:rFonts w:eastAsia="Times New Roman" w:cs="Arial"/>
                <w:color w:val="000000"/>
                <w:sz w:val="20"/>
                <w:szCs w:val="20"/>
                <w:lang w:eastAsia="fr-FR"/>
              </w:rPr>
              <w:t xml:space="preserve">pour l’embossage : </w:t>
            </w:r>
            <w:r>
              <w:rPr>
                <w:rFonts w:eastAsia="Times New Roman" w:cs="Arial"/>
                <w:color w:val="000000"/>
                <w:sz w:val="20"/>
                <w:szCs w:val="20"/>
                <w:lang w:eastAsia="fr-FR"/>
              </w:rPr>
              <w:t>c</w:t>
            </w:r>
            <w:r w:rsidR="00553551" w:rsidRPr="00553551">
              <w:rPr>
                <w:rFonts w:eastAsia="Times New Roman" w:cs="Arial"/>
                <w:color w:val="000000"/>
                <w:sz w:val="20"/>
                <w:szCs w:val="20"/>
                <w:lang w:eastAsia="fr-FR"/>
              </w:rPr>
              <w:t xml:space="preserve">haudin </w:t>
            </w:r>
            <w:r w:rsidR="005E14B2">
              <w:rPr>
                <w:rFonts w:eastAsia="Times New Roman" w:cs="Arial"/>
                <w:color w:val="000000"/>
                <w:sz w:val="20"/>
                <w:szCs w:val="20"/>
                <w:lang w:eastAsia="fr-FR"/>
              </w:rPr>
              <w:t xml:space="preserve">en </w:t>
            </w:r>
            <w:r w:rsidR="00553551" w:rsidRPr="00553551">
              <w:rPr>
                <w:rFonts w:eastAsia="Times New Roman" w:cs="Arial"/>
                <w:color w:val="000000"/>
                <w:sz w:val="20"/>
                <w:szCs w:val="20"/>
                <w:lang w:eastAsia="fr-FR"/>
              </w:rPr>
              <w:t>charcuteries cuites (saucisserie étuvée, saucisson ail</w:t>
            </w:r>
            <w:r w:rsidR="00696F0E">
              <w:rPr>
                <w:rFonts w:eastAsia="Times New Roman" w:cs="Arial"/>
                <w:color w:val="000000"/>
                <w:sz w:val="20"/>
                <w:szCs w:val="20"/>
                <w:lang w:eastAsia="fr-FR"/>
              </w:rPr>
              <w:t>, andouilles</w:t>
            </w:r>
            <w:r w:rsidR="00553551" w:rsidRPr="00553551">
              <w:rPr>
                <w:rFonts w:eastAsia="Times New Roman" w:cs="Arial"/>
                <w:color w:val="000000"/>
                <w:sz w:val="20"/>
                <w:szCs w:val="20"/>
                <w:lang w:eastAsia="fr-FR"/>
              </w:rPr>
              <w:t>)</w:t>
            </w:r>
            <w:r w:rsidR="005E14B2">
              <w:rPr>
                <w:rFonts w:eastAsia="Times New Roman" w:cs="Arial"/>
                <w:color w:val="000000"/>
                <w:sz w:val="20"/>
                <w:szCs w:val="20"/>
                <w:lang w:eastAsia="fr-FR"/>
              </w:rPr>
              <w:t>, f</w:t>
            </w:r>
            <w:r w:rsidR="005E14B2" w:rsidRPr="00553551">
              <w:rPr>
                <w:rFonts w:eastAsia="Times New Roman" w:cs="Arial"/>
                <w:color w:val="000000"/>
                <w:sz w:val="20"/>
                <w:szCs w:val="20"/>
                <w:lang w:eastAsia="fr-FR"/>
              </w:rPr>
              <w:t>useau, menu, rosette à destination de la saucisserie sèche</w:t>
            </w:r>
            <w:r w:rsidR="00865309">
              <w:rPr>
                <w:rFonts w:eastAsia="Times New Roman" w:cs="Arial"/>
                <w:color w:val="000000"/>
                <w:sz w:val="20"/>
                <w:szCs w:val="20"/>
                <w:lang w:eastAsia="fr-FR"/>
              </w:rPr>
              <w:t xml:space="preserve">, </w:t>
            </w:r>
          </w:p>
        </w:tc>
      </w:tr>
      <w:tr w:rsidR="00553551" w:rsidRPr="00553551" w14:paraId="728C03C8"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9B870DE"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Tête</w:t>
            </w:r>
          </w:p>
        </w:tc>
        <w:tc>
          <w:tcPr>
            <w:tcW w:w="68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3CEE09F" w14:textId="4838C612"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Langue et joues </w:t>
            </w:r>
            <w:r w:rsidR="00F74FA9">
              <w:rPr>
                <w:rFonts w:eastAsia="Times New Roman" w:cs="Arial"/>
                <w:color w:val="000000"/>
                <w:sz w:val="20"/>
                <w:szCs w:val="20"/>
                <w:lang w:eastAsia="fr-FR"/>
              </w:rPr>
              <w:t>sous la forme de</w:t>
            </w:r>
            <w:r w:rsidRPr="00553551">
              <w:rPr>
                <w:rFonts w:eastAsia="Times New Roman" w:cs="Arial"/>
                <w:color w:val="000000"/>
                <w:sz w:val="20"/>
                <w:szCs w:val="20"/>
                <w:lang w:eastAsia="fr-FR"/>
              </w:rPr>
              <w:t xml:space="preserve"> viande à destination de la restauration hors domicile</w:t>
            </w:r>
            <w:r w:rsidR="005E14B2">
              <w:rPr>
                <w:rFonts w:eastAsia="Times New Roman" w:cs="Arial"/>
                <w:color w:val="000000"/>
                <w:sz w:val="20"/>
                <w:szCs w:val="20"/>
                <w:lang w:eastAsia="fr-FR"/>
              </w:rPr>
              <w:t>, m</w:t>
            </w:r>
            <w:r w:rsidR="005E14B2" w:rsidRPr="00553551">
              <w:rPr>
                <w:rFonts w:eastAsia="Times New Roman" w:cs="Arial"/>
                <w:color w:val="000000"/>
                <w:sz w:val="20"/>
                <w:szCs w:val="20"/>
                <w:lang w:eastAsia="fr-FR"/>
              </w:rPr>
              <w:t xml:space="preserve">useau </w:t>
            </w:r>
            <w:r w:rsidR="00F74FA9">
              <w:rPr>
                <w:rFonts w:eastAsia="Times New Roman" w:cs="Arial"/>
                <w:color w:val="000000"/>
                <w:sz w:val="20"/>
                <w:szCs w:val="20"/>
                <w:lang w:eastAsia="fr-FR"/>
              </w:rPr>
              <w:t xml:space="preserve">transformé </w:t>
            </w:r>
            <w:r w:rsidR="005E14B2" w:rsidRPr="00553551">
              <w:rPr>
                <w:rFonts w:eastAsia="Times New Roman" w:cs="Arial"/>
                <w:color w:val="000000"/>
                <w:sz w:val="20"/>
                <w:szCs w:val="20"/>
                <w:lang w:eastAsia="fr-FR"/>
              </w:rPr>
              <w:t>en produits persillés</w:t>
            </w:r>
          </w:p>
        </w:tc>
      </w:tr>
      <w:tr w:rsidR="00553551" w:rsidRPr="00553551" w14:paraId="62A748C4"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85C9F70" w14:textId="77777777"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Foie, cœur </w:t>
            </w:r>
          </w:p>
        </w:tc>
        <w:tc>
          <w:tcPr>
            <w:tcW w:w="680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45D8440" w14:textId="107BA016"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 xml:space="preserve">A destination de </w:t>
            </w:r>
            <w:r w:rsidR="00F74FA9">
              <w:rPr>
                <w:rFonts w:eastAsia="Times New Roman" w:cs="Arial"/>
                <w:color w:val="000000"/>
                <w:sz w:val="20"/>
                <w:szCs w:val="20"/>
                <w:lang w:eastAsia="fr-FR"/>
              </w:rPr>
              <w:t xml:space="preserve">la transformation en </w:t>
            </w:r>
            <w:r w:rsidRPr="00553551">
              <w:rPr>
                <w:rFonts w:eastAsia="Times New Roman" w:cs="Arial"/>
                <w:color w:val="000000"/>
                <w:sz w:val="20"/>
                <w:szCs w:val="20"/>
                <w:lang w:eastAsia="fr-FR"/>
              </w:rPr>
              <w:t>charcuterie cuite (pâtés</w:t>
            </w:r>
            <w:r w:rsidR="007E6784">
              <w:rPr>
                <w:rFonts w:eastAsia="Times New Roman" w:cs="Arial"/>
                <w:color w:val="000000"/>
                <w:sz w:val="20"/>
                <w:szCs w:val="20"/>
                <w:lang w:eastAsia="fr-FR"/>
              </w:rPr>
              <w:t>, mousses</w:t>
            </w:r>
            <w:r w:rsidR="00AA57D2">
              <w:rPr>
                <w:rFonts w:eastAsia="Times New Roman" w:cs="Arial"/>
                <w:color w:val="000000"/>
                <w:sz w:val="20"/>
                <w:szCs w:val="20"/>
                <w:lang w:eastAsia="fr-FR"/>
              </w:rPr>
              <w:t>, crèmes de foie</w:t>
            </w:r>
            <w:r w:rsidR="007E6784">
              <w:rPr>
                <w:rFonts w:eastAsia="Times New Roman" w:cs="Arial"/>
                <w:color w:val="000000"/>
                <w:sz w:val="20"/>
                <w:szCs w:val="20"/>
                <w:lang w:eastAsia="fr-FR"/>
              </w:rPr>
              <w:t>)</w:t>
            </w:r>
          </w:p>
        </w:tc>
      </w:tr>
      <w:tr w:rsidR="00553551" w:rsidRPr="00553551" w14:paraId="11B2C068"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69F65EA" w14:textId="63F9BEF0" w:rsidR="00553551" w:rsidRPr="00553551" w:rsidRDefault="00553551" w:rsidP="005E14B2">
            <w:pPr>
              <w:spacing w:after="0" w:line="240" w:lineRule="auto"/>
              <w:jc w:val="left"/>
              <w:rPr>
                <w:rFonts w:eastAsia="Times New Roman" w:cs="Arial"/>
                <w:color w:val="000000"/>
                <w:sz w:val="20"/>
                <w:szCs w:val="20"/>
                <w:lang w:eastAsia="fr-FR"/>
              </w:rPr>
            </w:pPr>
            <w:r w:rsidRPr="00553551">
              <w:rPr>
                <w:rFonts w:eastAsia="Times New Roman" w:cs="Arial"/>
                <w:color w:val="000000"/>
                <w:sz w:val="20"/>
                <w:szCs w:val="20"/>
                <w:lang w:eastAsia="fr-FR"/>
              </w:rPr>
              <w:t>Queue, oreille</w:t>
            </w:r>
            <w:r w:rsidR="006970B3">
              <w:rPr>
                <w:rFonts w:eastAsia="Times New Roman" w:cs="Arial"/>
                <w:color w:val="000000"/>
                <w:sz w:val="20"/>
                <w:szCs w:val="20"/>
                <w:lang w:eastAsia="fr-FR"/>
              </w:rPr>
              <w:t>s</w:t>
            </w:r>
            <w:r w:rsidRPr="00553551">
              <w:rPr>
                <w:rFonts w:eastAsia="Times New Roman" w:cs="Arial"/>
                <w:color w:val="000000"/>
                <w:sz w:val="20"/>
                <w:szCs w:val="20"/>
                <w:lang w:eastAsia="fr-FR"/>
              </w:rPr>
              <w:t>, pieds</w:t>
            </w:r>
          </w:p>
        </w:tc>
        <w:tc>
          <w:tcPr>
            <w:tcW w:w="680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C158C42" w14:textId="47056BFD" w:rsidR="00553551" w:rsidRPr="00553551" w:rsidRDefault="004539FE"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w:t>
            </w:r>
            <w:r w:rsidR="00553551" w:rsidRPr="00553551">
              <w:rPr>
                <w:rFonts w:eastAsia="Times New Roman" w:cs="Arial"/>
                <w:color w:val="000000"/>
                <w:sz w:val="20"/>
                <w:szCs w:val="20"/>
                <w:lang w:eastAsia="fr-FR"/>
              </w:rPr>
              <w:t xml:space="preserve">xportation sous forme congelée </w:t>
            </w:r>
            <w:r>
              <w:rPr>
                <w:rFonts w:eastAsia="Times New Roman" w:cs="Arial"/>
                <w:color w:val="000000"/>
                <w:sz w:val="20"/>
                <w:szCs w:val="20"/>
                <w:lang w:eastAsia="fr-FR"/>
              </w:rPr>
              <w:t>en majorité</w:t>
            </w:r>
          </w:p>
        </w:tc>
      </w:tr>
      <w:tr w:rsidR="004539FE" w:rsidRPr="00553551" w14:paraId="5422069E" w14:textId="77777777" w:rsidTr="006970B3">
        <w:trPr>
          <w:trHeight w:val="30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AB25BBE" w14:textId="205980C5" w:rsidR="004539FE" w:rsidRPr="00553551" w:rsidRDefault="004539FE"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Sang</w:t>
            </w:r>
          </w:p>
        </w:tc>
        <w:tc>
          <w:tcPr>
            <w:tcW w:w="68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7766589" w14:textId="4DBE0A28" w:rsidR="004539FE" w:rsidRPr="00553551" w:rsidRDefault="00EB05A9" w:rsidP="005E14B2">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Boudin noir</w:t>
            </w:r>
          </w:p>
        </w:tc>
      </w:tr>
    </w:tbl>
    <w:p w14:paraId="7E20A107" w14:textId="43392011" w:rsidR="002F6E02" w:rsidRDefault="00553551" w:rsidP="00181795">
      <w:pPr>
        <w:pStyle w:val="figure"/>
      </w:pPr>
      <w:bookmarkStart w:id="211" w:name="_Toc72143392"/>
      <w:r w:rsidRPr="00E2697A">
        <w:t xml:space="preserve">Tableau </w:t>
      </w:r>
      <w:r w:rsidR="00E27D6E">
        <w:fldChar w:fldCharType="begin"/>
      </w:r>
      <w:r w:rsidR="00E27D6E">
        <w:instrText xml:space="preserve"> SEQ Tableau \* ARABIC </w:instrText>
      </w:r>
      <w:r w:rsidR="00E27D6E">
        <w:fldChar w:fldCharType="separate"/>
      </w:r>
      <w:r w:rsidR="0007597F">
        <w:rPr>
          <w:noProof/>
        </w:rPr>
        <w:t>44</w:t>
      </w:r>
      <w:r w:rsidR="00E27D6E">
        <w:rPr>
          <w:noProof/>
        </w:rPr>
        <w:fldChar w:fldCharType="end"/>
      </w:r>
      <w:r w:rsidRPr="00E2697A">
        <w:t xml:space="preserve"> : </w:t>
      </w:r>
      <w:r w:rsidR="002F6E02">
        <w:t>D</w:t>
      </w:r>
      <w:r w:rsidR="00AB1DB6" w:rsidRPr="00E2697A">
        <w:t>estination</w:t>
      </w:r>
      <w:r w:rsidR="002F0435">
        <w:t xml:space="preserve">s </w:t>
      </w:r>
      <w:r w:rsidR="005D0F6B">
        <w:t xml:space="preserve">en produits finis </w:t>
      </w:r>
      <w:r w:rsidR="00F03488" w:rsidRPr="00E2697A">
        <w:t xml:space="preserve">des </w:t>
      </w:r>
      <w:r w:rsidR="002F6E02">
        <w:t>principales catégories d’</w:t>
      </w:r>
      <w:r w:rsidR="00F03488" w:rsidRPr="00E2697A">
        <w:t>abats</w:t>
      </w:r>
      <w:r w:rsidR="002F0435">
        <w:t xml:space="preserve"> de porc</w:t>
      </w:r>
      <w:bookmarkEnd w:id="211"/>
      <w:r w:rsidR="00F03488">
        <w:t xml:space="preserve"> </w:t>
      </w:r>
    </w:p>
    <w:p w14:paraId="6B1D8A95" w14:textId="23F7157B" w:rsidR="00751CFA" w:rsidRDefault="00F03488" w:rsidP="00197ADC">
      <w:pPr>
        <w:pStyle w:val="Lgende"/>
      </w:pPr>
      <w:r w:rsidRPr="00D319CC">
        <w:t xml:space="preserve">(Source : </w:t>
      </w:r>
      <w:r w:rsidR="00BA186A">
        <w:t>IFIP</w:t>
      </w:r>
      <w:r w:rsidRPr="00D319CC">
        <w:t>, 201</w:t>
      </w:r>
      <w:r w:rsidR="00BA186A">
        <w:t>6</w:t>
      </w:r>
      <w:r w:rsidRPr="00D319CC">
        <w:t>)</w:t>
      </w:r>
    </w:p>
    <w:p w14:paraId="20954B2B" w14:textId="1B3A84C2" w:rsidR="00A2743F" w:rsidRDefault="00F23CD4" w:rsidP="000A157C">
      <w:r>
        <w:t xml:space="preserve">Le total volume des abats à destination de la consommation représente donc </w:t>
      </w:r>
      <w:r w:rsidR="000E682F">
        <w:t>environ 18</w:t>
      </w:r>
      <w:r w:rsidR="005639EE">
        <w:t xml:space="preserve"> </w:t>
      </w:r>
      <w:r w:rsidR="000E682F">
        <w:t>kg</w:t>
      </w:r>
      <w:r w:rsidR="006305E0">
        <w:t>.</w:t>
      </w:r>
      <w:r w:rsidR="00CF76B6">
        <w:t xml:space="preserve"> </w:t>
      </w:r>
      <w:r w:rsidR="006305E0">
        <w:t>C</w:t>
      </w:r>
      <w:r w:rsidR="00CF76B6">
        <w:t>ependant</w:t>
      </w:r>
      <w:r w:rsidR="006305E0">
        <w:t>,</w:t>
      </w:r>
      <w:r w:rsidR="00CF76B6">
        <w:t xml:space="preserve"> </w:t>
      </w:r>
      <w:r w:rsidR="006305E0">
        <w:t>les abats</w:t>
      </w:r>
      <w:r w:rsidR="00004122">
        <w:t>,</w:t>
      </w:r>
      <w:r w:rsidR="006305E0">
        <w:t xml:space="preserve"> </w:t>
      </w:r>
      <w:r w:rsidR="00D42945">
        <w:t xml:space="preserve">avec pour </w:t>
      </w:r>
      <w:r w:rsidR="004E79DC">
        <w:t>principales pièces</w:t>
      </w:r>
      <w:r w:rsidR="00D42945">
        <w:t xml:space="preserve"> en valeur massique, </w:t>
      </w:r>
      <w:r w:rsidR="004E79DC">
        <w:t>la tête et les pieds</w:t>
      </w:r>
      <w:r w:rsidR="007419F5">
        <w:t xml:space="preserve"> </w:t>
      </w:r>
      <w:r w:rsidR="00D42945">
        <w:t>(10,7kg</w:t>
      </w:r>
      <w:r w:rsidR="00004122">
        <w:t> ;&gt;50</w:t>
      </w:r>
      <w:r w:rsidR="006970B3">
        <w:t> </w:t>
      </w:r>
      <w:r w:rsidR="00004122">
        <w:t>%</w:t>
      </w:r>
      <w:r w:rsidR="00D42945">
        <w:t>)</w:t>
      </w:r>
      <w:r w:rsidR="00004122">
        <w:t xml:space="preserve">, comprennent </w:t>
      </w:r>
      <w:r w:rsidR="00D42945">
        <w:t>une part non comestible importante (os</w:t>
      </w:r>
      <w:r w:rsidR="003C72A4">
        <w:t xml:space="preserve"> et </w:t>
      </w:r>
      <w:r w:rsidR="00D42945">
        <w:t>couenne</w:t>
      </w:r>
      <w:r w:rsidR="003C72A4">
        <w:t xml:space="preserve"> </w:t>
      </w:r>
      <w:r w:rsidR="003C72A4">
        <w:lastRenderedPageBreak/>
        <w:t>respectivement 56</w:t>
      </w:r>
      <w:r w:rsidR="006970B3">
        <w:t> </w:t>
      </w:r>
      <w:r w:rsidR="003C72A4">
        <w:t>% et 50</w:t>
      </w:r>
      <w:r w:rsidR="006970B3">
        <w:t> </w:t>
      </w:r>
      <w:r w:rsidR="003C72A4">
        <w:t>%</w:t>
      </w:r>
      <w:r w:rsidR="00D42945">
        <w:t>)</w:t>
      </w:r>
      <w:r w:rsidR="003C72A4">
        <w:t>.</w:t>
      </w:r>
      <w:r w:rsidR="009D4C38">
        <w:t xml:space="preserve"> </w:t>
      </w:r>
      <w:r w:rsidR="00496FDF">
        <w:t xml:space="preserve">Par ailleurs, à l’assiette les abats sont </w:t>
      </w:r>
      <w:r w:rsidR="00474D07">
        <w:t xml:space="preserve">dans </w:t>
      </w:r>
      <w:r w:rsidR="00087539">
        <w:t>leur très grande majorité présentés</w:t>
      </w:r>
      <w:r w:rsidR="00496FDF">
        <w:t xml:space="preserve"> sans os et sans couenne. </w:t>
      </w:r>
      <w:r w:rsidR="009D4C38">
        <w:t xml:space="preserve">A titre de comparaison, la part d’os des pièces primaires </w:t>
      </w:r>
      <w:r w:rsidR="00031594">
        <w:t>se situe entre 6 et 12</w:t>
      </w:r>
      <w:r w:rsidR="002E1B7E">
        <w:t> </w:t>
      </w:r>
      <w:r w:rsidR="00031594">
        <w:t>% selon les pièces</w:t>
      </w:r>
      <w:r w:rsidR="00FC1617">
        <w:t>.</w:t>
      </w:r>
    </w:p>
    <w:tbl>
      <w:tblPr>
        <w:tblW w:w="9209" w:type="dxa"/>
        <w:tblCellMar>
          <w:left w:w="70" w:type="dxa"/>
          <w:right w:w="70" w:type="dxa"/>
        </w:tblCellMar>
        <w:tblLook w:val="04A0" w:firstRow="1" w:lastRow="0" w:firstColumn="1" w:lastColumn="0" w:noHBand="0" w:noVBand="1"/>
      </w:tblPr>
      <w:tblGrid>
        <w:gridCol w:w="2820"/>
        <w:gridCol w:w="1428"/>
        <w:gridCol w:w="1417"/>
        <w:gridCol w:w="1418"/>
        <w:gridCol w:w="2126"/>
      </w:tblGrid>
      <w:tr w:rsidR="00BF18DA" w:rsidRPr="007B283E" w14:paraId="5154A96A" w14:textId="77777777" w:rsidTr="008421B6">
        <w:trPr>
          <w:trHeight w:val="300"/>
        </w:trPr>
        <w:tc>
          <w:tcPr>
            <w:tcW w:w="2820" w:type="dxa"/>
            <w:tcBorders>
              <w:top w:val="single" w:sz="4" w:space="0" w:color="auto"/>
              <w:left w:val="single" w:sz="4" w:space="0" w:color="auto"/>
              <w:bottom w:val="single" w:sz="4" w:space="0" w:color="auto"/>
              <w:right w:val="nil"/>
            </w:tcBorders>
            <w:shd w:val="clear" w:color="000000" w:fill="D9D9D9"/>
            <w:noWrap/>
            <w:vAlign w:val="center"/>
            <w:hideMark/>
          </w:tcPr>
          <w:p w14:paraId="1DB876F8"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Pièce</w:t>
            </w:r>
          </w:p>
        </w:tc>
        <w:tc>
          <w:tcPr>
            <w:tcW w:w="1428"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8B8B773"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 muscle</w:t>
            </w:r>
          </w:p>
        </w:tc>
        <w:tc>
          <w:tcPr>
            <w:tcW w:w="1417" w:type="dxa"/>
            <w:tcBorders>
              <w:top w:val="single" w:sz="4" w:space="0" w:color="auto"/>
              <w:left w:val="nil"/>
              <w:bottom w:val="single" w:sz="4" w:space="0" w:color="auto"/>
              <w:right w:val="single" w:sz="4" w:space="0" w:color="auto"/>
            </w:tcBorders>
            <w:shd w:val="clear" w:color="000000" w:fill="D9D9D9"/>
            <w:vAlign w:val="center"/>
            <w:hideMark/>
          </w:tcPr>
          <w:p w14:paraId="716288D2"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 os</w:t>
            </w:r>
          </w:p>
        </w:tc>
        <w:tc>
          <w:tcPr>
            <w:tcW w:w="1418" w:type="dxa"/>
            <w:tcBorders>
              <w:top w:val="single" w:sz="4" w:space="0" w:color="auto"/>
              <w:left w:val="nil"/>
              <w:bottom w:val="single" w:sz="4" w:space="0" w:color="auto"/>
              <w:right w:val="single" w:sz="4" w:space="0" w:color="auto"/>
            </w:tcBorders>
            <w:shd w:val="clear" w:color="000000" w:fill="D9D9D9"/>
            <w:vAlign w:val="center"/>
            <w:hideMark/>
          </w:tcPr>
          <w:p w14:paraId="6C27DC85"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 gras</w:t>
            </w:r>
          </w:p>
        </w:tc>
        <w:tc>
          <w:tcPr>
            <w:tcW w:w="2126" w:type="dxa"/>
            <w:tcBorders>
              <w:top w:val="single" w:sz="4" w:space="0" w:color="auto"/>
              <w:left w:val="nil"/>
              <w:bottom w:val="single" w:sz="4" w:space="0" w:color="auto"/>
              <w:right w:val="single" w:sz="4" w:space="0" w:color="auto"/>
            </w:tcBorders>
            <w:shd w:val="clear" w:color="000000" w:fill="D9D9D9"/>
            <w:vAlign w:val="center"/>
            <w:hideMark/>
          </w:tcPr>
          <w:p w14:paraId="5043BA73" w14:textId="77777777" w:rsidR="00BF18DA" w:rsidRPr="007B283E" w:rsidRDefault="00BF18DA">
            <w:pPr>
              <w:spacing w:after="0" w:line="240" w:lineRule="auto"/>
              <w:jc w:val="center"/>
              <w:rPr>
                <w:rFonts w:eastAsia="Times New Roman" w:cs="Arial"/>
                <w:b/>
                <w:bCs/>
                <w:color w:val="000000"/>
                <w:sz w:val="20"/>
                <w:szCs w:val="20"/>
                <w:lang w:eastAsia="fr-FR"/>
              </w:rPr>
            </w:pPr>
            <w:r w:rsidRPr="007B283E">
              <w:rPr>
                <w:rFonts w:eastAsia="Times New Roman" w:cs="Arial"/>
                <w:b/>
                <w:bCs/>
                <w:color w:val="000000"/>
                <w:sz w:val="20"/>
                <w:szCs w:val="20"/>
                <w:lang w:eastAsia="fr-FR"/>
              </w:rPr>
              <w:t>% couenne</w:t>
            </w:r>
          </w:p>
        </w:tc>
      </w:tr>
      <w:tr w:rsidR="00BF18DA" w:rsidRPr="007B283E" w14:paraId="6C52AA40" w14:textId="77777777" w:rsidTr="008421B6">
        <w:trPr>
          <w:trHeight w:val="300"/>
        </w:trPr>
        <w:tc>
          <w:tcPr>
            <w:tcW w:w="2820" w:type="dxa"/>
            <w:tcBorders>
              <w:top w:val="single" w:sz="4" w:space="0" w:color="auto"/>
              <w:left w:val="single" w:sz="4" w:space="0" w:color="auto"/>
              <w:bottom w:val="nil"/>
              <w:right w:val="nil"/>
            </w:tcBorders>
            <w:shd w:val="clear" w:color="auto" w:fill="auto"/>
            <w:noWrap/>
            <w:vAlign w:val="center"/>
            <w:hideMark/>
          </w:tcPr>
          <w:p w14:paraId="37F426F8"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Jambon</w:t>
            </w:r>
          </w:p>
        </w:tc>
        <w:tc>
          <w:tcPr>
            <w:tcW w:w="14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87BB4E"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72</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6E29768D"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9</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47B5E98C"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15</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28CD701C"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4</w:t>
            </w:r>
          </w:p>
        </w:tc>
      </w:tr>
      <w:tr w:rsidR="00BF18DA" w:rsidRPr="007B283E" w14:paraId="1EA3C774" w14:textId="77777777" w:rsidTr="008421B6">
        <w:trPr>
          <w:trHeight w:val="300"/>
        </w:trPr>
        <w:tc>
          <w:tcPr>
            <w:tcW w:w="2820" w:type="dxa"/>
            <w:tcBorders>
              <w:top w:val="nil"/>
              <w:left w:val="single" w:sz="4" w:space="0" w:color="auto"/>
              <w:bottom w:val="nil"/>
              <w:right w:val="nil"/>
            </w:tcBorders>
            <w:shd w:val="clear" w:color="auto" w:fill="auto"/>
            <w:noWrap/>
            <w:vAlign w:val="center"/>
            <w:hideMark/>
          </w:tcPr>
          <w:p w14:paraId="3A5A4F6A"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Longe avec bardière</w:t>
            </w:r>
          </w:p>
        </w:tc>
        <w:tc>
          <w:tcPr>
            <w:tcW w:w="14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A55A38"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65,1</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2382DF7A"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11,6</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EC40995"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23,3</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71B09728"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4</w:t>
            </w:r>
          </w:p>
        </w:tc>
      </w:tr>
      <w:tr w:rsidR="00BF18DA" w:rsidRPr="007B283E" w14:paraId="4DE3AA40" w14:textId="77777777" w:rsidTr="008421B6">
        <w:trPr>
          <w:trHeight w:val="300"/>
        </w:trPr>
        <w:tc>
          <w:tcPr>
            <w:tcW w:w="2820" w:type="dxa"/>
            <w:tcBorders>
              <w:top w:val="nil"/>
              <w:left w:val="single" w:sz="4" w:space="0" w:color="auto"/>
              <w:bottom w:val="nil"/>
              <w:right w:val="nil"/>
            </w:tcBorders>
            <w:shd w:val="clear" w:color="000000" w:fill="E7E6E6"/>
            <w:noWrap/>
            <w:vAlign w:val="center"/>
            <w:hideMark/>
          </w:tcPr>
          <w:p w14:paraId="0C27729A"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dont longe</w:t>
            </w:r>
          </w:p>
        </w:tc>
        <w:tc>
          <w:tcPr>
            <w:tcW w:w="142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0644008"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65,1</w:t>
            </w:r>
          </w:p>
        </w:tc>
        <w:tc>
          <w:tcPr>
            <w:tcW w:w="1417" w:type="dxa"/>
            <w:tcBorders>
              <w:top w:val="single" w:sz="4" w:space="0" w:color="auto"/>
              <w:left w:val="nil"/>
              <w:bottom w:val="single" w:sz="4" w:space="0" w:color="auto"/>
              <w:right w:val="single" w:sz="4" w:space="0" w:color="auto"/>
            </w:tcBorders>
            <w:shd w:val="clear" w:color="000000" w:fill="D9D9D9"/>
            <w:noWrap/>
            <w:vAlign w:val="center"/>
            <w:hideMark/>
          </w:tcPr>
          <w:p w14:paraId="00F954B1"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11,6</w:t>
            </w:r>
          </w:p>
        </w:tc>
        <w:tc>
          <w:tcPr>
            <w:tcW w:w="3544"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7832BF59"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22</w:t>
            </w:r>
          </w:p>
        </w:tc>
      </w:tr>
      <w:tr w:rsidR="00BF18DA" w:rsidRPr="007B283E" w14:paraId="6B726A1D" w14:textId="77777777" w:rsidTr="008421B6">
        <w:trPr>
          <w:trHeight w:val="300"/>
        </w:trPr>
        <w:tc>
          <w:tcPr>
            <w:tcW w:w="2820" w:type="dxa"/>
            <w:tcBorders>
              <w:top w:val="nil"/>
              <w:left w:val="single" w:sz="4" w:space="0" w:color="auto"/>
              <w:bottom w:val="nil"/>
              <w:right w:val="nil"/>
            </w:tcBorders>
            <w:shd w:val="clear" w:color="000000" w:fill="E7E6E6"/>
            <w:noWrap/>
            <w:vAlign w:val="center"/>
            <w:hideMark/>
          </w:tcPr>
          <w:p w14:paraId="32073470"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dont bardière (18% de la longe)</w:t>
            </w:r>
          </w:p>
        </w:tc>
        <w:tc>
          <w:tcPr>
            <w:tcW w:w="142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97388B3" w14:textId="77777777" w:rsidR="00BF18DA" w:rsidRPr="007B283E" w:rsidRDefault="00BF18DA">
            <w:pPr>
              <w:spacing w:after="0" w:line="240" w:lineRule="auto"/>
              <w:jc w:val="center"/>
              <w:rPr>
                <w:rFonts w:eastAsia="Times New Roman" w:cs="Arial"/>
                <w:color w:val="000000"/>
                <w:sz w:val="20"/>
                <w:szCs w:val="20"/>
                <w:lang w:eastAsia="fr-FR"/>
              </w:rPr>
            </w:pPr>
          </w:p>
        </w:tc>
        <w:tc>
          <w:tcPr>
            <w:tcW w:w="1417" w:type="dxa"/>
            <w:tcBorders>
              <w:top w:val="single" w:sz="4" w:space="0" w:color="auto"/>
              <w:left w:val="nil"/>
              <w:bottom w:val="single" w:sz="4" w:space="0" w:color="auto"/>
              <w:right w:val="single" w:sz="4" w:space="0" w:color="auto"/>
            </w:tcBorders>
            <w:shd w:val="clear" w:color="000000" w:fill="D9D9D9"/>
            <w:noWrap/>
            <w:vAlign w:val="center"/>
            <w:hideMark/>
          </w:tcPr>
          <w:p w14:paraId="405016F7" w14:textId="77777777" w:rsidR="00BF18DA" w:rsidRPr="007B283E" w:rsidRDefault="00BF18DA">
            <w:pPr>
              <w:spacing w:after="0" w:line="240" w:lineRule="auto"/>
              <w:jc w:val="center"/>
              <w:rPr>
                <w:rFonts w:eastAsia="Times New Roman" w:cs="Arial"/>
                <w:color w:val="000000"/>
                <w:sz w:val="20"/>
                <w:szCs w:val="20"/>
                <w:lang w:eastAsia="fr-FR"/>
              </w:rPr>
            </w:pPr>
          </w:p>
        </w:tc>
        <w:tc>
          <w:tcPr>
            <w:tcW w:w="3544" w:type="dxa"/>
            <w:gridSpan w:val="2"/>
            <w:tcBorders>
              <w:top w:val="single" w:sz="4" w:space="0" w:color="auto"/>
              <w:left w:val="nil"/>
              <w:bottom w:val="single" w:sz="4" w:space="0" w:color="auto"/>
              <w:right w:val="single" w:sz="4" w:space="0" w:color="000000"/>
            </w:tcBorders>
            <w:shd w:val="clear" w:color="000000" w:fill="D9D9D9"/>
            <w:noWrap/>
            <w:vAlign w:val="center"/>
            <w:hideMark/>
          </w:tcPr>
          <w:p w14:paraId="5B8DD6B3"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5</w:t>
            </w:r>
          </w:p>
        </w:tc>
      </w:tr>
      <w:tr w:rsidR="00BF18DA" w:rsidRPr="007B283E" w14:paraId="1BE72A2A" w14:textId="77777777" w:rsidTr="008421B6">
        <w:trPr>
          <w:trHeight w:val="300"/>
        </w:trPr>
        <w:tc>
          <w:tcPr>
            <w:tcW w:w="2820" w:type="dxa"/>
            <w:tcBorders>
              <w:top w:val="nil"/>
              <w:left w:val="single" w:sz="4" w:space="0" w:color="auto"/>
              <w:bottom w:val="nil"/>
              <w:right w:val="nil"/>
            </w:tcBorders>
            <w:shd w:val="clear" w:color="auto" w:fill="auto"/>
            <w:noWrap/>
            <w:vAlign w:val="center"/>
            <w:hideMark/>
          </w:tcPr>
          <w:p w14:paraId="1F5DD99E"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Poitrine</w:t>
            </w:r>
          </w:p>
        </w:tc>
        <w:tc>
          <w:tcPr>
            <w:tcW w:w="14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723845"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58,5</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2EE59FE9"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5,6</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3A347667"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35,9</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09AF0F35"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7,5</w:t>
            </w:r>
          </w:p>
        </w:tc>
      </w:tr>
      <w:tr w:rsidR="00BF18DA" w:rsidRPr="007B283E" w14:paraId="46C3EF81" w14:textId="77777777" w:rsidTr="008421B6">
        <w:trPr>
          <w:trHeight w:val="300"/>
        </w:trPr>
        <w:tc>
          <w:tcPr>
            <w:tcW w:w="2820" w:type="dxa"/>
            <w:tcBorders>
              <w:top w:val="nil"/>
              <w:left w:val="single" w:sz="4" w:space="0" w:color="auto"/>
              <w:bottom w:val="nil"/>
              <w:right w:val="nil"/>
            </w:tcBorders>
            <w:shd w:val="clear" w:color="auto" w:fill="auto"/>
            <w:noWrap/>
            <w:vAlign w:val="center"/>
            <w:hideMark/>
          </w:tcPr>
          <w:p w14:paraId="0E4952CB"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Epaule avec gorge</w:t>
            </w:r>
          </w:p>
        </w:tc>
        <w:tc>
          <w:tcPr>
            <w:tcW w:w="14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F9FECD"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62,6</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6AB0DC21"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11,6</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1DF9E024"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25,9</w:t>
            </w:r>
          </w:p>
        </w:tc>
        <w:tc>
          <w:tcPr>
            <w:tcW w:w="2126" w:type="dxa"/>
            <w:tcBorders>
              <w:top w:val="single" w:sz="4" w:space="0" w:color="auto"/>
              <w:left w:val="nil"/>
              <w:bottom w:val="single" w:sz="4" w:space="0" w:color="auto"/>
              <w:right w:val="single" w:sz="4" w:space="0" w:color="auto"/>
            </w:tcBorders>
            <w:shd w:val="clear" w:color="auto" w:fill="auto"/>
            <w:noWrap/>
            <w:vAlign w:val="center"/>
            <w:hideMark/>
          </w:tcPr>
          <w:p w14:paraId="16188C1D"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w:t>
            </w:r>
          </w:p>
        </w:tc>
      </w:tr>
      <w:tr w:rsidR="00BF18DA" w:rsidRPr="007B283E" w14:paraId="43240FDB" w14:textId="77777777" w:rsidTr="008421B6">
        <w:trPr>
          <w:trHeight w:val="300"/>
        </w:trPr>
        <w:tc>
          <w:tcPr>
            <w:tcW w:w="2820" w:type="dxa"/>
            <w:tcBorders>
              <w:top w:val="nil"/>
              <w:left w:val="single" w:sz="4" w:space="0" w:color="auto"/>
              <w:bottom w:val="nil"/>
              <w:right w:val="nil"/>
            </w:tcBorders>
            <w:shd w:val="clear" w:color="000000" w:fill="E7E6E6"/>
            <w:noWrap/>
            <w:vAlign w:val="center"/>
            <w:hideMark/>
          </w:tcPr>
          <w:p w14:paraId="65C7FFD4"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dont épaule</w:t>
            </w:r>
          </w:p>
        </w:tc>
        <w:tc>
          <w:tcPr>
            <w:tcW w:w="142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4AE4B4C"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62,6</w:t>
            </w:r>
          </w:p>
        </w:tc>
        <w:tc>
          <w:tcPr>
            <w:tcW w:w="1417" w:type="dxa"/>
            <w:tcBorders>
              <w:top w:val="single" w:sz="4" w:space="0" w:color="auto"/>
              <w:left w:val="nil"/>
              <w:bottom w:val="single" w:sz="4" w:space="0" w:color="auto"/>
              <w:right w:val="single" w:sz="4" w:space="0" w:color="auto"/>
            </w:tcBorders>
            <w:shd w:val="clear" w:color="000000" w:fill="D9D9D9"/>
            <w:noWrap/>
            <w:vAlign w:val="center"/>
            <w:hideMark/>
          </w:tcPr>
          <w:p w14:paraId="6D8B6FEF"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11,6</w:t>
            </w:r>
          </w:p>
        </w:tc>
        <w:tc>
          <w:tcPr>
            <w:tcW w:w="1418" w:type="dxa"/>
            <w:tcBorders>
              <w:top w:val="single" w:sz="4" w:space="0" w:color="auto"/>
              <w:left w:val="nil"/>
              <w:bottom w:val="single" w:sz="4" w:space="0" w:color="auto"/>
              <w:right w:val="single" w:sz="4" w:space="0" w:color="auto"/>
            </w:tcBorders>
            <w:shd w:val="clear" w:color="000000" w:fill="D9D9D9"/>
            <w:noWrap/>
            <w:vAlign w:val="center"/>
            <w:hideMark/>
          </w:tcPr>
          <w:p w14:paraId="19520F0D" w14:textId="77777777" w:rsidR="00BF18DA" w:rsidRPr="007B283E" w:rsidRDefault="00BF18DA">
            <w:pPr>
              <w:spacing w:after="0" w:line="240" w:lineRule="auto"/>
              <w:jc w:val="center"/>
              <w:rPr>
                <w:rFonts w:eastAsia="Times New Roman" w:cs="Arial"/>
                <w:color w:val="000000"/>
                <w:sz w:val="20"/>
                <w:szCs w:val="20"/>
                <w:lang w:eastAsia="fr-FR"/>
              </w:rPr>
            </w:pPr>
          </w:p>
        </w:tc>
        <w:tc>
          <w:tcPr>
            <w:tcW w:w="2126" w:type="dxa"/>
            <w:tcBorders>
              <w:top w:val="single" w:sz="4" w:space="0" w:color="auto"/>
              <w:left w:val="nil"/>
              <w:bottom w:val="single" w:sz="4" w:space="0" w:color="auto"/>
              <w:right w:val="single" w:sz="4" w:space="0" w:color="auto"/>
            </w:tcBorders>
            <w:shd w:val="clear" w:color="000000" w:fill="D9D9D9"/>
            <w:noWrap/>
            <w:vAlign w:val="center"/>
            <w:hideMark/>
          </w:tcPr>
          <w:p w14:paraId="7C18167F"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6</w:t>
            </w:r>
          </w:p>
        </w:tc>
      </w:tr>
      <w:tr w:rsidR="00BF18DA" w:rsidRPr="007B283E" w14:paraId="3EC9302C" w14:textId="77777777" w:rsidTr="008421B6">
        <w:trPr>
          <w:trHeight w:val="300"/>
        </w:trPr>
        <w:tc>
          <w:tcPr>
            <w:tcW w:w="2820" w:type="dxa"/>
            <w:tcBorders>
              <w:top w:val="nil"/>
              <w:left w:val="single" w:sz="4" w:space="0" w:color="auto"/>
              <w:bottom w:val="single" w:sz="4" w:space="0" w:color="auto"/>
              <w:right w:val="nil"/>
            </w:tcBorders>
            <w:shd w:val="clear" w:color="000000" w:fill="E7E6E6"/>
            <w:noWrap/>
            <w:vAlign w:val="center"/>
            <w:hideMark/>
          </w:tcPr>
          <w:p w14:paraId="59811900" w14:textId="77777777" w:rsidR="00BF18DA" w:rsidRPr="007B283E" w:rsidRDefault="00BF18DA">
            <w:pPr>
              <w:spacing w:after="0" w:line="240" w:lineRule="auto"/>
              <w:jc w:val="center"/>
              <w:rPr>
                <w:rFonts w:eastAsia="Times New Roman" w:cs="Arial"/>
                <w:i/>
                <w:iCs/>
                <w:color w:val="000000"/>
                <w:sz w:val="20"/>
                <w:szCs w:val="20"/>
                <w:lang w:eastAsia="fr-FR"/>
              </w:rPr>
            </w:pPr>
            <w:r w:rsidRPr="007B283E">
              <w:rPr>
                <w:rFonts w:eastAsia="Times New Roman" w:cs="Arial"/>
                <w:i/>
                <w:iCs/>
                <w:color w:val="000000"/>
                <w:sz w:val="20"/>
                <w:szCs w:val="20"/>
                <w:lang w:eastAsia="fr-FR"/>
              </w:rPr>
              <w:t>dont gorge</w:t>
            </w:r>
          </w:p>
        </w:tc>
        <w:tc>
          <w:tcPr>
            <w:tcW w:w="1428"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8A90A0A"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_</w:t>
            </w:r>
          </w:p>
        </w:tc>
        <w:tc>
          <w:tcPr>
            <w:tcW w:w="1417" w:type="dxa"/>
            <w:tcBorders>
              <w:top w:val="single" w:sz="4" w:space="0" w:color="auto"/>
              <w:left w:val="nil"/>
              <w:bottom w:val="single" w:sz="4" w:space="0" w:color="auto"/>
              <w:right w:val="single" w:sz="4" w:space="0" w:color="auto"/>
            </w:tcBorders>
            <w:shd w:val="clear" w:color="000000" w:fill="D9D9D9"/>
            <w:noWrap/>
            <w:vAlign w:val="center"/>
            <w:hideMark/>
          </w:tcPr>
          <w:p w14:paraId="17F2F0D6"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_</w:t>
            </w:r>
          </w:p>
        </w:tc>
        <w:tc>
          <w:tcPr>
            <w:tcW w:w="1418" w:type="dxa"/>
            <w:tcBorders>
              <w:top w:val="single" w:sz="4" w:space="0" w:color="auto"/>
              <w:left w:val="nil"/>
              <w:bottom w:val="single" w:sz="4" w:space="0" w:color="auto"/>
              <w:right w:val="single" w:sz="4" w:space="0" w:color="auto"/>
            </w:tcBorders>
            <w:shd w:val="clear" w:color="000000" w:fill="D9D9D9"/>
            <w:noWrap/>
            <w:vAlign w:val="center"/>
            <w:hideMark/>
          </w:tcPr>
          <w:p w14:paraId="5E0DF4FE"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1,4</w:t>
            </w:r>
          </w:p>
        </w:tc>
        <w:tc>
          <w:tcPr>
            <w:tcW w:w="2126" w:type="dxa"/>
            <w:tcBorders>
              <w:top w:val="single" w:sz="4" w:space="0" w:color="auto"/>
              <w:left w:val="nil"/>
              <w:bottom w:val="single" w:sz="4" w:space="0" w:color="auto"/>
              <w:right w:val="single" w:sz="4" w:space="0" w:color="auto"/>
            </w:tcBorders>
            <w:shd w:val="clear" w:color="000000" w:fill="D9D9D9"/>
            <w:noWrap/>
            <w:vAlign w:val="center"/>
            <w:hideMark/>
          </w:tcPr>
          <w:p w14:paraId="587C9767" w14:textId="77777777" w:rsidR="00BF18DA" w:rsidRPr="007B283E" w:rsidRDefault="00BF18DA">
            <w:pPr>
              <w:spacing w:after="0" w:line="240" w:lineRule="auto"/>
              <w:jc w:val="center"/>
              <w:rPr>
                <w:rFonts w:eastAsia="Times New Roman" w:cs="Arial"/>
                <w:color w:val="000000"/>
                <w:sz w:val="20"/>
                <w:szCs w:val="20"/>
                <w:lang w:eastAsia="fr-FR"/>
              </w:rPr>
            </w:pPr>
            <w:r w:rsidRPr="007B283E">
              <w:rPr>
                <w:rFonts w:eastAsia="Times New Roman" w:cs="Arial"/>
                <w:color w:val="000000"/>
                <w:sz w:val="20"/>
                <w:szCs w:val="20"/>
                <w:lang w:eastAsia="fr-FR"/>
              </w:rPr>
              <w:t>_</w:t>
            </w:r>
          </w:p>
        </w:tc>
      </w:tr>
    </w:tbl>
    <w:p w14:paraId="41B60120" w14:textId="77777777" w:rsidR="006970B3" w:rsidRDefault="003D39F9" w:rsidP="0002537E">
      <w:pPr>
        <w:pStyle w:val="figure"/>
      </w:pPr>
      <w:bookmarkStart w:id="212" w:name="_Ref69316538"/>
      <w:bookmarkStart w:id="213" w:name="_Ref69315894"/>
      <w:bookmarkStart w:id="214" w:name="_Toc72143393"/>
      <w:r w:rsidRPr="003D39F9">
        <w:t xml:space="preserve">Tableau </w:t>
      </w:r>
      <w:r w:rsidR="00926407">
        <w:fldChar w:fldCharType="begin"/>
      </w:r>
      <w:r w:rsidR="00926407">
        <w:rPr>
          <w:b w:val="0"/>
          <w:bCs w:val="0"/>
          <w:iCs w:val="0"/>
        </w:rPr>
        <w:instrText xml:space="preserve"> SEQ Tableau \* ARABIC </w:instrText>
      </w:r>
      <w:r w:rsidR="00926407">
        <w:fldChar w:fldCharType="separate"/>
      </w:r>
      <w:r w:rsidR="0007597F">
        <w:rPr>
          <w:noProof/>
        </w:rPr>
        <w:t>45</w:t>
      </w:r>
      <w:r w:rsidR="00926407">
        <w:rPr>
          <w:noProof/>
        </w:rPr>
        <w:fldChar w:fldCharType="end"/>
      </w:r>
      <w:bookmarkEnd w:id="212"/>
      <w:r w:rsidR="00BF18DA">
        <w:t> : Ventilation des pièces primaires en muscle, os et gras</w:t>
      </w:r>
      <w:bookmarkEnd w:id="213"/>
      <w:bookmarkEnd w:id="214"/>
      <w:r w:rsidR="00BF18DA">
        <w:t xml:space="preserve"> </w:t>
      </w:r>
    </w:p>
    <w:p w14:paraId="4749D516" w14:textId="2F03D959" w:rsidR="00BF18DA" w:rsidRPr="006970B3" w:rsidRDefault="00BF18DA" w:rsidP="0002537E">
      <w:pPr>
        <w:pStyle w:val="figure"/>
        <w:rPr>
          <w:b w:val="0"/>
          <w:bCs w:val="0"/>
        </w:rPr>
      </w:pPr>
      <w:r w:rsidRPr="006970B3">
        <w:rPr>
          <w:b w:val="0"/>
          <w:bCs w:val="0"/>
        </w:rPr>
        <w:t>(Source : IFIP, 2016)</w:t>
      </w:r>
    </w:p>
    <w:p w14:paraId="709A31A6" w14:textId="74B6DE54" w:rsidR="00A2743F" w:rsidRDefault="00E82961" w:rsidP="000A157C">
      <w:r>
        <w:t xml:space="preserve">Par ailleurs, </w:t>
      </w:r>
      <w:r w:rsidR="00A2743F">
        <w:t xml:space="preserve">une partie des abats est commercialisée </w:t>
      </w:r>
      <w:r w:rsidR="004D52C0">
        <w:t xml:space="preserve">sous la forme de viande fraîche ou surgelée </w:t>
      </w:r>
      <w:r w:rsidR="00606831">
        <w:t xml:space="preserve">sans transformation par l’industrie du petfood </w:t>
      </w:r>
      <w:r w:rsidR="004D52C0">
        <w:t xml:space="preserve">à destination des animaux de compagnie </w:t>
      </w:r>
      <w:r w:rsidR="00606831">
        <w:t xml:space="preserve">au travers de circuits de distribution </w:t>
      </w:r>
      <w:r w:rsidR="00E30182">
        <w:t>(</w:t>
      </w:r>
      <w:r w:rsidR="00343C40">
        <w:t xml:space="preserve">freezer center, artisans bouchers charcutiers </w:t>
      </w:r>
      <w:r w:rsidR="00147172">
        <w:t>et grandes et moyennes surfaces</w:t>
      </w:r>
      <w:r w:rsidR="00E30182">
        <w:t>)</w:t>
      </w:r>
      <w:r w:rsidR="00147172">
        <w:t>.</w:t>
      </w:r>
      <w:r w:rsidR="001D274E">
        <w:t xml:space="preserve"> Cette fraction </w:t>
      </w:r>
      <w:r w:rsidR="004A11C7">
        <w:t>serait estimée</w:t>
      </w:r>
      <w:r w:rsidR="001D274E">
        <w:t xml:space="preserve"> </w:t>
      </w:r>
      <w:r w:rsidR="004A11C7">
        <w:t>à</w:t>
      </w:r>
      <w:r w:rsidR="0010002B">
        <w:t xml:space="preserve"> environ</w:t>
      </w:r>
      <w:r w:rsidR="004A11C7">
        <w:t xml:space="preserve"> 7% </w:t>
      </w:r>
      <w:r w:rsidR="00BF5FEF">
        <w:t>des abats</w:t>
      </w:r>
      <w:r w:rsidR="001D274E">
        <w:t>.</w:t>
      </w:r>
    </w:p>
    <w:p w14:paraId="3CF7EB6F" w14:textId="471A9595" w:rsidR="003C72A4" w:rsidRDefault="002E48CA" w:rsidP="000A157C">
      <w:r>
        <w:t>En conséquence et sur</w:t>
      </w:r>
      <w:r w:rsidR="00E82961">
        <w:t xml:space="preserve"> </w:t>
      </w:r>
      <w:r w:rsidR="007A7136">
        <w:t>la base d</w:t>
      </w:r>
      <w:r>
        <w:t>e données</w:t>
      </w:r>
      <w:r w:rsidR="007A7136">
        <w:t xml:space="preserve"> </w:t>
      </w:r>
      <w:r w:rsidR="00E82961">
        <w:t xml:space="preserve">à dire d’experts, </w:t>
      </w:r>
      <w:r w:rsidR="00B423E2">
        <w:t xml:space="preserve">la part des abats </w:t>
      </w:r>
      <w:r w:rsidR="00551692">
        <w:t xml:space="preserve">prise </w:t>
      </w:r>
      <w:r w:rsidR="00B423E2">
        <w:t xml:space="preserve">en compte </w:t>
      </w:r>
      <w:r w:rsidR="00FC1617">
        <w:t xml:space="preserve">dans la comptabilisation de la fraction </w:t>
      </w:r>
      <w:r w:rsidR="00573633">
        <w:t xml:space="preserve">sortie abattoir à destination de la </w:t>
      </w:r>
      <w:r w:rsidR="00E82961">
        <w:t xml:space="preserve">consommation humaine est </w:t>
      </w:r>
      <w:r w:rsidR="00E03E90">
        <w:t>de l’ordre de</w:t>
      </w:r>
      <w:r w:rsidR="00E82961">
        <w:t xml:space="preserve"> 10%</w:t>
      </w:r>
      <w:r w:rsidR="00E03E90">
        <w:t xml:space="preserve"> du poids de la carcasse froide</w:t>
      </w:r>
      <w:r w:rsidR="006C27F5">
        <w:t>.</w:t>
      </w:r>
      <w:r w:rsidR="00510169">
        <w:t xml:space="preserve"> Ce point nécessiterait d’être </w:t>
      </w:r>
      <w:r w:rsidR="00FB4657">
        <w:t>investigué</w:t>
      </w:r>
      <w:r>
        <w:t xml:space="preserve"> plus en avant </w:t>
      </w:r>
      <w:r w:rsidR="00AE1AFB">
        <w:t>par</w:t>
      </w:r>
      <w:r>
        <w:t xml:space="preserve"> enquête auprès des différents</w:t>
      </w:r>
      <w:r w:rsidR="00BF5FEF">
        <w:t xml:space="preserve"> acteurs de la filière. </w:t>
      </w:r>
    </w:p>
    <w:p w14:paraId="3233F27D" w14:textId="0939020D" w:rsidR="001846AB" w:rsidRDefault="0087662A" w:rsidP="00A63F35">
      <w:pPr>
        <w:pStyle w:val="Titre2"/>
        <w:numPr>
          <w:ilvl w:val="1"/>
          <w:numId w:val="15"/>
        </w:numPr>
      </w:pPr>
      <w:bookmarkStart w:id="215" w:name="_Toc78131620"/>
      <w:r>
        <w:t xml:space="preserve">Estimation de </w:t>
      </w:r>
      <w:r w:rsidR="001846AB">
        <w:t>la</w:t>
      </w:r>
      <w:r>
        <w:t xml:space="preserve"> </w:t>
      </w:r>
      <w:r w:rsidR="00C51E0D">
        <w:t>« </w:t>
      </w:r>
      <w:r>
        <w:t>fraction</w:t>
      </w:r>
      <w:r w:rsidR="001846AB">
        <w:t xml:space="preserve"> </w:t>
      </w:r>
      <w:r w:rsidR="00B24913">
        <w:t>comestible »</w:t>
      </w:r>
      <w:r w:rsidR="00385EBB">
        <w:t xml:space="preserve"> </w:t>
      </w:r>
      <w:r w:rsidR="00593FC1">
        <w:t>et des « équivalents en pièces primaires »</w:t>
      </w:r>
      <w:r w:rsidR="00DF4216">
        <w:t xml:space="preserve"> </w:t>
      </w:r>
      <w:r w:rsidR="00EC569B">
        <w:t xml:space="preserve">net disponible </w:t>
      </w:r>
      <w:r w:rsidR="00035B10">
        <w:t>sortie abattoir</w:t>
      </w:r>
      <w:r w:rsidR="00B63BE8">
        <w:t xml:space="preserve"> </w:t>
      </w:r>
      <w:r w:rsidR="004D3FEA">
        <w:t>pour la consommation française</w:t>
      </w:r>
      <w:bookmarkEnd w:id="215"/>
    </w:p>
    <w:p w14:paraId="4E245CE6" w14:textId="66F16079" w:rsidR="000F6FD3" w:rsidRPr="001546A7" w:rsidRDefault="00E74E69" w:rsidP="000A157C">
      <w:r w:rsidRPr="001546A7">
        <w:t>Comme vu plus haut, l</w:t>
      </w:r>
      <w:r w:rsidR="00856CE2" w:rsidRPr="001546A7">
        <w:t xml:space="preserve">es coproduits </w:t>
      </w:r>
      <w:r w:rsidR="007A7FD2" w:rsidRPr="001546A7">
        <w:t>sont</w:t>
      </w:r>
      <w:r w:rsidR="00856CE2" w:rsidRPr="001546A7">
        <w:t xml:space="preserve"> </w:t>
      </w:r>
      <w:r w:rsidR="00001357" w:rsidRPr="001546A7">
        <w:t>émis</w:t>
      </w:r>
      <w:r w:rsidR="00856CE2" w:rsidRPr="001546A7">
        <w:t xml:space="preserve"> tout au long </w:t>
      </w:r>
      <w:r w:rsidR="00001357" w:rsidRPr="001546A7">
        <w:t xml:space="preserve">des étapes de transformation de </w:t>
      </w:r>
      <w:r w:rsidR="00856CE2" w:rsidRPr="001546A7">
        <w:t xml:space="preserve">la filière </w:t>
      </w:r>
      <w:r w:rsidR="00001357" w:rsidRPr="001546A7">
        <w:t xml:space="preserve">et </w:t>
      </w:r>
      <w:r w:rsidR="00856CE2" w:rsidRPr="001546A7">
        <w:t>par de multiples acteurs de celle-ci</w:t>
      </w:r>
      <w:r w:rsidR="008F24E7" w:rsidRPr="001546A7">
        <w:t>. Par ailleurs</w:t>
      </w:r>
      <w:r w:rsidR="00396ACD" w:rsidRPr="001546A7">
        <w:t>,</w:t>
      </w:r>
      <w:r w:rsidR="008F24E7" w:rsidRPr="001546A7">
        <w:t xml:space="preserve"> il existe de grandes variations selon les pièces de découpe primaire concernées,</w:t>
      </w:r>
      <w:r w:rsidR="00AA7A7F" w:rsidRPr="001546A7">
        <w:t xml:space="preserve"> </w:t>
      </w:r>
      <w:r w:rsidR="005F4B76" w:rsidRPr="001546A7">
        <w:t>relatives notamment au</w:t>
      </w:r>
      <w:r w:rsidR="00AA7A7F" w:rsidRPr="001546A7">
        <w:t xml:space="preserve"> niveau de qualité</w:t>
      </w:r>
      <w:r w:rsidR="007A7FD2" w:rsidRPr="001546A7">
        <w:t xml:space="preserve"> des </w:t>
      </w:r>
      <w:r w:rsidR="00AA7A7F" w:rsidRPr="001546A7">
        <w:t>produit</w:t>
      </w:r>
      <w:r w:rsidR="005F4B76" w:rsidRPr="001546A7">
        <w:t>s</w:t>
      </w:r>
      <w:r w:rsidR="00D01F26">
        <w:t xml:space="preserve"> rendant </w:t>
      </w:r>
      <w:r w:rsidR="00856CE2" w:rsidRPr="001546A7">
        <w:t xml:space="preserve">complexe </w:t>
      </w:r>
      <w:r w:rsidR="00AA7A7F" w:rsidRPr="001546A7">
        <w:t>toute démarche de</w:t>
      </w:r>
      <w:r w:rsidR="00856CE2" w:rsidRPr="001546A7">
        <w:t xml:space="preserve"> comptabilisation</w:t>
      </w:r>
      <w:r w:rsidR="007A7FD2" w:rsidRPr="001546A7">
        <w:t xml:space="preserve"> de ceux-ci</w:t>
      </w:r>
      <w:r w:rsidR="00AA7A7F" w:rsidRPr="001546A7">
        <w:t>.</w:t>
      </w:r>
    </w:p>
    <w:p w14:paraId="43E74E38" w14:textId="059E58FD" w:rsidR="00F4022A" w:rsidRPr="001546A7" w:rsidRDefault="00AA7A7F" w:rsidP="000A157C">
      <w:r w:rsidRPr="001546A7">
        <w:t>Dans le même temps, l</w:t>
      </w:r>
      <w:r w:rsidR="000F6FD3" w:rsidRPr="001546A7">
        <w:t xml:space="preserve">’organisme </w:t>
      </w:r>
      <w:r w:rsidR="00F4022A" w:rsidRPr="001546A7">
        <w:t xml:space="preserve">SIFCO, </w:t>
      </w:r>
      <w:r w:rsidR="004441FA" w:rsidRPr="001546A7">
        <w:t xml:space="preserve">collecteur </w:t>
      </w:r>
      <w:r w:rsidR="00C94BB8" w:rsidRPr="001546A7">
        <w:t>de coproduits (C2,</w:t>
      </w:r>
      <w:r w:rsidR="00F510FE" w:rsidRPr="001546A7">
        <w:t xml:space="preserve"> </w:t>
      </w:r>
      <w:r w:rsidR="00C94BB8" w:rsidRPr="001546A7">
        <w:t>C3 et DAOA)</w:t>
      </w:r>
      <w:r w:rsidR="00F4022A" w:rsidRPr="001546A7">
        <w:t>,</w:t>
      </w:r>
      <w:r w:rsidR="00C94BB8" w:rsidRPr="001546A7">
        <w:t xml:space="preserve"> </w:t>
      </w:r>
      <w:r w:rsidR="00011631" w:rsidRPr="001546A7">
        <w:t xml:space="preserve">couvre la très grande majorité des acteurs de la filière (&gt;95%) </w:t>
      </w:r>
      <w:r w:rsidR="005A0E51" w:rsidRPr="001546A7">
        <w:t xml:space="preserve">et fournit </w:t>
      </w:r>
      <w:r w:rsidR="00614DDB" w:rsidRPr="001546A7">
        <w:t>des données statistiques</w:t>
      </w:r>
      <w:r w:rsidR="00E37BE6" w:rsidRPr="001546A7">
        <w:t xml:space="preserve"> annuelles</w:t>
      </w:r>
      <w:r w:rsidR="00614DDB" w:rsidRPr="001546A7">
        <w:t xml:space="preserve"> </w:t>
      </w:r>
      <w:r w:rsidR="001161FC" w:rsidRPr="001546A7">
        <w:t xml:space="preserve">globales </w:t>
      </w:r>
      <w:r w:rsidR="00614DDB" w:rsidRPr="001546A7">
        <w:t xml:space="preserve">pour l’espèce </w:t>
      </w:r>
      <w:r w:rsidR="001926FB" w:rsidRPr="001546A7">
        <w:t>porcine</w:t>
      </w:r>
      <w:r w:rsidR="00614DDB" w:rsidRPr="001546A7">
        <w:t>.</w:t>
      </w:r>
    </w:p>
    <w:p w14:paraId="6D460108" w14:textId="3AFC71A8" w:rsidR="0083670A" w:rsidRPr="001546A7" w:rsidRDefault="001161FC" w:rsidP="000A157C">
      <w:r w:rsidRPr="001546A7">
        <w:t>Aussi, à partir</w:t>
      </w:r>
      <w:r w:rsidR="001526A0" w:rsidRPr="001546A7">
        <w:t xml:space="preserve"> d</w:t>
      </w:r>
      <w:r w:rsidRPr="001546A7">
        <w:t>u volume</w:t>
      </w:r>
      <w:r w:rsidR="00646B6E" w:rsidRPr="001546A7">
        <w:t xml:space="preserve"> </w:t>
      </w:r>
      <w:r w:rsidRPr="001546A7">
        <w:t xml:space="preserve">de </w:t>
      </w:r>
      <w:r w:rsidR="00646B6E" w:rsidRPr="001546A7">
        <w:t>porc</w:t>
      </w:r>
      <w:r w:rsidRPr="001546A7">
        <w:t>s</w:t>
      </w:r>
      <w:r w:rsidR="00646B6E" w:rsidRPr="001546A7">
        <w:t xml:space="preserve"> charcutiers vif</w:t>
      </w:r>
      <w:r w:rsidRPr="001546A7">
        <w:t xml:space="preserve">s </w:t>
      </w:r>
      <w:r w:rsidR="00646B6E" w:rsidRPr="001546A7">
        <w:t>entrant à l’abattoir de 2</w:t>
      </w:r>
      <w:r w:rsidR="006970B3">
        <w:t> </w:t>
      </w:r>
      <w:r w:rsidR="00646B6E" w:rsidRPr="001546A7">
        <w:t>77</w:t>
      </w:r>
      <w:r w:rsidR="00B43EED" w:rsidRPr="001546A7">
        <w:t>2</w:t>
      </w:r>
      <w:r w:rsidR="006970B3">
        <w:t> </w:t>
      </w:r>
      <w:r w:rsidR="00646B6E" w:rsidRPr="001546A7">
        <w:t>kt</w:t>
      </w:r>
      <w:r w:rsidR="003434B7" w:rsidRPr="001546A7">
        <w:t xml:space="preserve"> pour l’année 2018</w:t>
      </w:r>
      <w:r w:rsidR="00DB0393" w:rsidRPr="001546A7">
        <w:t xml:space="preserve"> et d’un stock à fin 2017 estimé nul</w:t>
      </w:r>
      <w:r w:rsidR="00646B6E" w:rsidRPr="001546A7">
        <w:t xml:space="preserve"> </w:t>
      </w:r>
      <w:r w:rsidR="003434B7" w:rsidRPr="001546A7">
        <w:t xml:space="preserve">selon </w:t>
      </w:r>
      <w:r w:rsidR="00646B6E" w:rsidRPr="001546A7">
        <w:t xml:space="preserve">Agreste, il va s’agir </w:t>
      </w:r>
      <w:r w:rsidR="00026840" w:rsidRPr="001546A7">
        <w:t>de</w:t>
      </w:r>
      <w:r w:rsidR="00F34C20" w:rsidRPr="001546A7">
        <w:t xml:space="preserve"> soustraire la fraction</w:t>
      </w:r>
      <w:r w:rsidR="00302F9F" w:rsidRPr="001546A7">
        <w:t xml:space="preserve"> de 531</w:t>
      </w:r>
      <w:r w:rsidR="006970B3">
        <w:t> </w:t>
      </w:r>
      <w:r w:rsidR="00302F9F" w:rsidRPr="001546A7">
        <w:t>kt de coproduits</w:t>
      </w:r>
      <w:r w:rsidR="00C94BB8" w:rsidRPr="001546A7">
        <w:t xml:space="preserve"> collectés </w:t>
      </w:r>
      <w:r w:rsidR="00744954" w:rsidRPr="001546A7">
        <w:t>et de tenir compte de la phase de ressuage maturation (taux de 2,5%)</w:t>
      </w:r>
      <w:r w:rsidR="00C94BB8" w:rsidRPr="001546A7">
        <w:t xml:space="preserve"> </w:t>
      </w:r>
      <w:r w:rsidR="00302F9F" w:rsidRPr="001546A7">
        <w:t xml:space="preserve">pour obtenir la fraction </w:t>
      </w:r>
      <w:r w:rsidR="00C94BB8" w:rsidRPr="001546A7">
        <w:t>comestible sortie abattoir</w:t>
      </w:r>
      <w:r w:rsidR="00302F9F" w:rsidRPr="001546A7">
        <w:t xml:space="preserve"> </w:t>
      </w:r>
      <w:r w:rsidR="00CD6EB4" w:rsidRPr="001546A7">
        <w:t>de</w:t>
      </w:r>
      <w:r w:rsidR="006C4CF4" w:rsidRPr="001546A7">
        <w:t xml:space="preserve"> </w:t>
      </w:r>
      <w:r w:rsidR="00036B90" w:rsidRPr="001546A7">
        <w:t>2</w:t>
      </w:r>
      <w:r w:rsidR="006970B3">
        <w:t> </w:t>
      </w:r>
      <w:r w:rsidR="00036B90" w:rsidRPr="001546A7">
        <w:t>170</w:t>
      </w:r>
      <w:r w:rsidR="006970B3">
        <w:t> </w:t>
      </w:r>
      <w:r w:rsidR="00CD6EB4" w:rsidRPr="001546A7">
        <w:t>kt</w:t>
      </w:r>
      <w:r w:rsidR="00920B23" w:rsidRPr="001546A7">
        <w:t xml:space="preserve"> (</w:t>
      </w:r>
      <w:r w:rsidR="003D39F9">
        <w:fldChar w:fldCharType="begin"/>
      </w:r>
      <w:r w:rsidR="003D39F9">
        <w:instrText xml:space="preserve"> REF _Ref68621075 \h </w:instrText>
      </w:r>
      <w:r w:rsidR="003D39F9">
        <w:fldChar w:fldCharType="separate"/>
      </w:r>
      <w:r w:rsidR="0007597F" w:rsidRPr="00E2697A">
        <w:t xml:space="preserve">Tableau </w:t>
      </w:r>
      <w:r w:rsidR="0007597F">
        <w:rPr>
          <w:noProof/>
        </w:rPr>
        <w:t>46</w:t>
      </w:r>
      <w:r w:rsidR="003D39F9">
        <w:fldChar w:fldCharType="end"/>
      </w:r>
      <w:r w:rsidR="00920B23" w:rsidRPr="001546A7">
        <w:t>).</w:t>
      </w:r>
    </w:p>
    <w:tbl>
      <w:tblPr>
        <w:tblW w:w="6240" w:type="dxa"/>
        <w:jc w:val="center"/>
        <w:tblCellMar>
          <w:left w:w="70" w:type="dxa"/>
          <w:right w:w="70" w:type="dxa"/>
        </w:tblCellMar>
        <w:tblLook w:val="04A0" w:firstRow="1" w:lastRow="0" w:firstColumn="1" w:lastColumn="0" w:noHBand="0" w:noVBand="1"/>
      </w:tblPr>
      <w:tblGrid>
        <w:gridCol w:w="3480"/>
        <w:gridCol w:w="1340"/>
        <w:gridCol w:w="1420"/>
      </w:tblGrid>
      <w:tr w:rsidR="0094738B" w:rsidRPr="0094738B" w14:paraId="3FF85074" w14:textId="77777777" w:rsidTr="0094738B">
        <w:trPr>
          <w:trHeight w:val="255"/>
          <w:jc w:val="center"/>
        </w:trPr>
        <w:tc>
          <w:tcPr>
            <w:tcW w:w="3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B14550"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7ABCD5FE" w14:textId="77777777" w:rsidR="0094738B" w:rsidRPr="0094738B" w:rsidRDefault="0094738B" w:rsidP="0094738B">
            <w:pPr>
              <w:spacing w:after="0" w:line="240" w:lineRule="auto"/>
              <w:jc w:val="left"/>
              <w:rPr>
                <w:rFonts w:eastAsia="Times New Roman" w:cs="Arial"/>
                <w:b/>
                <w:bCs/>
                <w:color w:val="000000"/>
                <w:sz w:val="20"/>
                <w:szCs w:val="20"/>
                <w:lang w:eastAsia="fr-FR"/>
              </w:rPr>
            </w:pPr>
            <w:r w:rsidRPr="0094738B">
              <w:rPr>
                <w:rFonts w:eastAsia="Times New Roman" w:cs="Arial"/>
                <w:b/>
                <w:bCs/>
                <w:color w:val="000000"/>
                <w:sz w:val="20"/>
                <w:szCs w:val="20"/>
                <w:lang w:eastAsia="fr-FR"/>
              </w:rPr>
              <w:t>Poids en kt</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396A5980" w14:textId="77777777" w:rsidR="0094738B" w:rsidRPr="0094738B" w:rsidRDefault="0094738B" w:rsidP="0094738B">
            <w:pPr>
              <w:spacing w:after="0" w:line="240" w:lineRule="auto"/>
              <w:jc w:val="center"/>
              <w:rPr>
                <w:rFonts w:eastAsia="Times New Roman" w:cs="Arial"/>
                <w:b/>
                <w:bCs/>
                <w:color w:val="000000"/>
                <w:sz w:val="20"/>
                <w:szCs w:val="20"/>
                <w:lang w:eastAsia="fr-FR"/>
              </w:rPr>
            </w:pPr>
            <w:r w:rsidRPr="0094738B">
              <w:rPr>
                <w:rFonts w:eastAsia="Times New Roman" w:cs="Arial"/>
                <w:b/>
                <w:bCs/>
                <w:color w:val="000000"/>
                <w:sz w:val="20"/>
                <w:szCs w:val="20"/>
                <w:lang w:eastAsia="fr-FR"/>
              </w:rPr>
              <w:t> </w:t>
            </w:r>
          </w:p>
        </w:tc>
      </w:tr>
      <w:tr w:rsidR="0094738B" w:rsidRPr="0094738B" w14:paraId="51F5D042" w14:textId="77777777" w:rsidTr="006970B3">
        <w:trPr>
          <w:trHeight w:val="208"/>
          <w:jc w:val="center"/>
        </w:trPr>
        <w:tc>
          <w:tcPr>
            <w:tcW w:w="348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4333A86"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c>
          <w:tcPr>
            <w:tcW w:w="13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C58EBFD" w14:textId="77777777" w:rsidR="0094738B" w:rsidRPr="0094738B" w:rsidRDefault="0094738B" w:rsidP="0094738B">
            <w:pPr>
              <w:spacing w:after="0" w:line="240" w:lineRule="auto"/>
              <w:jc w:val="left"/>
              <w:rPr>
                <w:rFonts w:eastAsia="Times New Roman" w:cs="Arial"/>
                <w:b/>
                <w:bCs/>
                <w:color w:val="000000"/>
                <w:sz w:val="20"/>
                <w:szCs w:val="20"/>
                <w:lang w:eastAsia="fr-FR"/>
              </w:rPr>
            </w:pPr>
            <w:r w:rsidRPr="0094738B">
              <w:rPr>
                <w:rFonts w:eastAsia="Times New Roman" w:cs="Arial"/>
                <w:b/>
                <w:bCs/>
                <w:color w:val="000000"/>
                <w:sz w:val="20"/>
                <w:szCs w:val="20"/>
                <w:lang w:eastAsia="fr-FR"/>
              </w:rPr>
              <w:t>Entrée</w:t>
            </w:r>
          </w:p>
        </w:tc>
        <w:tc>
          <w:tcPr>
            <w:tcW w:w="14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A62236C" w14:textId="77777777" w:rsidR="0094738B" w:rsidRPr="0094738B" w:rsidRDefault="0094738B" w:rsidP="0094738B">
            <w:pPr>
              <w:spacing w:after="0" w:line="240" w:lineRule="auto"/>
              <w:jc w:val="left"/>
              <w:rPr>
                <w:rFonts w:eastAsia="Times New Roman" w:cs="Arial"/>
                <w:b/>
                <w:bCs/>
                <w:color w:val="000000"/>
                <w:sz w:val="20"/>
                <w:szCs w:val="20"/>
                <w:lang w:eastAsia="fr-FR"/>
              </w:rPr>
            </w:pPr>
            <w:r w:rsidRPr="0094738B">
              <w:rPr>
                <w:rFonts w:eastAsia="Times New Roman" w:cs="Arial"/>
                <w:b/>
                <w:bCs/>
                <w:color w:val="000000"/>
                <w:sz w:val="20"/>
                <w:szCs w:val="20"/>
                <w:lang w:eastAsia="fr-FR"/>
              </w:rPr>
              <w:t xml:space="preserve">Sortie </w:t>
            </w:r>
          </w:p>
        </w:tc>
      </w:tr>
      <w:tr w:rsidR="0094738B" w:rsidRPr="0094738B" w14:paraId="55D37AE9" w14:textId="77777777" w:rsidTr="006970B3">
        <w:trPr>
          <w:trHeight w:val="125"/>
          <w:jc w:val="center"/>
        </w:trPr>
        <w:tc>
          <w:tcPr>
            <w:tcW w:w="3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434EA3" w14:textId="275ACF4E" w:rsidR="0094738B" w:rsidRPr="0094738B" w:rsidRDefault="0094738B" w:rsidP="0094738B">
            <w:pPr>
              <w:spacing w:after="0" w:line="240" w:lineRule="auto"/>
              <w:jc w:val="left"/>
              <w:rPr>
                <w:rFonts w:eastAsia="Times New Roman" w:cs="Arial"/>
                <w:b/>
                <w:bCs/>
                <w:color w:val="000000"/>
                <w:sz w:val="20"/>
                <w:szCs w:val="20"/>
                <w:lang w:eastAsia="fr-FR"/>
              </w:rPr>
            </w:pPr>
            <w:r w:rsidRPr="0094738B">
              <w:rPr>
                <w:rFonts w:eastAsia="Times New Roman" w:cs="Arial"/>
                <w:b/>
                <w:bCs/>
                <w:color w:val="000000"/>
                <w:sz w:val="20"/>
                <w:szCs w:val="20"/>
                <w:lang w:eastAsia="fr-FR"/>
              </w:rPr>
              <w:t xml:space="preserve">Porc Vif entrant abattoir </w:t>
            </w:r>
            <w:r w:rsidR="00EC569B">
              <w:rPr>
                <w:rFonts w:eastAsia="Times New Roman" w:cs="Arial"/>
                <w:b/>
                <w:bCs/>
                <w:color w:val="000000"/>
                <w:sz w:val="20"/>
                <w:szCs w:val="20"/>
                <w:lang w:eastAsia="fr-FR"/>
              </w:rPr>
              <w:t>FR</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572CBB2D" w14:textId="03DB2949" w:rsidR="0094738B" w:rsidRPr="0094738B" w:rsidRDefault="0094738B" w:rsidP="0094738B">
            <w:pPr>
              <w:spacing w:after="0" w:line="240" w:lineRule="auto"/>
              <w:jc w:val="right"/>
              <w:rPr>
                <w:rFonts w:eastAsia="Times New Roman" w:cs="Arial"/>
                <w:b/>
                <w:bCs/>
                <w:color w:val="000000"/>
                <w:sz w:val="20"/>
                <w:szCs w:val="20"/>
                <w:lang w:eastAsia="fr-FR"/>
              </w:rPr>
            </w:pPr>
            <w:r w:rsidRPr="0094738B">
              <w:rPr>
                <w:rFonts w:eastAsia="Times New Roman" w:cs="Arial"/>
                <w:b/>
                <w:bCs/>
                <w:color w:val="000000"/>
                <w:sz w:val="20"/>
                <w:szCs w:val="20"/>
                <w:lang w:eastAsia="fr-FR"/>
              </w:rPr>
              <w:t>2 77</w:t>
            </w:r>
            <w:r w:rsidR="00B43EED">
              <w:rPr>
                <w:rFonts w:eastAsia="Times New Roman" w:cs="Arial"/>
                <w:b/>
                <w:bCs/>
                <w:color w:val="000000"/>
                <w:sz w:val="20"/>
                <w:szCs w:val="20"/>
                <w:lang w:eastAsia="fr-FR"/>
              </w:rPr>
              <w:t>2</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157FC4" w14:textId="77777777" w:rsidR="0094738B" w:rsidRPr="0094738B" w:rsidRDefault="0094738B" w:rsidP="0094738B">
            <w:pPr>
              <w:spacing w:after="0" w:line="240" w:lineRule="auto"/>
              <w:jc w:val="left"/>
              <w:rPr>
                <w:rFonts w:ascii="Calibri" w:eastAsia="Times New Roman" w:hAnsi="Calibri" w:cs="Calibri"/>
                <w:color w:val="000000"/>
                <w:lang w:eastAsia="fr-FR"/>
              </w:rPr>
            </w:pPr>
            <w:r w:rsidRPr="0094738B">
              <w:rPr>
                <w:rFonts w:ascii="Calibri" w:eastAsia="Times New Roman" w:hAnsi="Calibri" w:cs="Calibri"/>
                <w:color w:val="000000"/>
                <w:lang w:eastAsia="fr-FR"/>
              </w:rPr>
              <w:t> </w:t>
            </w:r>
          </w:p>
        </w:tc>
      </w:tr>
      <w:tr w:rsidR="0094738B" w:rsidRPr="0094738B" w14:paraId="75A57CB4" w14:textId="77777777" w:rsidTr="006970B3">
        <w:trPr>
          <w:trHeight w:val="257"/>
          <w:jc w:val="center"/>
        </w:trPr>
        <w:tc>
          <w:tcPr>
            <w:tcW w:w="348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D1F2E63"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Flux de stock</w:t>
            </w:r>
          </w:p>
        </w:tc>
        <w:tc>
          <w:tcPr>
            <w:tcW w:w="13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435B77" w14:textId="291B0334" w:rsidR="0094738B" w:rsidRPr="0094738B" w:rsidRDefault="006970B3" w:rsidP="0094738B">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w:t>
            </w:r>
          </w:p>
        </w:tc>
        <w:tc>
          <w:tcPr>
            <w:tcW w:w="14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318B35B"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r>
      <w:tr w:rsidR="0094738B" w:rsidRPr="0094738B" w14:paraId="248297FB" w14:textId="77777777" w:rsidTr="006970B3">
        <w:trPr>
          <w:trHeight w:val="289"/>
          <w:jc w:val="center"/>
        </w:trPr>
        <w:tc>
          <w:tcPr>
            <w:tcW w:w="3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ADECA4"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Perte Ressuage Maturation (2,5%)</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14:paraId="735C351A"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14:paraId="336E2B5F" w14:textId="77777777" w:rsidR="0094738B" w:rsidRPr="0094738B" w:rsidRDefault="0094738B" w:rsidP="0094738B">
            <w:pPr>
              <w:spacing w:after="0" w:line="240" w:lineRule="auto"/>
              <w:jc w:val="right"/>
              <w:rPr>
                <w:rFonts w:eastAsia="Times New Roman" w:cs="Arial"/>
                <w:color w:val="000000"/>
                <w:sz w:val="20"/>
                <w:szCs w:val="20"/>
                <w:lang w:eastAsia="fr-FR"/>
              </w:rPr>
            </w:pPr>
            <w:r w:rsidRPr="0094738B">
              <w:rPr>
                <w:rFonts w:eastAsia="Times New Roman" w:cs="Arial"/>
                <w:color w:val="000000"/>
                <w:sz w:val="20"/>
                <w:szCs w:val="20"/>
                <w:lang w:eastAsia="fr-FR"/>
              </w:rPr>
              <w:t>69</w:t>
            </w:r>
          </w:p>
        </w:tc>
      </w:tr>
      <w:tr w:rsidR="0094738B" w:rsidRPr="0094738B" w14:paraId="27F7CA88" w14:textId="77777777" w:rsidTr="0094738B">
        <w:trPr>
          <w:trHeight w:val="300"/>
          <w:jc w:val="center"/>
        </w:trPr>
        <w:tc>
          <w:tcPr>
            <w:tcW w:w="3480" w:type="dxa"/>
            <w:tcBorders>
              <w:top w:val="single" w:sz="4" w:space="0" w:color="auto"/>
              <w:left w:val="single" w:sz="4" w:space="0" w:color="auto"/>
              <w:bottom w:val="single" w:sz="4" w:space="0" w:color="000000"/>
              <w:right w:val="single" w:sz="4" w:space="0" w:color="auto"/>
            </w:tcBorders>
            <w:shd w:val="clear" w:color="D9D9D9" w:fill="D9D9D9"/>
            <w:noWrap/>
            <w:vAlign w:val="center"/>
            <w:hideMark/>
          </w:tcPr>
          <w:p w14:paraId="410D4210" w14:textId="20118A2B"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Fraction coproduits (C3,</w:t>
            </w:r>
            <w:r w:rsidR="00650FC3">
              <w:rPr>
                <w:rFonts w:eastAsia="Times New Roman" w:cs="Arial"/>
                <w:color w:val="000000"/>
                <w:sz w:val="20"/>
                <w:szCs w:val="20"/>
                <w:lang w:eastAsia="fr-FR"/>
              </w:rPr>
              <w:t xml:space="preserve"> </w:t>
            </w:r>
            <w:r w:rsidRPr="0094738B">
              <w:rPr>
                <w:rFonts w:eastAsia="Times New Roman" w:cs="Arial"/>
                <w:color w:val="000000"/>
                <w:sz w:val="20"/>
                <w:szCs w:val="20"/>
                <w:lang w:eastAsia="fr-FR"/>
              </w:rPr>
              <w:t>C2, DAOA)</w:t>
            </w:r>
          </w:p>
        </w:tc>
        <w:tc>
          <w:tcPr>
            <w:tcW w:w="13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4AC3D66" w14:textId="77777777" w:rsidR="0094738B" w:rsidRPr="0094738B" w:rsidRDefault="0094738B" w:rsidP="0094738B">
            <w:pPr>
              <w:spacing w:after="0" w:line="240" w:lineRule="auto"/>
              <w:jc w:val="left"/>
              <w:rPr>
                <w:rFonts w:eastAsia="Times New Roman" w:cs="Arial"/>
                <w:color w:val="000000"/>
                <w:sz w:val="20"/>
                <w:szCs w:val="20"/>
                <w:lang w:eastAsia="fr-FR"/>
              </w:rPr>
            </w:pPr>
            <w:r w:rsidRPr="0094738B">
              <w:rPr>
                <w:rFonts w:eastAsia="Times New Roman" w:cs="Arial"/>
                <w:color w:val="000000"/>
                <w:sz w:val="20"/>
                <w:szCs w:val="20"/>
                <w:lang w:eastAsia="fr-FR"/>
              </w:rPr>
              <w:t> </w:t>
            </w:r>
          </w:p>
        </w:tc>
        <w:tc>
          <w:tcPr>
            <w:tcW w:w="14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EBC46DF" w14:textId="77777777" w:rsidR="0094738B" w:rsidRPr="0094738B" w:rsidRDefault="0094738B" w:rsidP="0094738B">
            <w:pPr>
              <w:spacing w:after="0" w:line="240" w:lineRule="auto"/>
              <w:jc w:val="right"/>
              <w:rPr>
                <w:rFonts w:eastAsia="Times New Roman" w:cs="Arial"/>
                <w:color w:val="000000"/>
                <w:sz w:val="20"/>
                <w:szCs w:val="20"/>
                <w:lang w:eastAsia="fr-FR"/>
              </w:rPr>
            </w:pPr>
            <w:r w:rsidRPr="0094738B">
              <w:rPr>
                <w:rFonts w:eastAsia="Times New Roman" w:cs="Arial"/>
                <w:color w:val="000000"/>
                <w:sz w:val="20"/>
                <w:szCs w:val="20"/>
                <w:lang w:eastAsia="fr-FR"/>
              </w:rPr>
              <w:t>531</w:t>
            </w:r>
          </w:p>
        </w:tc>
      </w:tr>
      <w:tr w:rsidR="0094738B" w:rsidRPr="0094738B" w14:paraId="514CE147" w14:textId="77777777" w:rsidTr="0094738B">
        <w:trPr>
          <w:trHeight w:val="300"/>
          <w:jc w:val="center"/>
        </w:trPr>
        <w:tc>
          <w:tcPr>
            <w:tcW w:w="3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217E00" w14:textId="77777777" w:rsidR="0094738B" w:rsidRPr="0094738B" w:rsidRDefault="0094738B" w:rsidP="0094738B">
            <w:pPr>
              <w:spacing w:after="0" w:line="240" w:lineRule="auto"/>
              <w:jc w:val="left"/>
              <w:rPr>
                <w:rFonts w:ascii="Calibri" w:eastAsia="Times New Roman" w:hAnsi="Calibri" w:cs="Calibri"/>
                <w:b/>
                <w:bCs/>
                <w:color w:val="000000"/>
                <w:u w:val="single"/>
                <w:lang w:eastAsia="fr-FR"/>
              </w:rPr>
            </w:pPr>
            <w:r w:rsidRPr="0094738B">
              <w:rPr>
                <w:rFonts w:ascii="Calibri" w:eastAsia="Times New Roman" w:hAnsi="Calibri" w:cs="Calibri"/>
                <w:b/>
                <w:bCs/>
                <w:color w:val="000000"/>
                <w:u w:val="single"/>
                <w:lang w:eastAsia="fr-FR"/>
              </w:rPr>
              <w:t xml:space="preserve">Fraction comestible sortie abattoir </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EBA17C" w14:textId="77777777" w:rsidR="0094738B" w:rsidRPr="0094738B" w:rsidRDefault="0094738B" w:rsidP="0094738B">
            <w:pPr>
              <w:spacing w:after="0" w:line="240" w:lineRule="auto"/>
              <w:jc w:val="left"/>
              <w:rPr>
                <w:rFonts w:ascii="Calibri" w:eastAsia="Times New Roman" w:hAnsi="Calibri" w:cs="Calibri"/>
                <w:b/>
                <w:bCs/>
                <w:color w:val="000000"/>
                <w:u w:val="single"/>
                <w:lang w:eastAsia="fr-FR"/>
              </w:rPr>
            </w:pPr>
            <w:r w:rsidRPr="0094738B">
              <w:rPr>
                <w:rFonts w:ascii="Calibri" w:eastAsia="Times New Roman" w:hAnsi="Calibri" w:cs="Calibri"/>
                <w:b/>
                <w:bCs/>
                <w:color w:val="000000"/>
                <w:u w:val="single"/>
                <w:lang w:eastAsia="fr-FR"/>
              </w:rPr>
              <w:t> </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9F09EE" w14:textId="77777777" w:rsidR="0094738B" w:rsidRPr="0094738B" w:rsidRDefault="0094738B" w:rsidP="0094738B">
            <w:pPr>
              <w:spacing w:after="0" w:line="240" w:lineRule="auto"/>
              <w:jc w:val="right"/>
              <w:rPr>
                <w:rFonts w:eastAsia="Times New Roman" w:cs="Arial"/>
                <w:b/>
                <w:bCs/>
                <w:color w:val="000000"/>
                <w:sz w:val="20"/>
                <w:szCs w:val="20"/>
                <w:u w:val="single"/>
                <w:lang w:eastAsia="fr-FR"/>
              </w:rPr>
            </w:pPr>
            <w:r w:rsidRPr="0094738B">
              <w:rPr>
                <w:rFonts w:eastAsia="Times New Roman" w:cs="Arial"/>
                <w:b/>
                <w:bCs/>
                <w:color w:val="000000"/>
                <w:sz w:val="20"/>
                <w:szCs w:val="20"/>
                <w:u w:val="single"/>
                <w:lang w:eastAsia="fr-FR"/>
              </w:rPr>
              <w:t>2 170</w:t>
            </w:r>
          </w:p>
        </w:tc>
      </w:tr>
    </w:tbl>
    <w:p w14:paraId="3B200DC7" w14:textId="204B484D" w:rsidR="000A157C" w:rsidRDefault="006C4CF4" w:rsidP="000A157C">
      <w:pPr>
        <w:pStyle w:val="figure"/>
      </w:pPr>
      <w:bookmarkStart w:id="216" w:name="_Ref68621075"/>
      <w:bookmarkStart w:id="217" w:name="_Toc72143394"/>
      <w:r w:rsidRPr="00E2697A">
        <w:t xml:space="preserve">Tableau </w:t>
      </w:r>
      <w:r w:rsidR="00E27D6E">
        <w:fldChar w:fldCharType="begin"/>
      </w:r>
      <w:r w:rsidR="00E27D6E">
        <w:instrText xml:space="preserve"> SEQ Tableau \* ARABIC </w:instrText>
      </w:r>
      <w:r w:rsidR="00E27D6E">
        <w:fldChar w:fldCharType="separate"/>
      </w:r>
      <w:r w:rsidR="0007597F">
        <w:rPr>
          <w:noProof/>
        </w:rPr>
        <w:t>46</w:t>
      </w:r>
      <w:r w:rsidR="00E27D6E">
        <w:rPr>
          <w:noProof/>
        </w:rPr>
        <w:fldChar w:fldCharType="end"/>
      </w:r>
      <w:bookmarkEnd w:id="216"/>
      <w:r w:rsidR="000A157C">
        <w:t xml:space="preserve"> : </w:t>
      </w:r>
      <w:r w:rsidR="00E2697A" w:rsidRPr="00E2697A">
        <w:t>Estimation de la fraction</w:t>
      </w:r>
      <w:r w:rsidR="0094738B">
        <w:t xml:space="preserve"> comestible sortie abattoir</w:t>
      </w:r>
      <w:bookmarkEnd w:id="217"/>
      <w:r w:rsidR="0094738B">
        <w:t xml:space="preserve"> </w:t>
      </w:r>
    </w:p>
    <w:p w14:paraId="15A444E9" w14:textId="1EAF0358" w:rsidR="00030B53" w:rsidRDefault="00650FC3" w:rsidP="00D21140">
      <w:pPr>
        <w:pStyle w:val="Lgende"/>
        <w:ind w:left="0"/>
      </w:pPr>
      <w:r w:rsidRPr="00650FC3">
        <w:t>(Source : Ifip d’après SIFCO, Agreste)</w:t>
      </w:r>
    </w:p>
    <w:p w14:paraId="4B25FB55" w14:textId="77777777" w:rsidR="00DF4216" w:rsidRDefault="001A6437" w:rsidP="000A157C">
      <w:r>
        <w:t xml:space="preserve">A partir des données, </w:t>
      </w:r>
      <w:r w:rsidR="00F467EA">
        <w:t xml:space="preserve">la carcasse </w:t>
      </w:r>
      <w:r w:rsidR="00CB6CA9">
        <w:t xml:space="preserve">peut être convertie </w:t>
      </w:r>
      <w:r w:rsidR="00F467EA">
        <w:t xml:space="preserve">en </w:t>
      </w:r>
      <w:r w:rsidR="00454264">
        <w:t>« </w:t>
      </w:r>
      <w:r w:rsidR="00F467EA">
        <w:t>équivalent</w:t>
      </w:r>
      <w:r w:rsidR="00454264">
        <w:t>s</w:t>
      </w:r>
      <w:r w:rsidR="00F467EA">
        <w:t xml:space="preserve"> pièces primaires et abats »</w:t>
      </w:r>
      <w:r w:rsidR="00CB6CA9">
        <w:t>.</w:t>
      </w:r>
    </w:p>
    <w:p w14:paraId="4F9169C5" w14:textId="3AF1FA1F" w:rsidR="00F467EA" w:rsidRPr="00D21140" w:rsidRDefault="00CB6CA9" w:rsidP="000A157C">
      <w:pPr>
        <w:rPr>
          <w:lang w:eastAsia="fr-FR"/>
        </w:rPr>
      </w:pPr>
      <w:r>
        <w:lastRenderedPageBreak/>
        <w:t xml:space="preserve">Cette dénomination </w:t>
      </w:r>
      <w:r w:rsidR="00F51584">
        <w:t>« </w:t>
      </w:r>
      <w:r w:rsidR="00454264">
        <w:t>d’équivalent</w:t>
      </w:r>
      <w:r w:rsidR="00F51584">
        <w:t>s</w:t>
      </w:r>
      <w:r w:rsidR="00454264">
        <w:t xml:space="preserve"> pièce</w:t>
      </w:r>
      <w:r w:rsidR="00F51584">
        <w:t>s</w:t>
      </w:r>
      <w:r w:rsidR="00454264">
        <w:t xml:space="preserve"> primaire</w:t>
      </w:r>
      <w:r w:rsidR="00F51584">
        <w:t>s</w:t>
      </w:r>
      <w:r w:rsidR="00454264">
        <w:t xml:space="preserve"> » </w:t>
      </w:r>
      <w:r w:rsidR="006970B3">
        <w:t>constitue un choix de dénomination dans ce rapport</w:t>
      </w:r>
      <w:r>
        <w:t xml:space="preserve"> </w:t>
      </w:r>
      <w:r w:rsidR="00C25905">
        <w:t xml:space="preserve">dans la mesure </w:t>
      </w:r>
      <w:r w:rsidR="006970B3">
        <w:t xml:space="preserve">où </w:t>
      </w:r>
      <w:r w:rsidR="00C25905">
        <w:t xml:space="preserve">les pièces primaires </w:t>
      </w:r>
      <w:r w:rsidR="00C001DF">
        <w:t>issues d</w:t>
      </w:r>
      <w:r w:rsidR="006970B3">
        <w:t>e la</w:t>
      </w:r>
      <w:r w:rsidR="00C001DF">
        <w:t xml:space="preserve"> carcasse </w:t>
      </w:r>
      <w:r w:rsidR="006970B3">
        <w:t>on</w:t>
      </w:r>
      <w:r w:rsidR="00C001DF">
        <w:t>t</w:t>
      </w:r>
      <w:r w:rsidR="0018726C">
        <w:t xml:space="preserve"> perdu l</w:t>
      </w:r>
      <w:r w:rsidR="006970B3">
        <w:t>eur</w:t>
      </w:r>
      <w:r w:rsidR="0018726C">
        <w:t xml:space="preserve"> fraction </w:t>
      </w:r>
      <w:r w:rsidR="006970B3">
        <w:t xml:space="preserve">« non comestible » </w:t>
      </w:r>
      <w:r w:rsidR="0018726C" w:rsidRPr="006970B3">
        <w:rPr>
          <w:u w:val="single"/>
        </w:rPr>
        <w:t>sous la forme de coproduits ou à destination de l’incinération</w:t>
      </w:r>
      <w:r w:rsidR="006970B3">
        <w:t xml:space="preserve"> assignée à d’autres applications que celle de la consommation alimentaire et</w:t>
      </w:r>
      <w:r w:rsidR="0018726C">
        <w:t xml:space="preserve"> </w:t>
      </w:r>
      <w:r w:rsidR="00C001DF">
        <w:t xml:space="preserve">ne correspondent plus qu’à </w:t>
      </w:r>
      <w:r w:rsidR="00C25905" w:rsidRPr="006970B3">
        <w:rPr>
          <w:u w:val="single"/>
        </w:rPr>
        <w:t>la</w:t>
      </w:r>
      <w:r w:rsidR="00956918" w:rsidRPr="006970B3">
        <w:rPr>
          <w:u w:val="single"/>
        </w:rPr>
        <w:t xml:space="preserve"> </w:t>
      </w:r>
      <w:r w:rsidR="00C25905" w:rsidRPr="006970B3">
        <w:rPr>
          <w:u w:val="single"/>
        </w:rPr>
        <w:t>fraction entrant</w:t>
      </w:r>
      <w:r w:rsidR="00956918" w:rsidRPr="006970B3">
        <w:rPr>
          <w:u w:val="single"/>
        </w:rPr>
        <w:t xml:space="preserve"> dans l’assiette du consommateur</w:t>
      </w:r>
      <w:r w:rsidR="00454264">
        <w:t>.</w:t>
      </w:r>
    </w:p>
    <w:p w14:paraId="4DE4ABA6" w14:textId="19134171" w:rsidR="00AA7FC7" w:rsidRDefault="00D72F06" w:rsidP="000A157C">
      <w:pPr>
        <w:rPr>
          <w:lang w:eastAsia="fr-FR"/>
        </w:rPr>
      </w:pPr>
      <w:r>
        <w:rPr>
          <w:lang w:eastAsia="fr-FR"/>
        </w:rPr>
        <w:t>En conséquence, l</w:t>
      </w:r>
      <w:r w:rsidR="00C001DF">
        <w:rPr>
          <w:lang w:eastAsia="fr-FR"/>
        </w:rPr>
        <w:t>es « équivalents</w:t>
      </w:r>
      <w:r w:rsidR="0018726C">
        <w:rPr>
          <w:lang w:eastAsia="fr-FR"/>
        </w:rPr>
        <w:t xml:space="preserve"> pièce</w:t>
      </w:r>
      <w:r w:rsidR="00C001DF">
        <w:rPr>
          <w:lang w:eastAsia="fr-FR"/>
        </w:rPr>
        <w:t>s</w:t>
      </w:r>
      <w:r w:rsidR="0018726C">
        <w:rPr>
          <w:lang w:eastAsia="fr-FR"/>
        </w:rPr>
        <w:t xml:space="preserve"> primaire</w:t>
      </w:r>
      <w:r w:rsidR="00C001DF">
        <w:rPr>
          <w:lang w:eastAsia="fr-FR"/>
        </w:rPr>
        <w:t xml:space="preserve">s » sont </w:t>
      </w:r>
      <w:r w:rsidR="00B95F64">
        <w:rPr>
          <w:lang w:eastAsia="fr-FR"/>
        </w:rPr>
        <w:t>approchés</w:t>
      </w:r>
      <w:r w:rsidR="00C001DF">
        <w:rPr>
          <w:lang w:eastAsia="fr-FR"/>
        </w:rPr>
        <w:t xml:space="preserve"> par calcul à partir de leur p</w:t>
      </w:r>
      <w:r w:rsidR="00F7287F">
        <w:rPr>
          <w:lang w:eastAsia="fr-FR"/>
        </w:rPr>
        <w:t>oids</w:t>
      </w:r>
      <w:r w:rsidR="00C001DF">
        <w:rPr>
          <w:lang w:eastAsia="fr-FR"/>
        </w:rPr>
        <w:t xml:space="preserve"> </w:t>
      </w:r>
      <w:r w:rsidR="008E5DCB">
        <w:rPr>
          <w:lang w:eastAsia="fr-FR"/>
        </w:rPr>
        <w:t xml:space="preserve">moyen </w:t>
      </w:r>
      <w:r w:rsidR="00C001DF">
        <w:rPr>
          <w:lang w:eastAsia="fr-FR"/>
        </w:rPr>
        <w:t>dans la carcasse froide</w:t>
      </w:r>
      <w:r w:rsidR="007B1E7B">
        <w:rPr>
          <w:lang w:eastAsia="fr-FR"/>
        </w:rPr>
        <w:t xml:space="preserve"> (</w:t>
      </w:r>
      <w:r w:rsidR="00D15DE7">
        <w:rPr>
          <w:lang w:eastAsia="fr-FR"/>
        </w:rPr>
        <w:fldChar w:fldCharType="begin"/>
      </w:r>
      <w:r w:rsidR="00D15DE7">
        <w:rPr>
          <w:lang w:eastAsia="fr-FR"/>
        </w:rPr>
        <w:instrText xml:space="preserve"> REF _Ref68535708 \h </w:instrText>
      </w:r>
      <w:r w:rsidR="00D15DE7">
        <w:rPr>
          <w:lang w:eastAsia="fr-FR"/>
        </w:rPr>
      </w:r>
      <w:r w:rsidR="00D15DE7">
        <w:rPr>
          <w:lang w:eastAsia="fr-FR"/>
        </w:rPr>
        <w:fldChar w:fldCharType="separate"/>
      </w:r>
      <w:r w:rsidR="0007597F" w:rsidRPr="00426119">
        <w:t xml:space="preserve">Tableau </w:t>
      </w:r>
      <w:r w:rsidR="0007597F">
        <w:rPr>
          <w:noProof/>
        </w:rPr>
        <w:t>41</w:t>
      </w:r>
      <w:r w:rsidR="00D15DE7">
        <w:rPr>
          <w:lang w:eastAsia="fr-FR"/>
        </w:rPr>
        <w:fldChar w:fldCharType="end"/>
      </w:r>
      <w:r w:rsidR="00D15DE7">
        <w:rPr>
          <w:lang w:eastAsia="fr-FR"/>
        </w:rPr>
        <w:t>)</w:t>
      </w:r>
      <w:r w:rsidR="00296664">
        <w:rPr>
          <w:lang w:eastAsia="fr-FR"/>
        </w:rPr>
        <w:t>.</w:t>
      </w:r>
      <w:r w:rsidR="00F7287F">
        <w:rPr>
          <w:lang w:eastAsia="fr-FR"/>
        </w:rPr>
        <w:t xml:space="preserve"> </w:t>
      </w:r>
      <w:r w:rsidR="00AF303E">
        <w:rPr>
          <w:lang w:eastAsia="fr-FR"/>
        </w:rPr>
        <w:t>F</w:t>
      </w:r>
      <w:r w:rsidR="00A7453B">
        <w:rPr>
          <w:lang w:eastAsia="fr-FR"/>
        </w:rPr>
        <w:t>aute de quantification précise et de données étayées</w:t>
      </w:r>
      <w:r w:rsidR="008A747B">
        <w:rPr>
          <w:lang w:eastAsia="fr-FR"/>
        </w:rPr>
        <w:t xml:space="preserve"> notamment sur la part de produits finis avec os</w:t>
      </w:r>
      <w:r w:rsidR="00A7453B">
        <w:rPr>
          <w:lang w:eastAsia="fr-FR"/>
        </w:rPr>
        <w:t xml:space="preserve">, </w:t>
      </w:r>
      <w:r w:rsidR="00AF303E">
        <w:rPr>
          <w:lang w:eastAsia="fr-FR"/>
        </w:rPr>
        <w:t xml:space="preserve">cette approche </w:t>
      </w:r>
      <w:r w:rsidR="00B95F64">
        <w:rPr>
          <w:lang w:eastAsia="fr-FR"/>
        </w:rPr>
        <w:t>revient à considérer que</w:t>
      </w:r>
      <w:r w:rsidR="00F7287F">
        <w:rPr>
          <w:lang w:eastAsia="fr-FR"/>
        </w:rPr>
        <w:t xml:space="preserve"> la part des coproduits </w:t>
      </w:r>
      <w:r w:rsidR="002802EF">
        <w:rPr>
          <w:lang w:eastAsia="fr-FR"/>
        </w:rPr>
        <w:t xml:space="preserve">générée est </w:t>
      </w:r>
      <w:r w:rsidR="002802EF" w:rsidRPr="006970B3">
        <w:rPr>
          <w:u w:val="single"/>
          <w:lang w:eastAsia="fr-FR"/>
        </w:rPr>
        <w:t xml:space="preserve">portée de manière </w:t>
      </w:r>
      <w:r w:rsidR="00F0164B" w:rsidRPr="006970B3">
        <w:rPr>
          <w:u w:val="single"/>
          <w:lang w:eastAsia="fr-FR"/>
        </w:rPr>
        <w:t xml:space="preserve">identique entre les différentes pièces </w:t>
      </w:r>
      <w:r w:rsidR="008C7E7E" w:rsidRPr="006970B3">
        <w:rPr>
          <w:u w:val="single"/>
          <w:lang w:eastAsia="fr-FR"/>
        </w:rPr>
        <w:t>primaires</w:t>
      </w:r>
      <w:r w:rsidR="008A747B">
        <w:rPr>
          <w:lang w:eastAsia="fr-FR"/>
        </w:rPr>
        <w:t>, ce qui peut constituer un biais dans l’évaluation massiques des pièces primaires</w:t>
      </w:r>
      <w:r w:rsidR="00F0164B">
        <w:rPr>
          <w:lang w:eastAsia="fr-FR"/>
        </w:rPr>
        <w:t>.</w:t>
      </w:r>
    </w:p>
    <w:p w14:paraId="7C9C6270" w14:textId="393EF31B" w:rsidR="00F52D2D" w:rsidRDefault="00F52D2D" w:rsidP="000A157C">
      <w:pPr>
        <w:rPr>
          <w:lang w:eastAsia="fr-FR"/>
        </w:rPr>
      </w:pPr>
      <w:r>
        <w:rPr>
          <w:lang w:eastAsia="fr-FR"/>
        </w:rPr>
        <w:t xml:space="preserve">Le disponible en équivalent pièces primaires en France en sortie d’abattoir </w:t>
      </w:r>
      <w:r w:rsidR="002F7E03">
        <w:rPr>
          <w:lang w:eastAsia="fr-FR"/>
        </w:rPr>
        <w:t>est de 510</w:t>
      </w:r>
      <w:r w:rsidR="00153E8A">
        <w:rPr>
          <w:lang w:eastAsia="fr-FR"/>
        </w:rPr>
        <w:t> </w:t>
      </w:r>
      <w:r w:rsidR="002F7E03">
        <w:rPr>
          <w:lang w:eastAsia="fr-FR"/>
        </w:rPr>
        <w:t>kt en jambon, de 710</w:t>
      </w:r>
      <w:r w:rsidR="00153E8A">
        <w:rPr>
          <w:lang w:eastAsia="fr-FR"/>
        </w:rPr>
        <w:t> </w:t>
      </w:r>
      <w:r w:rsidR="002F7E03">
        <w:rPr>
          <w:lang w:eastAsia="fr-FR"/>
        </w:rPr>
        <w:t>kt en longe avec bardière, de 290</w:t>
      </w:r>
      <w:r w:rsidR="00153E8A">
        <w:rPr>
          <w:lang w:eastAsia="fr-FR"/>
        </w:rPr>
        <w:t> </w:t>
      </w:r>
      <w:r w:rsidR="002F7E03">
        <w:rPr>
          <w:lang w:eastAsia="fr-FR"/>
        </w:rPr>
        <w:t xml:space="preserve">kt en </w:t>
      </w:r>
      <w:r w:rsidR="00302086">
        <w:rPr>
          <w:lang w:eastAsia="fr-FR"/>
        </w:rPr>
        <w:t>équivalent poitrine et de 460</w:t>
      </w:r>
      <w:r w:rsidR="00153E8A">
        <w:rPr>
          <w:lang w:eastAsia="fr-FR"/>
        </w:rPr>
        <w:t> </w:t>
      </w:r>
      <w:r w:rsidR="00302086">
        <w:rPr>
          <w:lang w:eastAsia="fr-FR"/>
        </w:rPr>
        <w:t>kt en équivalent épaule</w:t>
      </w:r>
      <w:r w:rsidR="007B1E7B">
        <w:rPr>
          <w:lang w:eastAsia="fr-FR"/>
        </w:rPr>
        <w:t xml:space="preserve"> (</w:t>
      </w:r>
      <w:r w:rsidR="00D15DE7">
        <w:rPr>
          <w:lang w:eastAsia="fr-FR"/>
        </w:rPr>
        <w:fldChar w:fldCharType="begin"/>
      </w:r>
      <w:r w:rsidR="00D15DE7">
        <w:rPr>
          <w:lang w:eastAsia="fr-FR"/>
        </w:rPr>
        <w:instrText xml:space="preserve"> REF _Ref68703656 \h </w:instrText>
      </w:r>
      <w:r w:rsidR="00D15DE7">
        <w:rPr>
          <w:lang w:eastAsia="fr-FR"/>
        </w:rPr>
      </w:r>
      <w:r w:rsidR="00D15DE7">
        <w:rPr>
          <w:lang w:eastAsia="fr-FR"/>
        </w:rPr>
        <w:fldChar w:fldCharType="separate"/>
      </w:r>
      <w:r w:rsidR="0007597F" w:rsidRPr="004A0BA2">
        <w:t xml:space="preserve">Tableau </w:t>
      </w:r>
      <w:r w:rsidR="0007597F">
        <w:rPr>
          <w:noProof/>
        </w:rPr>
        <w:t>47</w:t>
      </w:r>
      <w:r w:rsidR="00D15DE7">
        <w:rPr>
          <w:lang w:eastAsia="fr-FR"/>
        </w:rPr>
        <w:fldChar w:fldCharType="end"/>
      </w:r>
      <w:r w:rsidR="007B1E7B">
        <w:rPr>
          <w:lang w:eastAsia="fr-FR"/>
        </w:rPr>
        <w:t>)</w:t>
      </w:r>
      <w:r w:rsidR="000A157C">
        <w:rPr>
          <w:lang w:eastAsia="fr-FR"/>
        </w:rPr>
        <w:t>.</w:t>
      </w:r>
    </w:p>
    <w:tbl>
      <w:tblPr>
        <w:tblW w:w="6799" w:type="dxa"/>
        <w:jc w:val="center"/>
        <w:tblCellMar>
          <w:left w:w="70" w:type="dxa"/>
          <w:right w:w="70" w:type="dxa"/>
        </w:tblCellMar>
        <w:tblLook w:val="04A0" w:firstRow="1" w:lastRow="0" w:firstColumn="1" w:lastColumn="0" w:noHBand="0" w:noVBand="1"/>
      </w:tblPr>
      <w:tblGrid>
        <w:gridCol w:w="4060"/>
        <w:gridCol w:w="1322"/>
        <w:gridCol w:w="1417"/>
      </w:tblGrid>
      <w:tr w:rsidR="00D757F2" w:rsidRPr="00D757F2" w14:paraId="5F4D4C8E"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50B8293" w14:textId="77777777" w:rsidR="00D757F2" w:rsidRPr="00D757F2" w:rsidRDefault="00D757F2" w:rsidP="001C3155">
            <w:pPr>
              <w:keepNext/>
              <w:spacing w:after="0" w:line="240" w:lineRule="auto"/>
              <w:jc w:val="left"/>
              <w:rPr>
                <w:rFonts w:ascii="Times New Roman" w:eastAsia="Times New Roman" w:hAnsi="Times New Roman" w:cs="Times New Roman"/>
                <w:sz w:val="24"/>
                <w:szCs w:val="24"/>
                <w:lang w:eastAsia="fr-FR"/>
              </w:rPr>
            </w:pPr>
          </w:p>
        </w:tc>
        <w:tc>
          <w:tcPr>
            <w:tcW w:w="13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59D3C24"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Vol en kt</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C18D26B"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Vol en kt</w:t>
            </w:r>
          </w:p>
        </w:tc>
      </w:tr>
      <w:tr w:rsidR="00D757F2" w:rsidRPr="00D757F2" w14:paraId="7E18951A"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37EBCD4"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Fraction disponible à la consommation</w:t>
            </w:r>
          </w:p>
        </w:tc>
        <w:tc>
          <w:tcPr>
            <w:tcW w:w="13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01ED14E"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2170</w:t>
            </w: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9507154"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r>
      <w:tr w:rsidR="00D757F2" w:rsidRPr="00D757F2" w14:paraId="71135CDA"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01D14BD"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 xml:space="preserve">Equivalent Jambon </w:t>
            </w:r>
          </w:p>
        </w:tc>
        <w:tc>
          <w:tcPr>
            <w:tcW w:w="13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6B147BD"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A19F687"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510</w:t>
            </w:r>
          </w:p>
        </w:tc>
      </w:tr>
      <w:tr w:rsidR="00D757F2" w:rsidRPr="00D757F2" w14:paraId="24F6B0DF"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DDFFCC"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 xml:space="preserve">Equivalent Longe avec bardière </w:t>
            </w:r>
          </w:p>
        </w:tc>
        <w:tc>
          <w:tcPr>
            <w:tcW w:w="13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5AAFE76"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BF0EE67"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710</w:t>
            </w:r>
          </w:p>
        </w:tc>
      </w:tr>
      <w:tr w:rsidR="00D757F2" w:rsidRPr="00D757F2" w14:paraId="55587ABC"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6EC317B"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 xml:space="preserve">Equivalent Poitrine </w:t>
            </w:r>
          </w:p>
        </w:tc>
        <w:tc>
          <w:tcPr>
            <w:tcW w:w="13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E3306B0"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69460F6"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290</w:t>
            </w:r>
          </w:p>
        </w:tc>
      </w:tr>
      <w:tr w:rsidR="00D757F2" w:rsidRPr="00D757F2" w14:paraId="14DE63C1"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E694F12"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 xml:space="preserve">Equivalent Epaule avec gorge </w:t>
            </w:r>
          </w:p>
        </w:tc>
        <w:tc>
          <w:tcPr>
            <w:tcW w:w="132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90B3808"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E718A95"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460</w:t>
            </w:r>
          </w:p>
        </w:tc>
      </w:tr>
      <w:tr w:rsidR="00D757F2" w:rsidRPr="00D757F2" w14:paraId="302AC9C9" w14:textId="77777777" w:rsidTr="00FE086B">
        <w:trPr>
          <w:trHeight w:val="300"/>
          <w:jc w:val="center"/>
        </w:trPr>
        <w:tc>
          <w:tcPr>
            <w:tcW w:w="4060"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2A58CB3" w14:textId="77777777" w:rsidR="00D757F2" w:rsidRPr="00D757F2" w:rsidRDefault="00D757F2" w:rsidP="001C3155">
            <w:pPr>
              <w:keepNext/>
              <w:spacing w:after="0" w:line="240" w:lineRule="auto"/>
              <w:jc w:val="left"/>
              <w:rPr>
                <w:rFonts w:eastAsia="Times New Roman" w:cs="Arial"/>
                <w:color w:val="000000"/>
                <w:sz w:val="20"/>
                <w:szCs w:val="20"/>
                <w:lang w:eastAsia="fr-FR"/>
              </w:rPr>
            </w:pPr>
            <w:r w:rsidRPr="00D757F2">
              <w:rPr>
                <w:rFonts w:eastAsia="Times New Roman" w:cs="Arial"/>
                <w:color w:val="000000"/>
                <w:sz w:val="20"/>
                <w:szCs w:val="20"/>
                <w:lang w:eastAsia="fr-FR"/>
              </w:rPr>
              <w:t>Estimé abats à destination consommation</w:t>
            </w:r>
          </w:p>
        </w:tc>
        <w:tc>
          <w:tcPr>
            <w:tcW w:w="132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413819A" w14:textId="77777777" w:rsidR="00D757F2" w:rsidRPr="00D757F2" w:rsidRDefault="00D757F2" w:rsidP="001C3155">
            <w:pPr>
              <w:keepNext/>
              <w:spacing w:after="0" w:line="240" w:lineRule="auto"/>
              <w:jc w:val="center"/>
              <w:rPr>
                <w:rFonts w:eastAsia="Times New Roman" w:cs="Arial"/>
                <w:color w:val="000000"/>
                <w:sz w:val="20"/>
                <w:szCs w:val="20"/>
                <w:lang w:eastAsia="fr-FR"/>
              </w:rPr>
            </w:pP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B5FAADD" w14:textId="77777777" w:rsidR="00D757F2" w:rsidRPr="00D757F2" w:rsidRDefault="00D757F2" w:rsidP="001C3155">
            <w:pPr>
              <w:keepNext/>
              <w:spacing w:after="0" w:line="240" w:lineRule="auto"/>
              <w:jc w:val="center"/>
              <w:rPr>
                <w:rFonts w:eastAsia="Times New Roman" w:cs="Arial"/>
                <w:color w:val="000000"/>
                <w:sz w:val="20"/>
                <w:szCs w:val="20"/>
                <w:lang w:eastAsia="fr-FR"/>
              </w:rPr>
            </w:pPr>
            <w:r w:rsidRPr="00D757F2">
              <w:rPr>
                <w:rFonts w:eastAsia="Times New Roman" w:cs="Arial"/>
                <w:color w:val="000000"/>
                <w:sz w:val="20"/>
                <w:szCs w:val="20"/>
                <w:lang w:eastAsia="fr-FR"/>
              </w:rPr>
              <w:t>200</w:t>
            </w:r>
          </w:p>
        </w:tc>
      </w:tr>
    </w:tbl>
    <w:p w14:paraId="07716DC0" w14:textId="28B93012" w:rsidR="000A157C" w:rsidRDefault="00AA7FC7" w:rsidP="001C3155">
      <w:pPr>
        <w:pStyle w:val="figure"/>
      </w:pPr>
      <w:bookmarkStart w:id="218" w:name="_Ref68703656"/>
      <w:bookmarkStart w:id="219" w:name="_Ref69315846"/>
      <w:bookmarkStart w:id="220" w:name="_Toc72143395"/>
      <w:r w:rsidRPr="004A0BA2">
        <w:t xml:space="preserve">Tableau </w:t>
      </w:r>
      <w:r w:rsidR="00E27D6E">
        <w:fldChar w:fldCharType="begin"/>
      </w:r>
      <w:r w:rsidR="00E27D6E">
        <w:instrText xml:space="preserve"> SEQ Tableau \* ARABIC </w:instrText>
      </w:r>
      <w:r w:rsidR="00E27D6E">
        <w:fldChar w:fldCharType="separate"/>
      </w:r>
      <w:r w:rsidR="0007597F">
        <w:rPr>
          <w:noProof/>
        </w:rPr>
        <w:t>47</w:t>
      </w:r>
      <w:r w:rsidR="00E27D6E">
        <w:rPr>
          <w:noProof/>
        </w:rPr>
        <w:fldChar w:fldCharType="end"/>
      </w:r>
      <w:bookmarkEnd w:id="218"/>
      <w:r w:rsidR="000A157C">
        <w:t xml:space="preserve"> : </w:t>
      </w:r>
      <w:r w:rsidRPr="00E2697A">
        <w:t>Estimation de</w:t>
      </w:r>
      <w:r>
        <w:t xml:space="preserve">s </w:t>
      </w:r>
      <w:r w:rsidR="00D757F2">
        <w:t xml:space="preserve">valeurs massiques des </w:t>
      </w:r>
      <w:r>
        <w:t>équivalents pièces primaires</w:t>
      </w:r>
      <w:r w:rsidR="000A157C">
        <w:t xml:space="preserve"> </w:t>
      </w:r>
      <w:r w:rsidR="00D757F2">
        <w:t xml:space="preserve">et abats </w:t>
      </w:r>
      <w:r w:rsidR="00104737">
        <w:t>p</w:t>
      </w:r>
      <w:r w:rsidR="00EA6A25">
        <w:t xml:space="preserve">roduits </w:t>
      </w:r>
      <w:r w:rsidR="00104737">
        <w:t>en France</w:t>
      </w:r>
      <w:r w:rsidR="00EA6A25">
        <w:t xml:space="preserve"> en </w:t>
      </w:r>
      <w:r w:rsidR="00153E8A">
        <w:t xml:space="preserve">kt en </w:t>
      </w:r>
      <w:r w:rsidR="00EA6A25">
        <w:t>2018</w:t>
      </w:r>
      <w:bookmarkEnd w:id="219"/>
      <w:bookmarkEnd w:id="220"/>
    </w:p>
    <w:p w14:paraId="57D19B52" w14:textId="258C2436" w:rsidR="00FC19E0" w:rsidRPr="000A157C" w:rsidRDefault="00AA7FC7" w:rsidP="001C3155">
      <w:pPr>
        <w:pStyle w:val="Lgende"/>
      </w:pPr>
      <w:r w:rsidRPr="000A157C">
        <w:t xml:space="preserve">(Source : </w:t>
      </w:r>
      <w:r w:rsidR="004A0BA2" w:rsidRPr="000A157C">
        <w:t>IFIP</w:t>
      </w:r>
      <w:r w:rsidRPr="000A157C">
        <w:t>)</w:t>
      </w:r>
    </w:p>
    <w:p w14:paraId="5682FB23" w14:textId="742165C7" w:rsidR="00F26DE5" w:rsidRDefault="00EA6A25" w:rsidP="001C3155">
      <w:pPr>
        <w:rPr>
          <w:lang w:eastAsia="fr-FR"/>
        </w:rPr>
      </w:pPr>
      <w:r>
        <w:rPr>
          <w:lang w:eastAsia="fr-FR"/>
        </w:rPr>
        <w:t>A</w:t>
      </w:r>
      <w:r w:rsidR="009B1675">
        <w:rPr>
          <w:lang w:eastAsia="fr-FR"/>
        </w:rPr>
        <w:t xml:space="preserve"> partir de ces éléments, </w:t>
      </w:r>
      <w:r w:rsidR="00302086">
        <w:rPr>
          <w:lang w:eastAsia="fr-FR"/>
        </w:rPr>
        <w:t>la fraction disponible pour la consommation Française</w:t>
      </w:r>
      <w:r w:rsidR="005459E0">
        <w:rPr>
          <w:lang w:eastAsia="fr-FR"/>
        </w:rPr>
        <w:t xml:space="preserve"> est déduite de la production –</w:t>
      </w:r>
      <w:r w:rsidR="00302086">
        <w:rPr>
          <w:lang w:eastAsia="fr-FR"/>
        </w:rPr>
        <w:t xml:space="preserve"> l</w:t>
      </w:r>
      <w:r w:rsidR="005459E0">
        <w:rPr>
          <w:lang w:eastAsia="fr-FR"/>
        </w:rPr>
        <w:t xml:space="preserve">es </w:t>
      </w:r>
      <w:r w:rsidR="00302086">
        <w:rPr>
          <w:lang w:eastAsia="fr-FR"/>
        </w:rPr>
        <w:t xml:space="preserve">exportations </w:t>
      </w:r>
      <w:r w:rsidR="00941947">
        <w:rPr>
          <w:lang w:eastAsia="fr-FR"/>
        </w:rPr>
        <w:t>de</w:t>
      </w:r>
      <w:r w:rsidR="009B1675">
        <w:rPr>
          <w:lang w:eastAsia="fr-FR"/>
        </w:rPr>
        <w:t xml:space="preserve"> carcasse</w:t>
      </w:r>
      <w:r w:rsidR="00941947">
        <w:rPr>
          <w:lang w:eastAsia="fr-FR"/>
        </w:rPr>
        <w:t>s</w:t>
      </w:r>
      <w:r w:rsidR="005F0617">
        <w:rPr>
          <w:lang w:eastAsia="fr-FR"/>
        </w:rPr>
        <w:t xml:space="preserve"> </w:t>
      </w:r>
      <w:r w:rsidR="0051521A">
        <w:rPr>
          <w:lang w:eastAsia="fr-FR"/>
        </w:rPr>
        <w:t>(8</w:t>
      </w:r>
      <w:r w:rsidR="005F0617">
        <w:rPr>
          <w:lang w:eastAsia="fr-FR"/>
        </w:rPr>
        <w:t>2</w:t>
      </w:r>
      <w:r w:rsidR="0051521A">
        <w:rPr>
          <w:lang w:eastAsia="fr-FR"/>
        </w:rPr>
        <w:t>,</w:t>
      </w:r>
      <w:r w:rsidR="005F0617">
        <w:rPr>
          <w:lang w:eastAsia="fr-FR"/>
        </w:rPr>
        <w:t>1</w:t>
      </w:r>
      <w:r w:rsidR="0051521A">
        <w:rPr>
          <w:lang w:eastAsia="fr-FR"/>
        </w:rPr>
        <w:t>kt</w:t>
      </w:r>
      <w:r w:rsidR="005F0617">
        <w:rPr>
          <w:lang w:eastAsia="fr-FR"/>
        </w:rPr>
        <w:t> ; frais et congelé</w:t>
      </w:r>
      <w:r w:rsidR="0051521A">
        <w:rPr>
          <w:lang w:eastAsia="fr-FR"/>
        </w:rPr>
        <w:t>)</w:t>
      </w:r>
      <w:r w:rsidR="005F0617">
        <w:rPr>
          <w:lang w:eastAsia="fr-FR"/>
        </w:rPr>
        <w:t xml:space="preserve"> en équivalent pièce primaire,</w:t>
      </w:r>
      <w:r w:rsidR="008902C2">
        <w:rPr>
          <w:lang w:eastAsia="fr-FR"/>
        </w:rPr>
        <w:t xml:space="preserve"> tenant compte</w:t>
      </w:r>
      <w:r w:rsidR="008E7A0F">
        <w:rPr>
          <w:lang w:eastAsia="fr-FR"/>
        </w:rPr>
        <w:t xml:space="preserve"> de l</w:t>
      </w:r>
      <w:r w:rsidR="005F0617">
        <w:rPr>
          <w:lang w:eastAsia="fr-FR"/>
        </w:rPr>
        <w:t>eur</w:t>
      </w:r>
      <w:r w:rsidR="008E7A0F">
        <w:rPr>
          <w:lang w:eastAsia="fr-FR"/>
        </w:rPr>
        <w:t xml:space="preserve"> </w:t>
      </w:r>
      <w:r w:rsidR="009B1675">
        <w:rPr>
          <w:lang w:eastAsia="fr-FR"/>
        </w:rPr>
        <w:t xml:space="preserve">ventilation </w:t>
      </w:r>
      <w:r w:rsidR="00D51FEE">
        <w:rPr>
          <w:lang w:eastAsia="fr-FR"/>
        </w:rPr>
        <w:t xml:space="preserve">dans la carcasse froide </w:t>
      </w:r>
      <w:r w:rsidR="008E7A0F">
        <w:rPr>
          <w:lang w:eastAsia="fr-FR"/>
        </w:rPr>
        <w:t>(</w:t>
      </w:r>
      <w:r w:rsidR="00E55C43">
        <w:rPr>
          <w:lang w:eastAsia="fr-FR"/>
        </w:rPr>
        <w:fldChar w:fldCharType="begin"/>
      </w:r>
      <w:r w:rsidR="00E55C43">
        <w:rPr>
          <w:lang w:eastAsia="fr-FR"/>
        </w:rPr>
        <w:instrText xml:space="preserve"> REF _Ref69316862 \h </w:instrText>
      </w:r>
      <w:r w:rsidR="00E55C43">
        <w:rPr>
          <w:lang w:eastAsia="fr-FR"/>
        </w:rPr>
      </w:r>
      <w:r w:rsidR="00E55C43">
        <w:rPr>
          <w:lang w:eastAsia="fr-FR"/>
        </w:rPr>
        <w:fldChar w:fldCharType="separate"/>
      </w:r>
      <w:r w:rsidR="0007597F" w:rsidRPr="00941947">
        <w:t xml:space="preserve">Tableau </w:t>
      </w:r>
      <w:r w:rsidR="0007597F">
        <w:rPr>
          <w:noProof/>
        </w:rPr>
        <w:t>48</w:t>
      </w:r>
      <w:r w:rsidR="00E55C43">
        <w:rPr>
          <w:lang w:eastAsia="fr-FR"/>
        </w:rPr>
        <w:fldChar w:fldCharType="end"/>
      </w:r>
      <w:r w:rsidR="00C314D2">
        <w:rPr>
          <w:lang w:eastAsia="fr-FR"/>
        </w:rPr>
        <w:t>)</w:t>
      </w:r>
      <w:r w:rsidR="000A157C">
        <w:rPr>
          <w:lang w:eastAsia="fr-FR"/>
        </w:rPr>
        <w:t>.</w:t>
      </w:r>
    </w:p>
    <w:tbl>
      <w:tblPr>
        <w:tblW w:w="8364" w:type="dxa"/>
        <w:tblInd w:w="562" w:type="dxa"/>
        <w:tblCellMar>
          <w:left w:w="70" w:type="dxa"/>
          <w:right w:w="70" w:type="dxa"/>
        </w:tblCellMar>
        <w:tblLook w:val="04A0" w:firstRow="1" w:lastRow="0" w:firstColumn="1" w:lastColumn="0" w:noHBand="0" w:noVBand="1"/>
      </w:tblPr>
      <w:tblGrid>
        <w:gridCol w:w="4395"/>
        <w:gridCol w:w="2126"/>
        <w:gridCol w:w="1843"/>
      </w:tblGrid>
      <w:tr w:rsidR="00D46447" w:rsidRPr="0002635D" w14:paraId="6AA2B53A" w14:textId="77777777" w:rsidTr="00D809AD">
        <w:trPr>
          <w:trHeight w:val="223"/>
        </w:trPr>
        <w:tc>
          <w:tcPr>
            <w:tcW w:w="439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EEFDFA3" w14:textId="703ABB64" w:rsidR="0002635D" w:rsidRPr="0002635D" w:rsidRDefault="0002635D" w:rsidP="00D809AD">
            <w:pPr>
              <w:spacing w:after="0" w:line="240" w:lineRule="auto"/>
              <w:ind w:left="-153" w:firstLine="153"/>
              <w:jc w:val="left"/>
              <w:rPr>
                <w:rFonts w:eastAsia="Times New Roman" w:cs="Arial"/>
                <w:color w:val="000000"/>
                <w:sz w:val="20"/>
                <w:szCs w:val="20"/>
                <w:lang w:eastAsia="fr-FR"/>
              </w:rPr>
            </w:pPr>
          </w:p>
        </w:tc>
        <w:tc>
          <w:tcPr>
            <w:tcW w:w="2126" w:type="dxa"/>
            <w:tcBorders>
              <w:top w:val="single" w:sz="4" w:space="0" w:color="000000"/>
              <w:left w:val="nil"/>
              <w:bottom w:val="single" w:sz="4" w:space="0" w:color="000000"/>
              <w:right w:val="single" w:sz="4" w:space="0" w:color="000000"/>
            </w:tcBorders>
            <w:shd w:val="clear" w:color="D9D9D9" w:fill="D9D9D9"/>
            <w:noWrap/>
            <w:vAlign w:val="center"/>
            <w:hideMark/>
          </w:tcPr>
          <w:p w14:paraId="13634FFA"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Vol en kt</w:t>
            </w:r>
          </w:p>
        </w:tc>
        <w:tc>
          <w:tcPr>
            <w:tcW w:w="1843" w:type="dxa"/>
            <w:tcBorders>
              <w:top w:val="single" w:sz="4" w:space="0" w:color="000000"/>
              <w:left w:val="nil"/>
              <w:bottom w:val="single" w:sz="4" w:space="0" w:color="000000"/>
              <w:right w:val="single" w:sz="4" w:space="0" w:color="000000"/>
            </w:tcBorders>
            <w:shd w:val="clear" w:color="D9D9D9" w:fill="D9D9D9"/>
            <w:noWrap/>
            <w:vAlign w:val="center"/>
            <w:hideMark/>
          </w:tcPr>
          <w:p w14:paraId="63FFE28A"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Vol en kt</w:t>
            </w:r>
          </w:p>
        </w:tc>
      </w:tr>
      <w:tr w:rsidR="0002635D" w:rsidRPr="0002635D" w14:paraId="5963AF8E" w14:textId="77777777" w:rsidTr="00D809AD">
        <w:trPr>
          <w:trHeight w:val="228"/>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7F0F5DE3" w14:textId="77777777" w:rsidR="0002635D" w:rsidRPr="0002635D" w:rsidRDefault="0002635D" w:rsidP="00D809AD">
            <w:pPr>
              <w:spacing w:after="0" w:line="240" w:lineRule="auto"/>
              <w:ind w:left="-153" w:firstLine="153"/>
              <w:jc w:val="left"/>
              <w:rPr>
                <w:rFonts w:eastAsia="Times New Roman" w:cs="Arial"/>
                <w:b/>
                <w:bCs/>
                <w:color w:val="000000"/>
                <w:sz w:val="20"/>
                <w:szCs w:val="20"/>
                <w:lang w:eastAsia="fr-FR"/>
              </w:rPr>
            </w:pPr>
            <w:r w:rsidRPr="0002635D">
              <w:rPr>
                <w:rFonts w:eastAsia="Times New Roman" w:cs="Arial"/>
                <w:b/>
                <w:bCs/>
                <w:color w:val="000000"/>
                <w:sz w:val="20"/>
                <w:szCs w:val="20"/>
                <w:lang w:eastAsia="fr-FR"/>
              </w:rPr>
              <w:t>Fraction disponible à la consommation</w:t>
            </w:r>
          </w:p>
        </w:tc>
        <w:tc>
          <w:tcPr>
            <w:tcW w:w="2126" w:type="dxa"/>
            <w:tcBorders>
              <w:top w:val="nil"/>
              <w:left w:val="nil"/>
              <w:bottom w:val="single" w:sz="4" w:space="0" w:color="000000"/>
              <w:right w:val="single" w:sz="4" w:space="0" w:color="000000"/>
            </w:tcBorders>
            <w:shd w:val="clear" w:color="auto" w:fill="auto"/>
            <w:noWrap/>
            <w:vAlign w:val="center"/>
            <w:hideMark/>
          </w:tcPr>
          <w:p w14:paraId="0B91DC48" w14:textId="77777777" w:rsidR="0002635D" w:rsidRPr="0002635D" w:rsidRDefault="0002635D" w:rsidP="00D809AD">
            <w:pPr>
              <w:spacing w:after="0" w:line="240" w:lineRule="auto"/>
              <w:ind w:left="-153" w:firstLine="153"/>
              <w:jc w:val="center"/>
              <w:rPr>
                <w:rFonts w:eastAsia="Times New Roman" w:cs="Arial"/>
                <w:b/>
                <w:bCs/>
                <w:color w:val="000000"/>
                <w:sz w:val="20"/>
                <w:szCs w:val="20"/>
                <w:lang w:eastAsia="fr-FR"/>
              </w:rPr>
            </w:pPr>
            <w:r w:rsidRPr="0002635D">
              <w:rPr>
                <w:rFonts w:eastAsia="Times New Roman" w:cs="Arial"/>
                <w:b/>
                <w:bCs/>
                <w:color w:val="000000"/>
                <w:sz w:val="20"/>
                <w:szCs w:val="20"/>
                <w:lang w:eastAsia="fr-FR"/>
              </w:rPr>
              <w:t>2170</w:t>
            </w:r>
          </w:p>
        </w:tc>
        <w:tc>
          <w:tcPr>
            <w:tcW w:w="1843" w:type="dxa"/>
            <w:tcBorders>
              <w:top w:val="nil"/>
              <w:left w:val="nil"/>
              <w:bottom w:val="single" w:sz="4" w:space="0" w:color="000000"/>
              <w:right w:val="single" w:sz="4" w:space="0" w:color="000000"/>
            </w:tcBorders>
            <w:shd w:val="clear" w:color="auto" w:fill="auto"/>
            <w:noWrap/>
            <w:vAlign w:val="center"/>
            <w:hideMark/>
          </w:tcPr>
          <w:p w14:paraId="75BC71B9" w14:textId="77777777" w:rsidR="0002635D" w:rsidRPr="0002635D" w:rsidRDefault="0002635D" w:rsidP="00D809AD">
            <w:pPr>
              <w:spacing w:after="0" w:line="240" w:lineRule="auto"/>
              <w:ind w:left="-153" w:firstLine="153"/>
              <w:jc w:val="center"/>
              <w:rPr>
                <w:rFonts w:eastAsia="Times New Roman" w:cs="Arial"/>
                <w:b/>
                <w:bCs/>
                <w:color w:val="000000"/>
                <w:sz w:val="20"/>
                <w:szCs w:val="20"/>
                <w:lang w:eastAsia="fr-FR"/>
              </w:rPr>
            </w:pPr>
            <w:r w:rsidRPr="0002635D">
              <w:rPr>
                <w:rFonts w:eastAsia="Times New Roman" w:cs="Arial"/>
                <w:b/>
                <w:bCs/>
                <w:color w:val="000000"/>
                <w:sz w:val="20"/>
                <w:szCs w:val="20"/>
                <w:lang w:eastAsia="fr-FR"/>
              </w:rPr>
              <w:t>2170</w:t>
            </w:r>
          </w:p>
        </w:tc>
      </w:tr>
      <w:tr w:rsidR="00D46447" w:rsidRPr="0002635D" w14:paraId="3A359248" w14:textId="77777777" w:rsidTr="00D809AD">
        <w:trPr>
          <w:trHeight w:val="131"/>
        </w:trPr>
        <w:tc>
          <w:tcPr>
            <w:tcW w:w="4395" w:type="dxa"/>
            <w:tcBorders>
              <w:top w:val="nil"/>
              <w:left w:val="single" w:sz="4" w:space="0" w:color="000000"/>
              <w:bottom w:val="single" w:sz="4" w:space="0" w:color="000000"/>
              <w:right w:val="single" w:sz="4" w:space="0" w:color="000000"/>
            </w:tcBorders>
            <w:shd w:val="clear" w:color="D9D9D9" w:fill="D9D9D9"/>
            <w:noWrap/>
            <w:vAlign w:val="center"/>
            <w:hideMark/>
          </w:tcPr>
          <w:p w14:paraId="6052C369" w14:textId="1833F054"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Equivalent Jambon</w:t>
            </w:r>
          </w:p>
        </w:tc>
        <w:tc>
          <w:tcPr>
            <w:tcW w:w="2126" w:type="dxa"/>
            <w:tcBorders>
              <w:top w:val="nil"/>
              <w:left w:val="nil"/>
              <w:bottom w:val="single" w:sz="4" w:space="0" w:color="000000"/>
              <w:right w:val="single" w:sz="4" w:space="0" w:color="000000"/>
            </w:tcBorders>
            <w:shd w:val="clear" w:color="D9D9D9" w:fill="D9D9D9"/>
            <w:noWrap/>
            <w:vAlign w:val="center"/>
            <w:hideMark/>
          </w:tcPr>
          <w:p w14:paraId="621F7167"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510</w:t>
            </w:r>
          </w:p>
        </w:tc>
        <w:tc>
          <w:tcPr>
            <w:tcW w:w="1843" w:type="dxa"/>
            <w:tcBorders>
              <w:top w:val="nil"/>
              <w:left w:val="nil"/>
              <w:bottom w:val="single" w:sz="4" w:space="0" w:color="000000"/>
              <w:right w:val="single" w:sz="4" w:space="0" w:color="000000"/>
            </w:tcBorders>
            <w:shd w:val="clear" w:color="D9D9D9" w:fill="D9D9D9"/>
            <w:noWrap/>
            <w:vAlign w:val="center"/>
            <w:hideMark/>
          </w:tcPr>
          <w:p w14:paraId="6B4E6996"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463</w:t>
            </w:r>
          </w:p>
        </w:tc>
      </w:tr>
      <w:tr w:rsidR="0002635D" w:rsidRPr="0002635D" w14:paraId="1625B5F9" w14:textId="77777777" w:rsidTr="00D809AD">
        <w:trPr>
          <w:trHeight w:val="178"/>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3439B87C" w14:textId="1B9789E1"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Equivalent Longe avec bardière</w:t>
            </w:r>
          </w:p>
        </w:tc>
        <w:tc>
          <w:tcPr>
            <w:tcW w:w="2126" w:type="dxa"/>
            <w:tcBorders>
              <w:top w:val="nil"/>
              <w:left w:val="nil"/>
              <w:bottom w:val="single" w:sz="4" w:space="0" w:color="000000"/>
              <w:right w:val="single" w:sz="4" w:space="0" w:color="000000"/>
            </w:tcBorders>
            <w:shd w:val="clear" w:color="auto" w:fill="auto"/>
            <w:noWrap/>
            <w:vAlign w:val="center"/>
            <w:hideMark/>
          </w:tcPr>
          <w:p w14:paraId="25674F34"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710</w:t>
            </w:r>
          </w:p>
        </w:tc>
        <w:tc>
          <w:tcPr>
            <w:tcW w:w="1843" w:type="dxa"/>
            <w:tcBorders>
              <w:top w:val="nil"/>
              <w:left w:val="nil"/>
              <w:bottom w:val="single" w:sz="4" w:space="0" w:color="000000"/>
              <w:right w:val="single" w:sz="4" w:space="0" w:color="000000"/>
            </w:tcBorders>
            <w:shd w:val="clear" w:color="auto" w:fill="auto"/>
            <w:noWrap/>
            <w:vAlign w:val="center"/>
            <w:hideMark/>
          </w:tcPr>
          <w:p w14:paraId="075655C9"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645</w:t>
            </w:r>
          </w:p>
        </w:tc>
      </w:tr>
      <w:tr w:rsidR="00D46447" w:rsidRPr="0002635D" w14:paraId="526FB58F" w14:textId="77777777" w:rsidTr="00D809AD">
        <w:trPr>
          <w:trHeight w:val="223"/>
        </w:trPr>
        <w:tc>
          <w:tcPr>
            <w:tcW w:w="439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FC2BC8B" w14:textId="1F913B88"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Equivalent Epaule avec gorge</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C7E4FB"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460</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BA84BC7"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418</w:t>
            </w:r>
          </w:p>
        </w:tc>
      </w:tr>
      <w:tr w:rsidR="00D46447" w:rsidRPr="0002635D" w14:paraId="17546EA0" w14:textId="77777777" w:rsidTr="00D809AD">
        <w:trPr>
          <w:trHeight w:val="127"/>
        </w:trPr>
        <w:tc>
          <w:tcPr>
            <w:tcW w:w="439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295057E" w14:textId="21A58C20"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Equivalent Poitrine</w:t>
            </w:r>
          </w:p>
        </w:tc>
        <w:tc>
          <w:tcPr>
            <w:tcW w:w="212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A0084BF"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290</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0F1624A"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264</w:t>
            </w:r>
          </w:p>
        </w:tc>
      </w:tr>
      <w:tr w:rsidR="00D46447" w:rsidRPr="0002635D" w14:paraId="062E835D" w14:textId="77777777" w:rsidTr="00D809AD">
        <w:trPr>
          <w:trHeight w:val="159"/>
        </w:trPr>
        <w:tc>
          <w:tcPr>
            <w:tcW w:w="439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D24BD61" w14:textId="77777777"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Estimé abats à destination consommation</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581F022"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200</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4E5FD2E"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175</w:t>
            </w:r>
          </w:p>
        </w:tc>
      </w:tr>
      <w:tr w:rsidR="0002635D" w:rsidRPr="0002635D" w14:paraId="607E7C96" w14:textId="77777777" w:rsidTr="00D809AD">
        <w:trPr>
          <w:trHeight w:val="70"/>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41723C5C" w14:textId="229F72AB"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Jambon Exportation</w:t>
            </w:r>
          </w:p>
        </w:tc>
        <w:tc>
          <w:tcPr>
            <w:tcW w:w="2126" w:type="dxa"/>
            <w:tcBorders>
              <w:top w:val="single" w:sz="4" w:space="0" w:color="000000"/>
              <w:left w:val="nil"/>
              <w:bottom w:val="single" w:sz="4" w:space="0" w:color="000000"/>
              <w:right w:val="single" w:sz="4" w:space="0" w:color="000000"/>
            </w:tcBorders>
            <w:shd w:val="clear" w:color="auto" w:fill="auto"/>
            <w:noWrap/>
            <w:vAlign w:val="center"/>
            <w:hideMark/>
          </w:tcPr>
          <w:p w14:paraId="56826A64" w14:textId="2506734B" w:rsidR="0002635D" w:rsidRPr="0002635D" w:rsidRDefault="0002635D" w:rsidP="00D809AD">
            <w:pPr>
              <w:spacing w:after="0" w:line="240" w:lineRule="auto"/>
              <w:ind w:left="-153" w:firstLine="153"/>
              <w:jc w:val="center"/>
              <w:rPr>
                <w:rFonts w:eastAsia="Times New Roman" w:cs="Arial"/>
                <w:color w:val="000000"/>
                <w:sz w:val="20"/>
                <w:szCs w:val="20"/>
                <w:lang w:eastAsia="fr-FR"/>
              </w:rPr>
            </w:pPr>
          </w:p>
        </w:tc>
        <w:tc>
          <w:tcPr>
            <w:tcW w:w="1843" w:type="dxa"/>
            <w:tcBorders>
              <w:top w:val="nil"/>
              <w:left w:val="nil"/>
              <w:bottom w:val="single" w:sz="4" w:space="0" w:color="000000"/>
              <w:right w:val="single" w:sz="4" w:space="0" w:color="000000"/>
            </w:tcBorders>
            <w:shd w:val="clear" w:color="auto" w:fill="auto"/>
            <w:noWrap/>
            <w:vAlign w:val="center"/>
            <w:hideMark/>
          </w:tcPr>
          <w:p w14:paraId="6438576A"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47</w:t>
            </w:r>
          </w:p>
        </w:tc>
      </w:tr>
      <w:tr w:rsidR="00D46447" w:rsidRPr="0002635D" w14:paraId="0A864B7E" w14:textId="77777777" w:rsidTr="00D809AD">
        <w:trPr>
          <w:trHeight w:val="181"/>
        </w:trPr>
        <w:tc>
          <w:tcPr>
            <w:tcW w:w="439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F7E62BA" w14:textId="53BDBB47" w:rsidR="0002635D" w:rsidRPr="0002635D" w:rsidRDefault="0002635D" w:rsidP="00D809AD">
            <w:pPr>
              <w:spacing w:after="0" w:line="240" w:lineRule="auto"/>
              <w:ind w:left="-153" w:firstLine="153"/>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Longe Exportation</w:t>
            </w:r>
          </w:p>
        </w:tc>
        <w:tc>
          <w:tcPr>
            <w:tcW w:w="212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E9E6A69" w14:textId="26E172CC" w:rsidR="0002635D" w:rsidRPr="0002635D" w:rsidRDefault="0002635D" w:rsidP="00D809AD">
            <w:pPr>
              <w:spacing w:after="0" w:line="240" w:lineRule="auto"/>
              <w:ind w:left="-153" w:firstLine="153"/>
              <w:jc w:val="center"/>
              <w:rPr>
                <w:rFonts w:eastAsia="Times New Roman" w:cs="Arial"/>
                <w:color w:val="000000"/>
                <w:sz w:val="20"/>
                <w:szCs w:val="20"/>
                <w:lang w:eastAsia="fr-FR"/>
              </w:rPr>
            </w:pP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E652D42" w14:textId="77777777" w:rsidR="0002635D" w:rsidRPr="0002635D" w:rsidRDefault="0002635D" w:rsidP="00D809AD">
            <w:pPr>
              <w:spacing w:after="0" w:line="240" w:lineRule="auto"/>
              <w:ind w:left="-153" w:firstLine="153"/>
              <w:jc w:val="center"/>
              <w:rPr>
                <w:rFonts w:eastAsia="Times New Roman" w:cs="Arial"/>
                <w:color w:val="000000"/>
                <w:sz w:val="20"/>
                <w:szCs w:val="20"/>
                <w:lang w:eastAsia="fr-FR"/>
              </w:rPr>
            </w:pPr>
            <w:r w:rsidRPr="0002635D">
              <w:rPr>
                <w:rFonts w:eastAsia="Times New Roman" w:cs="Arial"/>
                <w:color w:val="000000"/>
                <w:sz w:val="20"/>
                <w:szCs w:val="20"/>
                <w:lang w:eastAsia="fr-FR"/>
              </w:rPr>
              <w:t>65</w:t>
            </w:r>
          </w:p>
        </w:tc>
      </w:tr>
      <w:tr w:rsidR="0002635D" w:rsidRPr="0002635D" w14:paraId="3FE31323" w14:textId="77777777" w:rsidTr="00D809AD">
        <w:trPr>
          <w:trHeight w:val="213"/>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5D0AE6D4" w14:textId="21A7999A" w:rsidR="0002635D" w:rsidRPr="0002635D" w:rsidRDefault="0002635D" w:rsidP="00D809AD">
            <w:pPr>
              <w:spacing w:after="0" w:line="240" w:lineRule="auto"/>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Epaule Exportation</w:t>
            </w:r>
          </w:p>
        </w:tc>
        <w:tc>
          <w:tcPr>
            <w:tcW w:w="2126" w:type="dxa"/>
            <w:tcBorders>
              <w:top w:val="nil"/>
              <w:left w:val="nil"/>
              <w:bottom w:val="single" w:sz="4" w:space="0" w:color="000000"/>
              <w:right w:val="single" w:sz="4" w:space="0" w:color="000000"/>
            </w:tcBorders>
            <w:shd w:val="clear" w:color="auto" w:fill="auto"/>
            <w:noWrap/>
            <w:vAlign w:val="center"/>
            <w:hideMark/>
          </w:tcPr>
          <w:p w14:paraId="06464CDA" w14:textId="6F791A4E" w:rsidR="0002635D" w:rsidRPr="0002635D" w:rsidRDefault="0002635D" w:rsidP="00D809AD">
            <w:pPr>
              <w:spacing w:after="0" w:line="240" w:lineRule="auto"/>
              <w:jc w:val="center"/>
              <w:rPr>
                <w:rFonts w:eastAsia="Times New Roman" w:cs="Arial"/>
                <w:color w:val="000000"/>
                <w:sz w:val="20"/>
                <w:szCs w:val="20"/>
                <w:lang w:eastAsia="fr-FR"/>
              </w:rPr>
            </w:pPr>
          </w:p>
        </w:tc>
        <w:tc>
          <w:tcPr>
            <w:tcW w:w="1843" w:type="dxa"/>
            <w:tcBorders>
              <w:top w:val="nil"/>
              <w:left w:val="nil"/>
              <w:bottom w:val="single" w:sz="4" w:space="0" w:color="000000"/>
              <w:right w:val="single" w:sz="4" w:space="0" w:color="000000"/>
            </w:tcBorders>
            <w:shd w:val="clear" w:color="auto" w:fill="auto"/>
            <w:noWrap/>
            <w:vAlign w:val="center"/>
            <w:hideMark/>
          </w:tcPr>
          <w:p w14:paraId="51FF0802" w14:textId="77777777" w:rsidR="0002635D" w:rsidRPr="0002635D" w:rsidRDefault="0002635D" w:rsidP="00D809AD">
            <w:pPr>
              <w:spacing w:after="0" w:line="240" w:lineRule="auto"/>
              <w:jc w:val="center"/>
              <w:rPr>
                <w:rFonts w:eastAsia="Times New Roman" w:cs="Arial"/>
                <w:color w:val="000000"/>
                <w:sz w:val="20"/>
                <w:szCs w:val="20"/>
                <w:lang w:eastAsia="fr-FR"/>
              </w:rPr>
            </w:pPr>
            <w:r w:rsidRPr="0002635D">
              <w:rPr>
                <w:rFonts w:eastAsia="Times New Roman" w:cs="Arial"/>
                <w:color w:val="000000"/>
                <w:sz w:val="20"/>
                <w:szCs w:val="20"/>
                <w:lang w:eastAsia="fr-FR"/>
              </w:rPr>
              <w:t>42</w:t>
            </w:r>
          </w:p>
        </w:tc>
      </w:tr>
      <w:tr w:rsidR="0002635D" w:rsidRPr="0002635D" w14:paraId="6A82DB95" w14:textId="77777777" w:rsidTr="00D809AD">
        <w:trPr>
          <w:trHeight w:val="260"/>
        </w:trPr>
        <w:tc>
          <w:tcPr>
            <w:tcW w:w="4395" w:type="dxa"/>
            <w:tcBorders>
              <w:top w:val="nil"/>
              <w:left w:val="single" w:sz="4" w:space="0" w:color="000000"/>
              <w:bottom w:val="single" w:sz="4" w:space="0" w:color="000000"/>
              <w:right w:val="single" w:sz="4" w:space="0" w:color="000000"/>
            </w:tcBorders>
            <w:shd w:val="clear" w:color="D9D9D9" w:fill="D9D9D9"/>
            <w:noWrap/>
            <w:vAlign w:val="center"/>
            <w:hideMark/>
          </w:tcPr>
          <w:p w14:paraId="0561FA76" w14:textId="61ACE0C1" w:rsidR="0002635D" w:rsidRPr="0002635D" w:rsidRDefault="0002635D" w:rsidP="00D809AD">
            <w:pPr>
              <w:spacing w:after="0" w:line="240" w:lineRule="auto"/>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Poitrine Exportation</w:t>
            </w:r>
          </w:p>
        </w:tc>
        <w:tc>
          <w:tcPr>
            <w:tcW w:w="2126" w:type="dxa"/>
            <w:tcBorders>
              <w:top w:val="nil"/>
              <w:left w:val="nil"/>
              <w:bottom w:val="single" w:sz="4" w:space="0" w:color="000000"/>
              <w:right w:val="single" w:sz="4" w:space="0" w:color="000000"/>
            </w:tcBorders>
            <w:shd w:val="clear" w:color="D9D9D9" w:fill="D9D9D9"/>
            <w:noWrap/>
            <w:vAlign w:val="center"/>
            <w:hideMark/>
          </w:tcPr>
          <w:p w14:paraId="1AD2450E" w14:textId="40372FC5" w:rsidR="0002635D" w:rsidRPr="0002635D" w:rsidRDefault="0002635D" w:rsidP="00D809AD">
            <w:pPr>
              <w:spacing w:after="0" w:line="240" w:lineRule="auto"/>
              <w:jc w:val="center"/>
              <w:rPr>
                <w:rFonts w:eastAsia="Times New Roman" w:cs="Arial"/>
                <w:color w:val="000000"/>
                <w:sz w:val="20"/>
                <w:szCs w:val="20"/>
                <w:lang w:eastAsia="fr-FR"/>
              </w:rPr>
            </w:pPr>
          </w:p>
        </w:tc>
        <w:tc>
          <w:tcPr>
            <w:tcW w:w="1843" w:type="dxa"/>
            <w:tcBorders>
              <w:top w:val="nil"/>
              <w:left w:val="nil"/>
              <w:bottom w:val="single" w:sz="4" w:space="0" w:color="000000"/>
              <w:right w:val="single" w:sz="4" w:space="0" w:color="000000"/>
            </w:tcBorders>
            <w:shd w:val="clear" w:color="D9D9D9" w:fill="D9D9D9"/>
            <w:noWrap/>
            <w:vAlign w:val="center"/>
            <w:hideMark/>
          </w:tcPr>
          <w:p w14:paraId="0FAFE8CE" w14:textId="77777777" w:rsidR="0002635D" w:rsidRPr="0002635D" w:rsidRDefault="0002635D" w:rsidP="00D809AD">
            <w:pPr>
              <w:spacing w:after="0" w:line="240" w:lineRule="auto"/>
              <w:jc w:val="center"/>
              <w:rPr>
                <w:rFonts w:eastAsia="Times New Roman" w:cs="Arial"/>
                <w:color w:val="000000"/>
                <w:sz w:val="20"/>
                <w:szCs w:val="20"/>
                <w:lang w:eastAsia="fr-FR"/>
              </w:rPr>
            </w:pPr>
            <w:r w:rsidRPr="0002635D">
              <w:rPr>
                <w:rFonts w:eastAsia="Times New Roman" w:cs="Arial"/>
                <w:color w:val="000000"/>
                <w:sz w:val="20"/>
                <w:szCs w:val="20"/>
                <w:lang w:eastAsia="fr-FR"/>
              </w:rPr>
              <w:t>26</w:t>
            </w:r>
          </w:p>
        </w:tc>
      </w:tr>
      <w:tr w:rsidR="0002635D" w:rsidRPr="0002635D" w14:paraId="1DAD0749" w14:textId="77777777" w:rsidTr="00D809AD">
        <w:trPr>
          <w:trHeight w:val="91"/>
        </w:trPr>
        <w:tc>
          <w:tcPr>
            <w:tcW w:w="4395" w:type="dxa"/>
            <w:tcBorders>
              <w:top w:val="nil"/>
              <w:left w:val="single" w:sz="4" w:space="0" w:color="000000"/>
              <w:bottom w:val="single" w:sz="4" w:space="0" w:color="000000"/>
              <w:right w:val="single" w:sz="4" w:space="0" w:color="000000"/>
            </w:tcBorders>
            <w:shd w:val="clear" w:color="auto" w:fill="auto"/>
            <w:noWrap/>
            <w:vAlign w:val="center"/>
            <w:hideMark/>
          </w:tcPr>
          <w:p w14:paraId="392EDE89" w14:textId="2030625F" w:rsidR="0002635D" w:rsidRPr="0002635D" w:rsidRDefault="0002635D" w:rsidP="00D809AD">
            <w:pPr>
              <w:spacing w:after="0" w:line="240" w:lineRule="auto"/>
              <w:jc w:val="left"/>
              <w:rPr>
                <w:rFonts w:eastAsia="Times New Roman" w:cs="Arial"/>
                <w:color w:val="000000"/>
                <w:sz w:val="20"/>
                <w:szCs w:val="20"/>
                <w:lang w:eastAsia="fr-FR"/>
              </w:rPr>
            </w:pPr>
            <w:r w:rsidRPr="0002635D">
              <w:rPr>
                <w:rFonts w:eastAsia="Times New Roman" w:cs="Arial"/>
                <w:color w:val="000000"/>
                <w:sz w:val="20"/>
                <w:szCs w:val="20"/>
                <w:lang w:eastAsia="fr-FR"/>
              </w:rPr>
              <w:t>Eq</w:t>
            </w:r>
            <w:r w:rsidR="00576392">
              <w:rPr>
                <w:rFonts w:eastAsia="Times New Roman" w:cs="Arial"/>
                <w:color w:val="000000"/>
                <w:sz w:val="20"/>
                <w:szCs w:val="20"/>
                <w:lang w:eastAsia="fr-FR"/>
              </w:rPr>
              <w:t>uivalent</w:t>
            </w:r>
            <w:r w:rsidRPr="0002635D">
              <w:rPr>
                <w:rFonts w:eastAsia="Times New Roman" w:cs="Arial"/>
                <w:color w:val="000000"/>
                <w:sz w:val="20"/>
                <w:szCs w:val="20"/>
                <w:lang w:eastAsia="fr-FR"/>
              </w:rPr>
              <w:t xml:space="preserve"> Abats Exportation</w:t>
            </w:r>
          </w:p>
        </w:tc>
        <w:tc>
          <w:tcPr>
            <w:tcW w:w="2126" w:type="dxa"/>
            <w:tcBorders>
              <w:top w:val="nil"/>
              <w:left w:val="nil"/>
              <w:bottom w:val="single" w:sz="4" w:space="0" w:color="000000"/>
              <w:right w:val="single" w:sz="4" w:space="0" w:color="000000"/>
            </w:tcBorders>
            <w:shd w:val="clear" w:color="auto" w:fill="auto"/>
            <w:noWrap/>
            <w:vAlign w:val="center"/>
            <w:hideMark/>
          </w:tcPr>
          <w:p w14:paraId="561C0DD4" w14:textId="7B3AAD20" w:rsidR="0002635D" w:rsidRPr="0002635D" w:rsidRDefault="0002635D" w:rsidP="00D809AD">
            <w:pPr>
              <w:spacing w:after="0" w:line="240" w:lineRule="auto"/>
              <w:jc w:val="center"/>
              <w:rPr>
                <w:rFonts w:eastAsia="Times New Roman" w:cs="Arial"/>
                <w:color w:val="000000"/>
                <w:sz w:val="20"/>
                <w:szCs w:val="20"/>
                <w:lang w:eastAsia="fr-FR"/>
              </w:rPr>
            </w:pPr>
          </w:p>
        </w:tc>
        <w:tc>
          <w:tcPr>
            <w:tcW w:w="1843" w:type="dxa"/>
            <w:tcBorders>
              <w:top w:val="nil"/>
              <w:left w:val="nil"/>
              <w:bottom w:val="single" w:sz="4" w:space="0" w:color="000000"/>
              <w:right w:val="single" w:sz="4" w:space="0" w:color="000000"/>
            </w:tcBorders>
            <w:shd w:val="clear" w:color="auto" w:fill="auto"/>
            <w:noWrap/>
            <w:vAlign w:val="center"/>
            <w:hideMark/>
          </w:tcPr>
          <w:p w14:paraId="0D4B529D" w14:textId="77777777" w:rsidR="0002635D" w:rsidRPr="0002635D" w:rsidRDefault="0002635D" w:rsidP="00D809AD">
            <w:pPr>
              <w:spacing w:after="0" w:line="240" w:lineRule="auto"/>
              <w:jc w:val="center"/>
              <w:rPr>
                <w:rFonts w:eastAsia="Times New Roman" w:cs="Arial"/>
                <w:color w:val="000000"/>
                <w:sz w:val="20"/>
                <w:szCs w:val="20"/>
                <w:lang w:eastAsia="fr-FR"/>
              </w:rPr>
            </w:pPr>
            <w:r w:rsidRPr="0002635D">
              <w:rPr>
                <w:rFonts w:eastAsia="Times New Roman" w:cs="Arial"/>
                <w:color w:val="000000"/>
                <w:sz w:val="20"/>
                <w:szCs w:val="20"/>
                <w:lang w:eastAsia="fr-FR"/>
              </w:rPr>
              <w:t>25</w:t>
            </w:r>
          </w:p>
        </w:tc>
      </w:tr>
    </w:tbl>
    <w:p w14:paraId="5ABAE34E" w14:textId="404A660C" w:rsidR="001C3155" w:rsidRDefault="00941947" w:rsidP="001C3155">
      <w:pPr>
        <w:pStyle w:val="figure"/>
      </w:pPr>
      <w:bookmarkStart w:id="221" w:name="_Ref69316862"/>
      <w:bookmarkStart w:id="222" w:name="_Toc72143396"/>
      <w:r w:rsidRPr="00941947">
        <w:t xml:space="preserve">Tableau </w:t>
      </w:r>
      <w:r w:rsidR="00E27D6E">
        <w:fldChar w:fldCharType="begin"/>
      </w:r>
      <w:r w:rsidR="00E27D6E">
        <w:instrText xml:space="preserve"> SEQ Tableau \* ARABIC </w:instrText>
      </w:r>
      <w:r w:rsidR="00E27D6E">
        <w:fldChar w:fldCharType="separate"/>
      </w:r>
      <w:r w:rsidR="0007597F">
        <w:rPr>
          <w:noProof/>
        </w:rPr>
        <w:t>48</w:t>
      </w:r>
      <w:r w:rsidR="00E27D6E">
        <w:rPr>
          <w:noProof/>
        </w:rPr>
        <w:fldChar w:fldCharType="end"/>
      </w:r>
      <w:bookmarkEnd w:id="221"/>
      <w:r w:rsidR="001C3155">
        <w:t xml:space="preserve"> : </w:t>
      </w:r>
      <w:r w:rsidR="00016A49" w:rsidRPr="00E2697A">
        <w:t>Estimation de</w:t>
      </w:r>
      <w:r w:rsidR="00016A49">
        <w:t xml:space="preserve">s valeurs massiques des équivalents pièces primaires et abats </w:t>
      </w:r>
      <w:r w:rsidR="00D809AD">
        <w:t xml:space="preserve">nets pour la consommation Française </w:t>
      </w:r>
      <w:r w:rsidR="00016A49">
        <w:t>en 2018</w:t>
      </w:r>
      <w:bookmarkEnd w:id="222"/>
      <w:r w:rsidR="00016A49">
        <w:t xml:space="preserve"> </w:t>
      </w:r>
    </w:p>
    <w:p w14:paraId="12FA9476" w14:textId="1A4B6DAA" w:rsidR="00016A49" w:rsidRPr="001C3155" w:rsidRDefault="00016A49" w:rsidP="001C3155">
      <w:pPr>
        <w:pStyle w:val="Lgende"/>
      </w:pPr>
      <w:r w:rsidRPr="001C3155">
        <w:t>(Source : IFIP</w:t>
      </w:r>
      <w:r w:rsidR="00C86A6F" w:rsidRPr="001C3155">
        <w:t xml:space="preserve"> et Eurostat</w:t>
      </w:r>
      <w:r w:rsidRPr="001C3155">
        <w:t>)</w:t>
      </w:r>
    </w:p>
    <w:p w14:paraId="55B38FC8" w14:textId="6BD530E4" w:rsidR="00E6219D" w:rsidRDefault="00BD76AE" w:rsidP="003F2547">
      <w:pPr>
        <w:rPr>
          <w:lang w:eastAsia="fr-FR"/>
        </w:rPr>
      </w:pPr>
      <w:r>
        <w:rPr>
          <w:lang w:eastAsia="fr-FR"/>
        </w:rPr>
        <w:t xml:space="preserve">Le total </w:t>
      </w:r>
      <w:r w:rsidR="00F4302F">
        <w:rPr>
          <w:lang w:eastAsia="fr-FR"/>
        </w:rPr>
        <w:t xml:space="preserve">disponible pour la consommation </w:t>
      </w:r>
      <w:r w:rsidR="0018215C">
        <w:rPr>
          <w:lang w:eastAsia="fr-FR"/>
        </w:rPr>
        <w:t>intérieure</w:t>
      </w:r>
      <w:r w:rsidR="00DA0B6B">
        <w:rPr>
          <w:lang w:eastAsia="fr-FR"/>
        </w:rPr>
        <w:t xml:space="preserve"> et</w:t>
      </w:r>
      <w:r w:rsidR="0018215C">
        <w:rPr>
          <w:lang w:eastAsia="fr-FR"/>
        </w:rPr>
        <w:t xml:space="preserve"> </w:t>
      </w:r>
      <w:r>
        <w:rPr>
          <w:lang w:eastAsia="fr-FR"/>
        </w:rPr>
        <w:t>issu de la production Française est</w:t>
      </w:r>
      <w:r w:rsidR="00DA0B6B">
        <w:rPr>
          <w:lang w:eastAsia="fr-FR"/>
        </w:rPr>
        <w:t xml:space="preserve"> en conséquent </w:t>
      </w:r>
      <w:r w:rsidR="00941947">
        <w:rPr>
          <w:lang w:eastAsia="fr-FR"/>
        </w:rPr>
        <w:t>é</w:t>
      </w:r>
      <w:r w:rsidR="00C86A6F">
        <w:rPr>
          <w:lang w:eastAsia="fr-FR"/>
        </w:rPr>
        <w:t>valué à</w:t>
      </w:r>
      <w:r w:rsidR="000163E4">
        <w:rPr>
          <w:lang w:eastAsia="fr-FR"/>
        </w:rPr>
        <w:t xml:space="preserve"> </w:t>
      </w:r>
      <w:r w:rsidR="000163E4" w:rsidRPr="0002537E">
        <w:rPr>
          <w:u w:val="single"/>
          <w:lang w:eastAsia="fr-FR"/>
        </w:rPr>
        <w:t>1</w:t>
      </w:r>
      <w:r w:rsidR="00D74C49">
        <w:rPr>
          <w:u w:val="single"/>
          <w:lang w:eastAsia="fr-FR"/>
        </w:rPr>
        <w:t> </w:t>
      </w:r>
      <w:r w:rsidR="000163E4" w:rsidRPr="0002537E">
        <w:rPr>
          <w:u w:val="single"/>
          <w:lang w:eastAsia="fr-FR"/>
        </w:rPr>
        <w:t>965</w:t>
      </w:r>
      <w:r w:rsidR="00D74C49">
        <w:rPr>
          <w:u w:val="single"/>
          <w:lang w:eastAsia="fr-FR"/>
        </w:rPr>
        <w:t> </w:t>
      </w:r>
      <w:r w:rsidR="000163E4" w:rsidRPr="0002537E">
        <w:rPr>
          <w:u w:val="single"/>
          <w:lang w:eastAsia="fr-FR"/>
        </w:rPr>
        <w:t>kt</w:t>
      </w:r>
      <w:r w:rsidR="00DA0B6B" w:rsidRPr="0002537E">
        <w:rPr>
          <w:u w:val="single"/>
          <w:lang w:eastAsia="fr-FR"/>
        </w:rPr>
        <w:t xml:space="preserve"> dont </w:t>
      </w:r>
      <w:r w:rsidR="00455DCE" w:rsidRPr="0002537E">
        <w:rPr>
          <w:u w:val="single"/>
          <w:lang w:eastAsia="fr-FR"/>
        </w:rPr>
        <w:t>463</w:t>
      </w:r>
      <w:r w:rsidR="00D74C49">
        <w:rPr>
          <w:u w:val="single"/>
          <w:lang w:eastAsia="fr-FR"/>
        </w:rPr>
        <w:t> </w:t>
      </w:r>
      <w:r w:rsidR="00455DCE" w:rsidRPr="0002537E">
        <w:rPr>
          <w:u w:val="single"/>
          <w:lang w:eastAsia="fr-FR"/>
        </w:rPr>
        <w:t>kt de jambon, 645</w:t>
      </w:r>
      <w:r w:rsidR="00D74C49">
        <w:rPr>
          <w:u w:val="single"/>
          <w:lang w:eastAsia="fr-FR"/>
        </w:rPr>
        <w:t> </w:t>
      </w:r>
      <w:r w:rsidR="00455DCE" w:rsidRPr="0002537E">
        <w:rPr>
          <w:u w:val="single"/>
          <w:lang w:eastAsia="fr-FR"/>
        </w:rPr>
        <w:t xml:space="preserve">kt de </w:t>
      </w:r>
      <w:r w:rsidR="00404B5F">
        <w:rPr>
          <w:u w:val="single"/>
          <w:lang w:eastAsia="fr-FR"/>
        </w:rPr>
        <w:t>l</w:t>
      </w:r>
      <w:r w:rsidR="00455DCE" w:rsidRPr="0002537E">
        <w:rPr>
          <w:u w:val="single"/>
          <w:lang w:eastAsia="fr-FR"/>
        </w:rPr>
        <w:t>onge avec bardière, 418</w:t>
      </w:r>
      <w:r w:rsidR="00D74C49">
        <w:rPr>
          <w:u w:val="single"/>
          <w:lang w:eastAsia="fr-FR"/>
        </w:rPr>
        <w:t> </w:t>
      </w:r>
      <w:r w:rsidR="00455DCE" w:rsidRPr="0002537E">
        <w:rPr>
          <w:u w:val="single"/>
          <w:lang w:eastAsia="fr-FR"/>
        </w:rPr>
        <w:t xml:space="preserve">kt </w:t>
      </w:r>
      <w:r w:rsidR="00984441" w:rsidRPr="0002537E">
        <w:rPr>
          <w:u w:val="single"/>
          <w:lang w:eastAsia="fr-FR"/>
        </w:rPr>
        <w:t>d’épaule avec gorge, et 264</w:t>
      </w:r>
      <w:r w:rsidR="00D74C49">
        <w:rPr>
          <w:u w:val="single"/>
          <w:lang w:eastAsia="fr-FR"/>
        </w:rPr>
        <w:t> </w:t>
      </w:r>
      <w:r w:rsidR="00984441" w:rsidRPr="0002537E">
        <w:rPr>
          <w:u w:val="single"/>
          <w:lang w:eastAsia="fr-FR"/>
        </w:rPr>
        <w:t>kt de poitrine</w:t>
      </w:r>
      <w:r w:rsidR="0018215C">
        <w:rPr>
          <w:lang w:eastAsia="fr-FR"/>
        </w:rPr>
        <w:t>.</w:t>
      </w:r>
    </w:p>
    <w:p w14:paraId="0B05A216" w14:textId="75153EC7" w:rsidR="00AA2065" w:rsidRDefault="00AA2065" w:rsidP="00A63F35">
      <w:pPr>
        <w:pStyle w:val="Titre2"/>
        <w:numPr>
          <w:ilvl w:val="1"/>
          <w:numId w:val="15"/>
        </w:numPr>
      </w:pPr>
      <w:bookmarkStart w:id="223" w:name="_Toc78131621"/>
      <w:r>
        <w:t>Estimation de</w:t>
      </w:r>
      <w:r w:rsidR="007335B7">
        <w:t>s rendements</w:t>
      </w:r>
      <w:r w:rsidR="0065179F">
        <w:t xml:space="preserve"> de transformation</w:t>
      </w:r>
      <w:bookmarkEnd w:id="223"/>
      <w:r w:rsidR="0065179F">
        <w:t xml:space="preserve"> </w:t>
      </w:r>
    </w:p>
    <w:p w14:paraId="59821DD8" w14:textId="193C8ED0" w:rsidR="00EF5435" w:rsidRDefault="006E3809" w:rsidP="001C3155">
      <w:r>
        <w:t xml:space="preserve">Une première partie d’analyse s’est consacrée à mieux appréhender </w:t>
      </w:r>
      <w:r w:rsidR="005036FF">
        <w:t>les flux</w:t>
      </w:r>
      <w:r w:rsidR="00FF4B2C">
        <w:t xml:space="preserve"> de matière</w:t>
      </w:r>
      <w:r w:rsidR="005036FF">
        <w:t xml:space="preserve"> relatifs aux coproduits</w:t>
      </w:r>
      <w:r w:rsidR="009F0E99">
        <w:t>, à les caractériser et à en approcher la quantification</w:t>
      </w:r>
      <w:r w:rsidR="005036FF">
        <w:t xml:space="preserve">. </w:t>
      </w:r>
      <w:r w:rsidR="00013DB3">
        <w:t xml:space="preserve">Il s’agit </w:t>
      </w:r>
      <w:r w:rsidR="00FF4B2C">
        <w:t>désormais</w:t>
      </w:r>
      <w:r w:rsidR="007B4814">
        <w:t xml:space="preserve"> </w:t>
      </w:r>
      <w:r w:rsidR="00013DB3">
        <w:t xml:space="preserve">de </w:t>
      </w:r>
      <w:r w:rsidR="006D3A51">
        <w:t xml:space="preserve">s’attacher </w:t>
      </w:r>
      <w:r w:rsidR="00EC3174">
        <w:t xml:space="preserve">pour les principales </w:t>
      </w:r>
      <w:r w:rsidR="003A4B6C">
        <w:t>familles</w:t>
      </w:r>
      <w:r w:rsidR="00EC3174">
        <w:t xml:space="preserve"> de produits, </w:t>
      </w:r>
      <w:r w:rsidR="0065179F">
        <w:t xml:space="preserve">aux </w:t>
      </w:r>
      <w:r w:rsidR="002729B7">
        <w:t>phase</w:t>
      </w:r>
      <w:r w:rsidR="0065179F">
        <w:t>s</w:t>
      </w:r>
      <w:r w:rsidR="002729B7">
        <w:t xml:space="preserve"> de</w:t>
      </w:r>
      <w:r w:rsidR="0098457C">
        <w:t xml:space="preserve"> </w:t>
      </w:r>
      <w:r w:rsidR="00E4591A">
        <w:t xml:space="preserve">transformation </w:t>
      </w:r>
      <w:r w:rsidR="002729B7">
        <w:t xml:space="preserve">en charcuterie </w:t>
      </w:r>
      <w:r w:rsidR="002729B7">
        <w:lastRenderedPageBreak/>
        <w:t>salaison</w:t>
      </w:r>
      <w:r w:rsidR="00EC3174">
        <w:t xml:space="preserve"> et à leurs</w:t>
      </w:r>
      <w:r w:rsidR="002729B7">
        <w:t xml:space="preserve"> </w:t>
      </w:r>
      <w:r w:rsidR="00306825">
        <w:t>rendement</w:t>
      </w:r>
      <w:r w:rsidR="00EC3174">
        <w:t>s</w:t>
      </w:r>
      <w:r w:rsidR="00306825">
        <w:t xml:space="preserve"> technologiques </w:t>
      </w:r>
      <w:r w:rsidR="00EC3174">
        <w:t xml:space="preserve">dans la mesure où ils sont </w:t>
      </w:r>
      <w:r w:rsidR="005C0CD2">
        <w:t>susceptibles de faire varier la valeur massique</w:t>
      </w:r>
      <w:r w:rsidR="00D03B3E">
        <w:t xml:space="preserve"> du disponible en porc pour la consommation</w:t>
      </w:r>
      <w:r w:rsidR="0016685C">
        <w:t>.</w:t>
      </w:r>
      <w:r w:rsidR="00B607FD">
        <w:t xml:space="preserve"> L’analyse se positionne directement au stade de la transformation puisque</w:t>
      </w:r>
      <w:r w:rsidR="00722240">
        <w:t xml:space="preserve"> les</w:t>
      </w:r>
      <w:r w:rsidR="000D087C">
        <w:t xml:space="preserve"> pertes issues des </w:t>
      </w:r>
      <w:r w:rsidR="00EA108A">
        <w:t xml:space="preserve">opérations </w:t>
      </w:r>
      <w:r w:rsidR="000D087C">
        <w:t>de découpe</w:t>
      </w:r>
      <w:r w:rsidR="00B04BDF">
        <w:t>s de la carcasse</w:t>
      </w:r>
      <w:r w:rsidR="003D1B49">
        <w:t xml:space="preserve"> et</w:t>
      </w:r>
      <w:r w:rsidR="00B04BDF">
        <w:t xml:space="preserve"> des pièces</w:t>
      </w:r>
      <w:r w:rsidR="000D087C">
        <w:t xml:space="preserve"> </w:t>
      </w:r>
      <w:r w:rsidR="00EA108A">
        <w:t>primaire</w:t>
      </w:r>
      <w:r w:rsidR="00B04BDF">
        <w:t>s</w:t>
      </w:r>
      <w:r w:rsidR="000D087C">
        <w:t xml:space="preserve"> ne </w:t>
      </w:r>
      <w:r w:rsidR="00D17B0D">
        <w:t xml:space="preserve">font </w:t>
      </w:r>
      <w:r w:rsidR="00EA108A">
        <w:t xml:space="preserve">pas </w:t>
      </w:r>
      <w:r w:rsidR="00D17B0D">
        <w:t>l’objet de réemploi compte tenu du risque de la présence d’os et son</w:t>
      </w:r>
      <w:r w:rsidR="00EA108A">
        <w:t>t écartés du flux à destination de la c</w:t>
      </w:r>
      <w:r w:rsidR="00B04BDF">
        <w:t>onsommation.</w:t>
      </w:r>
    </w:p>
    <w:p w14:paraId="45D57A40" w14:textId="7E3E13A1" w:rsidR="00C66322" w:rsidRDefault="0016685C" w:rsidP="001C3155">
      <w:r>
        <w:t>Le Code des Usages de la charcuterie, de la salaison et des conserves de viande</w:t>
      </w:r>
      <w:r w:rsidR="00313243">
        <w:t xml:space="preserve"> </w:t>
      </w:r>
      <w:r w:rsidR="003A4B6C">
        <w:t xml:space="preserve">conçu par la profession de la charcuterie, </w:t>
      </w:r>
      <w:r w:rsidR="00313243">
        <w:t xml:space="preserve">définit le cadre </w:t>
      </w:r>
      <w:r w:rsidR="007A2C81">
        <w:t xml:space="preserve">réglementaire </w:t>
      </w:r>
      <w:r w:rsidR="00313243">
        <w:t xml:space="preserve">des conditions à respecter pour </w:t>
      </w:r>
      <w:r w:rsidR="00EA160D">
        <w:t>l</w:t>
      </w:r>
      <w:r w:rsidR="007A2C81">
        <w:t>’utilisation de la</w:t>
      </w:r>
      <w:r w:rsidR="00EA160D">
        <w:t xml:space="preserve"> dénomination de</w:t>
      </w:r>
      <w:r w:rsidR="007A2C81">
        <w:t>s</w:t>
      </w:r>
      <w:r w:rsidR="00EA160D">
        <w:t xml:space="preserve"> recettes de charcuterie et de salaison</w:t>
      </w:r>
      <w:r w:rsidR="007A2C81">
        <w:t>, soit plus de 400 recettes</w:t>
      </w:r>
      <w:r w:rsidR="00AE7860">
        <w:t xml:space="preserve"> (http://www.code-des-usagescharcuterie.fr/)</w:t>
      </w:r>
      <w:r w:rsidR="00EA160D">
        <w:t xml:space="preserve">. </w:t>
      </w:r>
      <w:r w:rsidR="00593DD6">
        <w:t xml:space="preserve">Les produits sont classés selon la forme sous laquelle les ingrédients sont utilisés </w:t>
      </w:r>
      <w:r w:rsidR="00934CEA">
        <w:t xml:space="preserve">(morceaux ou </w:t>
      </w:r>
      <w:r w:rsidR="00F95568">
        <w:t>pièces</w:t>
      </w:r>
      <w:r w:rsidR="00F16D2A">
        <w:t>, cutt</w:t>
      </w:r>
      <w:r w:rsidR="00F95568">
        <w:t>e</w:t>
      </w:r>
      <w:r w:rsidR="00F16D2A">
        <w:t>rés</w:t>
      </w:r>
      <w:r w:rsidR="00934CEA">
        <w:t>) et selon le</w:t>
      </w:r>
      <w:r w:rsidR="00446830">
        <w:t>ur</w:t>
      </w:r>
      <w:r w:rsidR="00934CEA">
        <w:t xml:space="preserve"> procédé de fabrication (cuit, cru, sec)</w:t>
      </w:r>
      <w:r w:rsidR="008B51E6">
        <w:t xml:space="preserve"> </w:t>
      </w:r>
      <w:r w:rsidR="00B23436">
        <w:t xml:space="preserve">donnant lieu à une organisation des </w:t>
      </w:r>
      <w:r w:rsidR="00EE4D6B">
        <w:t xml:space="preserve">produits en </w:t>
      </w:r>
      <w:r w:rsidR="008B51E6">
        <w:t>familles technologiques</w:t>
      </w:r>
      <w:r w:rsidR="00C66322">
        <w:t xml:space="preserve"> (</w:t>
      </w:r>
      <w:r w:rsidR="00C66322">
        <w:fldChar w:fldCharType="begin"/>
      </w:r>
      <w:r w:rsidR="00C66322">
        <w:instrText xml:space="preserve"> REF _Ref68770538 \h </w:instrText>
      </w:r>
      <w:r w:rsidR="001C3155">
        <w:instrText xml:space="preserve"> \* MERGEFORMAT </w:instrText>
      </w:r>
      <w:r w:rsidR="00C66322">
        <w:fldChar w:fldCharType="separate"/>
      </w:r>
      <w:r w:rsidR="0007597F" w:rsidRPr="00C66322">
        <w:t xml:space="preserve">Tableau </w:t>
      </w:r>
      <w:r w:rsidR="0007597F">
        <w:rPr>
          <w:noProof/>
        </w:rPr>
        <w:t>49</w:t>
      </w:r>
      <w:r w:rsidR="00C66322">
        <w:fldChar w:fldCharType="end"/>
      </w:r>
      <w:r w:rsidR="00C66322">
        <w:t>).</w:t>
      </w:r>
    </w:p>
    <w:tbl>
      <w:tblPr>
        <w:tblW w:w="9497" w:type="dxa"/>
        <w:jc w:val="center"/>
        <w:tblCellMar>
          <w:left w:w="70" w:type="dxa"/>
          <w:right w:w="70" w:type="dxa"/>
        </w:tblCellMar>
        <w:tblLook w:val="04A0" w:firstRow="1" w:lastRow="0" w:firstColumn="1" w:lastColumn="0" w:noHBand="0" w:noVBand="1"/>
      </w:tblPr>
      <w:tblGrid>
        <w:gridCol w:w="567"/>
        <w:gridCol w:w="2491"/>
        <w:gridCol w:w="1880"/>
        <w:gridCol w:w="2260"/>
        <w:gridCol w:w="2299"/>
      </w:tblGrid>
      <w:tr w:rsidR="0015535C" w:rsidRPr="0015535C" w14:paraId="60C8CCFD" w14:textId="77777777" w:rsidTr="00181795">
        <w:trPr>
          <w:trHeight w:val="360"/>
          <w:jc w:val="center"/>
        </w:trPr>
        <w:tc>
          <w:tcPr>
            <w:tcW w:w="567" w:type="dxa"/>
            <w:tcBorders>
              <w:top w:val="nil"/>
              <w:left w:val="nil"/>
              <w:bottom w:val="nil"/>
              <w:right w:val="nil"/>
            </w:tcBorders>
            <w:shd w:val="clear" w:color="auto" w:fill="auto"/>
            <w:noWrap/>
            <w:vAlign w:val="center"/>
            <w:hideMark/>
          </w:tcPr>
          <w:p w14:paraId="16CFBBB5" w14:textId="77777777" w:rsidR="0015535C" w:rsidRPr="0015535C" w:rsidRDefault="0015535C" w:rsidP="001C3155">
            <w:pPr>
              <w:keepNext/>
              <w:spacing w:after="0" w:line="240" w:lineRule="auto"/>
              <w:jc w:val="center"/>
              <w:rPr>
                <w:rFonts w:ascii="Times New Roman" w:eastAsia="Times New Roman" w:hAnsi="Times New Roman" w:cs="Times New Roman"/>
                <w:sz w:val="24"/>
                <w:szCs w:val="24"/>
                <w:lang w:eastAsia="fr-FR"/>
              </w:rPr>
            </w:pPr>
          </w:p>
        </w:tc>
        <w:tc>
          <w:tcPr>
            <w:tcW w:w="4371" w:type="dxa"/>
            <w:gridSpan w:val="2"/>
            <w:tcBorders>
              <w:top w:val="single" w:sz="4" w:space="0" w:color="auto"/>
              <w:left w:val="single" w:sz="4" w:space="0" w:color="auto"/>
              <w:bottom w:val="single" w:sz="4" w:space="0" w:color="auto"/>
              <w:right w:val="single" w:sz="4" w:space="0" w:color="auto"/>
            </w:tcBorders>
            <w:shd w:val="clear" w:color="000000" w:fill="F2F2F2"/>
            <w:noWrap/>
            <w:vAlign w:val="center"/>
            <w:hideMark/>
          </w:tcPr>
          <w:p w14:paraId="3A60DA5B" w14:textId="77777777" w:rsidR="0015535C" w:rsidRPr="0015535C" w:rsidRDefault="0015535C" w:rsidP="001C3155">
            <w:pPr>
              <w:keepNext/>
              <w:spacing w:after="0" w:line="240" w:lineRule="auto"/>
              <w:jc w:val="center"/>
              <w:rPr>
                <w:rFonts w:eastAsia="Times New Roman" w:cs="Arial"/>
                <w:b/>
                <w:bCs/>
                <w:color w:val="000000"/>
                <w:sz w:val="18"/>
                <w:szCs w:val="18"/>
                <w:lang w:eastAsia="fr-FR"/>
              </w:rPr>
            </w:pPr>
            <w:r w:rsidRPr="0015535C">
              <w:rPr>
                <w:rFonts w:eastAsia="Times New Roman" w:cs="Arial"/>
                <w:b/>
                <w:bCs/>
                <w:color w:val="000000"/>
                <w:sz w:val="18"/>
                <w:szCs w:val="18"/>
                <w:lang w:eastAsia="fr-FR"/>
              </w:rPr>
              <w:t>Pièces ou morceaux de viande</w:t>
            </w:r>
          </w:p>
        </w:tc>
        <w:tc>
          <w:tcPr>
            <w:tcW w:w="4559" w:type="dxa"/>
            <w:gridSpan w:val="2"/>
            <w:tcBorders>
              <w:top w:val="single" w:sz="4" w:space="0" w:color="auto"/>
              <w:left w:val="nil"/>
              <w:bottom w:val="single" w:sz="4" w:space="0" w:color="auto"/>
              <w:right w:val="single" w:sz="4" w:space="0" w:color="auto"/>
            </w:tcBorders>
            <w:shd w:val="clear" w:color="000000" w:fill="F2F2F2"/>
            <w:vAlign w:val="center"/>
            <w:hideMark/>
          </w:tcPr>
          <w:p w14:paraId="30A5B977" w14:textId="262DB5DA" w:rsidR="0015535C" w:rsidRPr="0015535C" w:rsidRDefault="0015535C" w:rsidP="001C3155">
            <w:pPr>
              <w:keepNext/>
              <w:spacing w:after="0" w:line="240" w:lineRule="auto"/>
              <w:jc w:val="center"/>
              <w:rPr>
                <w:rFonts w:eastAsia="Times New Roman" w:cs="Arial"/>
                <w:b/>
                <w:bCs/>
                <w:color w:val="000000"/>
                <w:sz w:val="18"/>
                <w:szCs w:val="18"/>
                <w:lang w:eastAsia="fr-FR"/>
              </w:rPr>
            </w:pPr>
            <w:r w:rsidRPr="0015535C">
              <w:rPr>
                <w:rFonts w:eastAsia="Times New Roman" w:cs="Arial"/>
                <w:b/>
                <w:bCs/>
                <w:color w:val="000000"/>
                <w:sz w:val="18"/>
                <w:szCs w:val="18"/>
                <w:lang w:eastAsia="fr-FR"/>
              </w:rPr>
              <w:t xml:space="preserve">Viande </w:t>
            </w:r>
            <w:r w:rsidR="00F35067" w:rsidRPr="0015535C">
              <w:rPr>
                <w:rFonts w:eastAsia="Times New Roman" w:cs="Arial"/>
                <w:b/>
                <w:bCs/>
                <w:color w:val="000000"/>
                <w:sz w:val="18"/>
                <w:szCs w:val="18"/>
                <w:lang w:eastAsia="fr-FR"/>
              </w:rPr>
              <w:t>cutt</w:t>
            </w:r>
            <w:r w:rsidR="00F35067">
              <w:rPr>
                <w:rFonts w:eastAsia="Times New Roman" w:cs="Arial"/>
                <w:b/>
                <w:bCs/>
                <w:color w:val="000000"/>
                <w:sz w:val="18"/>
                <w:szCs w:val="18"/>
                <w:lang w:eastAsia="fr-FR"/>
              </w:rPr>
              <w:t>e</w:t>
            </w:r>
            <w:r w:rsidR="00F35067" w:rsidRPr="0015535C">
              <w:rPr>
                <w:rFonts w:eastAsia="Times New Roman" w:cs="Arial"/>
                <w:b/>
                <w:bCs/>
                <w:color w:val="000000"/>
                <w:sz w:val="18"/>
                <w:szCs w:val="18"/>
                <w:lang w:eastAsia="fr-FR"/>
              </w:rPr>
              <w:t>r</w:t>
            </w:r>
            <w:r w:rsidR="00F35067">
              <w:rPr>
                <w:rFonts w:eastAsia="Times New Roman" w:cs="Arial"/>
                <w:b/>
                <w:bCs/>
                <w:color w:val="000000"/>
                <w:sz w:val="18"/>
                <w:szCs w:val="18"/>
                <w:lang w:eastAsia="fr-FR"/>
              </w:rPr>
              <w:t>ée</w:t>
            </w:r>
            <w:r w:rsidRPr="0015535C">
              <w:rPr>
                <w:rFonts w:eastAsia="Times New Roman" w:cs="Arial"/>
                <w:b/>
                <w:bCs/>
                <w:color w:val="000000"/>
                <w:sz w:val="18"/>
                <w:szCs w:val="18"/>
                <w:lang w:eastAsia="fr-FR"/>
              </w:rPr>
              <w:t xml:space="preserve"> </w:t>
            </w:r>
            <w:r>
              <w:rPr>
                <w:rFonts w:eastAsia="Times New Roman" w:cs="Arial"/>
                <w:b/>
                <w:bCs/>
                <w:color w:val="000000"/>
                <w:sz w:val="18"/>
                <w:szCs w:val="18"/>
                <w:lang w:eastAsia="fr-FR"/>
              </w:rPr>
              <w:t>ou h</w:t>
            </w:r>
            <w:r w:rsidR="00F35067">
              <w:rPr>
                <w:rFonts w:eastAsia="Times New Roman" w:cs="Arial"/>
                <w:b/>
                <w:bCs/>
                <w:color w:val="000000"/>
                <w:sz w:val="18"/>
                <w:szCs w:val="18"/>
                <w:lang w:eastAsia="fr-FR"/>
              </w:rPr>
              <w:t>a</w:t>
            </w:r>
            <w:r>
              <w:rPr>
                <w:rFonts w:eastAsia="Times New Roman" w:cs="Arial"/>
                <w:b/>
                <w:bCs/>
                <w:color w:val="000000"/>
                <w:sz w:val="18"/>
                <w:szCs w:val="18"/>
                <w:lang w:eastAsia="fr-FR"/>
              </w:rPr>
              <w:t>chée</w:t>
            </w:r>
          </w:p>
        </w:tc>
      </w:tr>
      <w:tr w:rsidR="0015535C" w:rsidRPr="0015535C" w14:paraId="1922BE6F" w14:textId="77777777" w:rsidTr="00181795">
        <w:trPr>
          <w:trHeight w:val="510"/>
          <w:jc w:val="center"/>
        </w:trPr>
        <w:tc>
          <w:tcPr>
            <w:tcW w:w="567" w:type="dxa"/>
            <w:tcBorders>
              <w:top w:val="nil"/>
              <w:left w:val="nil"/>
              <w:bottom w:val="nil"/>
              <w:right w:val="nil"/>
            </w:tcBorders>
            <w:shd w:val="clear" w:color="auto" w:fill="auto"/>
            <w:noWrap/>
            <w:vAlign w:val="center"/>
            <w:hideMark/>
          </w:tcPr>
          <w:p w14:paraId="126D000C"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p>
        </w:tc>
        <w:tc>
          <w:tcPr>
            <w:tcW w:w="2491" w:type="dxa"/>
            <w:tcBorders>
              <w:top w:val="nil"/>
              <w:left w:val="single" w:sz="4" w:space="0" w:color="auto"/>
              <w:bottom w:val="single" w:sz="4" w:space="0" w:color="auto"/>
              <w:right w:val="single" w:sz="4" w:space="0" w:color="auto"/>
            </w:tcBorders>
            <w:shd w:val="clear" w:color="000000" w:fill="F2F2F2"/>
            <w:vAlign w:val="center"/>
            <w:hideMark/>
          </w:tcPr>
          <w:p w14:paraId="7AA782AE"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r w:rsidRPr="0015535C">
              <w:rPr>
                <w:rFonts w:eastAsia="Times New Roman" w:cs="Arial"/>
                <w:b/>
                <w:bCs/>
                <w:color w:val="000000"/>
                <w:sz w:val="18"/>
                <w:szCs w:val="18"/>
                <w:lang w:eastAsia="fr-FR"/>
              </w:rPr>
              <w:t xml:space="preserve">Famille technologique </w:t>
            </w:r>
          </w:p>
        </w:tc>
        <w:tc>
          <w:tcPr>
            <w:tcW w:w="1880" w:type="dxa"/>
            <w:tcBorders>
              <w:top w:val="nil"/>
              <w:left w:val="nil"/>
              <w:bottom w:val="single" w:sz="4" w:space="0" w:color="auto"/>
              <w:right w:val="single" w:sz="4" w:space="0" w:color="auto"/>
            </w:tcBorders>
            <w:shd w:val="clear" w:color="000000" w:fill="F2F2F2"/>
            <w:vAlign w:val="center"/>
            <w:hideMark/>
          </w:tcPr>
          <w:p w14:paraId="074D4181"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r w:rsidRPr="0015535C">
              <w:rPr>
                <w:rFonts w:eastAsia="Times New Roman" w:cs="Arial"/>
                <w:b/>
                <w:bCs/>
                <w:color w:val="000000"/>
                <w:sz w:val="18"/>
                <w:szCs w:val="18"/>
                <w:lang w:eastAsia="fr-FR"/>
              </w:rPr>
              <w:t>Principaux types de produits</w:t>
            </w:r>
          </w:p>
        </w:tc>
        <w:tc>
          <w:tcPr>
            <w:tcW w:w="2260" w:type="dxa"/>
            <w:tcBorders>
              <w:top w:val="nil"/>
              <w:left w:val="nil"/>
              <w:bottom w:val="single" w:sz="4" w:space="0" w:color="auto"/>
              <w:right w:val="single" w:sz="4" w:space="0" w:color="auto"/>
            </w:tcBorders>
            <w:shd w:val="clear" w:color="000000" w:fill="F2F2F2"/>
            <w:vAlign w:val="center"/>
            <w:hideMark/>
          </w:tcPr>
          <w:p w14:paraId="39D6A1BE"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r w:rsidRPr="0015535C">
              <w:rPr>
                <w:rFonts w:eastAsia="Times New Roman" w:cs="Arial"/>
                <w:b/>
                <w:bCs/>
                <w:color w:val="000000"/>
                <w:sz w:val="18"/>
                <w:szCs w:val="18"/>
                <w:lang w:eastAsia="fr-FR"/>
              </w:rPr>
              <w:t xml:space="preserve">Famille technologique </w:t>
            </w:r>
          </w:p>
        </w:tc>
        <w:tc>
          <w:tcPr>
            <w:tcW w:w="2299" w:type="dxa"/>
            <w:tcBorders>
              <w:top w:val="nil"/>
              <w:left w:val="nil"/>
              <w:bottom w:val="single" w:sz="4" w:space="0" w:color="auto"/>
              <w:right w:val="single" w:sz="4" w:space="0" w:color="auto"/>
            </w:tcBorders>
            <w:shd w:val="clear" w:color="000000" w:fill="F2F2F2"/>
            <w:vAlign w:val="center"/>
            <w:hideMark/>
          </w:tcPr>
          <w:p w14:paraId="7A07D27B" w14:textId="77777777" w:rsidR="0015535C" w:rsidRPr="0015535C" w:rsidRDefault="0015535C" w:rsidP="001C3155">
            <w:pPr>
              <w:keepNext/>
              <w:spacing w:after="0" w:line="240" w:lineRule="auto"/>
              <w:jc w:val="left"/>
              <w:rPr>
                <w:rFonts w:eastAsia="Times New Roman" w:cs="Arial"/>
                <w:b/>
                <w:bCs/>
                <w:color w:val="000000"/>
                <w:sz w:val="18"/>
                <w:szCs w:val="18"/>
                <w:lang w:eastAsia="fr-FR"/>
              </w:rPr>
            </w:pPr>
            <w:r w:rsidRPr="0015535C">
              <w:rPr>
                <w:rFonts w:eastAsia="Times New Roman" w:cs="Arial"/>
                <w:b/>
                <w:bCs/>
                <w:color w:val="000000"/>
                <w:sz w:val="18"/>
                <w:szCs w:val="18"/>
                <w:lang w:eastAsia="fr-FR"/>
              </w:rPr>
              <w:t>Principaux types de produits</w:t>
            </w:r>
          </w:p>
        </w:tc>
      </w:tr>
      <w:tr w:rsidR="0015535C" w:rsidRPr="0015535C" w14:paraId="130ABEA5" w14:textId="77777777" w:rsidTr="00181795">
        <w:trPr>
          <w:trHeight w:val="465"/>
          <w:jc w:val="center"/>
        </w:trPr>
        <w:tc>
          <w:tcPr>
            <w:tcW w:w="567" w:type="dxa"/>
            <w:tcBorders>
              <w:top w:val="single" w:sz="4" w:space="0" w:color="auto"/>
              <w:left w:val="single" w:sz="4" w:space="0" w:color="auto"/>
              <w:bottom w:val="nil"/>
              <w:right w:val="nil"/>
            </w:tcBorders>
            <w:shd w:val="clear" w:color="auto" w:fill="D9D9D9" w:themeFill="background1" w:themeFillShade="D9"/>
            <w:noWrap/>
            <w:vAlign w:val="center"/>
            <w:hideMark/>
          </w:tcPr>
          <w:p w14:paraId="64F064A4"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xml:space="preserve">Cru </w:t>
            </w:r>
          </w:p>
        </w:tc>
        <w:tc>
          <w:tcPr>
            <w:tcW w:w="2491" w:type="dxa"/>
            <w:tcBorders>
              <w:top w:val="nil"/>
              <w:left w:val="single" w:sz="4" w:space="0" w:color="auto"/>
              <w:bottom w:val="nil"/>
              <w:right w:val="single" w:sz="4" w:space="0" w:color="auto"/>
            </w:tcBorders>
            <w:shd w:val="clear" w:color="auto" w:fill="auto"/>
            <w:noWrap/>
            <w:vAlign w:val="center"/>
            <w:hideMark/>
          </w:tcPr>
          <w:p w14:paraId="7551C9E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1. Pièces et morceaux crus</w:t>
            </w:r>
          </w:p>
        </w:tc>
        <w:tc>
          <w:tcPr>
            <w:tcW w:w="1880" w:type="dxa"/>
            <w:vMerge w:val="restart"/>
            <w:tcBorders>
              <w:top w:val="nil"/>
              <w:left w:val="single" w:sz="4" w:space="0" w:color="auto"/>
              <w:bottom w:val="single" w:sz="4" w:space="0" w:color="000000"/>
              <w:right w:val="single" w:sz="4" w:space="0" w:color="auto"/>
            </w:tcBorders>
            <w:shd w:val="clear" w:color="auto" w:fill="auto"/>
            <w:vAlign w:val="center"/>
            <w:hideMark/>
          </w:tcPr>
          <w:p w14:paraId="5DBAC8E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Lardons, palettes à la diable, petit salé</w:t>
            </w:r>
          </w:p>
        </w:tc>
        <w:tc>
          <w:tcPr>
            <w:tcW w:w="2260" w:type="dxa"/>
            <w:vMerge w:val="restart"/>
            <w:tcBorders>
              <w:top w:val="nil"/>
              <w:left w:val="single" w:sz="4" w:space="0" w:color="auto"/>
              <w:bottom w:val="single" w:sz="4" w:space="0" w:color="000000"/>
              <w:right w:val="single" w:sz="4" w:space="0" w:color="auto"/>
            </w:tcBorders>
            <w:shd w:val="clear" w:color="auto" w:fill="auto"/>
            <w:vAlign w:val="center"/>
            <w:hideMark/>
          </w:tcPr>
          <w:p w14:paraId="61BB269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4. Saucisse et saucisson crus, à cuire</w:t>
            </w:r>
          </w:p>
        </w:tc>
        <w:tc>
          <w:tcPr>
            <w:tcW w:w="2299" w:type="dxa"/>
            <w:tcBorders>
              <w:top w:val="nil"/>
              <w:left w:val="nil"/>
              <w:bottom w:val="nil"/>
              <w:right w:val="single" w:sz="4" w:space="0" w:color="auto"/>
            </w:tcBorders>
            <w:shd w:val="clear" w:color="auto" w:fill="auto"/>
            <w:vAlign w:val="center"/>
            <w:hideMark/>
          </w:tcPr>
          <w:p w14:paraId="63C4E179"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Saucisse à cuire, à griller, à rôtir</w:t>
            </w:r>
          </w:p>
        </w:tc>
      </w:tr>
      <w:tr w:rsidR="0015535C" w:rsidRPr="0015535C" w14:paraId="50564016" w14:textId="77777777" w:rsidTr="00181795">
        <w:trPr>
          <w:trHeight w:val="480"/>
          <w:jc w:val="center"/>
        </w:trPr>
        <w:tc>
          <w:tcPr>
            <w:tcW w:w="567" w:type="dxa"/>
            <w:tcBorders>
              <w:top w:val="nil"/>
              <w:left w:val="single" w:sz="4" w:space="0" w:color="auto"/>
              <w:bottom w:val="single" w:sz="4" w:space="0" w:color="auto"/>
              <w:right w:val="nil"/>
            </w:tcBorders>
            <w:shd w:val="clear" w:color="auto" w:fill="D9D9D9" w:themeFill="background1" w:themeFillShade="D9"/>
            <w:noWrap/>
            <w:vAlign w:val="center"/>
            <w:hideMark/>
          </w:tcPr>
          <w:p w14:paraId="1E4071B2"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single" w:sz="4" w:space="0" w:color="auto"/>
              <w:right w:val="single" w:sz="4" w:space="0" w:color="auto"/>
            </w:tcBorders>
            <w:shd w:val="clear" w:color="auto" w:fill="auto"/>
            <w:noWrap/>
            <w:vAlign w:val="center"/>
            <w:hideMark/>
          </w:tcPr>
          <w:p w14:paraId="2956848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vMerge/>
            <w:tcBorders>
              <w:top w:val="nil"/>
              <w:left w:val="single" w:sz="4" w:space="0" w:color="auto"/>
              <w:bottom w:val="single" w:sz="4" w:space="0" w:color="000000"/>
              <w:right w:val="single" w:sz="4" w:space="0" w:color="auto"/>
            </w:tcBorders>
            <w:vAlign w:val="center"/>
            <w:hideMark/>
          </w:tcPr>
          <w:p w14:paraId="7726A766" w14:textId="77777777"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60" w:type="dxa"/>
            <w:vMerge/>
            <w:tcBorders>
              <w:top w:val="nil"/>
              <w:left w:val="single" w:sz="4" w:space="0" w:color="auto"/>
              <w:bottom w:val="single" w:sz="4" w:space="0" w:color="000000"/>
              <w:right w:val="single" w:sz="4" w:space="0" w:color="auto"/>
            </w:tcBorders>
            <w:vAlign w:val="center"/>
            <w:hideMark/>
          </w:tcPr>
          <w:p w14:paraId="20F0E007" w14:textId="77777777"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99" w:type="dxa"/>
            <w:tcBorders>
              <w:top w:val="nil"/>
              <w:left w:val="nil"/>
              <w:bottom w:val="single" w:sz="4" w:space="0" w:color="auto"/>
              <w:right w:val="single" w:sz="4" w:space="0" w:color="auto"/>
            </w:tcBorders>
            <w:shd w:val="clear" w:color="auto" w:fill="auto"/>
            <w:vAlign w:val="center"/>
            <w:hideMark/>
          </w:tcPr>
          <w:p w14:paraId="53CF3CA4"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Saucisson cru, à cuire, à griller, à rôtir</w:t>
            </w:r>
          </w:p>
        </w:tc>
      </w:tr>
      <w:tr w:rsidR="0015535C" w:rsidRPr="0015535C" w14:paraId="75B36170" w14:textId="77777777" w:rsidTr="00181795">
        <w:trPr>
          <w:trHeight w:val="381"/>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17E56409"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Sec</w:t>
            </w:r>
          </w:p>
        </w:tc>
        <w:tc>
          <w:tcPr>
            <w:tcW w:w="2491" w:type="dxa"/>
            <w:tcBorders>
              <w:top w:val="nil"/>
              <w:left w:val="single" w:sz="4" w:space="0" w:color="auto"/>
              <w:bottom w:val="nil"/>
              <w:right w:val="single" w:sz="4" w:space="0" w:color="auto"/>
            </w:tcBorders>
            <w:shd w:val="clear" w:color="auto" w:fill="auto"/>
            <w:noWrap/>
            <w:vAlign w:val="center"/>
            <w:hideMark/>
          </w:tcPr>
          <w:p w14:paraId="563B7127"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2. Pièces et morceaux secs</w:t>
            </w:r>
          </w:p>
        </w:tc>
        <w:tc>
          <w:tcPr>
            <w:tcW w:w="18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170D4B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Jambon cru, sec</w:t>
            </w:r>
          </w:p>
        </w:tc>
        <w:tc>
          <w:tcPr>
            <w:tcW w:w="2260" w:type="dxa"/>
            <w:vMerge w:val="restart"/>
            <w:tcBorders>
              <w:top w:val="nil"/>
              <w:left w:val="single" w:sz="4" w:space="0" w:color="auto"/>
              <w:bottom w:val="single" w:sz="4" w:space="0" w:color="000000"/>
              <w:right w:val="single" w:sz="4" w:space="0" w:color="auto"/>
            </w:tcBorders>
            <w:shd w:val="clear" w:color="auto" w:fill="auto"/>
            <w:vAlign w:val="center"/>
            <w:hideMark/>
          </w:tcPr>
          <w:p w14:paraId="209E1BE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5. Saucisses et saucissons secs</w:t>
            </w:r>
          </w:p>
        </w:tc>
        <w:tc>
          <w:tcPr>
            <w:tcW w:w="2299" w:type="dxa"/>
            <w:tcBorders>
              <w:top w:val="nil"/>
              <w:left w:val="nil"/>
              <w:bottom w:val="nil"/>
              <w:right w:val="single" w:sz="4" w:space="0" w:color="auto"/>
            </w:tcBorders>
            <w:shd w:val="clear" w:color="auto" w:fill="auto"/>
            <w:vAlign w:val="center"/>
            <w:hideMark/>
          </w:tcPr>
          <w:p w14:paraId="6CA0F3B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Saucisson sec</w:t>
            </w:r>
          </w:p>
        </w:tc>
      </w:tr>
      <w:tr w:rsidR="0015535C" w:rsidRPr="0015535C" w14:paraId="35E217E8" w14:textId="77777777" w:rsidTr="00181795">
        <w:trPr>
          <w:trHeight w:val="255"/>
          <w:jc w:val="center"/>
        </w:trPr>
        <w:tc>
          <w:tcPr>
            <w:tcW w:w="567" w:type="dxa"/>
            <w:tcBorders>
              <w:top w:val="nil"/>
              <w:left w:val="single" w:sz="4" w:space="0" w:color="auto"/>
              <w:bottom w:val="single" w:sz="4" w:space="0" w:color="auto"/>
              <w:right w:val="nil"/>
            </w:tcBorders>
            <w:shd w:val="clear" w:color="auto" w:fill="D9D9D9" w:themeFill="background1" w:themeFillShade="D9"/>
            <w:noWrap/>
            <w:vAlign w:val="center"/>
            <w:hideMark/>
          </w:tcPr>
          <w:p w14:paraId="7DAE067C"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single" w:sz="4" w:space="0" w:color="auto"/>
              <w:right w:val="single" w:sz="4" w:space="0" w:color="auto"/>
            </w:tcBorders>
            <w:shd w:val="clear" w:color="auto" w:fill="auto"/>
            <w:noWrap/>
            <w:vAlign w:val="center"/>
            <w:hideMark/>
          </w:tcPr>
          <w:p w14:paraId="183BCC8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vMerge/>
            <w:tcBorders>
              <w:top w:val="nil"/>
              <w:left w:val="single" w:sz="4" w:space="0" w:color="auto"/>
              <w:bottom w:val="single" w:sz="4" w:space="0" w:color="000000"/>
              <w:right w:val="single" w:sz="4" w:space="0" w:color="auto"/>
            </w:tcBorders>
            <w:vAlign w:val="center"/>
            <w:hideMark/>
          </w:tcPr>
          <w:p w14:paraId="4922AFF6" w14:textId="77777777"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60" w:type="dxa"/>
            <w:vMerge/>
            <w:tcBorders>
              <w:top w:val="nil"/>
              <w:left w:val="single" w:sz="4" w:space="0" w:color="auto"/>
              <w:bottom w:val="single" w:sz="4" w:space="0" w:color="000000"/>
              <w:right w:val="single" w:sz="4" w:space="0" w:color="auto"/>
            </w:tcBorders>
            <w:vAlign w:val="center"/>
            <w:hideMark/>
          </w:tcPr>
          <w:p w14:paraId="52C54470" w14:textId="77777777"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99" w:type="dxa"/>
            <w:tcBorders>
              <w:top w:val="nil"/>
              <w:left w:val="nil"/>
              <w:bottom w:val="single" w:sz="4" w:space="0" w:color="auto"/>
              <w:right w:val="single" w:sz="4" w:space="0" w:color="auto"/>
            </w:tcBorders>
            <w:shd w:val="clear" w:color="auto" w:fill="auto"/>
            <w:vAlign w:val="center"/>
            <w:hideMark/>
          </w:tcPr>
          <w:p w14:paraId="74DF4EE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Chorizo</w:t>
            </w:r>
          </w:p>
        </w:tc>
      </w:tr>
      <w:tr w:rsidR="0015535C" w:rsidRPr="0015535C" w14:paraId="44805316" w14:textId="77777777" w:rsidTr="00181795">
        <w:trPr>
          <w:trHeight w:val="519"/>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3DBBF706"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Cuit</w:t>
            </w:r>
          </w:p>
        </w:tc>
        <w:tc>
          <w:tcPr>
            <w:tcW w:w="2491" w:type="dxa"/>
            <w:tcBorders>
              <w:top w:val="nil"/>
              <w:left w:val="single" w:sz="4" w:space="0" w:color="auto"/>
              <w:bottom w:val="nil"/>
              <w:right w:val="single" w:sz="4" w:space="0" w:color="auto"/>
            </w:tcBorders>
            <w:shd w:val="clear" w:color="auto" w:fill="auto"/>
            <w:noWrap/>
            <w:vAlign w:val="center"/>
            <w:hideMark/>
          </w:tcPr>
          <w:p w14:paraId="6F006F8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3. Pièces et morceaux cuits</w:t>
            </w:r>
          </w:p>
        </w:tc>
        <w:tc>
          <w:tcPr>
            <w:tcW w:w="1880" w:type="dxa"/>
            <w:tcBorders>
              <w:top w:val="nil"/>
              <w:left w:val="nil"/>
              <w:bottom w:val="nil"/>
              <w:right w:val="single" w:sz="4" w:space="0" w:color="auto"/>
            </w:tcBorders>
            <w:shd w:val="clear" w:color="auto" w:fill="auto"/>
            <w:noWrap/>
            <w:vAlign w:val="center"/>
            <w:hideMark/>
          </w:tcPr>
          <w:p w14:paraId="7EC4744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Jambon cuit</w:t>
            </w:r>
          </w:p>
        </w:tc>
        <w:tc>
          <w:tcPr>
            <w:tcW w:w="2260" w:type="dxa"/>
            <w:tcBorders>
              <w:top w:val="nil"/>
              <w:left w:val="nil"/>
              <w:bottom w:val="nil"/>
              <w:right w:val="single" w:sz="4" w:space="0" w:color="auto"/>
            </w:tcBorders>
            <w:shd w:val="clear" w:color="auto" w:fill="auto"/>
            <w:vAlign w:val="center"/>
            <w:hideMark/>
          </w:tcPr>
          <w:p w14:paraId="51AD8B9A"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6. Saucisses et saucissons cuits</w:t>
            </w:r>
          </w:p>
        </w:tc>
        <w:tc>
          <w:tcPr>
            <w:tcW w:w="2299" w:type="dxa"/>
            <w:tcBorders>
              <w:top w:val="nil"/>
              <w:left w:val="nil"/>
              <w:bottom w:val="nil"/>
              <w:right w:val="single" w:sz="4" w:space="0" w:color="auto"/>
            </w:tcBorders>
            <w:shd w:val="clear" w:color="auto" w:fill="auto"/>
            <w:vAlign w:val="center"/>
            <w:hideMark/>
          </w:tcPr>
          <w:p w14:paraId="09D17BA0"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Saucisson cuit </w:t>
            </w:r>
          </w:p>
        </w:tc>
      </w:tr>
      <w:tr w:rsidR="0015535C" w:rsidRPr="0015535C" w14:paraId="6C4FDFAB" w14:textId="77777777" w:rsidTr="00181795">
        <w:trPr>
          <w:trHeight w:val="480"/>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0A00420C"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46F26BA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5D1990D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Rôti cuit</w:t>
            </w:r>
          </w:p>
        </w:tc>
        <w:tc>
          <w:tcPr>
            <w:tcW w:w="2260" w:type="dxa"/>
            <w:tcBorders>
              <w:top w:val="nil"/>
              <w:left w:val="nil"/>
              <w:bottom w:val="nil"/>
              <w:right w:val="single" w:sz="4" w:space="0" w:color="auto"/>
            </w:tcBorders>
            <w:shd w:val="clear" w:color="auto" w:fill="auto"/>
            <w:vAlign w:val="center"/>
            <w:hideMark/>
          </w:tcPr>
          <w:p w14:paraId="38D70690"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99" w:type="dxa"/>
            <w:tcBorders>
              <w:top w:val="nil"/>
              <w:left w:val="nil"/>
              <w:bottom w:val="nil"/>
              <w:right w:val="single" w:sz="4" w:space="0" w:color="auto"/>
            </w:tcBorders>
            <w:shd w:val="clear" w:color="auto" w:fill="auto"/>
            <w:vAlign w:val="center"/>
            <w:hideMark/>
          </w:tcPr>
          <w:p w14:paraId="2C23967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Saucisse de Strasbourg, cervelas, knacks</w:t>
            </w:r>
          </w:p>
        </w:tc>
      </w:tr>
      <w:tr w:rsidR="0015535C" w:rsidRPr="0015535C" w14:paraId="068586D2" w14:textId="77777777" w:rsidTr="00181795">
        <w:trPr>
          <w:trHeight w:val="25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4F4482CE"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125AF108"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45DD6B5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Jambon persillé</w:t>
            </w:r>
          </w:p>
        </w:tc>
        <w:tc>
          <w:tcPr>
            <w:tcW w:w="2260" w:type="dxa"/>
            <w:tcBorders>
              <w:top w:val="nil"/>
              <w:left w:val="nil"/>
              <w:bottom w:val="nil"/>
              <w:right w:val="single" w:sz="4" w:space="0" w:color="auto"/>
            </w:tcBorders>
            <w:shd w:val="clear" w:color="auto" w:fill="auto"/>
            <w:vAlign w:val="center"/>
            <w:hideMark/>
          </w:tcPr>
          <w:p w14:paraId="5A6CB61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99" w:type="dxa"/>
            <w:tcBorders>
              <w:top w:val="nil"/>
              <w:left w:val="nil"/>
              <w:bottom w:val="nil"/>
              <w:right w:val="single" w:sz="4" w:space="0" w:color="auto"/>
            </w:tcBorders>
            <w:shd w:val="clear" w:color="auto" w:fill="auto"/>
            <w:vAlign w:val="center"/>
            <w:hideMark/>
          </w:tcPr>
          <w:p w14:paraId="17933C8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Mortadelle</w:t>
            </w:r>
          </w:p>
        </w:tc>
      </w:tr>
      <w:tr w:rsidR="0015535C" w:rsidRPr="0015535C" w14:paraId="1B9964A9" w14:textId="77777777" w:rsidTr="00181795">
        <w:trPr>
          <w:trHeight w:val="46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4B91EB39" w14:textId="77777777" w:rsidR="0015535C" w:rsidRPr="0015535C" w:rsidRDefault="0015535C" w:rsidP="001C3155">
            <w:pPr>
              <w:keepNext/>
              <w:spacing w:after="0" w:line="240" w:lineRule="auto"/>
              <w:jc w:val="center"/>
              <w:rPr>
                <w:rFonts w:eastAsia="Times New Roman" w:cs="Arial"/>
                <w:b/>
                <w:color w:val="000000"/>
                <w:sz w:val="18"/>
                <w:szCs w:val="18"/>
                <w:lang w:eastAsia="fr-FR"/>
              </w:rPr>
            </w:pPr>
            <w:r w:rsidRPr="0015535C">
              <w:rPr>
                <w:rFonts w:eastAsia="Times New Roman" w:cs="Arial"/>
                <w:b/>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37F9C7BE"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04709C4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Viandes en gelée </w:t>
            </w:r>
          </w:p>
        </w:tc>
        <w:tc>
          <w:tcPr>
            <w:tcW w:w="2260" w:type="dxa"/>
            <w:tcBorders>
              <w:top w:val="nil"/>
              <w:left w:val="nil"/>
              <w:bottom w:val="nil"/>
              <w:right w:val="single" w:sz="4" w:space="0" w:color="auto"/>
            </w:tcBorders>
            <w:shd w:val="clear" w:color="auto" w:fill="auto"/>
            <w:vAlign w:val="center"/>
            <w:hideMark/>
          </w:tcPr>
          <w:p w14:paraId="6F289BA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7. Pâtés, galantines, ballotines </w:t>
            </w:r>
          </w:p>
        </w:tc>
        <w:tc>
          <w:tcPr>
            <w:tcW w:w="2299" w:type="dxa"/>
            <w:tcBorders>
              <w:top w:val="nil"/>
              <w:left w:val="nil"/>
              <w:bottom w:val="nil"/>
              <w:right w:val="single" w:sz="4" w:space="0" w:color="auto"/>
            </w:tcBorders>
            <w:shd w:val="clear" w:color="auto" w:fill="auto"/>
            <w:vAlign w:val="center"/>
            <w:hideMark/>
          </w:tcPr>
          <w:p w14:paraId="03E8F8B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Pâtes de campagne </w:t>
            </w:r>
          </w:p>
        </w:tc>
      </w:tr>
      <w:tr w:rsidR="0015535C" w:rsidRPr="0015535C" w14:paraId="290DDB9B" w14:textId="77777777" w:rsidTr="00181795">
        <w:trPr>
          <w:trHeight w:val="25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66B7705F"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265EE99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22333F9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231B2427" w14:textId="5B57A7E3" w:rsidR="0015535C" w:rsidRPr="0015535C" w:rsidRDefault="0015535C" w:rsidP="001C3155">
            <w:pPr>
              <w:keepNext/>
              <w:spacing w:after="0" w:line="240" w:lineRule="auto"/>
              <w:jc w:val="left"/>
              <w:rPr>
                <w:rFonts w:eastAsia="Times New Roman" w:cs="Arial"/>
                <w:color w:val="000000"/>
                <w:sz w:val="18"/>
                <w:szCs w:val="18"/>
                <w:lang w:eastAsia="fr-FR"/>
              </w:rPr>
            </w:pPr>
          </w:p>
        </w:tc>
        <w:tc>
          <w:tcPr>
            <w:tcW w:w="2299" w:type="dxa"/>
            <w:tcBorders>
              <w:top w:val="nil"/>
              <w:left w:val="nil"/>
              <w:bottom w:val="nil"/>
              <w:right w:val="single" w:sz="4" w:space="0" w:color="auto"/>
            </w:tcBorders>
            <w:shd w:val="clear" w:color="auto" w:fill="auto"/>
            <w:vAlign w:val="center"/>
            <w:hideMark/>
          </w:tcPr>
          <w:p w14:paraId="6346AAA8"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Mousse de foie </w:t>
            </w:r>
          </w:p>
        </w:tc>
      </w:tr>
      <w:tr w:rsidR="0015535C" w:rsidRPr="0015535C" w14:paraId="237F7CA4" w14:textId="77777777" w:rsidTr="00181795">
        <w:trPr>
          <w:trHeight w:val="25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13AE845B"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29184FA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24B3B2A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1CD9580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8. Rillettes</w:t>
            </w:r>
          </w:p>
        </w:tc>
        <w:tc>
          <w:tcPr>
            <w:tcW w:w="2299" w:type="dxa"/>
            <w:tcBorders>
              <w:top w:val="nil"/>
              <w:left w:val="nil"/>
              <w:bottom w:val="nil"/>
              <w:right w:val="single" w:sz="4" w:space="0" w:color="auto"/>
            </w:tcBorders>
            <w:shd w:val="clear" w:color="auto" w:fill="auto"/>
            <w:vAlign w:val="center"/>
            <w:hideMark/>
          </w:tcPr>
          <w:p w14:paraId="59120610"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Rillettes de porc</w:t>
            </w:r>
          </w:p>
        </w:tc>
      </w:tr>
      <w:tr w:rsidR="0015535C" w:rsidRPr="0015535C" w14:paraId="671454F1" w14:textId="77777777" w:rsidTr="00181795">
        <w:trPr>
          <w:trHeight w:val="47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6CDD5779"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0271AA22"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5D98807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3E8626B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9. Produits à base de tête</w:t>
            </w:r>
          </w:p>
        </w:tc>
        <w:tc>
          <w:tcPr>
            <w:tcW w:w="2299" w:type="dxa"/>
            <w:tcBorders>
              <w:top w:val="nil"/>
              <w:left w:val="nil"/>
              <w:bottom w:val="nil"/>
              <w:right w:val="single" w:sz="4" w:space="0" w:color="auto"/>
            </w:tcBorders>
            <w:shd w:val="clear" w:color="auto" w:fill="auto"/>
            <w:vAlign w:val="center"/>
            <w:hideMark/>
          </w:tcPr>
          <w:p w14:paraId="3B87E2C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Museau de porc, fromage de tête</w:t>
            </w:r>
          </w:p>
        </w:tc>
      </w:tr>
      <w:tr w:rsidR="0015535C" w:rsidRPr="0015535C" w14:paraId="35E5A7F6" w14:textId="77777777" w:rsidTr="00181795">
        <w:trPr>
          <w:trHeight w:val="450"/>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120BA188"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63409B2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408DCCB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1AF43BC4"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10. Andouilles, andouillettes</w:t>
            </w:r>
          </w:p>
        </w:tc>
        <w:tc>
          <w:tcPr>
            <w:tcW w:w="2299" w:type="dxa"/>
            <w:tcBorders>
              <w:top w:val="nil"/>
              <w:left w:val="nil"/>
              <w:bottom w:val="nil"/>
              <w:right w:val="single" w:sz="4" w:space="0" w:color="auto"/>
            </w:tcBorders>
            <w:shd w:val="clear" w:color="auto" w:fill="auto"/>
            <w:vAlign w:val="center"/>
            <w:hideMark/>
          </w:tcPr>
          <w:p w14:paraId="26A57E29"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Andouillette</w:t>
            </w:r>
          </w:p>
        </w:tc>
      </w:tr>
      <w:tr w:rsidR="0015535C" w:rsidRPr="0015535C" w14:paraId="05A7C34C" w14:textId="77777777" w:rsidTr="00181795">
        <w:trPr>
          <w:trHeight w:val="255"/>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466963A1"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541FFA78"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69D8A568"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374E827D"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11. Tripes, pieds </w:t>
            </w:r>
          </w:p>
        </w:tc>
        <w:tc>
          <w:tcPr>
            <w:tcW w:w="2299" w:type="dxa"/>
            <w:tcBorders>
              <w:top w:val="nil"/>
              <w:left w:val="nil"/>
              <w:bottom w:val="nil"/>
              <w:right w:val="single" w:sz="4" w:space="0" w:color="auto"/>
            </w:tcBorders>
            <w:shd w:val="clear" w:color="auto" w:fill="auto"/>
            <w:vAlign w:val="center"/>
            <w:hideMark/>
          </w:tcPr>
          <w:p w14:paraId="59F0CAFA"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Tripes, tripoux</w:t>
            </w:r>
          </w:p>
        </w:tc>
      </w:tr>
      <w:tr w:rsidR="0015535C" w:rsidRPr="0015535C" w14:paraId="342B4CFC" w14:textId="77777777" w:rsidTr="00181795">
        <w:trPr>
          <w:trHeight w:val="294"/>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0FFBF25C"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4F8D6C4B"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7F804DE9"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7839ED96"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12. Boudins noirs </w:t>
            </w:r>
          </w:p>
        </w:tc>
        <w:tc>
          <w:tcPr>
            <w:tcW w:w="2299" w:type="dxa"/>
            <w:tcBorders>
              <w:top w:val="nil"/>
              <w:left w:val="nil"/>
              <w:bottom w:val="nil"/>
              <w:right w:val="single" w:sz="4" w:space="0" w:color="auto"/>
            </w:tcBorders>
            <w:shd w:val="clear" w:color="auto" w:fill="auto"/>
            <w:vAlign w:val="center"/>
            <w:hideMark/>
          </w:tcPr>
          <w:p w14:paraId="615C7CC4"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Boudins noirs </w:t>
            </w:r>
          </w:p>
        </w:tc>
      </w:tr>
      <w:tr w:rsidR="0015535C" w:rsidRPr="0015535C" w14:paraId="08C656A4" w14:textId="77777777" w:rsidTr="00181795">
        <w:trPr>
          <w:trHeight w:val="450"/>
          <w:jc w:val="center"/>
        </w:trPr>
        <w:tc>
          <w:tcPr>
            <w:tcW w:w="567" w:type="dxa"/>
            <w:tcBorders>
              <w:top w:val="nil"/>
              <w:left w:val="single" w:sz="4" w:space="0" w:color="auto"/>
              <w:bottom w:val="nil"/>
              <w:right w:val="nil"/>
            </w:tcBorders>
            <w:shd w:val="clear" w:color="auto" w:fill="D9D9D9" w:themeFill="background1" w:themeFillShade="D9"/>
            <w:noWrap/>
            <w:vAlign w:val="center"/>
            <w:hideMark/>
          </w:tcPr>
          <w:p w14:paraId="7C353AF5"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nil"/>
              <w:right w:val="single" w:sz="4" w:space="0" w:color="auto"/>
            </w:tcBorders>
            <w:shd w:val="clear" w:color="auto" w:fill="auto"/>
            <w:noWrap/>
            <w:vAlign w:val="center"/>
            <w:hideMark/>
          </w:tcPr>
          <w:p w14:paraId="2123B9EC"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nil"/>
              <w:right w:val="single" w:sz="4" w:space="0" w:color="auto"/>
            </w:tcBorders>
            <w:shd w:val="clear" w:color="auto" w:fill="auto"/>
            <w:noWrap/>
            <w:vAlign w:val="center"/>
            <w:hideMark/>
          </w:tcPr>
          <w:p w14:paraId="72A06261"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nil"/>
              <w:right w:val="single" w:sz="4" w:space="0" w:color="auto"/>
            </w:tcBorders>
            <w:shd w:val="clear" w:color="auto" w:fill="auto"/>
            <w:vAlign w:val="center"/>
            <w:hideMark/>
          </w:tcPr>
          <w:p w14:paraId="0DEB26AA"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13. Boudins blancs, quenelles </w:t>
            </w:r>
          </w:p>
        </w:tc>
        <w:tc>
          <w:tcPr>
            <w:tcW w:w="2299" w:type="dxa"/>
            <w:tcBorders>
              <w:top w:val="nil"/>
              <w:left w:val="nil"/>
              <w:bottom w:val="nil"/>
              <w:right w:val="single" w:sz="4" w:space="0" w:color="auto"/>
            </w:tcBorders>
            <w:shd w:val="clear" w:color="auto" w:fill="auto"/>
            <w:vAlign w:val="center"/>
            <w:hideMark/>
          </w:tcPr>
          <w:p w14:paraId="11371251"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Boudins blancs </w:t>
            </w:r>
          </w:p>
        </w:tc>
      </w:tr>
      <w:tr w:rsidR="0015535C" w:rsidRPr="0015535C" w14:paraId="321FA368" w14:textId="77777777" w:rsidTr="00181795">
        <w:trPr>
          <w:trHeight w:val="345"/>
          <w:jc w:val="center"/>
        </w:trPr>
        <w:tc>
          <w:tcPr>
            <w:tcW w:w="567" w:type="dxa"/>
            <w:tcBorders>
              <w:top w:val="nil"/>
              <w:left w:val="single" w:sz="4" w:space="0" w:color="auto"/>
              <w:bottom w:val="single" w:sz="4" w:space="0" w:color="auto"/>
              <w:right w:val="nil"/>
            </w:tcBorders>
            <w:shd w:val="clear" w:color="auto" w:fill="D9D9D9" w:themeFill="background1" w:themeFillShade="D9"/>
            <w:noWrap/>
            <w:vAlign w:val="center"/>
            <w:hideMark/>
          </w:tcPr>
          <w:p w14:paraId="3BF6814F" w14:textId="77777777" w:rsidR="0015535C" w:rsidRPr="0015535C" w:rsidRDefault="0015535C" w:rsidP="001C3155">
            <w:pPr>
              <w:keepNext/>
              <w:spacing w:after="0" w:line="240" w:lineRule="auto"/>
              <w:jc w:val="center"/>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491" w:type="dxa"/>
            <w:tcBorders>
              <w:top w:val="nil"/>
              <w:left w:val="single" w:sz="4" w:space="0" w:color="auto"/>
              <w:bottom w:val="single" w:sz="4" w:space="0" w:color="auto"/>
              <w:right w:val="single" w:sz="4" w:space="0" w:color="auto"/>
            </w:tcBorders>
            <w:shd w:val="clear" w:color="auto" w:fill="auto"/>
            <w:noWrap/>
            <w:vAlign w:val="center"/>
            <w:hideMark/>
          </w:tcPr>
          <w:p w14:paraId="7ACB8239"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1880" w:type="dxa"/>
            <w:tcBorders>
              <w:top w:val="nil"/>
              <w:left w:val="nil"/>
              <w:bottom w:val="single" w:sz="4" w:space="0" w:color="auto"/>
              <w:right w:val="single" w:sz="4" w:space="0" w:color="auto"/>
            </w:tcBorders>
            <w:shd w:val="clear" w:color="auto" w:fill="auto"/>
            <w:noWrap/>
            <w:vAlign w:val="center"/>
            <w:hideMark/>
          </w:tcPr>
          <w:p w14:paraId="6C4FAC55"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w:t>
            </w:r>
          </w:p>
        </w:tc>
        <w:tc>
          <w:tcPr>
            <w:tcW w:w="2260" w:type="dxa"/>
            <w:tcBorders>
              <w:top w:val="nil"/>
              <w:left w:val="nil"/>
              <w:bottom w:val="single" w:sz="4" w:space="0" w:color="auto"/>
              <w:right w:val="single" w:sz="4" w:space="0" w:color="auto"/>
            </w:tcBorders>
            <w:shd w:val="clear" w:color="auto" w:fill="auto"/>
            <w:vAlign w:val="center"/>
            <w:hideMark/>
          </w:tcPr>
          <w:p w14:paraId="47931ACF"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14. Autres produits </w:t>
            </w:r>
          </w:p>
        </w:tc>
        <w:tc>
          <w:tcPr>
            <w:tcW w:w="2299" w:type="dxa"/>
            <w:tcBorders>
              <w:top w:val="nil"/>
              <w:left w:val="nil"/>
              <w:bottom w:val="single" w:sz="4" w:space="0" w:color="auto"/>
              <w:right w:val="single" w:sz="4" w:space="0" w:color="auto"/>
            </w:tcBorders>
            <w:shd w:val="clear" w:color="auto" w:fill="auto"/>
            <w:vAlign w:val="center"/>
            <w:hideMark/>
          </w:tcPr>
          <w:p w14:paraId="7178609F" w14:textId="77777777" w:rsidR="0015535C" w:rsidRPr="0015535C" w:rsidRDefault="0015535C" w:rsidP="001C3155">
            <w:pPr>
              <w:keepNext/>
              <w:spacing w:after="0" w:line="240" w:lineRule="auto"/>
              <w:jc w:val="left"/>
              <w:rPr>
                <w:rFonts w:eastAsia="Times New Roman" w:cs="Arial"/>
                <w:color w:val="000000"/>
                <w:sz w:val="18"/>
                <w:szCs w:val="18"/>
                <w:lang w:eastAsia="fr-FR"/>
              </w:rPr>
            </w:pPr>
            <w:r w:rsidRPr="0015535C">
              <w:rPr>
                <w:rFonts w:eastAsia="Times New Roman" w:cs="Arial"/>
                <w:color w:val="000000"/>
                <w:sz w:val="18"/>
                <w:szCs w:val="18"/>
                <w:lang w:eastAsia="fr-FR"/>
              </w:rPr>
              <w:t xml:space="preserve">Choucroute garnie </w:t>
            </w:r>
          </w:p>
        </w:tc>
      </w:tr>
    </w:tbl>
    <w:p w14:paraId="4683B66D" w14:textId="2E840CF0" w:rsidR="001C3155" w:rsidRDefault="00C66322" w:rsidP="001C3155">
      <w:pPr>
        <w:pStyle w:val="figure"/>
      </w:pPr>
      <w:bookmarkStart w:id="224" w:name="_Ref68770538"/>
      <w:bookmarkStart w:id="225" w:name="_Toc72143397"/>
      <w:r w:rsidRPr="00C66322">
        <w:t xml:space="preserve">Tableau </w:t>
      </w:r>
      <w:r w:rsidR="00E27D6E">
        <w:fldChar w:fldCharType="begin"/>
      </w:r>
      <w:r w:rsidR="00E27D6E">
        <w:instrText xml:space="preserve"> SEQ Tableau \* ARABIC </w:instrText>
      </w:r>
      <w:r w:rsidR="00E27D6E">
        <w:fldChar w:fldCharType="separate"/>
      </w:r>
      <w:r w:rsidR="0007597F">
        <w:rPr>
          <w:noProof/>
        </w:rPr>
        <w:t>49</w:t>
      </w:r>
      <w:r w:rsidR="00E27D6E">
        <w:rPr>
          <w:noProof/>
        </w:rPr>
        <w:fldChar w:fldCharType="end"/>
      </w:r>
      <w:bookmarkEnd w:id="224"/>
      <w:r w:rsidR="001C3155">
        <w:t xml:space="preserve"> : </w:t>
      </w:r>
      <w:r>
        <w:t xml:space="preserve">Classification </w:t>
      </w:r>
      <w:r w:rsidR="00EF5435">
        <w:t>des produits de charcuterie selon le Codes des usages</w:t>
      </w:r>
      <w:bookmarkEnd w:id="225"/>
      <w:r w:rsidR="00EF5435">
        <w:t xml:space="preserve"> </w:t>
      </w:r>
    </w:p>
    <w:p w14:paraId="17AE9C66" w14:textId="7A32A458" w:rsidR="007A2C81" w:rsidRPr="001C3155" w:rsidRDefault="00EF5435" w:rsidP="001C3155">
      <w:pPr>
        <w:pStyle w:val="Lgende"/>
      </w:pPr>
      <w:r w:rsidRPr="001C3155">
        <w:t>(</w:t>
      </w:r>
      <w:r w:rsidR="00256EC2" w:rsidRPr="001C3155">
        <w:t xml:space="preserve">Source </w:t>
      </w:r>
      <w:r w:rsidRPr="001C3155">
        <w:t>IFIP, 2019)</w:t>
      </w:r>
    </w:p>
    <w:p w14:paraId="5A7F1B7C" w14:textId="08B2D08B" w:rsidR="00881257" w:rsidRDefault="00881257" w:rsidP="00F12425">
      <w:r>
        <w:t>Compte tenu de la diversité des produits transformés, des approches méthodologiques complémentaires ont été appliquées</w:t>
      </w:r>
      <w:r w:rsidR="00D74C49">
        <w:t xml:space="preserve"> </w:t>
      </w:r>
      <w:r>
        <w:t xml:space="preserve">afin d’approcher des rendements de transformation produits moyens pour ces différentes familles technologiques au travers d’interviews auprès de professionnels du pôle viande de l’IFIP et </w:t>
      </w:r>
      <w:r w:rsidR="00F5499A">
        <w:t xml:space="preserve">pour quelques catégories de produits majeures auprès </w:t>
      </w:r>
      <w:r>
        <w:t>d</w:t>
      </w:r>
      <w:r w:rsidR="00CA3E0F">
        <w:t xml:space="preserve">e </w:t>
      </w:r>
      <w:r>
        <w:t>transformat</w:t>
      </w:r>
      <w:r w:rsidR="00CA3E0F">
        <w:t>eurs</w:t>
      </w:r>
      <w:r>
        <w:t>.</w:t>
      </w:r>
    </w:p>
    <w:p w14:paraId="7E02839F" w14:textId="3E87480C" w:rsidR="00D869E8" w:rsidRDefault="00D869E8" w:rsidP="00F12425">
      <w:r>
        <w:t xml:space="preserve">La viande fraîche </w:t>
      </w:r>
      <w:r w:rsidR="003D1B49">
        <w:t xml:space="preserve">de porc </w:t>
      </w:r>
      <w:r>
        <w:t xml:space="preserve">contient </w:t>
      </w:r>
      <w:r w:rsidRPr="0095729E">
        <w:t>75</w:t>
      </w:r>
      <w:r w:rsidR="00F12425" w:rsidRPr="0095729E">
        <w:t> </w:t>
      </w:r>
      <w:r w:rsidRPr="0095729E">
        <w:t xml:space="preserve">% </w:t>
      </w:r>
      <w:r w:rsidR="003D1B49" w:rsidRPr="0095729E">
        <w:t>à 78</w:t>
      </w:r>
      <w:r w:rsidR="00F12425" w:rsidRPr="0095729E">
        <w:t> </w:t>
      </w:r>
      <w:r w:rsidR="003D1B49" w:rsidRPr="0095729E">
        <w:t xml:space="preserve">% </w:t>
      </w:r>
      <w:r w:rsidRPr="0095729E">
        <w:t>d’eau</w:t>
      </w:r>
      <w:r>
        <w:t xml:space="preserve">. Lorsque la viande est coupée, hachée, malaxée, additionnée de sel ou encore cuite, séchée, affinée, elle tend à perdre de l’eau, modifiant en cela sa valeur massique. </w:t>
      </w:r>
      <w:r w:rsidR="00563E76">
        <w:t xml:space="preserve">Les types de rendement pris en compte dans le cadre de l’étude </w:t>
      </w:r>
      <w:r w:rsidR="0056574C">
        <w:t xml:space="preserve">famille technologique </w:t>
      </w:r>
      <w:r w:rsidR="00563E76">
        <w:t xml:space="preserve">sont récapitulés </w:t>
      </w:r>
      <w:r w:rsidR="0056574C">
        <w:t>(</w:t>
      </w:r>
      <w:r w:rsidR="00E55C43">
        <w:fldChar w:fldCharType="begin"/>
      </w:r>
      <w:r w:rsidR="00E55C43">
        <w:instrText xml:space="preserve"> REF _Ref68788994 \h </w:instrText>
      </w:r>
      <w:r w:rsidR="00E55C43">
        <w:fldChar w:fldCharType="separate"/>
      </w:r>
      <w:r w:rsidR="0007597F" w:rsidRPr="003E0867">
        <w:t xml:space="preserve">Tableau </w:t>
      </w:r>
      <w:r w:rsidR="0007597F">
        <w:rPr>
          <w:noProof/>
        </w:rPr>
        <w:t>50</w:t>
      </w:r>
      <w:r w:rsidR="00E55C43">
        <w:fldChar w:fldCharType="end"/>
      </w:r>
      <w:r w:rsidR="001C5E1E">
        <w:t>).</w:t>
      </w:r>
    </w:p>
    <w:tbl>
      <w:tblPr>
        <w:tblW w:w="8505" w:type="dxa"/>
        <w:jc w:val="center"/>
        <w:tblCellMar>
          <w:left w:w="70" w:type="dxa"/>
          <w:right w:w="70" w:type="dxa"/>
        </w:tblCellMar>
        <w:tblLook w:val="04A0" w:firstRow="1" w:lastRow="0" w:firstColumn="1" w:lastColumn="0" w:noHBand="0" w:noVBand="1"/>
      </w:tblPr>
      <w:tblGrid>
        <w:gridCol w:w="4111"/>
        <w:gridCol w:w="4394"/>
      </w:tblGrid>
      <w:tr w:rsidR="001F26CA" w:rsidRPr="001F26CA" w14:paraId="7F8CD0DB" w14:textId="77777777" w:rsidTr="009A042A">
        <w:trPr>
          <w:trHeight w:val="206"/>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FB1EBF0" w14:textId="69ADAEBD"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lastRenderedPageBreak/>
              <w:t xml:space="preserve">Famille technologique </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7B54108" w14:textId="2CCB3766" w:rsidR="001F26CA" w:rsidRPr="001F26CA" w:rsidRDefault="00782C13" w:rsidP="00F12425">
            <w:pPr>
              <w:keepNext/>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Catégorie de r</w:t>
            </w:r>
            <w:r w:rsidR="009A042A">
              <w:rPr>
                <w:rFonts w:eastAsia="Times New Roman" w:cs="Arial"/>
                <w:color w:val="000000"/>
                <w:sz w:val="20"/>
                <w:szCs w:val="20"/>
                <w:lang w:eastAsia="fr-FR"/>
              </w:rPr>
              <w:t>endements technologiques</w:t>
            </w:r>
          </w:p>
        </w:tc>
      </w:tr>
      <w:tr w:rsidR="001F26CA" w:rsidRPr="001F26CA" w14:paraId="3CDB97F0" w14:textId="77777777" w:rsidTr="003E0867">
        <w:trPr>
          <w:trHeight w:val="284"/>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3552A0"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1. Pièces et morceaux crus </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AFA1B7"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Découpe, étuvage éventuel, fumage éventuel</w:t>
            </w:r>
          </w:p>
        </w:tc>
      </w:tr>
      <w:tr w:rsidR="001F26CA" w:rsidRPr="001F26CA" w14:paraId="160CB6CE" w14:textId="77777777" w:rsidTr="003E0867">
        <w:trPr>
          <w:trHeight w:val="288"/>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F609D57"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2. Pièces et morceaux secs</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880F390"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Découpe, séchage, affinage</w:t>
            </w:r>
          </w:p>
        </w:tc>
      </w:tr>
      <w:tr w:rsidR="001F26CA" w:rsidRPr="001F26CA" w14:paraId="1DA721D4" w14:textId="77777777" w:rsidTr="003E0867">
        <w:trPr>
          <w:trHeight w:val="263"/>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CDA800"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3. Pièces et morceaux cuits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B2AD16"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Découpe, saumurage, fumage éventuel </w:t>
            </w:r>
          </w:p>
        </w:tc>
      </w:tr>
      <w:tr w:rsidR="001F26CA" w:rsidRPr="001F26CA" w14:paraId="41A79F9D" w14:textId="77777777" w:rsidTr="003E0867">
        <w:trPr>
          <w:trHeight w:val="282"/>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FC9723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4. Saucisses et saucissons crus, à cuire</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E2EBA2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Etuvage, fumage éventuel </w:t>
            </w:r>
          </w:p>
        </w:tc>
      </w:tr>
      <w:tr w:rsidR="001F26CA" w:rsidRPr="001F26CA" w14:paraId="7536C2C4" w14:textId="77777777" w:rsidTr="003E0867">
        <w:trPr>
          <w:trHeight w:val="257"/>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A32E23"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5. Saucisses et saucissons secs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2DE854"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Séchage</w:t>
            </w:r>
          </w:p>
        </w:tc>
      </w:tr>
      <w:tr w:rsidR="001F26CA" w:rsidRPr="001F26CA" w14:paraId="61B9596E" w14:textId="77777777" w:rsidTr="003E0867">
        <w:trPr>
          <w:trHeight w:val="276"/>
          <w:jc w:val="center"/>
        </w:trPr>
        <w:tc>
          <w:tcPr>
            <w:tcW w:w="4111" w:type="dxa"/>
            <w:tcBorders>
              <w:top w:val="single" w:sz="4" w:space="0" w:color="000000"/>
              <w:left w:val="single" w:sz="4" w:space="0" w:color="000000"/>
              <w:bottom w:val="single" w:sz="4" w:space="0" w:color="000000"/>
              <w:right w:val="single" w:sz="4" w:space="0" w:color="000000"/>
            </w:tcBorders>
            <w:shd w:val="clear" w:color="D9D9D9" w:fill="D9D9D9"/>
            <w:vAlign w:val="center"/>
            <w:hideMark/>
          </w:tcPr>
          <w:p w14:paraId="50DADAC1"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6. Saucisses et saucissons cuits </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706FA32" w14:textId="56A5CEEA"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3A2125F9" w14:textId="77777777" w:rsidTr="003E0867">
        <w:trPr>
          <w:trHeight w:val="33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A8C82D"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7. Pâtés, galantines, ballottines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141973" w14:textId="3B5568E4"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1DDD141E" w14:textId="77777777" w:rsidTr="003E0867">
        <w:trPr>
          <w:trHeight w:val="228"/>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4BA8917"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8. Rillettes</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32A03B6" w14:textId="6EF80143"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08C0081A" w14:textId="77777777" w:rsidTr="003E0867">
        <w:trPr>
          <w:trHeight w:val="273"/>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5982D0"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9. Produits à base de tête</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FC3D15"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0BAC6E5A" w14:textId="77777777" w:rsidTr="003E0867">
        <w:trPr>
          <w:trHeight w:val="263"/>
          <w:jc w:val="center"/>
        </w:trPr>
        <w:tc>
          <w:tcPr>
            <w:tcW w:w="411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A038D2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10. Andouilles, andouillettes</w:t>
            </w:r>
          </w:p>
        </w:tc>
        <w:tc>
          <w:tcPr>
            <w:tcW w:w="4394"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54A3A54"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Cuisson, fumage éventuel </w:t>
            </w:r>
          </w:p>
        </w:tc>
      </w:tr>
      <w:tr w:rsidR="001F26CA" w:rsidRPr="001F26CA" w14:paraId="1ACC3964" w14:textId="77777777" w:rsidTr="003E0867">
        <w:trPr>
          <w:trHeight w:val="281"/>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12314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11. Tripes, pieds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F8A484"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5ED0EA4C" w14:textId="77777777" w:rsidTr="003E0867">
        <w:trPr>
          <w:trHeight w:val="300"/>
          <w:jc w:val="center"/>
        </w:trPr>
        <w:tc>
          <w:tcPr>
            <w:tcW w:w="4111" w:type="dxa"/>
            <w:tcBorders>
              <w:top w:val="single" w:sz="4" w:space="0" w:color="auto"/>
              <w:left w:val="single" w:sz="4" w:space="0" w:color="auto"/>
              <w:bottom w:val="single" w:sz="4" w:space="0" w:color="000000"/>
              <w:right w:val="single" w:sz="4" w:space="0" w:color="auto"/>
            </w:tcBorders>
            <w:shd w:val="clear" w:color="D9D9D9" w:fill="D9D9D9"/>
            <w:vAlign w:val="center"/>
            <w:hideMark/>
          </w:tcPr>
          <w:p w14:paraId="27C27836"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12. Boudins noirs</w:t>
            </w:r>
          </w:p>
        </w:tc>
        <w:tc>
          <w:tcPr>
            <w:tcW w:w="4394" w:type="dxa"/>
            <w:tcBorders>
              <w:top w:val="single" w:sz="4" w:space="0" w:color="auto"/>
              <w:left w:val="single" w:sz="4" w:space="0" w:color="auto"/>
              <w:bottom w:val="single" w:sz="4" w:space="0" w:color="000000"/>
              <w:right w:val="single" w:sz="4" w:space="0" w:color="auto"/>
            </w:tcBorders>
            <w:shd w:val="clear" w:color="D9D9D9" w:fill="D9D9D9"/>
            <w:vAlign w:val="center"/>
            <w:hideMark/>
          </w:tcPr>
          <w:p w14:paraId="6A8A8303"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Cuisson</w:t>
            </w:r>
          </w:p>
        </w:tc>
      </w:tr>
      <w:tr w:rsidR="001F26CA" w:rsidRPr="001F26CA" w14:paraId="7FD4407B" w14:textId="77777777" w:rsidTr="003E0867">
        <w:trPr>
          <w:trHeight w:val="300"/>
          <w:jc w:val="center"/>
        </w:trPr>
        <w:tc>
          <w:tcPr>
            <w:tcW w:w="41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B94825" w14:textId="07B031DB"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13. Boudins blancs</w:t>
            </w:r>
          </w:p>
        </w:tc>
        <w:tc>
          <w:tcPr>
            <w:tcW w:w="43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116172" w14:textId="77777777" w:rsidR="001F26CA" w:rsidRPr="001F26CA" w:rsidRDefault="001F26CA" w:rsidP="00F12425">
            <w:pPr>
              <w:keepNext/>
              <w:spacing w:after="0" w:line="240" w:lineRule="auto"/>
              <w:jc w:val="left"/>
              <w:rPr>
                <w:rFonts w:eastAsia="Times New Roman" w:cs="Arial"/>
                <w:color w:val="000000"/>
                <w:sz w:val="20"/>
                <w:szCs w:val="20"/>
                <w:lang w:eastAsia="fr-FR"/>
              </w:rPr>
            </w:pPr>
            <w:r w:rsidRPr="001F26CA">
              <w:rPr>
                <w:rFonts w:eastAsia="Times New Roman" w:cs="Arial"/>
                <w:color w:val="000000"/>
                <w:sz w:val="20"/>
                <w:szCs w:val="20"/>
                <w:lang w:eastAsia="fr-FR"/>
              </w:rPr>
              <w:t xml:space="preserve">Cuisson </w:t>
            </w:r>
          </w:p>
        </w:tc>
      </w:tr>
    </w:tbl>
    <w:p w14:paraId="10F989A9" w14:textId="2F2EEC2D" w:rsidR="00F12425" w:rsidRDefault="00563E76" w:rsidP="00F12425">
      <w:pPr>
        <w:pStyle w:val="figure"/>
      </w:pPr>
      <w:bookmarkStart w:id="226" w:name="_Ref68788994"/>
      <w:bookmarkStart w:id="227" w:name="_Toc72143398"/>
      <w:r w:rsidRPr="003E0867">
        <w:t xml:space="preserve">Tableau </w:t>
      </w:r>
      <w:r w:rsidR="00E27D6E">
        <w:fldChar w:fldCharType="begin"/>
      </w:r>
      <w:r w:rsidR="00E27D6E">
        <w:instrText xml:space="preserve"> SEQ Tableau \* ARABIC </w:instrText>
      </w:r>
      <w:r w:rsidR="00E27D6E">
        <w:fldChar w:fldCharType="separate"/>
      </w:r>
      <w:r w:rsidR="0007597F">
        <w:rPr>
          <w:noProof/>
        </w:rPr>
        <w:t>50</w:t>
      </w:r>
      <w:r w:rsidR="00E27D6E">
        <w:rPr>
          <w:noProof/>
        </w:rPr>
        <w:fldChar w:fldCharType="end"/>
      </w:r>
      <w:bookmarkEnd w:id="226"/>
      <w:r w:rsidR="00092866">
        <w:t xml:space="preserve"> : </w:t>
      </w:r>
      <w:r w:rsidR="009A042A">
        <w:t xml:space="preserve">Rendements technologiques considérés par famille technologique selon le </w:t>
      </w:r>
      <w:r w:rsidR="009A042A" w:rsidRPr="001F26CA">
        <w:t>Code des usages de la charcuterie</w:t>
      </w:r>
      <w:bookmarkEnd w:id="227"/>
    </w:p>
    <w:p w14:paraId="153CA320" w14:textId="30828F68" w:rsidR="00563E76" w:rsidRPr="00F12425" w:rsidRDefault="00092866" w:rsidP="00F12425">
      <w:pPr>
        <w:pStyle w:val="Lgende"/>
      </w:pPr>
      <w:r w:rsidRPr="00F12425">
        <w:t xml:space="preserve">(Source : </w:t>
      </w:r>
      <w:r w:rsidR="006B2D34" w:rsidRPr="00F12425">
        <w:t>IFIP</w:t>
      </w:r>
      <w:r w:rsidRPr="00F12425">
        <w:t>)</w:t>
      </w:r>
    </w:p>
    <w:p w14:paraId="43A8DF0D" w14:textId="37C24F78" w:rsidR="00520E9E" w:rsidRDefault="006B2D34" w:rsidP="00F12425">
      <w:r>
        <w:t>Par ailleurs</w:t>
      </w:r>
      <w:r w:rsidR="00DF4276">
        <w:t>, l</w:t>
      </w:r>
      <w:r w:rsidR="00A344B6">
        <w:t>es produits de mélange (</w:t>
      </w:r>
      <w:r w:rsidR="006A3CF1">
        <w:t>familles</w:t>
      </w:r>
      <w:r w:rsidR="00A344B6">
        <w:t xml:space="preserve"> </w:t>
      </w:r>
      <w:r w:rsidR="006A3CF1">
        <w:t xml:space="preserve">4 à 9) intègrent dans leur process </w:t>
      </w:r>
      <w:r w:rsidR="004157A6">
        <w:t xml:space="preserve">au travers du réemploi, </w:t>
      </w:r>
      <w:r w:rsidR="006A3CF1">
        <w:t xml:space="preserve">des </w:t>
      </w:r>
      <w:r w:rsidR="004853BA">
        <w:t xml:space="preserve">ingrédients </w:t>
      </w:r>
      <w:r w:rsidR="001E62A3">
        <w:t>qui sont</w:t>
      </w:r>
      <w:r w:rsidR="004157A6">
        <w:t xml:space="preserve"> </w:t>
      </w:r>
      <w:r w:rsidR="004853BA">
        <w:t xml:space="preserve">en grande partie des </w:t>
      </w:r>
      <w:r w:rsidR="006A3CF1">
        <w:t xml:space="preserve">coproduits issus de la transformation des </w:t>
      </w:r>
      <w:r w:rsidR="0082595D">
        <w:t xml:space="preserve">pièces et morceaux de </w:t>
      </w:r>
      <w:r w:rsidR="006D1C7E">
        <w:t xml:space="preserve">viande </w:t>
      </w:r>
      <w:r w:rsidR="003E5834">
        <w:t xml:space="preserve">(familles </w:t>
      </w:r>
      <w:r w:rsidR="006A3CF1">
        <w:t>1</w:t>
      </w:r>
      <w:r w:rsidR="00DF4276">
        <w:t xml:space="preserve"> à 3</w:t>
      </w:r>
      <w:r w:rsidR="003E5834">
        <w:t>)</w:t>
      </w:r>
      <w:r w:rsidR="00DF4276">
        <w:t>.</w:t>
      </w:r>
      <w:r w:rsidR="004157A6">
        <w:t xml:space="preserve"> L</w:t>
      </w:r>
      <w:r w:rsidR="004853BA">
        <w:t>es</w:t>
      </w:r>
      <w:r w:rsidR="00DF4276">
        <w:t xml:space="preserve"> ingrédients utilisés dans la composition des produits de mélange sont de trois </w:t>
      </w:r>
      <w:r w:rsidR="004157A6">
        <w:t>ordres</w:t>
      </w:r>
      <w:r w:rsidR="00DF4276">
        <w:t xml:space="preserve"> : </w:t>
      </w:r>
      <w:r w:rsidR="004157A6">
        <w:t xml:space="preserve">il s’agit </w:t>
      </w:r>
      <w:r w:rsidR="00DF4276">
        <w:t xml:space="preserve">de </w:t>
      </w:r>
      <w:r w:rsidR="006804BF">
        <w:t xml:space="preserve">viande (muscles et tissus conjonctifs), </w:t>
      </w:r>
      <w:r w:rsidR="0052074B">
        <w:t>de gras et d’abats. Le tissu conjonctif est complexe à classer puisqu’il appartient à la fois au maigre et au gras.</w:t>
      </w:r>
    </w:p>
    <w:p w14:paraId="65A5D718" w14:textId="1BC46937" w:rsidR="000462C6" w:rsidRDefault="00633C35" w:rsidP="00F12425">
      <w:r>
        <w:t xml:space="preserve">Dans le même temps, </w:t>
      </w:r>
      <w:r w:rsidR="00520E9E">
        <w:t>la plupart</w:t>
      </w:r>
      <w:r w:rsidR="00C2473F">
        <w:t xml:space="preserve"> </w:t>
      </w:r>
      <w:r w:rsidR="004157A6">
        <w:t xml:space="preserve">des </w:t>
      </w:r>
      <w:r w:rsidR="00C2473F">
        <w:t>familles technologiques</w:t>
      </w:r>
      <w:r w:rsidR="001E70F0">
        <w:t xml:space="preserve"> </w:t>
      </w:r>
      <w:r w:rsidR="003063A2">
        <w:t>supposent l’apport d’</w:t>
      </w:r>
      <w:r w:rsidR="00FF1710">
        <w:t>a</w:t>
      </w:r>
      <w:r w:rsidR="00C71EAE">
        <w:t>dditifs</w:t>
      </w:r>
      <w:r w:rsidR="003063A2">
        <w:t xml:space="preserve"> technologiques</w:t>
      </w:r>
      <w:r w:rsidR="001F79B9">
        <w:t xml:space="preserve">. </w:t>
      </w:r>
      <w:r w:rsidR="0049098B">
        <w:t>Ainsi, le</w:t>
      </w:r>
      <w:r w:rsidR="00F348D5">
        <w:t xml:space="preserve">s produits crus </w:t>
      </w:r>
      <w:r w:rsidR="00641A4D">
        <w:t>ou à cuire</w:t>
      </w:r>
      <w:r w:rsidR="008B06A9">
        <w:t xml:space="preserve"> </w:t>
      </w:r>
      <w:r w:rsidR="00421C5D">
        <w:t>ainsi que</w:t>
      </w:r>
      <w:r w:rsidR="00641A4D">
        <w:t xml:space="preserve"> les produits cuits</w:t>
      </w:r>
      <w:r w:rsidR="00421C5D">
        <w:t>,</w:t>
      </w:r>
      <w:r w:rsidR="00641A4D">
        <w:t xml:space="preserve"> supportent l’apport de saumure</w:t>
      </w:r>
      <w:r w:rsidR="008B06A9">
        <w:t xml:space="preserve"> et</w:t>
      </w:r>
      <w:r w:rsidR="00C2473F">
        <w:t xml:space="preserve"> </w:t>
      </w:r>
      <w:r w:rsidR="00641A4D">
        <w:t xml:space="preserve">les produits </w:t>
      </w:r>
      <w:r w:rsidR="008B06A9">
        <w:t>persillés</w:t>
      </w:r>
      <w:r w:rsidR="0040783D">
        <w:t xml:space="preserve"> par exemple</w:t>
      </w:r>
      <w:r w:rsidR="00421C5D">
        <w:t>, de la gelée</w:t>
      </w:r>
      <w:r w:rsidR="00BF24E1">
        <w:t>.</w:t>
      </w:r>
      <w:r w:rsidR="00955E01">
        <w:t xml:space="preserve"> De même</w:t>
      </w:r>
      <w:r w:rsidR="00060571">
        <w:t xml:space="preserve"> </w:t>
      </w:r>
      <w:r w:rsidR="001F79B9">
        <w:t xml:space="preserve">pour illustrer, </w:t>
      </w:r>
      <w:r w:rsidR="00227E09">
        <w:t>parmi</w:t>
      </w:r>
      <w:r w:rsidR="00955E01">
        <w:t xml:space="preserve"> les produits cutterés ou hachés,</w:t>
      </w:r>
      <w:r w:rsidR="008B5151">
        <w:t xml:space="preserve"> </w:t>
      </w:r>
      <w:r w:rsidR="007F7B7B">
        <w:t xml:space="preserve">les </w:t>
      </w:r>
      <w:r w:rsidR="006C1AC0">
        <w:t xml:space="preserve">pâtés à base de foie </w:t>
      </w:r>
      <w:r w:rsidR="00227E09">
        <w:t xml:space="preserve">peuvent intégrer du lait ou du bouillon en </w:t>
      </w:r>
      <w:r w:rsidR="00BB41A1">
        <w:t>plus des foies</w:t>
      </w:r>
      <w:r w:rsidR="00680538">
        <w:t>.</w:t>
      </w:r>
    </w:p>
    <w:p w14:paraId="7161798B" w14:textId="56072609" w:rsidR="00B9083B" w:rsidRDefault="00761912" w:rsidP="00F12425">
      <w:r>
        <w:t xml:space="preserve">Tenant compte des rendements technologiques et des </w:t>
      </w:r>
      <w:r w:rsidR="00C71EAE">
        <w:t>additifs</w:t>
      </w:r>
      <w:r>
        <w:t xml:space="preserve">, </w:t>
      </w:r>
      <w:r w:rsidR="00C71EAE">
        <w:t>l</w:t>
      </w:r>
      <w:r w:rsidR="00FB754F">
        <w:t xml:space="preserve">es </w:t>
      </w:r>
      <w:r w:rsidR="0020638E">
        <w:t>rendements matière</w:t>
      </w:r>
      <w:r w:rsidR="0031449E">
        <w:t xml:space="preserve"> de transformation</w:t>
      </w:r>
      <w:r w:rsidR="0020638E">
        <w:t xml:space="preserve"> </w:t>
      </w:r>
      <w:r w:rsidR="00A2623D">
        <w:t xml:space="preserve">exprimés pour </w:t>
      </w:r>
      <w:r w:rsidR="00FE040A" w:rsidRPr="00FE040A">
        <w:t>100</w:t>
      </w:r>
      <w:r w:rsidR="00404B5F">
        <w:t> </w:t>
      </w:r>
      <w:r w:rsidR="00FE040A" w:rsidRPr="00FE040A">
        <w:t>kg de pièce de départ parée</w:t>
      </w:r>
      <w:r w:rsidR="00404B5F">
        <w:t>,</w:t>
      </w:r>
      <w:r w:rsidR="00FE040A" w:rsidRPr="00FE040A">
        <w:t xml:space="preserve"> </w:t>
      </w:r>
      <w:r w:rsidR="00A2623D">
        <w:t xml:space="preserve">ont été évalués </w:t>
      </w:r>
      <w:r w:rsidR="0020638E">
        <w:t>pour les différentes familles technologiques</w:t>
      </w:r>
      <w:r w:rsidR="004D04ED">
        <w:t xml:space="preserve"> au travers d’une place de valeur tenant compte </w:t>
      </w:r>
      <w:r w:rsidR="003D72FE">
        <w:t>des écarts liés au niveau de qualité</w:t>
      </w:r>
      <w:r w:rsidR="0020638E">
        <w:t xml:space="preserve"> </w:t>
      </w:r>
      <w:r w:rsidR="0078632C">
        <w:t>(</w:t>
      </w:r>
      <w:r w:rsidR="00E55C43">
        <w:fldChar w:fldCharType="begin"/>
      </w:r>
      <w:r w:rsidR="00E55C43">
        <w:instrText xml:space="preserve"> REF _Ref69316641 \h </w:instrText>
      </w:r>
      <w:r w:rsidR="00E55C43">
        <w:fldChar w:fldCharType="separate"/>
      </w:r>
      <w:r w:rsidR="0007597F">
        <w:t xml:space="preserve">Tableau </w:t>
      </w:r>
      <w:r w:rsidR="0007597F">
        <w:rPr>
          <w:noProof/>
        </w:rPr>
        <w:t>51</w:t>
      </w:r>
      <w:r w:rsidR="00E55C43">
        <w:fldChar w:fldCharType="end"/>
      </w:r>
      <w:r w:rsidR="0078632C">
        <w:t>)</w:t>
      </w:r>
      <w:r w:rsidR="007115BB">
        <w:t>.</w:t>
      </w:r>
      <w:r w:rsidR="003E2538">
        <w:t xml:space="preserve"> </w:t>
      </w:r>
      <w:r w:rsidR="003D72FE">
        <w:t>La médiane relative à ces écarts sera utilisée dans la troisième partie.</w:t>
      </w:r>
    </w:p>
    <w:p w14:paraId="6B4B0680" w14:textId="38455788" w:rsidR="00404B5F" w:rsidRDefault="00404B5F" w:rsidP="00F12425"/>
    <w:p w14:paraId="573BE022" w14:textId="2F126F7D" w:rsidR="00404B5F" w:rsidRDefault="00404B5F" w:rsidP="00F12425"/>
    <w:p w14:paraId="714BE0E7" w14:textId="06FFFD99" w:rsidR="00404B5F" w:rsidRDefault="00404B5F" w:rsidP="00F12425"/>
    <w:p w14:paraId="25B09DD7" w14:textId="03A410FC" w:rsidR="00404B5F" w:rsidRDefault="00404B5F" w:rsidP="00F12425"/>
    <w:p w14:paraId="482C38C9" w14:textId="638B5B6C" w:rsidR="00404B5F" w:rsidRDefault="00404B5F" w:rsidP="00F12425"/>
    <w:p w14:paraId="743F275B" w14:textId="35D5C831" w:rsidR="00404B5F" w:rsidRDefault="00404B5F" w:rsidP="00F12425"/>
    <w:p w14:paraId="656DDCA3" w14:textId="42B63514" w:rsidR="00404B5F" w:rsidRDefault="00404B5F" w:rsidP="00F12425"/>
    <w:p w14:paraId="631F0E44" w14:textId="397323EA" w:rsidR="00404B5F" w:rsidRDefault="00404B5F" w:rsidP="00F12425"/>
    <w:p w14:paraId="1135A05A" w14:textId="51555617" w:rsidR="00404B5F" w:rsidRDefault="00404B5F" w:rsidP="00F12425"/>
    <w:p w14:paraId="3C4AEC7B" w14:textId="77777777" w:rsidR="00404B5F" w:rsidRDefault="00404B5F" w:rsidP="00F12425"/>
    <w:tbl>
      <w:tblPr>
        <w:tblW w:w="8600" w:type="dxa"/>
        <w:jc w:val="center"/>
        <w:tblCellMar>
          <w:left w:w="70" w:type="dxa"/>
          <w:right w:w="70" w:type="dxa"/>
        </w:tblCellMar>
        <w:tblLook w:val="0600" w:firstRow="0" w:lastRow="0" w:firstColumn="0" w:lastColumn="0" w:noHBand="1" w:noVBand="1"/>
      </w:tblPr>
      <w:tblGrid>
        <w:gridCol w:w="460"/>
        <w:gridCol w:w="4638"/>
        <w:gridCol w:w="1662"/>
        <w:gridCol w:w="1840"/>
      </w:tblGrid>
      <w:tr w:rsidR="005A032F" w:rsidRPr="005A032F" w14:paraId="3C005D3E" w14:textId="77777777" w:rsidTr="004C7DCB">
        <w:trPr>
          <w:trHeight w:val="390"/>
          <w:jc w:val="center"/>
        </w:trPr>
        <w:tc>
          <w:tcPr>
            <w:tcW w:w="5098" w:type="dxa"/>
            <w:gridSpan w:val="2"/>
            <w:tcBorders>
              <w:top w:val="single" w:sz="4" w:space="0" w:color="auto"/>
              <w:left w:val="single" w:sz="4" w:space="0" w:color="auto"/>
              <w:bottom w:val="single" w:sz="4" w:space="0" w:color="auto"/>
              <w:right w:val="single" w:sz="4" w:space="0" w:color="auto"/>
            </w:tcBorders>
            <w:shd w:val="clear" w:color="000000" w:fill="A6A6A6"/>
            <w:vAlign w:val="center"/>
            <w:hideMark/>
          </w:tcPr>
          <w:p w14:paraId="4E946A93" w14:textId="6FBF89A6"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lastRenderedPageBreak/>
              <w:t>Famille technologique</w:t>
            </w:r>
          </w:p>
        </w:tc>
        <w:tc>
          <w:tcPr>
            <w:tcW w:w="1662" w:type="dxa"/>
            <w:tcBorders>
              <w:top w:val="single" w:sz="4" w:space="0" w:color="auto"/>
              <w:left w:val="nil"/>
              <w:bottom w:val="single" w:sz="4" w:space="0" w:color="auto"/>
              <w:right w:val="single" w:sz="4" w:space="0" w:color="auto"/>
            </w:tcBorders>
            <w:shd w:val="clear" w:color="000000" w:fill="A6A6A6"/>
            <w:vAlign w:val="center"/>
            <w:hideMark/>
          </w:tcPr>
          <w:p w14:paraId="2EC965B8" w14:textId="2210A390" w:rsidR="005A032F" w:rsidRPr="005A032F" w:rsidRDefault="005A032F" w:rsidP="005A032F">
            <w:pPr>
              <w:spacing w:after="0" w:line="240" w:lineRule="auto"/>
              <w:jc w:val="center"/>
              <w:rPr>
                <w:rFonts w:eastAsia="Times New Roman" w:cs="Arial"/>
                <w:b/>
                <w:bCs/>
                <w:color w:val="000000"/>
                <w:sz w:val="18"/>
                <w:szCs w:val="18"/>
                <w:lang w:eastAsia="fr-FR"/>
              </w:rPr>
            </w:pPr>
            <w:r w:rsidRPr="005A032F">
              <w:rPr>
                <w:rFonts w:eastAsia="Times New Roman" w:cs="Arial"/>
                <w:b/>
                <w:bCs/>
                <w:color w:val="000000"/>
                <w:sz w:val="18"/>
                <w:szCs w:val="18"/>
                <w:lang w:eastAsia="fr-FR"/>
              </w:rPr>
              <w:t>Rendement Min</w:t>
            </w:r>
          </w:p>
        </w:tc>
        <w:tc>
          <w:tcPr>
            <w:tcW w:w="1840" w:type="dxa"/>
            <w:tcBorders>
              <w:top w:val="single" w:sz="4" w:space="0" w:color="auto"/>
              <w:left w:val="nil"/>
              <w:bottom w:val="single" w:sz="4" w:space="0" w:color="auto"/>
              <w:right w:val="single" w:sz="4" w:space="0" w:color="auto"/>
            </w:tcBorders>
            <w:shd w:val="clear" w:color="000000" w:fill="A6A6A6"/>
            <w:vAlign w:val="center"/>
            <w:hideMark/>
          </w:tcPr>
          <w:p w14:paraId="7F5005ED" w14:textId="77777777" w:rsidR="005A032F" w:rsidRPr="005A032F" w:rsidRDefault="005A032F" w:rsidP="005A032F">
            <w:pPr>
              <w:spacing w:after="0" w:line="240" w:lineRule="auto"/>
              <w:jc w:val="center"/>
              <w:rPr>
                <w:rFonts w:eastAsia="Times New Roman" w:cs="Arial"/>
                <w:b/>
                <w:bCs/>
                <w:color w:val="000000"/>
                <w:sz w:val="18"/>
                <w:szCs w:val="18"/>
                <w:lang w:eastAsia="fr-FR"/>
              </w:rPr>
            </w:pPr>
            <w:r w:rsidRPr="005A032F">
              <w:rPr>
                <w:rFonts w:eastAsia="Times New Roman" w:cs="Arial"/>
                <w:b/>
                <w:bCs/>
                <w:color w:val="000000"/>
                <w:sz w:val="18"/>
                <w:szCs w:val="18"/>
                <w:lang w:eastAsia="fr-FR"/>
              </w:rPr>
              <w:t>Rendement Max</w:t>
            </w:r>
          </w:p>
        </w:tc>
      </w:tr>
      <w:tr w:rsidR="005A032F" w:rsidRPr="005A032F" w14:paraId="30A0E4B0" w14:textId="77777777" w:rsidTr="004C7DCB">
        <w:trPr>
          <w:trHeight w:val="28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7505EF02" w14:textId="735F8155" w:rsidR="005A032F" w:rsidRPr="005A032F" w:rsidRDefault="005A032F" w:rsidP="004C7DCB">
            <w:pPr>
              <w:spacing w:after="0" w:line="240" w:lineRule="auto"/>
              <w:jc w:val="left"/>
              <w:rPr>
                <w:rFonts w:eastAsia="Times New Roman" w:cs="Arial"/>
                <w:b/>
                <w:bCs/>
                <w:sz w:val="18"/>
                <w:szCs w:val="18"/>
                <w:lang w:eastAsia="fr-FR"/>
              </w:rPr>
            </w:pPr>
            <w:r w:rsidRPr="005A032F">
              <w:rPr>
                <w:rFonts w:eastAsia="Times New Roman" w:cs="Arial"/>
                <w:b/>
                <w:bCs/>
                <w:sz w:val="18"/>
                <w:szCs w:val="18"/>
                <w:lang w:eastAsia="fr-FR"/>
              </w:rPr>
              <w:t>1.</w:t>
            </w:r>
          </w:p>
        </w:tc>
        <w:tc>
          <w:tcPr>
            <w:tcW w:w="4638" w:type="dxa"/>
            <w:tcBorders>
              <w:top w:val="nil"/>
              <w:left w:val="nil"/>
              <w:bottom w:val="single" w:sz="4" w:space="0" w:color="auto"/>
              <w:right w:val="single" w:sz="4" w:space="0" w:color="auto"/>
            </w:tcBorders>
            <w:shd w:val="clear" w:color="auto" w:fill="auto"/>
            <w:vAlign w:val="center"/>
            <w:hideMark/>
          </w:tcPr>
          <w:p w14:paraId="7FAF179C" w14:textId="31F198A9"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Pièces et morceaux crus</w:t>
            </w:r>
          </w:p>
        </w:tc>
        <w:tc>
          <w:tcPr>
            <w:tcW w:w="1662" w:type="dxa"/>
            <w:tcBorders>
              <w:top w:val="nil"/>
              <w:left w:val="nil"/>
              <w:bottom w:val="single" w:sz="4" w:space="0" w:color="auto"/>
              <w:right w:val="single" w:sz="4" w:space="0" w:color="auto"/>
            </w:tcBorders>
            <w:shd w:val="clear" w:color="auto" w:fill="auto"/>
            <w:vAlign w:val="center"/>
            <w:hideMark/>
          </w:tcPr>
          <w:p w14:paraId="7B29AD7C" w14:textId="1C7A4BC3" w:rsidR="005A032F" w:rsidRPr="005A032F" w:rsidRDefault="005A032F" w:rsidP="005A032F">
            <w:pPr>
              <w:spacing w:after="0" w:line="240" w:lineRule="auto"/>
              <w:jc w:val="center"/>
              <w:rPr>
                <w:rFonts w:eastAsia="Times New Roman" w:cs="Arial"/>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vAlign w:val="center"/>
            <w:hideMark/>
          </w:tcPr>
          <w:p w14:paraId="08F16AF5" w14:textId="1AB92C71" w:rsidR="005A032F" w:rsidRPr="005A032F" w:rsidRDefault="005A032F" w:rsidP="005A032F">
            <w:pPr>
              <w:spacing w:after="0" w:line="240" w:lineRule="auto"/>
              <w:jc w:val="center"/>
              <w:rPr>
                <w:rFonts w:eastAsia="Times New Roman" w:cs="Arial"/>
                <w:color w:val="000000"/>
                <w:sz w:val="18"/>
                <w:szCs w:val="18"/>
                <w:lang w:eastAsia="fr-FR"/>
              </w:rPr>
            </w:pPr>
          </w:p>
        </w:tc>
      </w:tr>
      <w:tr w:rsidR="005A032F" w:rsidRPr="005A032F" w14:paraId="1D10089C" w14:textId="77777777" w:rsidTr="004C7DCB">
        <w:trPr>
          <w:trHeight w:val="411"/>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277209CF" w14:textId="4CEAB228"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5CEF03D1"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Pièces de porc crues, salées ou saumurées (petit salé, palette à la diable...)</w:t>
            </w:r>
          </w:p>
        </w:tc>
        <w:tc>
          <w:tcPr>
            <w:tcW w:w="1662" w:type="dxa"/>
            <w:tcBorders>
              <w:top w:val="nil"/>
              <w:left w:val="nil"/>
              <w:bottom w:val="single" w:sz="4" w:space="0" w:color="auto"/>
              <w:right w:val="single" w:sz="4" w:space="0" w:color="auto"/>
            </w:tcBorders>
            <w:shd w:val="clear" w:color="auto" w:fill="auto"/>
            <w:vAlign w:val="center"/>
            <w:hideMark/>
          </w:tcPr>
          <w:p w14:paraId="58725CEA"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c>
          <w:tcPr>
            <w:tcW w:w="1840" w:type="dxa"/>
            <w:tcBorders>
              <w:top w:val="nil"/>
              <w:left w:val="nil"/>
              <w:bottom w:val="single" w:sz="4" w:space="0" w:color="auto"/>
              <w:right w:val="single" w:sz="4" w:space="0" w:color="auto"/>
            </w:tcBorders>
            <w:shd w:val="clear" w:color="auto" w:fill="auto"/>
            <w:vAlign w:val="center"/>
            <w:hideMark/>
          </w:tcPr>
          <w:p w14:paraId="36635DB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100</w:t>
            </w:r>
          </w:p>
        </w:tc>
      </w:tr>
      <w:tr w:rsidR="005A032F" w:rsidRPr="005A032F" w14:paraId="784BC184" w14:textId="77777777" w:rsidTr="004C7DCB">
        <w:trPr>
          <w:trHeight w:val="54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0B270033" w14:textId="62C190D4"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23F487D"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Pièces de porc crues, salées ou saumurées, étuvées ou étuvées et fumées (bacon, poitrine fumée…)</w:t>
            </w:r>
          </w:p>
        </w:tc>
        <w:tc>
          <w:tcPr>
            <w:tcW w:w="1662" w:type="dxa"/>
            <w:tcBorders>
              <w:top w:val="nil"/>
              <w:left w:val="nil"/>
              <w:bottom w:val="single" w:sz="4" w:space="0" w:color="auto"/>
              <w:right w:val="single" w:sz="4" w:space="0" w:color="auto"/>
            </w:tcBorders>
            <w:shd w:val="clear" w:color="auto" w:fill="auto"/>
            <w:vAlign w:val="center"/>
            <w:hideMark/>
          </w:tcPr>
          <w:p w14:paraId="00CCEAC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5058C35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362B3CEB" w14:textId="77777777" w:rsidTr="004C7DCB">
        <w:trPr>
          <w:trHeight w:val="31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0D4BDE7E" w14:textId="36DE0F39"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32A32CDD" w14:textId="7FFAE15C"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Lardons, lardons supérieurs</w:t>
            </w:r>
          </w:p>
        </w:tc>
        <w:tc>
          <w:tcPr>
            <w:tcW w:w="1662" w:type="dxa"/>
            <w:tcBorders>
              <w:top w:val="nil"/>
              <w:left w:val="nil"/>
              <w:bottom w:val="single" w:sz="4" w:space="0" w:color="auto"/>
              <w:right w:val="single" w:sz="4" w:space="0" w:color="auto"/>
            </w:tcBorders>
            <w:shd w:val="clear" w:color="auto" w:fill="auto"/>
            <w:vAlign w:val="center"/>
            <w:hideMark/>
          </w:tcPr>
          <w:p w14:paraId="38FCF0C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5AACE71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115</w:t>
            </w:r>
          </w:p>
        </w:tc>
      </w:tr>
      <w:tr w:rsidR="005A032F" w:rsidRPr="005A032F" w14:paraId="1444AE7F" w14:textId="77777777" w:rsidTr="004C7DCB">
        <w:trPr>
          <w:trHeight w:val="300"/>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33CCE71A" w14:textId="56A4769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2.</w:t>
            </w:r>
          </w:p>
        </w:tc>
        <w:tc>
          <w:tcPr>
            <w:tcW w:w="4638" w:type="dxa"/>
            <w:tcBorders>
              <w:top w:val="nil"/>
              <w:left w:val="nil"/>
              <w:bottom w:val="single" w:sz="4" w:space="0" w:color="auto"/>
              <w:right w:val="single" w:sz="4" w:space="0" w:color="auto"/>
            </w:tcBorders>
            <w:shd w:val="clear" w:color="auto" w:fill="auto"/>
            <w:vAlign w:val="center"/>
            <w:hideMark/>
          </w:tcPr>
          <w:p w14:paraId="56CAA138" w14:textId="7E66558B"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Pièces et morceaux secs</w:t>
            </w:r>
          </w:p>
        </w:tc>
        <w:tc>
          <w:tcPr>
            <w:tcW w:w="1662" w:type="dxa"/>
            <w:tcBorders>
              <w:top w:val="nil"/>
              <w:left w:val="nil"/>
              <w:bottom w:val="single" w:sz="4" w:space="0" w:color="auto"/>
              <w:right w:val="single" w:sz="4" w:space="0" w:color="auto"/>
            </w:tcBorders>
            <w:shd w:val="clear" w:color="auto" w:fill="auto"/>
            <w:vAlign w:val="center"/>
            <w:hideMark/>
          </w:tcPr>
          <w:p w14:paraId="3697B3D7" w14:textId="31734AA3" w:rsidR="005A032F" w:rsidRPr="005A032F" w:rsidRDefault="005A032F" w:rsidP="005A032F">
            <w:pPr>
              <w:spacing w:after="0" w:line="240" w:lineRule="auto"/>
              <w:jc w:val="center"/>
              <w:rPr>
                <w:rFonts w:eastAsia="Times New Roman" w:cs="Arial"/>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vAlign w:val="center"/>
            <w:hideMark/>
          </w:tcPr>
          <w:p w14:paraId="74DB186B" w14:textId="2F03125A" w:rsidR="005A032F" w:rsidRPr="005A032F" w:rsidRDefault="005A032F" w:rsidP="005A032F">
            <w:pPr>
              <w:spacing w:after="0" w:line="240" w:lineRule="auto"/>
              <w:jc w:val="center"/>
              <w:rPr>
                <w:rFonts w:eastAsia="Times New Roman" w:cs="Arial"/>
                <w:color w:val="000000"/>
                <w:sz w:val="18"/>
                <w:szCs w:val="18"/>
                <w:lang w:eastAsia="fr-FR"/>
              </w:rPr>
            </w:pPr>
          </w:p>
        </w:tc>
      </w:tr>
      <w:tr w:rsidR="005A032F" w:rsidRPr="005A032F" w14:paraId="1046AE2B" w14:textId="77777777" w:rsidTr="004C7DCB">
        <w:trPr>
          <w:trHeight w:val="34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29E6E7B9" w14:textId="36ECBBC5"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1A5476C8"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Pièces de porc crues, maturées, séchées et au sel sec (coppa, filet de porc, carré de porc)</w:t>
            </w:r>
          </w:p>
        </w:tc>
        <w:tc>
          <w:tcPr>
            <w:tcW w:w="1662" w:type="dxa"/>
            <w:tcBorders>
              <w:top w:val="nil"/>
              <w:left w:val="nil"/>
              <w:bottom w:val="single" w:sz="4" w:space="0" w:color="auto"/>
              <w:right w:val="single" w:sz="4" w:space="0" w:color="auto"/>
            </w:tcBorders>
            <w:shd w:val="clear" w:color="auto" w:fill="auto"/>
            <w:vAlign w:val="center"/>
            <w:hideMark/>
          </w:tcPr>
          <w:p w14:paraId="355D909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70</w:t>
            </w:r>
          </w:p>
        </w:tc>
        <w:tc>
          <w:tcPr>
            <w:tcW w:w="1840" w:type="dxa"/>
            <w:tcBorders>
              <w:top w:val="nil"/>
              <w:left w:val="nil"/>
              <w:bottom w:val="single" w:sz="4" w:space="0" w:color="auto"/>
              <w:right w:val="single" w:sz="4" w:space="0" w:color="auto"/>
            </w:tcBorders>
            <w:shd w:val="clear" w:color="auto" w:fill="auto"/>
            <w:vAlign w:val="center"/>
            <w:hideMark/>
          </w:tcPr>
          <w:p w14:paraId="618040E6"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r>
      <w:tr w:rsidR="005A032F" w:rsidRPr="005A032F" w14:paraId="55F38FE1" w14:textId="77777777" w:rsidTr="004C7DCB">
        <w:trPr>
          <w:trHeight w:val="356"/>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02946FB5" w14:textId="32EC3B3A"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138E1C31" w14:textId="2BA8DE90"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cru, jambon cru de pays, jambon sec, sel sec, supérieur, traditionnel</w:t>
            </w:r>
          </w:p>
        </w:tc>
        <w:tc>
          <w:tcPr>
            <w:tcW w:w="1662" w:type="dxa"/>
            <w:tcBorders>
              <w:top w:val="nil"/>
              <w:left w:val="nil"/>
              <w:bottom w:val="single" w:sz="4" w:space="0" w:color="auto"/>
              <w:right w:val="single" w:sz="4" w:space="0" w:color="auto"/>
            </w:tcBorders>
            <w:shd w:val="clear" w:color="auto" w:fill="auto"/>
            <w:vAlign w:val="center"/>
            <w:hideMark/>
          </w:tcPr>
          <w:p w14:paraId="4DDC4870"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60</w:t>
            </w:r>
          </w:p>
        </w:tc>
        <w:tc>
          <w:tcPr>
            <w:tcW w:w="1840" w:type="dxa"/>
            <w:tcBorders>
              <w:top w:val="nil"/>
              <w:left w:val="nil"/>
              <w:bottom w:val="single" w:sz="4" w:space="0" w:color="auto"/>
              <w:right w:val="single" w:sz="4" w:space="0" w:color="auto"/>
            </w:tcBorders>
            <w:shd w:val="clear" w:color="auto" w:fill="auto"/>
            <w:vAlign w:val="center"/>
            <w:hideMark/>
          </w:tcPr>
          <w:p w14:paraId="16D3C9D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r>
      <w:tr w:rsidR="005A032F" w:rsidRPr="005A032F" w14:paraId="61BE2814" w14:textId="77777777" w:rsidTr="004C7DCB">
        <w:trPr>
          <w:trHeight w:val="21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7BE382DA" w14:textId="086F0086"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3.</w:t>
            </w:r>
          </w:p>
        </w:tc>
        <w:tc>
          <w:tcPr>
            <w:tcW w:w="4638" w:type="dxa"/>
            <w:tcBorders>
              <w:top w:val="nil"/>
              <w:left w:val="nil"/>
              <w:bottom w:val="single" w:sz="4" w:space="0" w:color="auto"/>
              <w:right w:val="single" w:sz="4" w:space="0" w:color="auto"/>
            </w:tcBorders>
            <w:shd w:val="clear" w:color="auto" w:fill="auto"/>
            <w:vAlign w:val="center"/>
            <w:hideMark/>
          </w:tcPr>
          <w:p w14:paraId="621FD669" w14:textId="2573CFBA"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Pièces et morceaux cuits</w:t>
            </w:r>
          </w:p>
        </w:tc>
        <w:tc>
          <w:tcPr>
            <w:tcW w:w="1662" w:type="dxa"/>
            <w:tcBorders>
              <w:top w:val="nil"/>
              <w:left w:val="nil"/>
              <w:bottom w:val="single" w:sz="4" w:space="0" w:color="auto"/>
              <w:right w:val="single" w:sz="4" w:space="0" w:color="auto"/>
            </w:tcBorders>
            <w:shd w:val="clear" w:color="auto" w:fill="auto"/>
            <w:noWrap/>
            <w:vAlign w:val="bottom"/>
            <w:hideMark/>
          </w:tcPr>
          <w:p w14:paraId="7A7165AA" w14:textId="23E3E272" w:rsidR="005A032F" w:rsidRPr="005A032F" w:rsidRDefault="005A032F" w:rsidP="005A032F">
            <w:pPr>
              <w:spacing w:after="0" w:line="240" w:lineRule="auto"/>
              <w:jc w:val="center"/>
              <w:rPr>
                <w:rFonts w:eastAsia="Times New Roman" w:cs="Arial"/>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noWrap/>
            <w:vAlign w:val="bottom"/>
            <w:hideMark/>
          </w:tcPr>
          <w:p w14:paraId="6B561DB2" w14:textId="78730624" w:rsidR="005A032F" w:rsidRPr="005A032F" w:rsidRDefault="005A032F" w:rsidP="005A032F">
            <w:pPr>
              <w:spacing w:after="0" w:line="240" w:lineRule="auto"/>
              <w:jc w:val="center"/>
              <w:rPr>
                <w:rFonts w:eastAsia="Times New Roman" w:cs="Arial"/>
                <w:color w:val="000000"/>
                <w:sz w:val="18"/>
                <w:szCs w:val="18"/>
                <w:lang w:eastAsia="fr-FR"/>
              </w:rPr>
            </w:pPr>
          </w:p>
        </w:tc>
      </w:tr>
      <w:tr w:rsidR="005A032F" w:rsidRPr="005A032F" w14:paraId="02079C1E" w14:textId="77777777" w:rsidTr="004C7DCB">
        <w:trPr>
          <w:trHeight w:val="124"/>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57146F31" w14:textId="66F4CB24"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45FA822B"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cuit standard</w:t>
            </w:r>
          </w:p>
        </w:tc>
        <w:tc>
          <w:tcPr>
            <w:tcW w:w="1662" w:type="dxa"/>
            <w:tcBorders>
              <w:top w:val="nil"/>
              <w:left w:val="nil"/>
              <w:bottom w:val="single" w:sz="4" w:space="0" w:color="auto"/>
              <w:right w:val="single" w:sz="4" w:space="0" w:color="auto"/>
            </w:tcBorders>
            <w:shd w:val="clear" w:color="auto" w:fill="auto"/>
            <w:vAlign w:val="center"/>
            <w:hideMark/>
          </w:tcPr>
          <w:p w14:paraId="36607D85"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115</w:t>
            </w:r>
          </w:p>
        </w:tc>
        <w:tc>
          <w:tcPr>
            <w:tcW w:w="1840" w:type="dxa"/>
            <w:tcBorders>
              <w:top w:val="nil"/>
              <w:left w:val="nil"/>
              <w:bottom w:val="single" w:sz="4" w:space="0" w:color="auto"/>
              <w:right w:val="single" w:sz="4" w:space="0" w:color="auto"/>
            </w:tcBorders>
            <w:shd w:val="clear" w:color="auto" w:fill="auto"/>
            <w:vAlign w:val="center"/>
            <w:hideMark/>
          </w:tcPr>
          <w:p w14:paraId="2EBC1F40"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140</w:t>
            </w:r>
          </w:p>
        </w:tc>
      </w:tr>
      <w:tr w:rsidR="005A032F" w:rsidRPr="005A032F" w14:paraId="63FDECAB" w14:textId="77777777" w:rsidTr="004C7DCB">
        <w:trPr>
          <w:trHeight w:val="269"/>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78FCD169" w14:textId="5822033C"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15FA90ED" w14:textId="2BE308DD"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Jambonneau, jarret cuit choix, supérieur</w:t>
            </w:r>
          </w:p>
        </w:tc>
        <w:tc>
          <w:tcPr>
            <w:tcW w:w="1662" w:type="dxa"/>
            <w:tcBorders>
              <w:top w:val="nil"/>
              <w:left w:val="nil"/>
              <w:bottom w:val="single" w:sz="4" w:space="0" w:color="auto"/>
              <w:right w:val="single" w:sz="4" w:space="0" w:color="auto"/>
            </w:tcBorders>
            <w:shd w:val="clear" w:color="auto" w:fill="auto"/>
            <w:vAlign w:val="center"/>
            <w:hideMark/>
          </w:tcPr>
          <w:p w14:paraId="48968E2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100</w:t>
            </w:r>
          </w:p>
        </w:tc>
        <w:tc>
          <w:tcPr>
            <w:tcW w:w="1840" w:type="dxa"/>
            <w:tcBorders>
              <w:top w:val="nil"/>
              <w:left w:val="nil"/>
              <w:bottom w:val="single" w:sz="4" w:space="0" w:color="auto"/>
              <w:right w:val="single" w:sz="4" w:space="0" w:color="auto"/>
            </w:tcBorders>
            <w:shd w:val="clear" w:color="auto" w:fill="auto"/>
            <w:vAlign w:val="center"/>
            <w:hideMark/>
          </w:tcPr>
          <w:p w14:paraId="52D8D8B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r>
      <w:tr w:rsidR="005A032F" w:rsidRPr="005A032F" w14:paraId="64031AC5" w14:textId="77777777" w:rsidTr="004C7DCB">
        <w:trPr>
          <w:trHeight w:val="218"/>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1F6D4B51" w14:textId="3FD7C79F"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3EEF2B2E" w14:textId="54120796"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cuit choix</w:t>
            </w:r>
          </w:p>
        </w:tc>
        <w:tc>
          <w:tcPr>
            <w:tcW w:w="1662" w:type="dxa"/>
            <w:tcBorders>
              <w:top w:val="nil"/>
              <w:left w:val="nil"/>
              <w:bottom w:val="single" w:sz="4" w:space="0" w:color="auto"/>
              <w:right w:val="single" w:sz="4" w:space="0" w:color="auto"/>
            </w:tcBorders>
            <w:shd w:val="clear" w:color="auto" w:fill="auto"/>
            <w:vAlign w:val="center"/>
            <w:hideMark/>
          </w:tcPr>
          <w:p w14:paraId="78586BDC"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100</w:t>
            </w:r>
          </w:p>
        </w:tc>
        <w:tc>
          <w:tcPr>
            <w:tcW w:w="1840" w:type="dxa"/>
            <w:tcBorders>
              <w:top w:val="nil"/>
              <w:left w:val="nil"/>
              <w:bottom w:val="single" w:sz="4" w:space="0" w:color="auto"/>
              <w:right w:val="single" w:sz="4" w:space="0" w:color="auto"/>
            </w:tcBorders>
            <w:shd w:val="clear" w:color="auto" w:fill="auto"/>
            <w:vAlign w:val="center"/>
            <w:hideMark/>
          </w:tcPr>
          <w:p w14:paraId="732EC33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115</w:t>
            </w:r>
          </w:p>
        </w:tc>
      </w:tr>
      <w:tr w:rsidR="005A032F" w:rsidRPr="005A032F" w14:paraId="294A5B6F" w14:textId="77777777" w:rsidTr="004C7DCB">
        <w:trPr>
          <w:trHeight w:val="137"/>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6626EE07" w14:textId="52B9E3C0"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E86630C"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cuit supérieur, à l'os</w:t>
            </w:r>
          </w:p>
        </w:tc>
        <w:tc>
          <w:tcPr>
            <w:tcW w:w="1662" w:type="dxa"/>
            <w:tcBorders>
              <w:top w:val="nil"/>
              <w:left w:val="nil"/>
              <w:bottom w:val="single" w:sz="4" w:space="0" w:color="auto"/>
              <w:right w:val="single" w:sz="4" w:space="0" w:color="auto"/>
            </w:tcBorders>
            <w:shd w:val="clear" w:color="auto" w:fill="auto"/>
            <w:vAlign w:val="center"/>
            <w:hideMark/>
          </w:tcPr>
          <w:p w14:paraId="0492C1C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90</w:t>
            </w:r>
          </w:p>
        </w:tc>
        <w:tc>
          <w:tcPr>
            <w:tcW w:w="1840" w:type="dxa"/>
            <w:tcBorders>
              <w:top w:val="nil"/>
              <w:left w:val="nil"/>
              <w:bottom w:val="single" w:sz="4" w:space="0" w:color="auto"/>
              <w:right w:val="single" w:sz="4" w:space="0" w:color="auto"/>
            </w:tcBorders>
            <w:shd w:val="clear" w:color="auto" w:fill="auto"/>
            <w:vAlign w:val="center"/>
            <w:hideMark/>
          </w:tcPr>
          <w:p w14:paraId="0D20402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4DF03238" w14:textId="77777777" w:rsidTr="004C7DCB">
        <w:trPr>
          <w:trHeight w:val="270"/>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24A27270" w14:textId="406329EC"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070D069C"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Epaule cuite standard</w:t>
            </w:r>
          </w:p>
        </w:tc>
        <w:tc>
          <w:tcPr>
            <w:tcW w:w="1662" w:type="dxa"/>
            <w:tcBorders>
              <w:top w:val="nil"/>
              <w:left w:val="nil"/>
              <w:bottom w:val="single" w:sz="4" w:space="0" w:color="auto"/>
              <w:right w:val="single" w:sz="4" w:space="0" w:color="auto"/>
            </w:tcBorders>
            <w:shd w:val="clear" w:color="auto" w:fill="auto"/>
            <w:vAlign w:val="center"/>
            <w:hideMark/>
          </w:tcPr>
          <w:p w14:paraId="19C352E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c>
          <w:tcPr>
            <w:tcW w:w="1840" w:type="dxa"/>
            <w:tcBorders>
              <w:top w:val="nil"/>
              <w:left w:val="nil"/>
              <w:bottom w:val="single" w:sz="4" w:space="0" w:color="auto"/>
              <w:right w:val="single" w:sz="4" w:space="0" w:color="auto"/>
            </w:tcBorders>
            <w:shd w:val="clear" w:color="auto" w:fill="auto"/>
            <w:vAlign w:val="center"/>
            <w:hideMark/>
          </w:tcPr>
          <w:p w14:paraId="7551608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135</w:t>
            </w:r>
          </w:p>
        </w:tc>
      </w:tr>
      <w:tr w:rsidR="005A032F" w:rsidRPr="005A032F" w14:paraId="15B95A9E" w14:textId="77777777" w:rsidTr="004C7DCB">
        <w:trPr>
          <w:trHeight w:val="268"/>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12C363D7" w14:textId="374C0F29"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6CD9EC3F"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Epaule cuite choix, supérieure</w:t>
            </w:r>
          </w:p>
        </w:tc>
        <w:tc>
          <w:tcPr>
            <w:tcW w:w="1662" w:type="dxa"/>
            <w:tcBorders>
              <w:top w:val="nil"/>
              <w:left w:val="nil"/>
              <w:bottom w:val="single" w:sz="4" w:space="0" w:color="auto"/>
              <w:right w:val="single" w:sz="4" w:space="0" w:color="auto"/>
            </w:tcBorders>
            <w:shd w:val="clear" w:color="auto" w:fill="auto"/>
            <w:vAlign w:val="center"/>
            <w:hideMark/>
          </w:tcPr>
          <w:p w14:paraId="7F490F1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30D5D0D5"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18CA4369" w14:textId="77777777" w:rsidTr="004C7DCB">
        <w:trPr>
          <w:trHeight w:val="231"/>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02D60DB5" w14:textId="7BEE7C38"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68D895F8" w14:textId="072078DE"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Rôti cuit standard, choix</w:t>
            </w:r>
          </w:p>
        </w:tc>
        <w:tc>
          <w:tcPr>
            <w:tcW w:w="1662" w:type="dxa"/>
            <w:tcBorders>
              <w:top w:val="nil"/>
              <w:left w:val="nil"/>
              <w:bottom w:val="single" w:sz="4" w:space="0" w:color="auto"/>
              <w:right w:val="single" w:sz="4" w:space="0" w:color="auto"/>
            </w:tcBorders>
            <w:shd w:val="clear" w:color="auto" w:fill="auto"/>
            <w:vAlign w:val="center"/>
            <w:hideMark/>
          </w:tcPr>
          <w:p w14:paraId="57FE344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c>
          <w:tcPr>
            <w:tcW w:w="1840" w:type="dxa"/>
            <w:tcBorders>
              <w:top w:val="nil"/>
              <w:left w:val="nil"/>
              <w:bottom w:val="single" w:sz="4" w:space="0" w:color="auto"/>
              <w:right w:val="single" w:sz="4" w:space="0" w:color="auto"/>
            </w:tcBorders>
            <w:shd w:val="clear" w:color="auto" w:fill="auto"/>
            <w:vAlign w:val="center"/>
            <w:hideMark/>
          </w:tcPr>
          <w:p w14:paraId="4E2912F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135</w:t>
            </w:r>
          </w:p>
        </w:tc>
      </w:tr>
      <w:tr w:rsidR="005A032F" w:rsidRPr="005A032F" w14:paraId="73249E68" w14:textId="77777777" w:rsidTr="004C7DCB">
        <w:trPr>
          <w:trHeight w:val="164"/>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2288E245" w14:textId="03C98E54"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85D43B6" w14:textId="6665F066"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Confit de porc, rillons, rillauds,</w:t>
            </w:r>
          </w:p>
        </w:tc>
        <w:tc>
          <w:tcPr>
            <w:tcW w:w="1662" w:type="dxa"/>
            <w:tcBorders>
              <w:top w:val="nil"/>
              <w:left w:val="nil"/>
              <w:bottom w:val="single" w:sz="4" w:space="0" w:color="auto"/>
              <w:right w:val="single" w:sz="4" w:space="0" w:color="auto"/>
            </w:tcBorders>
            <w:shd w:val="clear" w:color="auto" w:fill="auto"/>
            <w:vAlign w:val="center"/>
            <w:hideMark/>
          </w:tcPr>
          <w:p w14:paraId="2CFB845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c>
          <w:tcPr>
            <w:tcW w:w="1840" w:type="dxa"/>
            <w:tcBorders>
              <w:top w:val="nil"/>
              <w:left w:val="nil"/>
              <w:bottom w:val="single" w:sz="4" w:space="0" w:color="auto"/>
              <w:right w:val="single" w:sz="4" w:space="0" w:color="auto"/>
            </w:tcBorders>
            <w:shd w:val="clear" w:color="auto" w:fill="auto"/>
            <w:vAlign w:val="center"/>
            <w:hideMark/>
          </w:tcPr>
          <w:p w14:paraId="4811EFA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r>
      <w:tr w:rsidR="005A032F" w:rsidRPr="005A032F" w14:paraId="51324FB7" w14:textId="77777777" w:rsidTr="004C7DCB">
        <w:trPr>
          <w:trHeight w:val="296"/>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5EDDDE76" w14:textId="6FC4689F"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00AC3741" w14:textId="5CEE875B"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Jambon persillé, jambon de Bourgogne, de Reims, viande en gelée</w:t>
            </w:r>
          </w:p>
        </w:tc>
        <w:tc>
          <w:tcPr>
            <w:tcW w:w="1662" w:type="dxa"/>
            <w:tcBorders>
              <w:top w:val="nil"/>
              <w:left w:val="nil"/>
              <w:bottom w:val="single" w:sz="4" w:space="0" w:color="auto"/>
              <w:right w:val="single" w:sz="4" w:space="0" w:color="auto"/>
            </w:tcBorders>
            <w:shd w:val="clear" w:color="auto" w:fill="auto"/>
            <w:vAlign w:val="center"/>
            <w:hideMark/>
          </w:tcPr>
          <w:p w14:paraId="69D058A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120</w:t>
            </w:r>
          </w:p>
        </w:tc>
        <w:tc>
          <w:tcPr>
            <w:tcW w:w="1840" w:type="dxa"/>
            <w:tcBorders>
              <w:top w:val="nil"/>
              <w:left w:val="nil"/>
              <w:bottom w:val="single" w:sz="4" w:space="0" w:color="auto"/>
              <w:right w:val="single" w:sz="4" w:space="0" w:color="auto"/>
            </w:tcBorders>
            <w:shd w:val="clear" w:color="auto" w:fill="auto"/>
            <w:vAlign w:val="center"/>
            <w:hideMark/>
          </w:tcPr>
          <w:p w14:paraId="78E70185"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170</w:t>
            </w:r>
          </w:p>
        </w:tc>
      </w:tr>
      <w:tr w:rsidR="005A032F" w:rsidRPr="005A032F" w14:paraId="6EC70543" w14:textId="77777777" w:rsidTr="004C7DCB">
        <w:trPr>
          <w:trHeight w:val="146"/>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1228F7D3"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4.</w:t>
            </w:r>
          </w:p>
        </w:tc>
        <w:tc>
          <w:tcPr>
            <w:tcW w:w="4638" w:type="dxa"/>
            <w:tcBorders>
              <w:top w:val="nil"/>
              <w:left w:val="nil"/>
              <w:bottom w:val="single" w:sz="4" w:space="0" w:color="auto"/>
              <w:right w:val="single" w:sz="4" w:space="0" w:color="auto"/>
            </w:tcBorders>
            <w:shd w:val="clear" w:color="auto" w:fill="auto"/>
            <w:vAlign w:val="center"/>
            <w:hideMark/>
          </w:tcPr>
          <w:p w14:paraId="48B8130C"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Saucisses et saucissons crus, à cuire</w:t>
            </w:r>
          </w:p>
        </w:tc>
        <w:tc>
          <w:tcPr>
            <w:tcW w:w="1662" w:type="dxa"/>
            <w:tcBorders>
              <w:top w:val="nil"/>
              <w:left w:val="nil"/>
              <w:bottom w:val="single" w:sz="4" w:space="0" w:color="auto"/>
              <w:right w:val="single" w:sz="4" w:space="0" w:color="auto"/>
            </w:tcBorders>
            <w:shd w:val="clear" w:color="auto" w:fill="auto"/>
            <w:noWrap/>
            <w:vAlign w:val="bottom"/>
            <w:hideMark/>
          </w:tcPr>
          <w:p w14:paraId="58BF9271" w14:textId="45CBA7F8" w:rsidR="005A032F" w:rsidRPr="005A032F" w:rsidRDefault="005A032F" w:rsidP="005A032F">
            <w:pPr>
              <w:spacing w:after="0" w:line="240" w:lineRule="auto"/>
              <w:jc w:val="center"/>
              <w:rPr>
                <w:rFonts w:eastAsia="Times New Roman" w:cs="Arial"/>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noWrap/>
            <w:vAlign w:val="bottom"/>
            <w:hideMark/>
          </w:tcPr>
          <w:p w14:paraId="4861E625" w14:textId="30F79CE0" w:rsidR="005A032F" w:rsidRPr="005A032F" w:rsidRDefault="005A032F" w:rsidP="005A032F">
            <w:pPr>
              <w:spacing w:after="0" w:line="240" w:lineRule="auto"/>
              <w:jc w:val="center"/>
              <w:rPr>
                <w:rFonts w:eastAsia="Times New Roman" w:cs="Arial"/>
                <w:color w:val="000000"/>
                <w:sz w:val="18"/>
                <w:szCs w:val="18"/>
                <w:lang w:eastAsia="fr-FR"/>
              </w:rPr>
            </w:pPr>
          </w:p>
        </w:tc>
      </w:tr>
      <w:tr w:rsidR="005A032F" w:rsidRPr="005A032F" w14:paraId="0FA1285B" w14:textId="77777777" w:rsidTr="004C7DCB">
        <w:trPr>
          <w:trHeight w:val="263"/>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6421C3CA" w14:textId="264A17AA"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E60FE50" w14:textId="00ED7A23"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Saucisse, saucisson cru(e), à cuire, à griller, à rôtir (chair à saucisses, crépinettes, chipolatas)</w:t>
            </w:r>
          </w:p>
        </w:tc>
        <w:tc>
          <w:tcPr>
            <w:tcW w:w="1662" w:type="dxa"/>
            <w:tcBorders>
              <w:top w:val="nil"/>
              <w:left w:val="nil"/>
              <w:bottom w:val="single" w:sz="4" w:space="0" w:color="auto"/>
              <w:right w:val="single" w:sz="4" w:space="0" w:color="auto"/>
            </w:tcBorders>
            <w:shd w:val="clear" w:color="auto" w:fill="auto"/>
            <w:vAlign w:val="center"/>
            <w:hideMark/>
          </w:tcPr>
          <w:p w14:paraId="6A092C69"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7CF9A0F7"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r>
      <w:tr w:rsidR="005A032F" w:rsidRPr="005A032F" w14:paraId="0435B76F" w14:textId="77777777" w:rsidTr="004C7DCB">
        <w:trPr>
          <w:trHeight w:val="18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3495F204" w14:textId="037AA9E1"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7725DD0"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Saucisse de Toulouse, de Montbéliard, ficelée</w:t>
            </w:r>
          </w:p>
        </w:tc>
        <w:tc>
          <w:tcPr>
            <w:tcW w:w="1662" w:type="dxa"/>
            <w:tcBorders>
              <w:top w:val="nil"/>
              <w:left w:val="nil"/>
              <w:bottom w:val="single" w:sz="4" w:space="0" w:color="auto"/>
              <w:right w:val="single" w:sz="4" w:space="0" w:color="auto"/>
            </w:tcBorders>
            <w:shd w:val="clear" w:color="auto" w:fill="auto"/>
            <w:vAlign w:val="center"/>
            <w:hideMark/>
          </w:tcPr>
          <w:p w14:paraId="7985F702"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90</w:t>
            </w:r>
          </w:p>
        </w:tc>
        <w:tc>
          <w:tcPr>
            <w:tcW w:w="1840" w:type="dxa"/>
            <w:tcBorders>
              <w:top w:val="nil"/>
              <w:left w:val="nil"/>
              <w:bottom w:val="single" w:sz="4" w:space="0" w:color="auto"/>
              <w:right w:val="single" w:sz="4" w:space="0" w:color="auto"/>
            </w:tcBorders>
            <w:shd w:val="clear" w:color="auto" w:fill="auto"/>
            <w:vAlign w:val="center"/>
            <w:hideMark/>
          </w:tcPr>
          <w:p w14:paraId="23621112"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7DC7043C" w14:textId="77777777" w:rsidTr="004C7DCB">
        <w:trPr>
          <w:trHeight w:val="148"/>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1BCAD346" w14:textId="13D3DD68"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4F17F5E0" w14:textId="41E188E4"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Paupiette</w:t>
            </w:r>
          </w:p>
        </w:tc>
        <w:tc>
          <w:tcPr>
            <w:tcW w:w="1662" w:type="dxa"/>
            <w:tcBorders>
              <w:top w:val="nil"/>
              <w:left w:val="nil"/>
              <w:bottom w:val="single" w:sz="4" w:space="0" w:color="auto"/>
              <w:right w:val="single" w:sz="4" w:space="0" w:color="auto"/>
            </w:tcBorders>
            <w:shd w:val="clear" w:color="auto" w:fill="auto"/>
            <w:vAlign w:val="center"/>
            <w:hideMark/>
          </w:tcPr>
          <w:p w14:paraId="65407D39"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100</w:t>
            </w:r>
          </w:p>
        </w:tc>
        <w:tc>
          <w:tcPr>
            <w:tcW w:w="1840" w:type="dxa"/>
            <w:tcBorders>
              <w:top w:val="nil"/>
              <w:left w:val="nil"/>
              <w:bottom w:val="single" w:sz="4" w:space="0" w:color="auto"/>
              <w:right w:val="single" w:sz="4" w:space="0" w:color="auto"/>
            </w:tcBorders>
            <w:shd w:val="clear" w:color="auto" w:fill="auto"/>
            <w:vAlign w:val="center"/>
            <w:hideMark/>
          </w:tcPr>
          <w:p w14:paraId="7610CE4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0650ACAB" w14:textId="77777777" w:rsidTr="004C7DCB">
        <w:trPr>
          <w:trHeight w:val="221"/>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6FA6EB4"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5.</w:t>
            </w:r>
          </w:p>
        </w:tc>
        <w:tc>
          <w:tcPr>
            <w:tcW w:w="4638" w:type="dxa"/>
            <w:tcBorders>
              <w:top w:val="nil"/>
              <w:left w:val="nil"/>
              <w:bottom w:val="single" w:sz="4" w:space="0" w:color="auto"/>
              <w:right w:val="single" w:sz="4" w:space="0" w:color="auto"/>
            </w:tcBorders>
            <w:shd w:val="clear" w:color="auto" w:fill="auto"/>
            <w:vAlign w:val="center"/>
            <w:hideMark/>
          </w:tcPr>
          <w:p w14:paraId="6075C16F" w14:textId="044D6FD1"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Saucisses et saucissons secs</w:t>
            </w:r>
          </w:p>
        </w:tc>
        <w:tc>
          <w:tcPr>
            <w:tcW w:w="1662" w:type="dxa"/>
            <w:tcBorders>
              <w:top w:val="nil"/>
              <w:left w:val="nil"/>
              <w:bottom w:val="single" w:sz="4" w:space="0" w:color="auto"/>
              <w:right w:val="single" w:sz="4" w:space="0" w:color="auto"/>
            </w:tcBorders>
            <w:shd w:val="clear" w:color="auto" w:fill="auto"/>
            <w:vAlign w:val="center"/>
            <w:hideMark/>
          </w:tcPr>
          <w:p w14:paraId="208ABB8F" w14:textId="29C7685D" w:rsidR="005A032F" w:rsidRPr="005A032F" w:rsidRDefault="005A032F" w:rsidP="005A032F">
            <w:pPr>
              <w:spacing w:after="0" w:line="240" w:lineRule="auto"/>
              <w:jc w:val="center"/>
              <w:rPr>
                <w:rFonts w:eastAsia="Times New Roman" w:cs="Arial"/>
                <w:b/>
                <w:bCs/>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vAlign w:val="center"/>
            <w:hideMark/>
          </w:tcPr>
          <w:p w14:paraId="054A1693" w14:textId="61FB7D8B" w:rsidR="005A032F" w:rsidRPr="005A032F" w:rsidRDefault="005A032F" w:rsidP="005A032F">
            <w:pPr>
              <w:spacing w:after="0" w:line="240" w:lineRule="auto"/>
              <w:jc w:val="center"/>
              <w:rPr>
                <w:rFonts w:eastAsia="Times New Roman" w:cs="Arial"/>
                <w:b/>
                <w:bCs/>
                <w:color w:val="000000"/>
                <w:sz w:val="18"/>
                <w:szCs w:val="18"/>
                <w:lang w:eastAsia="fr-FR"/>
              </w:rPr>
            </w:pPr>
          </w:p>
        </w:tc>
      </w:tr>
      <w:tr w:rsidR="005A032F" w:rsidRPr="005A032F" w14:paraId="2EADD68F" w14:textId="77777777" w:rsidTr="004C7DCB">
        <w:trPr>
          <w:trHeight w:val="13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FFCD67D" w14:textId="080C1B76"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01BD665C" w14:textId="538628CD"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Saucisson sec, saucisse sèche</w:t>
            </w:r>
          </w:p>
        </w:tc>
        <w:tc>
          <w:tcPr>
            <w:tcW w:w="1662" w:type="dxa"/>
            <w:tcBorders>
              <w:top w:val="nil"/>
              <w:left w:val="nil"/>
              <w:bottom w:val="single" w:sz="4" w:space="0" w:color="auto"/>
              <w:right w:val="single" w:sz="4" w:space="0" w:color="auto"/>
            </w:tcBorders>
            <w:shd w:val="clear" w:color="auto" w:fill="auto"/>
            <w:vAlign w:val="center"/>
            <w:hideMark/>
          </w:tcPr>
          <w:p w14:paraId="5A0C8EF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65</w:t>
            </w:r>
          </w:p>
        </w:tc>
        <w:tc>
          <w:tcPr>
            <w:tcW w:w="1840" w:type="dxa"/>
            <w:tcBorders>
              <w:top w:val="nil"/>
              <w:left w:val="nil"/>
              <w:bottom w:val="single" w:sz="4" w:space="0" w:color="auto"/>
              <w:right w:val="single" w:sz="4" w:space="0" w:color="auto"/>
            </w:tcBorders>
            <w:shd w:val="clear" w:color="auto" w:fill="auto"/>
            <w:vAlign w:val="center"/>
            <w:hideMark/>
          </w:tcPr>
          <w:p w14:paraId="2ED4A43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75</w:t>
            </w:r>
          </w:p>
        </w:tc>
      </w:tr>
      <w:tr w:rsidR="005A032F" w:rsidRPr="005A032F" w14:paraId="0CC5428D" w14:textId="77777777" w:rsidTr="004C7DCB">
        <w:trPr>
          <w:trHeight w:val="19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E0D0556" w14:textId="5CD81D62"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3492A8D5"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Rosette, fuseau, miche, galet, pâvé</w:t>
            </w:r>
          </w:p>
        </w:tc>
        <w:tc>
          <w:tcPr>
            <w:tcW w:w="1662" w:type="dxa"/>
            <w:tcBorders>
              <w:top w:val="nil"/>
              <w:left w:val="nil"/>
              <w:bottom w:val="single" w:sz="4" w:space="0" w:color="auto"/>
              <w:right w:val="single" w:sz="4" w:space="0" w:color="auto"/>
            </w:tcBorders>
            <w:shd w:val="clear" w:color="auto" w:fill="auto"/>
            <w:vAlign w:val="center"/>
            <w:hideMark/>
          </w:tcPr>
          <w:p w14:paraId="7963BF2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65</w:t>
            </w:r>
          </w:p>
        </w:tc>
        <w:tc>
          <w:tcPr>
            <w:tcW w:w="1840" w:type="dxa"/>
            <w:tcBorders>
              <w:top w:val="nil"/>
              <w:left w:val="nil"/>
              <w:bottom w:val="single" w:sz="4" w:space="0" w:color="auto"/>
              <w:right w:val="single" w:sz="4" w:space="0" w:color="auto"/>
            </w:tcBorders>
            <w:shd w:val="clear" w:color="auto" w:fill="auto"/>
            <w:vAlign w:val="center"/>
            <w:hideMark/>
          </w:tcPr>
          <w:p w14:paraId="02A84755"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75</w:t>
            </w:r>
          </w:p>
        </w:tc>
      </w:tr>
      <w:tr w:rsidR="005A032F" w:rsidRPr="005A032F" w14:paraId="44D8D37A" w14:textId="77777777" w:rsidTr="004C7DCB">
        <w:trPr>
          <w:trHeight w:val="131"/>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0696D752" w14:textId="69EC1B6E"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63CF22D2"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Chorizo, salami, longanisse</w:t>
            </w:r>
          </w:p>
        </w:tc>
        <w:tc>
          <w:tcPr>
            <w:tcW w:w="1662" w:type="dxa"/>
            <w:tcBorders>
              <w:top w:val="nil"/>
              <w:left w:val="nil"/>
              <w:bottom w:val="single" w:sz="4" w:space="0" w:color="auto"/>
              <w:right w:val="single" w:sz="4" w:space="0" w:color="auto"/>
            </w:tcBorders>
            <w:shd w:val="clear" w:color="auto" w:fill="auto"/>
            <w:vAlign w:val="center"/>
            <w:hideMark/>
          </w:tcPr>
          <w:p w14:paraId="1C77AC29"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65</w:t>
            </w:r>
          </w:p>
        </w:tc>
        <w:tc>
          <w:tcPr>
            <w:tcW w:w="1840" w:type="dxa"/>
            <w:tcBorders>
              <w:top w:val="nil"/>
              <w:left w:val="nil"/>
              <w:bottom w:val="single" w:sz="4" w:space="0" w:color="auto"/>
              <w:right w:val="single" w:sz="4" w:space="0" w:color="auto"/>
            </w:tcBorders>
            <w:shd w:val="clear" w:color="auto" w:fill="auto"/>
            <w:vAlign w:val="center"/>
            <w:hideMark/>
          </w:tcPr>
          <w:p w14:paraId="3614539F"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75</w:t>
            </w:r>
          </w:p>
        </w:tc>
      </w:tr>
      <w:tr w:rsidR="005A032F" w:rsidRPr="005A032F" w14:paraId="32E7F3FB" w14:textId="77777777" w:rsidTr="004C7DCB">
        <w:trPr>
          <w:trHeight w:val="192"/>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4D35CB8E"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6.</w:t>
            </w:r>
          </w:p>
        </w:tc>
        <w:tc>
          <w:tcPr>
            <w:tcW w:w="4638" w:type="dxa"/>
            <w:tcBorders>
              <w:top w:val="nil"/>
              <w:left w:val="nil"/>
              <w:bottom w:val="single" w:sz="4" w:space="0" w:color="auto"/>
              <w:right w:val="single" w:sz="4" w:space="0" w:color="auto"/>
            </w:tcBorders>
            <w:shd w:val="clear" w:color="auto" w:fill="auto"/>
            <w:vAlign w:val="center"/>
            <w:hideMark/>
          </w:tcPr>
          <w:p w14:paraId="23CEF76E"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Saucisses et saucissons cuits</w:t>
            </w:r>
          </w:p>
        </w:tc>
        <w:tc>
          <w:tcPr>
            <w:tcW w:w="1662" w:type="dxa"/>
            <w:tcBorders>
              <w:top w:val="nil"/>
              <w:left w:val="nil"/>
              <w:bottom w:val="single" w:sz="4" w:space="0" w:color="auto"/>
              <w:right w:val="single" w:sz="4" w:space="0" w:color="auto"/>
            </w:tcBorders>
            <w:shd w:val="clear" w:color="auto" w:fill="auto"/>
            <w:vAlign w:val="center"/>
            <w:hideMark/>
          </w:tcPr>
          <w:p w14:paraId="55F6FF91" w14:textId="21E53B35" w:rsidR="005A032F" w:rsidRPr="005A032F" w:rsidRDefault="005A032F" w:rsidP="005A032F">
            <w:pPr>
              <w:spacing w:after="0" w:line="240" w:lineRule="auto"/>
              <w:jc w:val="center"/>
              <w:rPr>
                <w:rFonts w:eastAsia="Times New Roman" w:cs="Arial"/>
                <w:b/>
                <w:bCs/>
                <w:color w:val="000000"/>
                <w:sz w:val="18"/>
                <w:szCs w:val="18"/>
                <w:lang w:eastAsia="fr-FR"/>
              </w:rPr>
            </w:pPr>
          </w:p>
        </w:tc>
        <w:tc>
          <w:tcPr>
            <w:tcW w:w="1840" w:type="dxa"/>
            <w:tcBorders>
              <w:top w:val="nil"/>
              <w:left w:val="nil"/>
              <w:bottom w:val="single" w:sz="4" w:space="0" w:color="auto"/>
              <w:right w:val="single" w:sz="4" w:space="0" w:color="auto"/>
            </w:tcBorders>
            <w:shd w:val="clear" w:color="auto" w:fill="auto"/>
            <w:vAlign w:val="center"/>
            <w:hideMark/>
          </w:tcPr>
          <w:p w14:paraId="7FB737E3" w14:textId="721D1779" w:rsidR="005A032F" w:rsidRPr="005A032F" w:rsidRDefault="005A032F" w:rsidP="005A032F">
            <w:pPr>
              <w:spacing w:after="0" w:line="240" w:lineRule="auto"/>
              <w:jc w:val="center"/>
              <w:rPr>
                <w:rFonts w:eastAsia="Times New Roman" w:cs="Arial"/>
                <w:b/>
                <w:bCs/>
                <w:color w:val="000000"/>
                <w:sz w:val="18"/>
                <w:szCs w:val="18"/>
                <w:lang w:eastAsia="fr-FR"/>
              </w:rPr>
            </w:pPr>
          </w:p>
        </w:tc>
      </w:tr>
      <w:tr w:rsidR="005A032F" w:rsidRPr="005A032F" w14:paraId="77722C25" w14:textId="77777777" w:rsidTr="004C7DCB">
        <w:trPr>
          <w:trHeight w:val="153"/>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0787A90C" w14:textId="611A7823"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7A6CE20F" w14:textId="4F7FC83B"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Saucisson cuit, saucisson cuit à l'ail</w:t>
            </w:r>
          </w:p>
        </w:tc>
        <w:tc>
          <w:tcPr>
            <w:tcW w:w="1662" w:type="dxa"/>
            <w:tcBorders>
              <w:top w:val="nil"/>
              <w:left w:val="nil"/>
              <w:bottom w:val="single" w:sz="4" w:space="0" w:color="auto"/>
              <w:right w:val="single" w:sz="4" w:space="0" w:color="auto"/>
            </w:tcBorders>
            <w:shd w:val="clear" w:color="auto" w:fill="auto"/>
            <w:vAlign w:val="center"/>
            <w:hideMark/>
          </w:tcPr>
          <w:p w14:paraId="3E295C33"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53C2E90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r>
      <w:tr w:rsidR="005A032F" w:rsidRPr="005A032F" w14:paraId="2D3B82BD" w14:textId="77777777" w:rsidTr="004C7DCB">
        <w:trPr>
          <w:trHeight w:val="144"/>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721484A5" w14:textId="74316063"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18319BDD" w14:textId="254BB7D1"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Saucisse, cervelas, de Francfort</w:t>
            </w:r>
          </w:p>
        </w:tc>
        <w:tc>
          <w:tcPr>
            <w:tcW w:w="1662" w:type="dxa"/>
            <w:tcBorders>
              <w:top w:val="nil"/>
              <w:left w:val="nil"/>
              <w:bottom w:val="single" w:sz="4" w:space="0" w:color="auto"/>
              <w:right w:val="single" w:sz="4" w:space="0" w:color="auto"/>
            </w:tcBorders>
            <w:shd w:val="clear" w:color="auto" w:fill="auto"/>
            <w:vAlign w:val="center"/>
            <w:hideMark/>
          </w:tcPr>
          <w:p w14:paraId="423532B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c>
          <w:tcPr>
            <w:tcW w:w="1840" w:type="dxa"/>
            <w:tcBorders>
              <w:top w:val="nil"/>
              <w:left w:val="nil"/>
              <w:bottom w:val="single" w:sz="4" w:space="0" w:color="auto"/>
              <w:right w:val="single" w:sz="4" w:space="0" w:color="auto"/>
            </w:tcBorders>
            <w:shd w:val="clear" w:color="auto" w:fill="auto"/>
            <w:vAlign w:val="center"/>
            <w:hideMark/>
          </w:tcPr>
          <w:p w14:paraId="0DE88B7A"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130</w:t>
            </w:r>
          </w:p>
        </w:tc>
      </w:tr>
      <w:tr w:rsidR="005A032F" w:rsidRPr="005A032F" w14:paraId="289A27F3" w14:textId="77777777" w:rsidTr="004C7DCB">
        <w:trPr>
          <w:trHeight w:val="247"/>
          <w:jc w:val="center"/>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5F136812" w14:textId="64D79E85" w:rsidR="005A032F" w:rsidRPr="005A032F" w:rsidRDefault="005A032F" w:rsidP="004C7DCB">
            <w:pPr>
              <w:spacing w:after="0" w:line="240" w:lineRule="auto"/>
              <w:jc w:val="left"/>
              <w:rPr>
                <w:rFonts w:eastAsia="Times New Roman" w:cs="Arial"/>
                <w:color w:val="000000"/>
                <w:sz w:val="18"/>
                <w:szCs w:val="18"/>
                <w:lang w:eastAsia="fr-FR"/>
              </w:rPr>
            </w:pPr>
          </w:p>
        </w:tc>
        <w:tc>
          <w:tcPr>
            <w:tcW w:w="4638" w:type="dxa"/>
            <w:tcBorders>
              <w:top w:val="nil"/>
              <w:left w:val="nil"/>
              <w:bottom w:val="single" w:sz="4" w:space="0" w:color="auto"/>
              <w:right w:val="single" w:sz="4" w:space="0" w:color="auto"/>
            </w:tcBorders>
            <w:shd w:val="clear" w:color="auto" w:fill="auto"/>
            <w:vAlign w:val="center"/>
            <w:hideMark/>
          </w:tcPr>
          <w:p w14:paraId="068C6B76" w14:textId="77777777" w:rsidR="005A032F" w:rsidRPr="005A032F" w:rsidRDefault="005A032F" w:rsidP="004C7DCB">
            <w:pPr>
              <w:spacing w:after="0" w:line="240" w:lineRule="auto"/>
              <w:jc w:val="left"/>
              <w:rPr>
                <w:rFonts w:eastAsia="Times New Roman" w:cs="Arial"/>
                <w:color w:val="000000"/>
                <w:sz w:val="18"/>
                <w:szCs w:val="18"/>
                <w:lang w:eastAsia="fr-FR"/>
              </w:rPr>
            </w:pPr>
            <w:r w:rsidRPr="005A032F">
              <w:rPr>
                <w:rFonts w:eastAsia="Times New Roman" w:cs="Arial"/>
                <w:color w:val="000000"/>
                <w:sz w:val="18"/>
                <w:szCs w:val="18"/>
                <w:lang w:eastAsia="fr-FR"/>
              </w:rPr>
              <w:t>Mortadelle supérieure</w:t>
            </w:r>
          </w:p>
        </w:tc>
        <w:tc>
          <w:tcPr>
            <w:tcW w:w="1662" w:type="dxa"/>
            <w:tcBorders>
              <w:top w:val="nil"/>
              <w:left w:val="nil"/>
              <w:bottom w:val="single" w:sz="4" w:space="0" w:color="auto"/>
              <w:right w:val="single" w:sz="4" w:space="0" w:color="auto"/>
            </w:tcBorders>
            <w:shd w:val="clear" w:color="auto" w:fill="auto"/>
            <w:vAlign w:val="center"/>
            <w:hideMark/>
          </w:tcPr>
          <w:p w14:paraId="5403371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110</w:t>
            </w:r>
          </w:p>
        </w:tc>
        <w:tc>
          <w:tcPr>
            <w:tcW w:w="1840" w:type="dxa"/>
            <w:tcBorders>
              <w:top w:val="nil"/>
              <w:left w:val="nil"/>
              <w:bottom w:val="single" w:sz="4" w:space="0" w:color="auto"/>
              <w:right w:val="single" w:sz="4" w:space="0" w:color="auto"/>
            </w:tcBorders>
            <w:shd w:val="clear" w:color="auto" w:fill="auto"/>
            <w:vAlign w:val="center"/>
            <w:hideMark/>
          </w:tcPr>
          <w:p w14:paraId="1A64D05C"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130</w:t>
            </w:r>
          </w:p>
        </w:tc>
      </w:tr>
      <w:tr w:rsidR="005A032F" w:rsidRPr="005A032F" w14:paraId="57FB2729" w14:textId="77777777" w:rsidTr="004C7DCB">
        <w:trPr>
          <w:trHeight w:val="224"/>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3CFB568A"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7.</w:t>
            </w:r>
          </w:p>
        </w:tc>
        <w:tc>
          <w:tcPr>
            <w:tcW w:w="4638" w:type="dxa"/>
            <w:tcBorders>
              <w:top w:val="nil"/>
              <w:left w:val="nil"/>
              <w:bottom w:val="single" w:sz="4" w:space="0" w:color="auto"/>
              <w:right w:val="single" w:sz="4" w:space="0" w:color="auto"/>
            </w:tcBorders>
            <w:shd w:val="clear" w:color="auto" w:fill="auto"/>
            <w:vAlign w:val="center"/>
            <w:hideMark/>
          </w:tcPr>
          <w:p w14:paraId="1133CDFE" w14:textId="3EE94D1A"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Pâtés, mousses, galantines, ballotines</w:t>
            </w:r>
          </w:p>
        </w:tc>
        <w:tc>
          <w:tcPr>
            <w:tcW w:w="1662" w:type="dxa"/>
            <w:tcBorders>
              <w:top w:val="nil"/>
              <w:left w:val="nil"/>
              <w:bottom w:val="single" w:sz="4" w:space="0" w:color="auto"/>
              <w:right w:val="single" w:sz="4" w:space="0" w:color="auto"/>
            </w:tcBorders>
            <w:shd w:val="clear" w:color="auto" w:fill="auto"/>
            <w:vAlign w:val="center"/>
            <w:hideMark/>
          </w:tcPr>
          <w:p w14:paraId="0B72454B"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95</w:t>
            </w:r>
          </w:p>
        </w:tc>
        <w:tc>
          <w:tcPr>
            <w:tcW w:w="1840" w:type="dxa"/>
            <w:tcBorders>
              <w:top w:val="nil"/>
              <w:left w:val="nil"/>
              <w:bottom w:val="single" w:sz="4" w:space="0" w:color="auto"/>
              <w:right w:val="single" w:sz="4" w:space="0" w:color="auto"/>
            </w:tcBorders>
            <w:shd w:val="clear" w:color="auto" w:fill="auto"/>
            <w:vAlign w:val="center"/>
            <w:hideMark/>
          </w:tcPr>
          <w:p w14:paraId="39D914AE"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105</w:t>
            </w:r>
          </w:p>
        </w:tc>
      </w:tr>
      <w:tr w:rsidR="005A032F" w:rsidRPr="005A032F" w14:paraId="18096A64" w14:textId="77777777" w:rsidTr="004C7DCB">
        <w:trPr>
          <w:trHeight w:val="199"/>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91A2277" w14:textId="173FB0CB"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8.</w:t>
            </w:r>
          </w:p>
        </w:tc>
        <w:tc>
          <w:tcPr>
            <w:tcW w:w="4638" w:type="dxa"/>
            <w:tcBorders>
              <w:top w:val="nil"/>
              <w:left w:val="nil"/>
              <w:bottom w:val="single" w:sz="4" w:space="0" w:color="auto"/>
              <w:right w:val="single" w:sz="4" w:space="0" w:color="auto"/>
            </w:tcBorders>
            <w:shd w:val="clear" w:color="auto" w:fill="auto"/>
            <w:vAlign w:val="center"/>
            <w:hideMark/>
          </w:tcPr>
          <w:p w14:paraId="5AA90F83"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Rillettes</w:t>
            </w:r>
          </w:p>
        </w:tc>
        <w:tc>
          <w:tcPr>
            <w:tcW w:w="1662" w:type="dxa"/>
            <w:tcBorders>
              <w:top w:val="nil"/>
              <w:left w:val="nil"/>
              <w:bottom w:val="single" w:sz="4" w:space="0" w:color="auto"/>
              <w:right w:val="single" w:sz="4" w:space="0" w:color="auto"/>
            </w:tcBorders>
            <w:shd w:val="clear" w:color="auto" w:fill="auto"/>
            <w:vAlign w:val="center"/>
            <w:hideMark/>
          </w:tcPr>
          <w:p w14:paraId="22C4FE17"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90</w:t>
            </w:r>
          </w:p>
        </w:tc>
        <w:tc>
          <w:tcPr>
            <w:tcW w:w="1840" w:type="dxa"/>
            <w:tcBorders>
              <w:top w:val="nil"/>
              <w:left w:val="nil"/>
              <w:bottom w:val="single" w:sz="4" w:space="0" w:color="auto"/>
              <w:right w:val="single" w:sz="4" w:space="0" w:color="auto"/>
            </w:tcBorders>
            <w:shd w:val="clear" w:color="auto" w:fill="auto"/>
            <w:vAlign w:val="center"/>
            <w:hideMark/>
          </w:tcPr>
          <w:p w14:paraId="7A54889A"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85</w:t>
            </w:r>
          </w:p>
        </w:tc>
      </w:tr>
      <w:tr w:rsidR="005A032F" w:rsidRPr="005A032F" w14:paraId="23BC69F8" w14:textId="77777777" w:rsidTr="004C7DCB">
        <w:trPr>
          <w:trHeight w:val="317"/>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3C434E47"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9.</w:t>
            </w:r>
          </w:p>
        </w:tc>
        <w:tc>
          <w:tcPr>
            <w:tcW w:w="4638" w:type="dxa"/>
            <w:tcBorders>
              <w:top w:val="nil"/>
              <w:left w:val="nil"/>
              <w:bottom w:val="single" w:sz="4" w:space="0" w:color="auto"/>
              <w:right w:val="single" w:sz="4" w:space="0" w:color="auto"/>
            </w:tcBorders>
            <w:shd w:val="clear" w:color="auto" w:fill="auto"/>
            <w:vAlign w:val="center"/>
            <w:hideMark/>
          </w:tcPr>
          <w:p w14:paraId="7D1ECC5C"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Produits à base de tête (museau, pâté de tête, langue)</w:t>
            </w:r>
          </w:p>
        </w:tc>
        <w:tc>
          <w:tcPr>
            <w:tcW w:w="1662" w:type="dxa"/>
            <w:tcBorders>
              <w:top w:val="nil"/>
              <w:left w:val="nil"/>
              <w:bottom w:val="single" w:sz="4" w:space="0" w:color="auto"/>
              <w:right w:val="single" w:sz="4" w:space="0" w:color="auto"/>
            </w:tcBorders>
            <w:shd w:val="clear" w:color="auto" w:fill="auto"/>
            <w:vAlign w:val="center"/>
            <w:hideMark/>
          </w:tcPr>
          <w:p w14:paraId="2192EC12"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70</w:t>
            </w:r>
          </w:p>
        </w:tc>
        <w:tc>
          <w:tcPr>
            <w:tcW w:w="1840" w:type="dxa"/>
            <w:tcBorders>
              <w:top w:val="nil"/>
              <w:left w:val="nil"/>
              <w:bottom w:val="single" w:sz="4" w:space="0" w:color="auto"/>
              <w:right w:val="single" w:sz="4" w:space="0" w:color="auto"/>
            </w:tcBorders>
            <w:shd w:val="clear" w:color="auto" w:fill="auto"/>
            <w:vAlign w:val="center"/>
            <w:hideMark/>
          </w:tcPr>
          <w:p w14:paraId="1C7731C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80</w:t>
            </w:r>
          </w:p>
        </w:tc>
      </w:tr>
      <w:tr w:rsidR="005A032F" w:rsidRPr="005A032F" w14:paraId="12323B13" w14:textId="77777777" w:rsidTr="004C7DCB">
        <w:trPr>
          <w:trHeight w:val="226"/>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0E3A130F"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10.</w:t>
            </w:r>
          </w:p>
        </w:tc>
        <w:tc>
          <w:tcPr>
            <w:tcW w:w="4638" w:type="dxa"/>
            <w:tcBorders>
              <w:top w:val="nil"/>
              <w:left w:val="nil"/>
              <w:bottom w:val="single" w:sz="4" w:space="0" w:color="auto"/>
              <w:right w:val="single" w:sz="4" w:space="0" w:color="auto"/>
            </w:tcBorders>
            <w:shd w:val="clear" w:color="auto" w:fill="auto"/>
            <w:vAlign w:val="center"/>
            <w:hideMark/>
          </w:tcPr>
          <w:p w14:paraId="64F9D042"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Andouilles, andouillettes</w:t>
            </w:r>
          </w:p>
        </w:tc>
        <w:tc>
          <w:tcPr>
            <w:tcW w:w="1662" w:type="dxa"/>
            <w:tcBorders>
              <w:top w:val="nil"/>
              <w:left w:val="nil"/>
              <w:bottom w:val="single" w:sz="4" w:space="0" w:color="auto"/>
              <w:right w:val="single" w:sz="4" w:space="0" w:color="auto"/>
            </w:tcBorders>
            <w:shd w:val="clear" w:color="auto" w:fill="auto"/>
            <w:vAlign w:val="center"/>
            <w:hideMark/>
          </w:tcPr>
          <w:p w14:paraId="5EB75B73"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65</w:t>
            </w:r>
          </w:p>
        </w:tc>
        <w:tc>
          <w:tcPr>
            <w:tcW w:w="1840" w:type="dxa"/>
            <w:tcBorders>
              <w:top w:val="nil"/>
              <w:left w:val="nil"/>
              <w:bottom w:val="single" w:sz="4" w:space="0" w:color="auto"/>
              <w:right w:val="single" w:sz="4" w:space="0" w:color="auto"/>
            </w:tcBorders>
            <w:shd w:val="clear" w:color="auto" w:fill="auto"/>
            <w:vAlign w:val="center"/>
            <w:hideMark/>
          </w:tcPr>
          <w:p w14:paraId="3B3C4510"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75</w:t>
            </w:r>
          </w:p>
        </w:tc>
      </w:tr>
      <w:tr w:rsidR="005A032F" w:rsidRPr="005A032F" w14:paraId="6EA1FE8D" w14:textId="77777777" w:rsidTr="004C7DCB">
        <w:trPr>
          <w:trHeight w:val="215"/>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2C110D96"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11.</w:t>
            </w:r>
          </w:p>
        </w:tc>
        <w:tc>
          <w:tcPr>
            <w:tcW w:w="4638" w:type="dxa"/>
            <w:tcBorders>
              <w:top w:val="nil"/>
              <w:left w:val="nil"/>
              <w:bottom w:val="single" w:sz="4" w:space="0" w:color="auto"/>
              <w:right w:val="single" w:sz="4" w:space="0" w:color="auto"/>
            </w:tcBorders>
            <w:shd w:val="clear" w:color="auto" w:fill="auto"/>
            <w:vAlign w:val="center"/>
            <w:hideMark/>
          </w:tcPr>
          <w:p w14:paraId="25430A7C"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Tripes, pieds</w:t>
            </w:r>
          </w:p>
        </w:tc>
        <w:tc>
          <w:tcPr>
            <w:tcW w:w="1662" w:type="dxa"/>
            <w:tcBorders>
              <w:top w:val="nil"/>
              <w:left w:val="nil"/>
              <w:bottom w:val="single" w:sz="4" w:space="0" w:color="auto"/>
              <w:right w:val="single" w:sz="4" w:space="0" w:color="auto"/>
            </w:tcBorders>
            <w:shd w:val="clear" w:color="auto" w:fill="auto"/>
            <w:vAlign w:val="center"/>
            <w:hideMark/>
          </w:tcPr>
          <w:p w14:paraId="17F60C78"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70</w:t>
            </w:r>
          </w:p>
        </w:tc>
        <w:tc>
          <w:tcPr>
            <w:tcW w:w="1840" w:type="dxa"/>
            <w:tcBorders>
              <w:top w:val="nil"/>
              <w:left w:val="nil"/>
              <w:bottom w:val="single" w:sz="4" w:space="0" w:color="auto"/>
              <w:right w:val="single" w:sz="4" w:space="0" w:color="auto"/>
            </w:tcBorders>
            <w:shd w:val="clear" w:color="auto" w:fill="auto"/>
            <w:vAlign w:val="center"/>
            <w:hideMark/>
          </w:tcPr>
          <w:p w14:paraId="55490DC4"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80</w:t>
            </w:r>
          </w:p>
        </w:tc>
      </w:tr>
      <w:tr w:rsidR="005A032F" w:rsidRPr="005A032F" w14:paraId="438512C4" w14:textId="77777777" w:rsidTr="004C7DCB">
        <w:trPr>
          <w:trHeight w:val="177"/>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57AF6C12"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12.</w:t>
            </w:r>
          </w:p>
        </w:tc>
        <w:tc>
          <w:tcPr>
            <w:tcW w:w="4638" w:type="dxa"/>
            <w:tcBorders>
              <w:top w:val="nil"/>
              <w:left w:val="nil"/>
              <w:bottom w:val="single" w:sz="4" w:space="0" w:color="auto"/>
              <w:right w:val="single" w:sz="4" w:space="0" w:color="auto"/>
            </w:tcBorders>
            <w:shd w:val="clear" w:color="auto" w:fill="auto"/>
            <w:vAlign w:val="center"/>
            <w:hideMark/>
          </w:tcPr>
          <w:p w14:paraId="7FD1CA53"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Boudins noirs</w:t>
            </w:r>
          </w:p>
        </w:tc>
        <w:tc>
          <w:tcPr>
            <w:tcW w:w="1662" w:type="dxa"/>
            <w:tcBorders>
              <w:top w:val="nil"/>
              <w:left w:val="nil"/>
              <w:bottom w:val="single" w:sz="4" w:space="0" w:color="auto"/>
              <w:right w:val="single" w:sz="4" w:space="0" w:color="auto"/>
            </w:tcBorders>
            <w:shd w:val="clear" w:color="auto" w:fill="auto"/>
            <w:vAlign w:val="center"/>
            <w:hideMark/>
          </w:tcPr>
          <w:p w14:paraId="2E4BBF8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125</w:t>
            </w:r>
          </w:p>
        </w:tc>
        <w:tc>
          <w:tcPr>
            <w:tcW w:w="1840" w:type="dxa"/>
            <w:tcBorders>
              <w:top w:val="nil"/>
              <w:left w:val="nil"/>
              <w:bottom w:val="single" w:sz="4" w:space="0" w:color="auto"/>
              <w:right w:val="single" w:sz="4" w:space="0" w:color="auto"/>
            </w:tcBorders>
            <w:shd w:val="clear" w:color="auto" w:fill="auto"/>
            <w:vAlign w:val="center"/>
            <w:hideMark/>
          </w:tcPr>
          <w:p w14:paraId="2B003F31"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145</w:t>
            </w:r>
          </w:p>
        </w:tc>
      </w:tr>
      <w:tr w:rsidR="005A032F" w:rsidRPr="005A032F" w14:paraId="3436D80B" w14:textId="77777777" w:rsidTr="004C7DCB">
        <w:trPr>
          <w:trHeight w:val="70"/>
          <w:jc w:val="center"/>
        </w:trPr>
        <w:tc>
          <w:tcPr>
            <w:tcW w:w="460" w:type="dxa"/>
            <w:tcBorders>
              <w:top w:val="nil"/>
              <w:left w:val="single" w:sz="4" w:space="0" w:color="auto"/>
              <w:bottom w:val="single" w:sz="4" w:space="0" w:color="auto"/>
              <w:right w:val="single" w:sz="4" w:space="0" w:color="auto"/>
            </w:tcBorders>
            <w:shd w:val="clear" w:color="auto" w:fill="auto"/>
            <w:vAlign w:val="center"/>
            <w:hideMark/>
          </w:tcPr>
          <w:p w14:paraId="632DCC7B"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13.</w:t>
            </w:r>
          </w:p>
        </w:tc>
        <w:tc>
          <w:tcPr>
            <w:tcW w:w="4638" w:type="dxa"/>
            <w:tcBorders>
              <w:top w:val="nil"/>
              <w:left w:val="nil"/>
              <w:bottom w:val="single" w:sz="4" w:space="0" w:color="auto"/>
              <w:right w:val="single" w:sz="4" w:space="0" w:color="auto"/>
            </w:tcBorders>
            <w:shd w:val="clear" w:color="auto" w:fill="auto"/>
            <w:vAlign w:val="center"/>
            <w:hideMark/>
          </w:tcPr>
          <w:p w14:paraId="6F0A7E5F" w14:textId="77777777" w:rsidR="005A032F" w:rsidRPr="005A032F" w:rsidRDefault="005A032F" w:rsidP="004C7DCB">
            <w:pPr>
              <w:spacing w:after="0" w:line="240" w:lineRule="auto"/>
              <w:jc w:val="left"/>
              <w:rPr>
                <w:rFonts w:eastAsia="Times New Roman" w:cs="Arial"/>
                <w:b/>
                <w:bCs/>
                <w:color w:val="000000"/>
                <w:sz w:val="18"/>
                <w:szCs w:val="18"/>
                <w:lang w:eastAsia="fr-FR"/>
              </w:rPr>
            </w:pPr>
            <w:r w:rsidRPr="005A032F">
              <w:rPr>
                <w:rFonts w:eastAsia="Times New Roman" w:cs="Arial"/>
                <w:b/>
                <w:bCs/>
                <w:color w:val="000000"/>
                <w:sz w:val="18"/>
                <w:szCs w:val="18"/>
                <w:lang w:eastAsia="fr-FR"/>
              </w:rPr>
              <w:t>Boudins blancs</w:t>
            </w:r>
          </w:p>
        </w:tc>
        <w:tc>
          <w:tcPr>
            <w:tcW w:w="1662" w:type="dxa"/>
            <w:tcBorders>
              <w:top w:val="nil"/>
              <w:left w:val="nil"/>
              <w:bottom w:val="single" w:sz="4" w:space="0" w:color="auto"/>
              <w:right w:val="single" w:sz="4" w:space="0" w:color="auto"/>
            </w:tcBorders>
            <w:shd w:val="clear" w:color="auto" w:fill="auto"/>
            <w:vAlign w:val="center"/>
            <w:hideMark/>
          </w:tcPr>
          <w:p w14:paraId="009EEDBD"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155</w:t>
            </w:r>
          </w:p>
        </w:tc>
        <w:tc>
          <w:tcPr>
            <w:tcW w:w="1840" w:type="dxa"/>
            <w:tcBorders>
              <w:top w:val="nil"/>
              <w:left w:val="nil"/>
              <w:bottom w:val="single" w:sz="4" w:space="0" w:color="auto"/>
              <w:right w:val="single" w:sz="4" w:space="0" w:color="auto"/>
            </w:tcBorders>
            <w:shd w:val="clear" w:color="auto" w:fill="auto"/>
            <w:vAlign w:val="center"/>
            <w:hideMark/>
          </w:tcPr>
          <w:p w14:paraId="6C131C70" w14:textId="77777777" w:rsidR="005A032F" w:rsidRPr="005A032F" w:rsidRDefault="005A032F" w:rsidP="005A032F">
            <w:pPr>
              <w:spacing w:after="0" w:line="240" w:lineRule="auto"/>
              <w:jc w:val="center"/>
              <w:rPr>
                <w:rFonts w:eastAsia="Times New Roman" w:cs="Arial"/>
                <w:color w:val="000000"/>
                <w:sz w:val="18"/>
                <w:szCs w:val="18"/>
                <w:lang w:eastAsia="fr-FR"/>
              </w:rPr>
            </w:pPr>
            <w:r w:rsidRPr="005A032F">
              <w:rPr>
                <w:rFonts w:eastAsia="Times New Roman" w:cs="Arial"/>
                <w:color w:val="000000"/>
                <w:sz w:val="18"/>
                <w:szCs w:val="18"/>
                <w:lang w:eastAsia="fr-FR"/>
              </w:rPr>
              <w:t>165</w:t>
            </w:r>
          </w:p>
        </w:tc>
      </w:tr>
    </w:tbl>
    <w:p w14:paraId="4A4BBC08" w14:textId="66825712" w:rsidR="00181795" w:rsidRDefault="002E750F" w:rsidP="002E750F">
      <w:pPr>
        <w:pStyle w:val="figure"/>
      </w:pPr>
      <w:bookmarkStart w:id="228" w:name="_Ref69316641"/>
      <w:bookmarkStart w:id="229" w:name="_Toc72143399"/>
      <w:r>
        <w:t xml:space="preserve">Tableau </w:t>
      </w:r>
      <w:r w:rsidR="00E27D6E">
        <w:fldChar w:fldCharType="begin"/>
      </w:r>
      <w:r w:rsidR="00E27D6E">
        <w:instrText xml:space="preserve"> SEQ Tableau \* ARABIC </w:instrText>
      </w:r>
      <w:r w:rsidR="00E27D6E">
        <w:fldChar w:fldCharType="separate"/>
      </w:r>
      <w:r w:rsidR="0007597F">
        <w:rPr>
          <w:noProof/>
        </w:rPr>
        <w:t>51</w:t>
      </w:r>
      <w:r w:rsidR="00E27D6E">
        <w:rPr>
          <w:noProof/>
        </w:rPr>
        <w:fldChar w:fldCharType="end"/>
      </w:r>
      <w:bookmarkEnd w:id="228"/>
      <w:r>
        <w:t xml:space="preserve"> : </w:t>
      </w:r>
      <w:r w:rsidR="0009719E">
        <w:t>Estimation des r</w:t>
      </w:r>
      <w:r w:rsidR="00762876" w:rsidRPr="00762876">
        <w:t>endements matière de transformation exprimés pour 100</w:t>
      </w:r>
      <w:r w:rsidR="00181795">
        <w:t xml:space="preserve"> </w:t>
      </w:r>
      <w:r w:rsidR="00762876" w:rsidRPr="00762876">
        <w:t>kg de pièce de départ</w:t>
      </w:r>
      <w:r w:rsidR="004F6529">
        <w:t xml:space="preserve"> parée par famille technologique selon le code des usages de la charcuterie</w:t>
      </w:r>
      <w:bookmarkEnd w:id="229"/>
      <w:r w:rsidR="00762876">
        <w:t xml:space="preserve"> </w:t>
      </w:r>
    </w:p>
    <w:p w14:paraId="309883B7" w14:textId="6BA23EAF" w:rsidR="0078632C" w:rsidRPr="002E750F" w:rsidRDefault="0078632C" w:rsidP="002E750F">
      <w:pPr>
        <w:pStyle w:val="Lgende"/>
      </w:pPr>
      <w:r w:rsidRPr="002E750F">
        <w:t>(Source : IFIP)</w:t>
      </w:r>
    </w:p>
    <w:p w14:paraId="2D64874F" w14:textId="11B583E5" w:rsidR="001D59F8" w:rsidRDefault="00CF10D7" w:rsidP="00181795">
      <w:r>
        <w:t>A</w:t>
      </w:r>
      <w:r w:rsidR="00F42FDC">
        <w:t>fin d’illustrer</w:t>
      </w:r>
      <w:r w:rsidR="00B209D3">
        <w:t xml:space="preserve"> la démarche</w:t>
      </w:r>
      <w:r w:rsidR="00F42FDC">
        <w:t xml:space="preserve">, il s’agit de prendre </w:t>
      </w:r>
      <w:r w:rsidR="00911499">
        <w:t xml:space="preserve">en exemple </w:t>
      </w:r>
      <w:r w:rsidR="00F42FDC">
        <w:t>le cas d’</w:t>
      </w:r>
      <w:r>
        <w:t xml:space="preserve">un jambon cuit supérieur, </w:t>
      </w:r>
      <w:r w:rsidR="00851B8E">
        <w:t xml:space="preserve">partant de </w:t>
      </w:r>
      <w:r w:rsidR="00773290">
        <w:t xml:space="preserve">la pièce de jambon </w:t>
      </w:r>
      <w:r>
        <w:t xml:space="preserve">ou découpe primaire </w:t>
      </w:r>
      <w:r w:rsidR="00773290">
        <w:t>désossée, découennée, dégraissée, dénervée, démontée</w:t>
      </w:r>
      <w:r w:rsidR="00851B8E">
        <w:t>, celle-ci est</w:t>
      </w:r>
      <w:r w:rsidR="00773290">
        <w:t xml:space="preserve"> ensuite saumurée et</w:t>
      </w:r>
      <w:r w:rsidR="00851B8E">
        <w:t xml:space="preserve"> moulée</w:t>
      </w:r>
      <w:r w:rsidR="00773290">
        <w:t xml:space="preserve">. Le gain en poids </w:t>
      </w:r>
      <w:r w:rsidR="00851B8E">
        <w:t xml:space="preserve">au travers du </w:t>
      </w:r>
      <w:r w:rsidR="00773290">
        <w:t xml:space="preserve">saumurage est </w:t>
      </w:r>
      <w:r w:rsidR="00851B8E">
        <w:t>estimé à</w:t>
      </w:r>
      <w:r w:rsidR="00773290">
        <w:t xml:space="preserve"> </w:t>
      </w:r>
      <w:r w:rsidR="00851B8E">
        <w:t>1</w:t>
      </w:r>
      <w:r w:rsidR="00DA7DD3">
        <w:t>0</w:t>
      </w:r>
      <w:r w:rsidR="001D59F8">
        <w:t> </w:t>
      </w:r>
      <w:r w:rsidR="00773290">
        <w:t xml:space="preserve">%. </w:t>
      </w:r>
      <w:r w:rsidR="00851B8E">
        <w:t>Après cuisson, l</w:t>
      </w:r>
      <w:r w:rsidR="00773290">
        <w:t xml:space="preserve">e rendement à la cuisson est de </w:t>
      </w:r>
      <w:r w:rsidR="00DA7DD3">
        <w:t>80</w:t>
      </w:r>
      <w:r w:rsidR="001D59F8">
        <w:t> </w:t>
      </w:r>
      <w:r w:rsidR="00773290">
        <w:t xml:space="preserve">%. </w:t>
      </w:r>
      <w:r w:rsidR="009F187E">
        <w:t>Le</w:t>
      </w:r>
      <w:r w:rsidR="00773290">
        <w:t xml:space="preserve"> rendement technologique </w:t>
      </w:r>
      <w:r w:rsidR="009F187E">
        <w:t>est de</w:t>
      </w:r>
      <w:r w:rsidR="00773290">
        <w:t xml:space="preserve"> </w:t>
      </w:r>
      <w:r w:rsidR="001D59F8">
        <w:t>90 </w:t>
      </w:r>
      <w:r w:rsidR="00773290">
        <w:t>% en moyenne</w:t>
      </w:r>
      <w:r w:rsidR="001D59F8">
        <w:t>.</w:t>
      </w:r>
      <w:r w:rsidR="00773290">
        <w:t xml:space="preserve"> </w:t>
      </w:r>
    </w:p>
    <w:p w14:paraId="3AD8CE68" w14:textId="2583B1F1" w:rsidR="000462C6" w:rsidRDefault="001D59F8" w:rsidP="00181795">
      <w:r>
        <w:t>Le</w:t>
      </w:r>
      <w:r w:rsidR="00773290">
        <w:t xml:space="preserve"> rendement global </w:t>
      </w:r>
      <w:r w:rsidR="00886E72">
        <w:t>tenant compte du rendement anatomique (</w:t>
      </w:r>
      <w:r w:rsidR="00901EBD">
        <w:t>71</w:t>
      </w:r>
      <w:r w:rsidR="00181795">
        <w:t> </w:t>
      </w:r>
      <w:r w:rsidR="00901EBD">
        <w:t xml:space="preserve">% ; </w:t>
      </w:r>
      <w:r w:rsidR="00886E72">
        <w:t>parage, démontage.</w:t>
      </w:r>
      <w:r w:rsidR="00901EBD">
        <w:t>.</w:t>
      </w:r>
      <w:r w:rsidR="00886E72">
        <w:t>.) est</w:t>
      </w:r>
      <w:r w:rsidR="00773290">
        <w:t xml:space="preserve"> de </w:t>
      </w:r>
      <w:r w:rsidR="00EA2228">
        <w:t>61 </w:t>
      </w:r>
      <w:r w:rsidR="00773290">
        <w:t xml:space="preserve">% en moyenne. </w:t>
      </w:r>
      <w:r w:rsidR="00E619CD">
        <w:t>Finalement,</w:t>
      </w:r>
      <w:r w:rsidR="00773290">
        <w:t xml:space="preserve"> pour obtenir 1</w:t>
      </w:r>
      <w:r w:rsidR="00404B5F">
        <w:t> </w:t>
      </w:r>
      <w:r w:rsidR="00773290">
        <w:t>kg de jambon cuit, il fau</w:t>
      </w:r>
      <w:r w:rsidR="0012657E">
        <w:t>drait</w:t>
      </w:r>
      <w:r w:rsidR="00773290">
        <w:t xml:space="preserve"> 1,</w:t>
      </w:r>
      <w:r w:rsidR="009A4A0A">
        <w:t>64</w:t>
      </w:r>
      <w:r w:rsidR="00404B5F">
        <w:t> </w:t>
      </w:r>
      <w:r w:rsidR="00773290">
        <w:t xml:space="preserve">kg de jambon </w:t>
      </w:r>
      <w:r w:rsidR="00EA2228">
        <w:t xml:space="preserve">brut </w:t>
      </w:r>
      <w:r w:rsidR="00773290">
        <w:t>avec os</w:t>
      </w:r>
      <w:r w:rsidR="00EA2228">
        <w:t>, gras et couenne</w:t>
      </w:r>
      <w:r w:rsidR="00773290">
        <w:t xml:space="preserve"> (rendement matière de </w:t>
      </w:r>
      <w:r w:rsidR="00EA2228">
        <w:t>61 </w:t>
      </w:r>
      <w:r w:rsidR="00773290">
        <w:t>%)</w:t>
      </w:r>
      <w:r w:rsidR="00491430">
        <w:t>.</w:t>
      </w:r>
    </w:p>
    <w:p w14:paraId="17B06DD7" w14:textId="77777777" w:rsidR="00357579" w:rsidRDefault="0012657E" w:rsidP="00357579">
      <w:r>
        <w:lastRenderedPageBreak/>
        <w:t xml:space="preserve">Ces données </w:t>
      </w:r>
      <w:r w:rsidR="00F0657B">
        <w:t>ne sont qu’estimatives et la bonne conduite de l’étude aurait nécessité un</w:t>
      </w:r>
      <w:r w:rsidR="00990AEE">
        <w:t>e analyse plus approfondie auprès de professionnels afin d’établir des données moyennes pour le marché.</w:t>
      </w:r>
    </w:p>
    <w:p w14:paraId="73174472" w14:textId="32049273" w:rsidR="00EE4A4C" w:rsidRPr="00422269" w:rsidRDefault="006365BD" w:rsidP="00A305CD">
      <w:pPr>
        <w:pStyle w:val="Titre1"/>
        <w:numPr>
          <w:ilvl w:val="0"/>
          <w:numId w:val="15"/>
        </w:numPr>
      </w:pPr>
      <w:bookmarkStart w:id="230" w:name="_Toc78131622"/>
      <w:r w:rsidRPr="00422269">
        <w:t xml:space="preserve">Approche de </w:t>
      </w:r>
      <w:r w:rsidR="008E3CEB" w:rsidRPr="00422269">
        <w:t xml:space="preserve">la </w:t>
      </w:r>
      <w:r w:rsidRPr="00422269">
        <w:t>q</w:t>
      </w:r>
      <w:r w:rsidR="00D416BC" w:rsidRPr="00422269">
        <w:t>uantification</w:t>
      </w:r>
      <w:r w:rsidR="000D700D" w:rsidRPr="00422269">
        <w:t xml:space="preserve"> </w:t>
      </w:r>
      <w:r w:rsidR="00D416BC" w:rsidRPr="00422269">
        <w:t xml:space="preserve">des produits du porc </w:t>
      </w:r>
      <w:r w:rsidR="00AE4174" w:rsidRPr="00422269">
        <w:t xml:space="preserve">valorisés comme ingrédients </w:t>
      </w:r>
      <w:r w:rsidR="00DB4DAF" w:rsidRPr="00422269">
        <w:t>alimentaires</w:t>
      </w:r>
      <w:bookmarkEnd w:id="230"/>
    </w:p>
    <w:p w14:paraId="09CF6A57" w14:textId="4674FE58" w:rsidR="00D13580" w:rsidRDefault="001320E2" w:rsidP="00181795">
      <w:r>
        <w:t xml:space="preserve">Deux axes de valorisation des produits du porc en tant qu’ingrédient peuvent être considérés : </w:t>
      </w:r>
    </w:p>
    <w:p w14:paraId="733187B0" w14:textId="5C73703F" w:rsidR="00254706" w:rsidRDefault="001320E2" w:rsidP="00A305CD">
      <w:pPr>
        <w:pStyle w:val="Paragraphedeliste"/>
        <w:numPr>
          <w:ilvl w:val="0"/>
          <w:numId w:val="21"/>
        </w:numPr>
      </w:pPr>
      <w:r>
        <w:t xml:space="preserve">Les </w:t>
      </w:r>
      <w:r w:rsidR="00957529">
        <w:t>produits de charcuterie autre</w:t>
      </w:r>
      <w:r w:rsidR="00BA42F8">
        <w:t>s</w:t>
      </w:r>
      <w:r w:rsidR="00957529">
        <w:t xml:space="preserve"> que de porc</w:t>
      </w:r>
      <w:r w:rsidR="00324CF6">
        <w:t xml:space="preserve"> soit de volaille, </w:t>
      </w:r>
      <w:r w:rsidR="00D252E2">
        <w:t xml:space="preserve">de lapin ou </w:t>
      </w:r>
      <w:r w:rsidR="00324CF6">
        <w:t xml:space="preserve">de gibier </w:t>
      </w:r>
      <w:r w:rsidR="00957529">
        <w:t>dans lesquels le porc</w:t>
      </w:r>
      <w:r w:rsidR="0003487C">
        <w:t xml:space="preserve"> va apporter une dimension fonctionnelle mais </w:t>
      </w:r>
      <w:r w:rsidR="00404B5F">
        <w:t xml:space="preserve">aussi potentiellement jouer le </w:t>
      </w:r>
      <w:r w:rsidR="000F2547">
        <w:t xml:space="preserve">rôle de variable d’ajustement </w:t>
      </w:r>
      <w:r w:rsidR="00DA11F4">
        <w:t>économique</w:t>
      </w:r>
      <w:r w:rsidR="00261FF9">
        <w:t xml:space="preserve"> en matière de prix de revient dans la formulation des recettes</w:t>
      </w:r>
      <w:r w:rsidR="00DA11F4">
        <w:t>,</w:t>
      </w:r>
    </w:p>
    <w:p w14:paraId="3BE6D6DC" w14:textId="0F1E56F3" w:rsidR="00DA11F4" w:rsidRDefault="00201E88" w:rsidP="00404B5F">
      <w:pPr>
        <w:pStyle w:val="Paragraphedeliste"/>
        <w:numPr>
          <w:ilvl w:val="0"/>
          <w:numId w:val="21"/>
        </w:numPr>
        <w:spacing w:before="240"/>
        <w:ind w:left="714" w:hanging="357"/>
      </w:pPr>
      <w:r>
        <w:t xml:space="preserve">Les produits traiteurs qui intègrent </w:t>
      </w:r>
      <w:r w:rsidR="00916E2C">
        <w:t>des produits finis du</w:t>
      </w:r>
      <w:r>
        <w:t xml:space="preserve"> porc </w:t>
      </w:r>
      <w:r w:rsidR="00DA11F4">
        <w:t>en revanche comme source de protéine carnée valorisante</w:t>
      </w:r>
      <w:r w:rsidR="00350891">
        <w:t xml:space="preserve"> </w:t>
      </w:r>
      <w:r w:rsidR="00916E2C">
        <w:t>tout en étant économique.</w:t>
      </w:r>
    </w:p>
    <w:p w14:paraId="2BE93160" w14:textId="2FDD99E2" w:rsidR="00D416BC" w:rsidRDefault="00767A22" w:rsidP="00A63F35">
      <w:pPr>
        <w:pStyle w:val="Titre2"/>
        <w:numPr>
          <w:ilvl w:val="0"/>
          <w:numId w:val="0"/>
        </w:numPr>
        <w:ind w:left="357"/>
      </w:pPr>
      <w:bookmarkStart w:id="231" w:name="_Toc78131623"/>
      <w:r>
        <w:t>2</w:t>
      </w:r>
      <w:r w:rsidR="00181795" w:rsidRPr="00181795">
        <w:t>.1</w:t>
      </w:r>
      <w:r w:rsidR="00357579">
        <w:t>.</w:t>
      </w:r>
      <w:r w:rsidR="00181795">
        <w:t xml:space="preserve"> </w:t>
      </w:r>
      <w:r w:rsidR="00D80471">
        <w:t xml:space="preserve">Part d’incorporation de porc dans les </w:t>
      </w:r>
      <w:r w:rsidR="0055717D">
        <w:t>charcuterie</w:t>
      </w:r>
      <w:r w:rsidR="00553143">
        <w:t>s</w:t>
      </w:r>
      <w:r w:rsidR="0055717D">
        <w:t xml:space="preserve"> autres que de porc</w:t>
      </w:r>
      <w:bookmarkEnd w:id="231"/>
      <w:r w:rsidR="0055717D">
        <w:t xml:space="preserve"> </w:t>
      </w:r>
    </w:p>
    <w:p w14:paraId="720DACAA" w14:textId="44E0DEF2" w:rsidR="00C47CA6" w:rsidRDefault="00E152D1" w:rsidP="00181795">
      <w:r>
        <w:t xml:space="preserve">Parmi les produits de mélange, </w:t>
      </w:r>
      <w:r w:rsidR="00666410">
        <w:t>sont distingués</w:t>
      </w:r>
      <w:r w:rsidR="00774169">
        <w:t xml:space="preserve"> selon </w:t>
      </w:r>
      <w:r w:rsidR="00A60A57">
        <w:t>le Code des usages</w:t>
      </w:r>
      <w:r w:rsidR="00774169">
        <w:t>,</w:t>
      </w:r>
      <w:r w:rsidR="00666410">
        <w:t xml:space="preserve"> </w:t>
      </w:r>
      <w:r w:rsidR="00E1665E">
        <w:t>les produits purs porc et les produit</w:t>
      </w:r>
      <w:r w:rsidR="0036548B">
        <w:t xml:space="preserve">s </w:t>
      </w:r>
      <w:r w:rsidR="009B09F6">
        <w:t xml:space="preserve">à base d’autres </w:t>
      </w:r>
      <w:r w:rsidR="0036548B">
        <w:t>espèces soient volaille</w:t>
      </w:r>
      <w:r w:rsidR="00C47CA6">
        <w:t>,</w:t>
      </w:r>
      <w:r w:rsidR="0036548B">
        <w:t xml:space="preserve"> </w:t>
      </w:r>
      <w:r w:rsidR="00404228">
        <w:t xml:space="preserve">lapin, </w:t>
      </w:r>
      <w:r w:rsidR="0036548B">
        <w:t>gibiers</w:t>
      </w:r>
      <w:r w:rsidR="002633B2">
        <w:t xml:space="preserve"> </w:t>
      </w:r>
      <w:r w:rsidR="0036548B">
        <w:t xml:space="preserve">incorporant des produits du porc. </w:t>
      </w:r>
      <w:r w:rsidR="00FD316B">
        <w:t xml:space="preserve">Sont </w:t>
      </w:r>
      <w:r w:rsidR="00A42936">
        <w:t xml:space="preserve">principalement </w:t>
      </w:r>
      <w:r w:rsidR="00FD316B">
        <w:t xml:space="preserve">concernées les </w:t>
      </w:r>
      <w:r w:rsidR="00A43139">
        <w:t xml:space="preserve">familles technologiques </w:t>
      </w:r>
      <w:r w:rsidR="00FD316B">
        <w:t>suivantes</w:t>
      </w:r>
      <w:r w:rsidR="00BB491D">
        <w:t xml:space="preserve"> : </w:t>
      </w:r>
      <w:r w:rsidR="00BD4346">
        <w:t>s</w:t>
      </w:r>
      <w:r w:rsidR="001F409C" w:rsidRPr="00BB491D">
        <w:t>aucisses et saucissons</w:t>
      </w:r>
      <w:r w:rsidR="00A42936">
        <w:t xml:space="preserve"> cuits (classe 6)</w:t>
      </w:r>
      <w:r w:rsidR="00BB491D" w:rsidRPr="00BB491D">
        <w:t xml:space="preserve">, </w:t>
      </w:r>
      <w:r w:rsidR="00677F97">
        <w:t>p</w:t>
      </w:r>
      <w:r w:rsidR="00677F97" w:rsidRPr="00677F97">
        <w:t>âtés, galantines, ballotines</w:t>
      </w:r>
      <w:r w:rsidR="00A42936">
        <w:t xml:space="preserve"> (classe 7) et rillettes (classe 8).</w:t>
      </w:r>
      <w:r w:rsidR="00D700AA">
        <w:t xml:space="preserve"> </w:t>
      </w:r>
    </w:p>
    <w:p w14:paraId="478C6F7A" w14:textId="55193321" w:rsidR="000120C1" w:rsidRDefault="00380615" w:rsidP="00181795">
      <w:r>
        <w:t>Suivant le code des usages et c</w:t>
      </w:r>
      <w:r w:rsidR="008775A9">
        <w:t>oncernant les produits de charcuterie élaborés à base de viandes de volaille ou de lapin, de gibier, l</w:t>
      </w:r>
      <w:r w:rsidR="00774169">
        <w:t>a réglementation prévoit que pour qu’un produit soit dénommé</w:t>
      </w:r>
      <w:r w:rsidR="00D0499E">
        <w:t xml:space="preserve"> par exemple</w:t>
      </w:r>
      <w:r w:rsidR="00774169">
        <w:t xml:space="preserve"> « pâté ou terrine de lapin », la part de maigre ou des abats de lapin représente au moins 20% de la masse nette du produit à la mise en œuvre, hors décors, substances d’enrobage</w:t>
      </w:r>
      <w:r w:rsidR="00A468A1">
        <w:t xml:space="preserve"> et</w:t>
      </w:r>
      <w:r w:rsidR="00774169">
        <w:t xml:space="preserve"> croûte. </w:t>
      </w:r>
      <w:r w:rsidR="0039289A">
        <w:t xml:space="preserve">Ce taux </w:t>
      </w:r>
      <w:r w:rsidR="00860BDF">
        <w:t xml:space="preserve">est similaire pour les autres </w:t>
      </w:r>
      <w:r w:rsidR="0001782A">
        <w:t xml:space="preserve">espèces (sanglier, cerf, </w:t>
      </w:r>
      <w:r w:rsidR="000120C1">
        <w:t xml:space="preserve">caille…) </w:t>
      </w:r>
      <w:r w:rsidR="00764410">
        <w:t xml:space="preserve">de l’ensemble des produits de </w:t>
      </w:r>
      <w:r w:rsidR="0001782A">
        <w:t>la classe des pâtés</w:t>
      </w:r>
      <w:r w:rsidR="000120C1">
        <w:t xml:space="preserve">, </w:t>
      </w:r>
      <w:r w:rsidR="000120C1" w:rsidRPr="00677F97">
        <w:t>galantines, ballotines</w:t>
      </w:r>
      <w:r w:rsidR="000120C1">
        <w:t xml:space="preserve"> (classe 7).</w:t>
      </w:r>
    </w:p>
    <w:p w14:paraId="443FD7A8" w14:textId="6B2A4FBF" w:rsidR="00B811D9" w:rsidRDefault="0013503C" w:rsidP="00181795">
      <w:pPr>
        <w:rPr>
          <w:bCs/>
        </w:rPr>
      </w:pPr>
      <w:r>
        <w:rPr>
          <w:bCs/>
        </w:rPr>
        <w:t>Pour</w:t>
      </w:r>
      <w:r w:rsidR="000120C1" w:rsidRPr="00DC5CA5">
        <w:rPr>
          <w:bCs/>
        </w:rPr>
        <w:t xml:space="preserve"> l</w:t>
      </w:r>
      <w:r>
        <w:rPr>
          <w:bCs/>
        </w:rPr>
        <w:t>’appellation</w:t>
      </w:r>
      <w:r w:rsidR="000120C1" w:rsidRPr="00DC5CA5">
        <w:rPr>
          <w:bCs/>
        </w:rPr>
        <w:t xml:space="preserve"> rillettes</w:t>
      </w:r>
      <w:r w:rsidR="003805AA">
        <w:rPr>
          <w:bCs/>
        </w:rPr>
        <w:t xml:space="preserve"> (classe 8)</w:t>
      </w:r>
      <w:r w:rsidR="00DC5CA5">
        <w:rPr>
          <w:bCs/>
        </w:rPr>
        <w:t xml:space="preserve"> </w:t>
      </w:r>
      <w:r w:rsidR="00DC5CA5" w:rsidRPr="00DC5CA5">
        <w:t>d’oie, de canard</w:t>
      </w:r>
      <w:r w:rsidR="00DC5CA5">
        <w:t>, c</w:t>
      </w:r>
      <w:r w:rsidR="00DC5CA5" w:rsidRPr="00DC5CA5">
        <w:rPr>
          <w:bCs/>
        </w:rPr>
        <w:t>es mentions sont réservées à des produits qui contiennent, au minimum, à la mise en œuvre, 50 % de viande et 20 % de graisse ou gras de l’espèce animale annoncée</w:t>
      </w:r>
      <w:r w:rsidR="003F64FF">
        <w:rPr>
          <w:bCs/>
        </w:rPr>
        <w:t xml:space="preserve">. Ce taux </w:t>
      </w:r>
      <w:r w:rsidR="00423E7D">
        <w:rPr>
          <w:bCs/>
        </w:rPr>
        <w:t xml:space="preserve">est, pour les </w:t>
      </w:r>
      <w:r w:rsidR="00423E7D">
        <w:t>r</w:t>
      </w:r>
      <w:r w:rsidR="00DC5CA5" w:rsidRPr="00DC5CA5">
        <w:t>illettes de volaille (ou d’une espèce de volaille à l’exception de l’oie et du canard), lapin, gibier (ou d’une espèce de gibier)</w:t>
      </w:r>
      <w:r w:rsidR="00423E7D">
        <w:t xml:space="preserve">, de </w:t>
      </w:r>
      <w:r w:rsidR="00DC5CA5" w:rsidRPr="00DC5CA5">
        <w:rPr>
          <w:bCs/>
        </w:rPr>
        <w:t>50 % de viande de volaille ou de gibier ou de l’espèce animale citée. Pour les rillettes d’oie, de canard, de volaille, de lapin, de gibier, le complément est constitué de viande de porc, ou de volaille et de graisse ou gras de porc, d’oie ou de canard.</w:t>
      </w:r>
    </w:p>
    <w:p w14:paraId="5B3DA38D" w14:textId="007CA2E4" w:rsidR="00B811D9" w:rsidRDefault="00B811D9" w:rsidP="00181795">
      <w:pPr>
        <w:rPr>
          <w:bCs/>
        </w:rPr>
      </w:pPr>
      <w:r w:rsidRPr="00A3680F">
        <w:rPr>
          <w:bCs/>
        </w:rPr>
        <w:t>Dans le cas des saucisses et saucissons cuits (classe 6), l</w:t>
      </w:r>
      <w:r>
        <w:rPr>
          <w:bCs/>
        </w:rPr>
        <w:t>e Code des Usages de la charcuterie prévoit que le</w:t>
      </w:r>
      <w:r w:rsidR="00EC24AE">
        <w:rPr>
          <w:bCs/>
        </w:rPr>
        <w:t>s saucisses cuites</w:t>
      </w:r>
      <w:r w:rsidR="00074F56">
        <w:rPr>
          <w:bCs/>
        </w:rPr>
        <w:t xml:space="preserve"> et cervelas</w:t>
      </w:r>
      <w:r w:rsidR="00EC24AE">
        <w:rPr>
          <w:bCs/>
        </w:rPr>
        <w:t xml:space="preserve"> sont élaborés à partir </w:t>
      </w:r>
      <w:r w:rsidRPr="00A3680F">
        <w:rPr>
          <w:bCs/>
        </w:rPr>
        <w:t>de viande de porc et/ou bovin et/ou veau</w:t>
      </w:r>
      <w:r w:rsidR="00C350C1">
        <w:rPr>
          <w:bCs/>
        </w:rPr>
        <w:t xml:space="preserve">, de </w:t>
      </w:r>
      <w:r w:rsidR="00C350C1" w:rsidRPr="00C350C1">
        <w:t>gras</w:t>
      </w:r>
      <w:r w:rsidR="00C350C1" w:rsidRPr="00C350C1">
        <w:rPr>
          <w:bCs/>
        </w:rPr>
        <w:t xml:space="preserve"> de porc et/ou </w:t>
      </w:r>
      <w:r w:rsidR="007740D2">
        <w:rPr>
          <w:bCs/>
        </w:rPr>
        <w:t xml:space="preserve">du </w:t>
      </w:r>
      <w:r w:rsidR="00C350C1" w:rsidRPr="00C350C1">
        <w:rPr>
          <w:bCs/>
        </w:rPr>
        <w:t>gras des espèces animales dont la viande est utilisée</w:t>
      </w:r>
      <w:r w:rsidRPr="00A3680F">
        <w:rPr>
          <w:bCs/>
        </w:rPr>
        <w:t>.</w:t>
      </w:r>
    </w:p>
    <w:p w14:paraId="206FFEFE" w14:textId="0D31E1F3" w:rsidR="00745EAA" w:rsidRDefault="00ED6D6E" w:rsidP="00181795">
      <w:pPr>
        <w:rPr>
          <w:bCs/>
        </w:rPr>
      </w:pPr>
      <w:r>
        <w:rPr>
          <w:bCs/>
        </w:rPr>
        <w:t xml:space="preserve">A noter, </w:t>
      </w:r>
      <w:r w:rsidR="00A47C77">
        <w:rPr>
          <w:bCs/>
        </w:rPr>
        <w:t>les familles des pâtés croûte et des saucissons briochés</w:t>
      </w:r>
      <w:r w:rsidR="00745EAA">
        <w:rPr>
          <w:bCs/>
        </w:rPr>
        <w:t xml:space="preserve"> et autres charcuteries cuisinées</w:t>
      </w:r>
      <w:r w:rsidR="00A47C77">
        <w:rPr>
          <w:bCs/>
        </w:rPr>
        <w:t xml:space="preserve"> </w:t>
      </w:r>
      <w:r w:rsidR="00745EAA">
        <w:rPr>
          <w:bCs/>
        </w:rPr>
        <w:t>ne sont pas définies par le Code des Usages de la charcuterie et ont en conséquence été analysées parmi les produits traiteurs.</w:t>
      </w:r>
    </w:p>
    <w:p w14:paraId="086F041B" w14:textId="57959C40" w:rsidR="00730386" w:rsidRDefault="00767A22" w:rsidP="00A97873">
      <w:pPr>
        <w:pStyle w:val="Titre3"/>
      </w:pPr>
      <w:bookmarkStart w:id="232" w:name="_Toc78131624"/>
      <w:r>
        <w:t>2</w:t>
      </w:r>
      <w:r w:rsidR="00181795">
        <w:t>.1.1</w:t>
      </w:r>
      <w:r w:rsidR="00C50711">
        <w:t>.</w:t>
      </w:r>
      <w:r w:rsidR="00181795">
        <w:t xml:space="preserve"> </w:t>
      </w:r>
      <w:r w:rsidR="00730386">
        <w:t>Méthode de travail</w:t>
      </w:r>
      <w:bookmarkEnd w:id="232"/>
    </w:p>
    <w:p w14:paraId="1E39D993" w14:textId="5BD13315" w:rsidR="00824F11" w:rsidRDefault="00FB5BFE" w:rsidP="00181795">
      <w:r>
        <w:t xml:space="preserve">Les catégories </w:t>
      </w:r>
      <w:r w:rsidR="00C40B41">
        <w:t xml:space="preserve">de </w:t>
      </w:r>
      <w:r w:rsidR="00021868">
        <w:t xml:space="preserve">produits concernées, </w:t>
      </w:r>
      <w:r>
        <w:t>en particulier les pâtés, galantines et ballotines</w:t>
      </w:r>
      <w:r w:rsidR="00021868">
        <w:t>,</w:t>
      </w:r>
      <w:r>
        <w:t xml:space="preserve"> sont représentées par </w:t>
      </w:r>
      <w:r w:rsidR="00483787">
        <w:t xml:space="preserve">une </w:t>
      </w:r>
      <w:r>
        <w:t xml:space="preserve">très une grande variété de </w:t>
      </w:r>
      <w:r w:rsidR="00483787">
        <w:t xml:space="preserve">références </w:t>
      </w:r>
      <w:r w:rsidR="00294D7D">
        <w:t xml:space="preserve">notamment </w:t>
      </w:r>
      <w:r>
        <w:t>régionales</w:t>
      </w:r>
      <w:r w:rsidR="00BC64F5">
        <w:t xml:space="preserve"> ou locales</w:t>
      </w:r>
      <w:r>
        <w:t xml:space="preserve">. </w:t>
      </w:r>
      <w:r w:rsidR="00BC64F5">
        <w:t xml:space="preserve">Cependant au regard d’une faible diffusion, elles ne sont pas nécessairement représentatives du marché. En revanche, par leur </w:t>
      </w:r>
      <w:r w:rsidR="0006140A">
        <w:t>définition</w:t>
      </w:r>
      <w:r w:rsidR="00BC64F5">
        <w:t xml:space="preserve"> même</w:t>
      </w:r>
      <w:r w:rsidR="00021868">
        <w:t>,</w:t>
      </w:r>
      <w:r w:rsidR="00BC64F5">
        <w:t xml:space="preserve"> les marques de distributeurs </w:t>
      </w:r>
      <w:r w:rsidR="0006140A">
        <w:t xml:space="preserve">et les marques nationales </w:t>
      </w:r>
      <w:r w:rsidR="00BC64F5">
        <w:t>diffusées en grande surface alimentaire</w:t>
      </w:r>
      <w:r w:rsidR="00824F11">
        <w:t xml:space="preserve"> sont </w:t>
      </w:r>
      <w:r w:rsidR="00DE1DA2">
        <w:t xml:space="preserve">illustratives </w:t>
      </w:r>
      <w:r w:rsidR="00824F11">
        <w:t>de</w:t>
      </w:r>
      <w:r w:rsidR="00294D7D">
        <w:t>s</w:t>
      </w:r>
      <w:r w:rsidR="00824F11">
        <w:t xml:space="preserve"> </w:t>
      </w:r>
      <w:r w:rsidR="00836DC0">
        <w:t>20</w:t>
      </w:r>
      <w:r w:rsidR="002C373C">
        <w:t> </w:t>
      </w:r>
      <w:r w:rsidR="000C27E6">
        <w:t>% des références qui représentent 80% du marché</w:t>
      </w:r>
      <w:r w:rsidR="00824F11">
        <w:t xml:space="preserve">. </w:t>
      </w:r>
      <w:r w:rsidR="00B171BF">
        <w:t>C’est sur ce périmètre que portera l’analyse de l</w:t>
      </w:r>
      <w:r w:rsidR="00497C87">
        <w:t>a composition des recettes</w:t>
      </w:r>
      <w:r w:rsidR="00B171BF">
        <w:t xml:space="preserve"> </w:t>
      </w:r>
      <w:r w:rsidR="00EB47C2">
        <w:t xml:space="preserve">visant </w:t>
      </w:r>
      <w:r w:rsidR="00B171BF">
        <w:t xml:space="preserve">à </w:t>
      </w:r>
      <w:r w:rsidR="009A6509">
        <w:t>approcher</w:t>
      </w:r>
      <w:r w:rsidR="00B171BF">
        <w:t xml:space="preserve"> </w:t>
      </w:r>
      <w:r w:rsidR="00497C87">
        <w:t xml:space="preserve">la part </w:t>
      </w:r>
      <w:r w:rsidR="001F56C5">
        <w:t xml:space="preserve">moyenne </w:t>
      </w:r>
      <w:r w:rsidR="00497C87">
        <w:t>de porc intégrée</w:t>
      </w:r>
      <w:r w:rsidR="001F56C5">
        <w:t xml:space="preserve"> dans les recettes</w:t>
      </w:r>
      <w:r w:rsidR="00497C87">
        <w:t>.</w:t>
      </w:r>
    </w:p>
    <w:p w14:paraId="04127DBD" w14:textId="482543E2" w:rsidR="0006140A" w:rsidRDefault="00730386" w:rsidP="00181795">
      <w:r w:rsidRPr="001F56C5">
        <w:lastRenderedPageBreak/>
        <w:t xml:space="preserve">Les données sur la composition des aliments ont été extraites </w:t>
      </w:r>
      <w:r w:rsidR="001F56C5">
        <w:t xml:space="preserve">de </w:t>
      </w:r>
      <w:r w:rsidR="00611501">
        <w:t>deux sources, les sites de commerce en ligne des enseignes</w:t>
      </w:r>
      <w:r w:rsidR="00F81252">
        <w:t xml:space="preserve"> des grandes surfaces alimentaires</w:t>
      </w:r>
      <w:r w:rsidR="00611501">
        <w:t xml:space="preserve"> </w:t>
      </w:r>
      <w:r w:rsidR="0006140A">
        <w:t>toutes enseignes confondues</w:t>
      </w:r>
      <w:r w:rsidR="00DC1E5A">
        <w:t xml:space="preserve"> des grandes surfaces alimentaires</w:t>
      </w:r>
      <w:r w:rsidR="0006140A">
        <w:t xml:space="preserve"> </w:t>
      </w:r>
      <w:r w:rsidR="00611501">
        <w:t xml:space="preserve">et </w:t>
      </w:r>
      <w:r w:rsidRPr="001F56C5">
        <w:t>la base de données du projet Open Food Facts</w:t>
      </w:r>
      <w:r w:rsidR="0006140A">
        <w:t xml:space="preserve"> </w:t>
      </w:r>
      <w:r w:rsidRPr="001F56C5">
        <w:t>( </w:t>
      </w:r>
      <w:hyperlink r:id="rId52" w:history="1">
        <w:r w:rsidRPr="001F56C5">
          <w:t>http://world.openfoodfacts.org/</w:t>
        </w:r>
      </w:hyperlink>
      <w:r w:rsidRPr="001F56C5">
        <w:t>). </w:t>
      </w:r>
      <w:r w:rsidR="005D7FCF">
        <w:t xml:space="preserve">Ce projet </w:t>
      </w:r>
      <w:r w:rsidRPr="001F56C5">
        <w:t>est un</w:t>
      </w:r>
      <w:r w:rsidR="00F81252">
        <w:t xml:space="preserve"> projet </w:t>
      </w:r>
      <w:r w:rsidRPr="001F56C5">
        <w:t>collaborati</w:t>
      </w:r>
      <w:r w:rsidR="00F81252">
        <w:t>f de base de données ouvertes qui collecte</w:t>
      </w:r>
      <w:r w:rsidRPr="001F56C5">
        <w:t xml:space="preserve"> des données sur l</w:t>
      </w:r>
      <w:r w:rsidR="00F81252">
        <w:t xml:space="preserve">’étiquetage </w:t>
      </w:r>
      <w:r w:rsidRPr="001F56C5">
        <w:t>des aliments</w:t>
      </w:r>
      <w:r w:rsidR="00F81252">
        <w:t xml:space="preserve"> parmi lesquels leur composition</w:t>
      </w:r>
      <w:r w:rsidRPr="001F56C5">
        <w:t xml:space="preserve">. Les données sont </w:t>
      </w:r>
      <w:r w:rsidR="00F81252">
        <w:t>enregistrées</w:t>
      </w:r>
      <w:r w:rsidRPr="001F56C5">
        <w:t xml:space="preserve"> par des contributeurs bénévoles </w:t>
      </w:r>
      <w:r w:rsidR="00F81252">
        <w:t xml:space="preserve">à partir d’achats de </w:t>
      </w:r>
      <w:r w:rsidRPr="001F56C5">
        <w:t xml:space="preserve">produits alimentaires </w:t>
      </w:r>
      <w:r w:rsidR="00F81252">
        <w:t>effectués en point de vente et</w:t>
      </w:r>
      <w:r w:rsidRPr="001F56C5">
        <w:t xml:space="preserve"> </w:t>
      </w:r>
      <w:r w:rsidR="00F81252">
        <w:t xml:space="preserve">disponibles </w:t>
      </w:r>
      <w:r w:rsidRPr="001F56C5">
        <w:t>à des fins de recherche. </w:t>
      </w:r>
      <w:r w:rsidR="00F0213E">
        <w:t>Concernant la base de données Open Food Fact</w:t>
      </w:r>
      <w:r w:rsidR="00AD35E4">
        <w:t>s, n</w:t>
      </w:r>
      <w:r w:rsidR="005D7FCF">
        <w:t xml:space="preserve">e sont concernés que les produits de type libre-service (emballés) et </w:t>
      </w:r>
      <w:r w:rsidR="00AD35E4">
        <w:t xml:space="preserve">celle-ci ne donne qu’un aperçu </w:t>
      </w:r>
      <w:r w:rsidR="00F81252">
        <w:t>des produits référencés à marque</w:t>
      </w:r>
      <w:r w:rsidR="005D7FCF">
        <w:t xml:space="preserve"> de distributeur mais </w:t>
      </w:r>
      <w:r w:rsidR="004656D9">
        <w:t xml:space="preserve">vient compléter la </w:t>
      </w:r>
      <w:r w:rsidR="005D7FCF">
        <w:t>première approche</w:t>
      </w:r>
      <w:r w:rsidR="004656D9">
        <w:t xml:space="preserve"> au travers des sites de e-commerce</w:t>
      </w:r>
      <w:r w:rsidRPr="001F56C5">
        <w:t>. </w:t>
      </w:r>
      <w:r w:rsidR="00BB5DD7">
        <w:t>En revanche</w:t>
      </w:r>
      <w:r w:rsidR="00AD35E4">
        <w:t xml:space="preserve">, les relevés produits au travers des sites de e-commerce portent </w:t>
      </w:r>
      <w:r w:rsidR="001C357D">
        <w:t xml:space="preserve">sur </w:t>
      </w:r>
      <w:r w:rsidR="00AD35E4">
        <w:t>le</w:t>
      </w:r>
      <w:r w:rsidR="00BB5DD7">
        <w:t>s produits</w:t>
      </w:r>
      <w:r w:rsidR="00AD35E4">
        <w:t xml:space="preserve"> frais et </w:t>
      </w:r>
      <w:r w:rsidR="00BB5DD7">
        <w:t>de conserve</w:t>
      </w:r>
      <w:r w:rsidR="00AD35E4">
        <w:t xml:space="preserve">, </w:t>
      </w:r>
      <w:r w:rsidR="001C357D">
        <w:t xml:space="preserve">en </w:t>
      </w:r>
      <w:r w:rsidR="00AD35E4">
        <w:t xml:space="preserve">libre-service et </w:t>
      </w:r>
      <w:r w:rsidR="00BB5DD7">
        <w:t>à la coupe.</w:t>
      </w:r>
    </w:p>
    <w:p w14:paraId="3E32082D" w14:textId="3D348715" w:rsidR="00E02A6F" w:rsidRDefault="001A46D8" w:rsidP="00181795">
      <w:r>
        <w:t>Les données ont ét</w:t>
      </w:r>
      <w:r w:rsidR="0006140A">
        <w:t>é collectées</w:t>
      </w:r>
      <w:r>
        <w:t xml:space="preserve"> en </w:t>
      </w:r>
      <w:r w:rsidR="00E759F6">
        <w:t>juin et juillet 2020. Seul</w:t>
      </w:r>
      <w:r w:rsidR="0041570B">
        <w:t>s</w:t>
      </w:r>
      <w:r w:rsidR="00E759F6">
        <w:t xml:space="preserve"> les</w:t>
      </w:r>
      <w:r w:rsidR="00730386" w:rsidRPr="001F56C5">
        <w:t xml:space="preserve"> produits </w:t>
      </w:r>
      <w:r w:rsidR="00E759F6">
        <w:t>présentant</w:t>
      </w:r>
      <w:r w:rsidR="00730386" w:rsidRPr="001F56C5">
        <w:t xml:space="preserve"> </w:t>
      </w:r>
      <w:r w:rsidR="00E759F6">
        <w:t>la composition des produits ont été retenues pour l’analyse (n=</w:t>
      </w:r>
      <w:r w:rsidR="00FD3440">
        <w:t>1</w:t>
      </w:r>
      <w:r w:rsidR="00C87033">
        <w:t>03</w:t>
      </w:r>
      <w:r w:rsidR="00E759F6">
        <w:t>)</w:t>
      </w:r>
      <w:r w:rsidR="00BB2AE8">
        <w:t xml:space="preserve"> pour un échantillon exploratoire. </w:t>
      </w:r>
      <w:r w:rsidR="00E02A6F">
        <w:t>Les aliments ont été catégorisés en prenant appui sur la classification du code des usages (</w:t>
      </w:r>
      <w:r w:rsidR="00D62A60">
        <w:fldChar w:fldCharType="begin"/>
      </w:r>
      <w:r w:rsidR="00D62A60">
        <w:instrText xml:space="preserve"> REF _Ref68770538 \h </w:instrText>
      </w:r>
      <w:r w:rsidR="00D62A60">
        <w:fldChar w:fldCharType="separate"/>
      </w:r>
      <w:r w:rsidR="0007597F" w:rsidRPr="00C66322">
        <w:t xml:space="preserve">Tableau </w:t>
      </w:r>
      <w:r w:rsidR="0007597F">
        <w:rPr>
          <w:noProof/>
        </w:rPr>
        <w:t>49</w:t>
      </w:r>
      <w:r w:rsidR="00D62A60">
        <w:fldChar w:fldCharType="end"/>
      </w:r>
      <w:r w:rsidR="00E02A6F">
        <w:t>). La valeur massique du porc dans les produits finis n’est souvent pas lisible, cependant elle est évaluée en fonction de la liste des ingrédients définie par ordre d’importance pondérale.</w:t>
      </w:r>
    </w:p>
    <w:p w14:paraId="0AA5016D" w14:textId="66D7C488" w:rsidR="00DC6F9C" w:rsidRPr="00E02A6F" w:rsidRDefault="00767A22" w:rsidP="00A97873">
      <w:pPr>
        <w:pStyle w:val="Titre3"/>
      </w:pPr>
      <w:bookmarkStart w:id="233" w:name="_Toc78131625"/>
      <w:r>
        <w:t>2</w:t>
      </w:r>
      <w:r w:rsidR="001E2422">
        <w:t>.</w:t>
      </w:r>
      <w:r w:rsidR="00C3119E">
        <w:t>1</w:t>
      </w:r>
      <w:r w:rsidR="001E2422">
        <w:t>.</w:t>
      </w:r>
      <w:r w:rsidR="00CF3C26">
        <w:t>2.</w:t>
      </w:r>
      <w:r w:rsidR="001E2422">
        <w:t xml:space="preserve"> </w:t>
      </w:r>
      <w:r w:rsidR="00D80471">
        <w:t xml:space="preserve">Evaluation de la </w:t>
      </w:r>
      <w:r w:rsidR="00FE149B">
        <w:t>part de porc dans les produits par typologie de produits</w:t>
      </w:r>
      <w:bookmarkEnd w:id="233"/>
    </w:p>
    <w:p w14:paraId="64F8703E" w14:textId="77777777" w:rsidR="00303B90" w:rsidRDefault="00B30BFA" w:rsidP="00303B90">
      <w:r>
        <w:t xml:space="preserve">L’échantillon de produits étudiés fait état d’une relative homogénéité dans le niveau d’incorporation de maigre et de gras de porc. </w:t>
      </w:r>
      <w:r w:rsidR="00303B90">
        <w:t>Le porc est essentiellement intégré sous la forme de gras (gorge, gras de bardière) et de viande de porc puis de foie, de couenne et enfin de tissu conjonctif de porc. Ce dernier joue le rôle de liant dans certaines recettes.</w:t>
      </w:r>
    </w:p>
    <w:p w14:paraId="34700C36" w14:textId="0A850065" w:rsidR="00394EB8" w:rsidRDefault="00303B90" w:rsidP="00181795">
      <w:r>
        <w:t>La série de données confirme que le porc outre ses atouts technologiques dans certaines recettes (texturant, apport de marquants...), est d’autant plus présent que les produits ont un positionnement peu qualitatif (marques de distributeurs entrée de gamme). L’échantillon de produits étudiés fait état d’une relative homogénéité dans le niveau d’incorporation de maigre et gras de porc (</w:t>
      </w:r>
      <w:r w:rsidR="00D62A60">
        <w:fldChar w:fldCharType="begin"/>
      </w:r>
      <w:r w:rsidR="00D62A60">
        <w:instrText xml:space="preserve"> REF _Ref69032599 \h </w:instrText>
      </w:r>
      <w:r w:rsidR="00D62A60">
        <w:fldChar w:fldCharType="separate"/>
      </w:r>
      <w:r w:rsidR="0007597F" w:rsidRPr="00E27276">
        <w:t xml:space="preserve">Tableau </w:t>
      </w:r>
      <w:r w:rsidR="0007597F">
        <w:rPr>
          <w:noProof/>
        </w:rPr>
        <w:t>52</w:t>
      </w:r>
      <w:r w:rsidR="00D62A60">
        <w:fldChar w:fldCharType="end"/>
      </w:r>
      <w:r>
        <w:t>).</w:t>
      </w:r>
    </w:p>
    <w:tbl>
      <w:tblPr>
        <w:tblW w:w="9072" w:type="dxa"/>
        <w:tblInd w:w="137" w:type="dxa"/>
        <w:tblCellMar>
          <w:left w:w="70" w:type="dxa"/>
          <w:right w:w="70" w:type="dxa"/>
        </w:tblCellMar>
        <w:tblLook w:val="04A0" w:firstRow="1" w:lastRow="0" w:firstColumn="1" w:lastColumn="0" w:noHBand="0" w:noVBand="1"/>
      </w:tblPr>
      <w:tblGrid>
        <w:gridCol w:w="3260"/>
        <w:gridCol w:w="1701"/>
        <w:gridCol w:w="1701"/>
        <w:gridCol w:w="1276"/>
        <w:gridCol w:w="1134"/>
      </w:tblGrid>
      <w:tr w:rsidR="00D80324" w:rsidRPr="002C373C" w14:paraId="213581C3" w14:textId="77777777" w:rsidTr="002C373C">
        <w:trPr>
          <w:trHeight w:val="285"/>
        </w:trPr>
        <w:tc>
          <w:tcPr>
            <w:tcW w:w="326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297F434" w14:textId="3853E84A" w:rsidR="00D80324" w:rsidRPr="002C373C" w:rsidRDefault="00D80324" w:rsidP="002C373C">
            <w:pPr>
              <w:spacing w:after="0" w:line="240" w:lineRule="auto"/>
              <w:ind w:left="142"/>
              <w:jc w:val="left"/>
              <w:rPr>
                <w:rFonts w:eastAsia="Times New Roman" w:cs="Arial"/>
                <w:sz w:val="20"/>
                <w:szCs w:val="20"/>
                <w:lang w:eastAsia="fr-FR"/>
              </w:rPr>
            </w:pPr>
          </w:p>
        </w:tc>
        <w:tc>
          <w:tcPr>
            <w:tcW w:w="1701" w:type="dxa"/>
            <w:tcBorders>
              <w:top w:val="single" w:sz="4" w:space="0" w:color="000000"/>
              <w:left w:val="single" w:sz="4" w:space="0" w:color="000000"/>
              <w:bottom w:val="single" w:sz="4" w:space="0" w:color="000000"/>
              <w:right w:val="single" w:sz="4" w:space="0" w:color="auto"/>
            </w:tcBorders>
            <w:shd w:val="clear" w:color="D9D9D9" w:fill="D9D9D9"/>
            <w:vAlign w:val="bottom"/>
          </w:tcPr>
          <w:p w14:paraId="33510DB7" w14:textId="77777777" w:rsidR="00D80324" w:rsidRPr="002C373C" w:rsidRDefault="00D80324" w:rsidP="002C373C">
            <w:pPr>
              <w:spacing w:after="0" w:line="240" w:lineRule="auto"/>
              <w:jc w:val="left"/>
              <w:rPr>
                <w:rFonts w:eastAsia="Times New Roman" w:cs="Arial"/>
                <w:sz w:val="20"/>
                <w:szCs w:val="20"/>
                <w:lang w:eastAsia="fr-FR"/>
              </w:rPr>
            </w:pPr>
          </w:p>
        </w:tc>
        <w:tc>
          <w:tcPr>
            <w:tcW w:w="1701" w:type="dxa"/>
            <w:tcBorders>
              <w:top w:val="single" w:sz="4" w:space="0" w:color="000000"/>
              <w:left w:val="single" w:sz="4" w:space="0" w:color="auto"/>
              <w:bottom w:val="single" w:sz="4" w:space="0" w:color="000000"/>
              <w:right w:val="single" w:sz="4" w:space="0" w:color="000000"/>
            </w:tcBorders>
            <w:shd w:val="clear" w:color="D9D9D9" w:fill="D9D9D9"/>
            <w:noWrap/>
            <w:vAlign w:val="bottom"/>
            <w:hideMark/>
          </w:tcPr>
          <w:p w14:paraId="0A8049A2" w14:textId="027CE513" w:rsidR="00D80324" w:rsidRPr="002C373C" w:rsidRDefault="00D80324" w:rsidP="002C373C">
            <w:pPr>
              <w:spacing w:after="0" w:line="240" w:lineRule="auto"/>
              <w:ind w:left="142"/>
              <w:jc w:val="left"/>
              <w:rPr>
                <w:rFonts w:eastAsia="Times New Roman" w:cs="Arial"/>
                <w:sz w:val="20"/>
                <w:szCs w:val="20"/>
                <w:lang w:eastAsia="fr-FR"/>
              </w:rPr>
            </w:pPr>
          </w:p>
        </w:tc>
        <w:tc>
          <w:tcPr>
            <w:tcW w:w="2410" w:type="dxa"/>
            <w:gridSpan w:val="2"/>
            <w:tcBorders>
              <w:top w:val="single" w:sz="4" w:space="0" w:color="000000"/>
              <w:left w:val="single" w:sz="4" w:space="0" w:color="000000"/>
              <w:bottom w:val="single" w:sz="4" w:space="0" w:color="auto"/>
              <w:right w:val="single" w:sz="4" w:space="0" w:color="000000"/>
            </w:tcBorders>
            <w:shd w:val="clear" w:color="D9D9D9" w:fill="D9D9D9"/>
            <w:noWrap/>
            <w:vAlign w:val="bottom"/>
            <w:hideMark/>
          </w:tcPr>
          <w:p w14:paraId="6011AD62" w14:textId="3697E8B5"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Part de porc incorporé</w:t>
            </w:r>
          </w:p>
        </w:tc>
      </w:tr>
      <w:tr w:rsidR="00D80324" w:rsidRPr="002C373C" w14:paraId="729C4CD8" w14:textId="77777777" w:rsidTr="002C373C">
        <w:trPr>
          <w:trHeight w:val="674"/>
        </w:trPr>
        <w:tc>
          <w:tcPr>
            <w:tcW w:w="32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BFE4AB" w14:textId="7CC7365A"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Catégories de produits</w:t>
            </w:r>
          </w:p>
        </w:tc>
        <w:tc>
          <w:tcPr>
            <w:tcW w:w="1701" w:type="dxa"/>
            <w:tcBorders>
              <w:top w:val="single" w:sz="4" w:space="0" w:color="auto"/>
              <w:left w:val="nil"/>
              <w:bottom w:val="single" w:sz="4" w:space="0" w:color="auto"/>
              <w:right w:val="single" w:sz="4" w:space="0" w:color="auto"/>
            </w:tcBorders>
            <w:vAlign w:val="center"/>
          </w:tcPr>
          <w:p w14:paraId="3CAA6FE4" w14:textId="50DB648A"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Part des produits avec porc</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B42AE6" w14:textId="727C85E7" w:rsidR="00D80324" w:rsidRPr="002C373C" w:rsidRDefault="00FB6D54" w:rsidP="002C373C">
            <w:pPr>
              <w:spacing w:after="0" w:line="240" w:lineRule="auto"/>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Nb références avec porc</w:t>
            </w:r>
            <w:r w:rsidR="00D80324" w:rsidRPr="002C373C">
              <w:rPr>
                <w:rFonts w:eastAsia="Times New Roman" w:cs="Arial"/>
                <w:b/>
                <w:bCs/>
                <w:color w:val="000000"/>
                <w:sz w:val="20"/>
                <w:szCs w:val="20"/>
                <w:lang w:eastAsia="fr-FR"/>
              </w:rPr>
              <w:t xml:space="preserve"> </w:t>
            </w:r>
            <w:r w:rsidR="00877955" w:rsidRPr="002C373C">
              <w:rPr>
                <w:rFonts w:eastAsia="Times New Roman" w:cs="Arial"/>
                <w:b/>
                <w:bCs/>
                <w:color w:val="000000"/>
                <w:sz w:val="20"/>
                <w:szCs w:val="20"/>
                <w:lang w:eastAsia="fr-FR"/>
              </w:rPr>
              <w:t>(*)</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28C4CC32" w14:textId="017D094B"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Min</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0DA5284" w14:textId="77777777" w:rsidR="00D80324" w:rsidRPr="002C373C" w:rsidRDefault="00D80324" w:rsidP="002C373C">
            <w:pPr>
              <w:spacing w:after="0" w:line="240" w:lineRule="auto"/>
              <w:ind w:left="142"/>
              <w:jc w:val="left"/>
              <w:rPr>
                <w:rFonts w:eastAsia="Times New Roman" w:cs="Arial"/>
                <w:b/>
                <w:bCs/>
                <w:color w:val="000000"/>
                <w:sz w:val="20"/>
                <w:szCs w:val="20"/>
                <w:lang w:eastAsia="fr-FR"/>
              </w:rPr>
            </w:pPr>
            <w:r w:rsidRPr="002C373C">
              <w:rPr>
                <w:rFonts w:eastAsia="Times New Roman" w:cs="Arial"/>
                <w:b/>
                <w:bCs/>
                <w:color w:val="000000"/>
                <w:sz w:val="20"/>
                <w:szCs w:val="20"/>
                <w:lang w:eastAsia="fr-FR"/>
              </w:rPr>
              <w:t>Max</w:t>
            </w:r>
          </w:p>
        </w:tc>
      </w:tr>
      <w:tr w:rsidR="00F32264" w:rsidRPr="002C373C" w14:paraId="3298A6DA" w14:textId="77777777" w:rsidTr="002C373C">
        <w:trPr>
          <w:trHeight w:val="274"/>
        </w:trPr>
        <w:tc>
          <w:tcPr>
            <w:tcW w:w="3260"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13CF1D4" w14:textId="443A1075"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 xml:space="preserve">Ballotine et galantine de volaille (dinde, canard...) et de gibier (faisan, cerf, chevreuil, caille) </w:t>
            </w:r>
          </w:p>
        </w:tc>
        <w:tc>
          <w:tcPr>
            <w:tcW w:w="1701" w:type="dxa"/>
            <w:tcBorders>
              <w:top w:val="single" w:sz="4" w:space="0" w:color="auto"/>
              <w:left w:val="single" w:sz="4" w:space="0" w:color="auto"/>
              <w:bottom w:val="single" w:sz="4" w:space="0" w:color="auto"/>
              <w:right w:val="single" w:sz="4" w:space="0" w:color="auto"/>
            </w:tcBorders>
            <w:shd w:val="clear" w:color="D9D9D9" w:fill="D9D9D9"/>
            <w:vAlign w:val="center"/>
          </w:tcPr>
          <w:p w14:paraId="75629B27" w14:textId="0BACD29C"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&gt;80%</w:t>
            </w:r>
          </w:p>
        </w:tc>
        <w:tc>
          <w:tcPr>
            <w:tcW w:w="1701"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A16397E" w14:textId="0D1CB819"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12</w:t>
            </w:r>
          </w:p>
        </w:tc>
        <w:tc>
          <w:tcPr>
            <w:tcW w:w="127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514D2CB"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30%</w:t>
            </w:r>
          </w:p>
        </w:tc>
        <w:tc>
          <w:tcPr>
            <w:tcW w:w="113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AE79DAC"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40%</w:t>
            </w:r>
          </w:p>
        </w:tc>
      </w:tr>
      <w:tr w:rsidR="00F32264" w:rsidRPr="002C373C" w14:paraId="667A7867" w14:textId="77777777" w:rsidTr="002C373C">
        <w:trPr>
          <w:trHeight w:val="420"/>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45CB18" w14:textId="573E69D4"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Terrine et confit de volaille (canard, dinde..)</w:t>
            </w:r>
          </w:p>
        </w:tc>
        <w:tc>
          <w:tcPr>
            <w:tcW w:w="1701" w:type="dxa"/>
            <w:tcBorders>
              <w:top w:val="single" w:sz="4" w:space="0" w:color="auto"/>
              <w:left w:val="nil"/>
              <w:bottom w:val="single" w:sz="4" w:space="0" w:color="auto"/>
              <w:right w:val="single" w:sz="4" w:space="0" w:color="auto"/>
            </w:tcBorders>
            <w:vAlign w:val="center"/>
          </w:tcPr>
          <w:p w14:paraId="785516FD" w14:textId="0018614D"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&gt;80%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8D1FA7" w14:textId="401EBA41"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29</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1C3B2D49"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545166F"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45%</w:t>
            </w:r>
          </w:p>
        </w:tc>
      </w:tr>
      <w:tr w:rsidR="00F32264" w:rsidRPr="002C373C" w14:paraId="57C5DE7A" w14:textId="77777777" w:rsidTr="002C373C">
        <w:trPr>
          <w:trHeight w:val="375"/>
        </w:trPr>
        <w:tc>
          <w:tcPr>
            <w:tcW w:w="326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369E1F9" w14:textId="0725712A"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Terrine et pâté de lapin</w:t>
            </w:r>
          </w:p>
        </w:tc>
        <w:tc>
          <w:tcPr>
            <w:tcW w:w="1701" w:type="dxa"/>
            <w:tcBorders>
              <w:top w:val="single" w:sz="4" w:space="0" w:color="auto"/>
              <w:left w:val="single" w:sz="4" w:space="0" w:color="auto"/>
              <w:bottom w:val="single" w:sz="4" w:space="0" w:color="auto"/>
              <w:right w:val="single" w:sz="4" w:space="0" w:color="auto"/>
            </w:tcBorders>
            <w:shd w:val="clear" w:color="D9D9D9" w:fill="D9D9D9"/>
            <w:vAlign w:val="center"/>
          </w:tcPr>
          <w:p w14:paraId="42368588" w14:textId="4259640C"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&gt;80%</w:t>
            </w:r>
          </w:p>
        </w:tc>
        <w:tc>
          <w:tcPr>
            <w:tcW w:w="170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00EC176" w14:textId="3DB01A2A"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16</w:t>
            </w:r>
          </w:p>
        </w:tc>
        <w:tc>
          <w:tcPr>
            <w:tcW w:w="127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71860C2"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25%</w:t>
            </w:r>
          </w:p>
        </w:tc>
        <w:tc>
          <w:tcPr>
            <w:tcW w:w="113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D44E9AF"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40%</w:t>
            </w:r>
          </w:p>
        </w:tc>
      </w:tr>
      <w:tr w:rsidR="00F32264" w:rsidRPr="002C373C" w14:paraId="309DBBF8" w14:textId="77777777" w:rsidTr="002C373C">
        <w:trPr>
          <w:trHeight w:val="237"/>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F4CA8E" w14:textId="5339D599"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 xml:space="preserve">Terrine et pâté de gibier </w:t>
            </w:r>
          </w:p>
        </w:tc>
        <w:tc>
          <w:tcPr>
            <w:tcW w:w="1701" w:type="dxa"/>
            <w:tcBorders>
              <w:top w:val="single" w:sz="4" w:space="0" w:color="auto"/>
              <w:left w:val="nil"/>
              <w:bottom w:val="single" w:sz="4" w:space="0" w:color="auto"/>
              <w:right w:val="single" w:sz="4" w:space="0" w:color="auto"/>
            </w:tcBorders>
            <w:vAlign w:val="center"/>
          </w:tcPr>
          <w:p w14:paraId="5989733A" w14:textId="7A5FE61E"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&gt;80%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0B9A6E" w14:textId="7EAE55E8"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14</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32AA32E4"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66F22FA"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40%</w:t>
            </w:r>
          </w:p>
        </w:tc>
      </w:tr>
      <w:tr w:rsidR="00F32264" w:rsidRPr="002C373C" w14:paraId="6B68666D" w14:textId="77777777" w:rsidTr="002C373C">
        <w:trPr>
          <w:trHeight w:val="269"/>
        </w:trPr>
        <w:tc>
          <w:tcPr>
            <w:tcW w:w="326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E40E932" w14:textId="03A19DC6"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Mousse de volaille (canard.</w:t>
            </w:r>
            <w:r w:rsidR="002C373C" w:rsidRPr="002C373C">
              <w:rPr>
                <w:rFonts w:cs="Arial"/>
                <w:color w:val="000000"/>
                <w:sz w:val="20"/>
                <w:szCs w:val="20"/>
              </w:rPr>
              <w:t>.</w:t>
            </w:r>
            <w:r w:rsidRPr="002C373C">
              <w:rPr>
                <w:rFonts w:cs="Arial"/>
                <w:color w:val="000000"/>
                <w:sz w:val="20"/>
                <w:szCs w:val="20"/>
              </w:rPr>
              <w:t>.)</w:t>
            </w:r>
          </w:p>
        </w:tc>
        <w:tc>
          <w:tcPr>
            <w:tcW w:w="1701" w:type="dxa"/>
            <w:tcBorders>
              <w:top w:val="single" w:sz="4" w:space="0" w:color="auto"/>
              <w:left w:val="single" w:sz="4" w:space="0" w:color="auto"/>
              <w:bottom w:val="single" w:sz="4" w:space="0" w:color="auto"/>
              <w:right w:val="single" w:sz="4" w:space="0" w:color="auto"/>
            </w:tcBorders>
            <w:shd w:val="clear" w:color="D9D9D9" w:fill="D9D9D9"/>
            <w:vAlign w:val="center"/>
          </w:tcPr>
          <w:p w14:paraId="1E0380CE" w14:textId="4C0BF87F"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&lt;20%</w:t>
            </w:r>
          </w:p>
        </w:tc>
        <w:tc>
          <w:tcPr>
            <w:tcW w:w="1701"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B3EDD50" w14:textId="73BA6B28"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12</w:t>
            </w:r>
          </w:p>
        </w:tc>
        <w:tc>
          <w:tcPr>
            <w:tcW w:w="1276"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D78F7E9"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25%</w:t>
            </w:r>
          </w:p>
        </w:tc>
        <w:tc>
          <w:tcPr>
            <w:tcW w:w="1134"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4CB6ED9"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35%</w:t>
            </w:r>
          </w:p>
        </w:tc>
      </w:tr>
      <w:tr w:rsidR="00F32264" w:rsidRPr="002C373C" w14:paraId="7401C904" w14:textId="77777777" w:rsidTr="002C373C">
        <w:trPr>
          <w:trHeight w:val="259"/>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2E5D82" w14:textId="330BA797"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Rillettes d'oie et de canard</w:t>
            </w:r>
          </w:p>
        </w:tc>
        <w:tc>
          <w:tcPr>
            <w:tcW w:w="1701" w:type="dxa"/>
            <w:tcBorders>
              <w:top w:val="single" w:sz="4" w:space="0" w:color="auto"/>
              <w:left w:val="nil"/>
              <w:bottom w:val="single" w:sz="4" w:space="0" w:color="auto"/>
              <w:right w:val="single" w:sz="4" w:space="0" w:color="auto"/>
            </w:tcBorders>
            <w:vAlign w:val="center"/>
          </w:tcPr>
          <w:p w14:paraId="08A5F524" w14:textId="0248F3B0"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&lt;20% (canard)</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C60C15" w14:textId="5277556E"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8</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7406F76"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2E00E945"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15%</w:t>
            </w:r>
          </w:p>
        </w:tc>
      </w:tr>
      <w:tr w:rsidR="00F32264" w:rsidRPr="002C373C" w14:paraId="78584660" w14:textId="77777777" w:rsidTr="002C373C">
        <w:trPr>
          <w:trHeight w:val="390"/>
        </w:trPr>
        <w:tc>
          <w:tcPr>
            <w:tcW w:w="32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858FA6" w14:textId="5DAD797A" w:rsidR="00F32264" w:rsidRPr="002C373C" w:rsidRDefault="00F32264" w:rsidP="00745EAA">
            <w:pPr>
              <w:spacing w:after="0" w:line="240" w:lineRule="auto"/>
              <w:ind w:left="142"/>
              <w:jc w:val="left"/>
              <w:rPr>
                <w:rFonts w:eastAsia="Times New Roman" w:cs="Arial"/>
                <w:color w:val="000000"/>
                <w:sz w:val="20"/>
                <w:szCs w:val="20"/>
                <w:lang w:eastAsia="fr-FR"/>
              </w:rPr>
            </w:pPr>
            <w:r w:rsidRPr="002C373C">
              <w:rPr>
                <w:rFonts w:cs="Arial"/>
                <w:color w:val="000000"/>
                <w:sz w:val="20"/>
                <w:szCs w:val="20"/>
              </w:rPr>
              <w:t>Saucisses de volaille/porc, porc/bœuf</w:t>
            </w:r>
          </w:p>
        </w:tc>
        <w:tc>
          <w:tcPr>
            <w:tcW w:w="1701" w:type="dxa"/>
            <w:tcBorders>
              <w:top w:val="single" w:sz="4" w:space="0" w:color="auto"/>
              <w:left w:val="single" w:sz="4" w:space="0" w:color="auto"/>
              <w:bottom w:val="single" w:sz="4" w:space="0" w:color="auto"/>
              <w:right w:val="single" w:sz="4" w:space="0" w:color="auto"/>
            </w:tcBorders>
            <w:vAlign w:val="center"/>
          </w:tcPr>
          <w:p w14:paraId="6101BBBD" w14:textId="3619A55A"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&lt;20%</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E4916C" w14:textId="70943D5F"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12</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0AC461"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40%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1C9A4D" w14:textId="77777777" w:rsidR="00F32264" w:rsidRPr="002C373C" w:rsidRDefault="00F32264" w:rsidP="00745EAA">
            <w:pPr>
              <w:spacing w:after="0" w:line="240" w:lineRule="auto"/>
              <w:ind w:left="142"/>
              <w:jc w:val="center"/>
              <w:rPr>
                <w:rFonts w:eastAsia="Times New Roman" w:cs="Arial"/>
                <w:color w:val="000000"/>
                <w:sz w:val="20"/>
                <w:szCs w:val="20"/>
                <w:lang w:eastAsia="fr-FR"/>
              </w:rPr>
            </w:pPr>
            <w:r w:rsidRPr="002C373C">
              <w:rPr>
                <w:rFonts w:eastAsia="Times New Roman" w:cs="Arial"/>
                <w:color w:val="000000"/>
                <w:sz w:val="20"/>
                <w:szCs w:val="20"/>
                <w:lang w:eastAsia="fr-FR"/>
              </w:rPr>
              <w:t>&gt;50%</w:t>
            </w:r>
          </w:p>
        </w:tc>
      </w:tr>
    </w:tbl>
    <w:p w14:paraId="44422747" w14:textId="305426D7" w:rsidR="00A6708C" w:rsidRPr="00A6708C" w:rsidRDefault="00A6708C" w:rsidP="00745EAA">
      <w:pPr>
        <w:pStyle w:val="Lgende"/>
        <w:spacing w:after="0"/>
        <w:ind w:left="142"/>
        <w:jc w:val="left"/>
        <w:rPr>
          <w:sz w:val="18"/>
          <w:szCs w:val="18"/>
        </w:rPr>
      </w:pPr>
      <w:r w:rsidRPr="00A6708C">
        <w:rPr>
          <w:sz w:val="18"/>
          <w:szCs w:val="18"/>
        </w:rPr>
        <w:t>(*) Nombre de références</w:t>
      </w:r>
      <w:r w:rsidR="00877955">
        <w:rPr>
          <w:sz w:val="18"/>
          <w:szCs w:val="18"/>
        </w:rPr>
        <w:t xml:space="preserve"> totales</w:t>
      </w:r>
      <w:r w:rsidRPr="00A6708C">
        <w:rPr>
          <w:sz w:val="18"/>
          <w:szCs w:val="18"/>
        </w:rPr>
        <w:t xml:space="preserve"> analysées (112)</w:t>
      </w:r>
    </w:p>
    <w:p w14:paraId="4B08AD5A" w14:textId="5824C8F4" w:rsidR="00181795" w:rsidRDefault="00E27276" w:rsidP="00181795">
      <w:pPr>
        <w:pStyle w:val="figure"/>
      </w:pPr>
      <w:bookmarkStart w:id="234" w:name="_Ref69032599"/>
      <w:bookmarkStart w:id="235" w:name="_Toc72143400"/>
      <w:r w:rsidRPr="00E27276">
        <w:t xml:space="preserve">Tableau </w:t>
      </w:r>
      <w:r w:rsidR="00E27D6E">
        <w:fldChar w:fldCharType="begin"/>
      </w:r>
      <w:r w:rsidR="00E27D6E">
        <w:instrText xml:space="preserve"> SEQ Tableau \* ARABIC </w:instrText>
      </w:r>
      <w:r w:rsidR="00E27D6E">
        <w:fldChar w:fldCharType="separate"/>
      </w:r>
      <w:r w:rsidR="0007597F">
        <w:rPr>
          <w:noProof/>
        </w:rPr>
        <w:t>52</w:t>
      </w:r>
      <w:r w:rsidR="00E27D6E">
        <w:rPr>
          <w:noProof/>
        </w:rPr>
        <w:fldChar w:fldCharType="end"/>
      </w:r>
      <w:bookmarkEnd w:id="234"/>
      <w:r w:rsidR="002A2614" w:rsidRPr="00E27276">
        <w:t> </w:t>
      </w:r>
      <w:r w:rsidR="002A2614">
        <w:t xml:space="preserve">: </w:t>
      </w:r>
      <w:r w:rsidR="00AF7B5C">
        <w:t>Estimation du taux d’incorporation de viande</w:t>
      </w:r>
      <w:r w:rsidR="00A7467A">
        <w:t xml:space="preserve"> de porc</w:t>
      </w:r>
      <w:r w:rsidR="00AF7B5C">
        <w:t xml:space="preserve"> </w:t>
      </w:r>
      <w:r w:rsidR="00CA3FDE">
        <w:t>en</w:t>
      </w:r>
      <w:r w:rsidR="00AF7B5C">
        <w:t xml:space="preserve"> </w:t>
      </w:r>
      <w:r w:rsidR="00A7467A">
        <w:t>charcuterie</w:t>
      </w:r>
      <w:r w:rsidR="00B153E2">
        <w:t>s</w:t>
      </w:r>
      <w:r w:rsidR="00181795">
        <w:t xml:space="preserve"> </w:t>
      </w:r>
      <w:r w:rsidR="00B30BFA">
        <w:t xml:space="preserve">et </w:t>
      </w:r>
      <w:r w:rsidR="00CA3FDE">
        <w:t xml:space="preserve">saucisseries </w:t>
      </w:r>
      <w:r w:rsidR="00A7467A">
        <w:t>autre</w:t>
      </w:r>
      <w:r w:rsidR="00B153E2">
        <w:t>s</w:t>
      </w:r>
      <w:r w:rsidR="00A7467A">
        <w:t xml:space="preserve"> que de porc</w:t>
      </w:r>
      <w:bookmarkEnd w:id="235"/>
      <w:r w:rsidR="00A7467A">
        <w:t xml:space="preserve"> </w:t>
      </w:r>
    </w:p>
    <w:p w14:paraId="2ED8F8AF" w14:textId="3924922D" w:rsidR="00C15E54" w:rsidRPr="0090299A" w:rsidRDefault="002A2614" w:rsidP="0090299A">
      <w:pPr>
        <w:pStyle w:val="Lgende"/>
        <w:spacing w:after="0"/>
        <w:rPr>
          <w:b/>
          <w:i w:val="0"/>
        </w:rPr>
      </w:pPr>
      <w:r w:rsidRPr="00A6708C">
        <w:t>(Source : IFIP)</w:t>
      </w:r>
    </w:p>
    <w:p w14:paraId="222DDF89" w14:textId="1CC12042" w:rsidR="00303B90" w:rsidRDefault="00BC0632" w:rsidP="00303B90">
      <w:pPr>
        <w:spacing w:before="120"/>
        <w:ind w:left="142"/>
      </w:pPr>
      <w:r>
        <w:t>En moyenne, tenant compte</w:t>
      </w:r>
      <w:r w:rsidR="00781099">
        <w:t xml:space="preserve"> </w:t>
      </w:r>
      <w:r w:rsidR="004726BA">
        <w:t>de la part des produits n’in</w:t>
      </w:r>
      <w:r w:rsidR="00CA3FDE">
        <w:t>tégrant</w:t>
      </w:r>
      <w:r w:rsidR="004726BA">
        <w:t xml:space="preserve"> pas de porc</w:t>
      </w:r>
      <w:r w:rsidR="00305D61">
        <w:t xml:space="preserve"> dans chaque catégorie de produit</w:t>
      </w:r>
      <w:r w:rsidR="004726BA">
        <w:t>,</w:t>
      </w:r>
      <w:r>
        <w:t xml:space="preserve"> </w:t>
      </w:r>
      <w:r w:rsidR="00EF2957">
        <w:t>le taux d’incorporation d</w:t>
      </w:r>
      <w:r>
        <w:t xml:space="preserve">es pâtés, galantines, ballotines de volaille, lapin et </w:t>
      </w:r>
      <w:r>
        <w:lastRenderedPageBreak/>
        <w:t>gibier</w:t>
      </w:r>
      <w:r w:rsidR="00EF2957">
        <w:t xml:space="preserve"> est évalué à </w:t>
      </w:r>
      <w:r>
        <w:t>environ 25</w:t>
      </w:r>
      <w:r w:rsidR="00181795">
        <w:t> </w:t>
      </w:r>
      <w:r>
        <w:t xml:space="preserve">% de porc et </w:t>
      </w:r>
      <w:r w:rsidR="005C40ED">
        <w:t>à</w:t>
      </w:r>
      <w:r w:rsidR="00571801">
        <w:t xml:space="preserve"> 10</w:t>
      </w:r>
      <w:r w:rsidR="00181795">
        <w:t> </w:t>
      </w:r>
      <w:r w:rsidR="00571801">
        <w:t xml:space="preserve">% pour </w:t>
      </w:r>
      <w:r>
        <w:t>les rillettes de volaille.</w:t>
      </w:r>
      <w:r w:rsidR="00303B90" w:rsidRPr="00303B90">
        <w:t xml:space="preserve"> </w:t>
      </w:r>
      <w:r w:rsidR="00303B90">
        <w:t xml:space="preserve">En moyenne, tenant compte de la part des produits n’intégrant pas de porc dans chaque catégorie de produit, le taux d’incorporation </w:t>
      </w:r>
      <w:r w:rsidR="004A1D87">
        <w:t>de porc intégré dans l</w:t>
      </w:r>
      <w:r w:rsidR="00303B90">
        <w:t>es pâtés, galantines, ballotines de volaille, lapin et gibier est évalué à environ 25</w:t>
      </w:r>
      <w:r w:rsidR="002C373C">
        <w:t> </w:t>
      </w:r>
      <w:r w:rsidR="00303B90">
        <w:t xml:space="preserve">% de porc et à </w:t>
      </w:r>
      <w:r w:rsidR="008C14D6">
        <w:t>moins de 5</w:t>
      </w:r>
      <w:r w:rsidR="002C373C">
        <w:t> </w:t>
      </w:r>
      <w:r w:rsidR="00303B90">
        <w:t>% pour les rillettes de volaille.</w:t>
      </w:r>
    </w:p>
    <w:p w14:paraId="54E5449D" w14:textId="122FE18D" w:rsidR="00303B90" w:rsidRDefault="0028732B" w:rsidP="002C373C">
      <w:pPr>
        <w:spacing w:before="120"/>
        <w:ind w:left="142"/>
      </w:pPr>
      <w:r>
        <w:t>L</w:t>
      </w:r>
      <w:r w:rsidR="0016534C">
        <w:t xml:space="preserve">es données de production </w:t>
      </w:r>
      <w:r w:rsidR="005D799E">
        <w:t xml:space="preserve">sont </w:t>
      </w:r>
      <w:r w:rsidR="0016534C">
        <w:t xml:space="preserve">estimées </w:t>
      </w:r>
      <w:r w:rsidR="002D4101">
        <w:t xml:space="preserve">pour le marché intérieur à partir de données communiquées </w:t>
      </w:r>
      <w:r w:rsidR="0016534C">
        <w:t>par l’Institut ITAVI</w:t>
      </w:r>
      <w:r w:rsidR="00097A09">
        <w:t xml:space="preserve"> </w:t>
      </w:r>
      <w:r w:rsidR="00CA4D6A">
        <w:t>et sur la base des codes</w:t>
      </w:r>
      <w:r w:rsidR="00B57870">
        <w:t xml:space="preserve"> INSEE</w:t>
      </w:r>
      <w:r w:rsidR="008C14D6">
        <w:t xml:space="preserve"> </w:t>
      </w:r>
      <w:r w:rsidR="00B57870">
        <w:t>PRODcom</w:t>
      </w:r>
      <w:r w:rsidR="0061785C">
        <w:t xml:space="preserve"> </w:t>
      </w:r>
      <w:r w:rsidR="00097A09">
        <w:t>soient au total</w:t>
      </w:r>
      <w:r w:rsidR="000A482F">
        <w:t xml:space="preserve"> un marché d’</w:t>
      </w:r>
      <w:r w:rsidR="007310AE">
        <w:t>environ 1</w:t>
      </w:r>
      <w:r w:rsidR="0097437D">
        <w:t>0</w:t>
      </w:r>
      <w:r w:rsidR="002C373C">
        <w:t> </w:t>
      </w:r>
      <w:r w:rsidR="007310AE">
        <w:t>kt</w:t>
      </w:r>
      <w:r w:rsidR="0097437D">
        <w:t xml:space="preserve"> pour les pâtés</w:t>
      </w:r>
      <w:r w:rsidR="00F64C0C">
        <w:t xml:space="preserve"> et de 12</w:t>
      </w:r>
      <w:r w:rsidR="002C373C">
        <w:t> </w:t>
      </w:r>
      <w:r w:rsidR="00F64C0C">
        <w:t>kt pour les rillettes de volaille</w:t>
      </w:r>
      <w:r w:rsidR="00ED542F">
        <w:t xml:space="preserve"> en 2018</w:t>
      </w:r>
      <w:r w:rsidR="0097437D">
        <w:t>.</w:t>
      </w:r>
      <w:r w:rsidR="002C373C">
        <w:t xml:space="preserve"> </w:t>
      </w:r>
      <w:r w:rsidR="0061785C">
        <w:t xml:space="preserve">La part d’exportation et d’importation </w:t>
      </w:r>
      <w:r w:rsidR="003B12DC">
        <w:t xml:space="preserve">compte tenu de l’agrégation des familles de produits concernés ne peut être </w:t>
      </w:r>
      <w:r w:rsidR="009C356E">
        <w:t>prise en compte.</w:t>
      </w:r>
    </w:p>
    <w:tbl>
      <w:tblPr>
        <w:tblW w:w="7680" w:type="dxa"/>
        <w:jc w:val="center"/>
        <w:tblCellMar>
          <w:left w:w="70" w:type="dxa"/>
          <w:right w:w="70" w:type="dxa"/>
        </w:tblCellMar>
        <w:tblLook w:val="04A0" w:firstRow="1" w:lastRow="0" w:firstColumn="1" w:lastColumn="0" w:noHBand="0" w:noVBand="1"/>
      </w:tblPr>
      <w:tblGrid>
        <w:gridCol w:w="1200"/>
        <w:gridCol w:w="6480"/>
      </w:tblGrid>
      <w:tr w:rsidR="0028732B" w:rsidRPr="0028732B" w14:paraId="5624FA14" w14:textId="77777777" w:rsidTr="0028732B">
        <w:trPr>
          <w:trHeight w:val="300"/>
          <w:jc w:val="center"/>
        </w:trPr>
        <w:tc>
          <w:tcPr>
            <w:tcW w:w="1200" w:type="dxa"/>
            <w:tcBorders>
              <w:top w:val="single" w:sz="4" w:space="0" w:color="000000"/>
              <w:left w:val="single" w:sz="4" w:space="0" w:color="000000"/>
              <w:bottom w:val="single" w:sz="4" w:space="0" w:color="000000"/>
              <w:right w:val="nil"/>
            </w:tcBorders>
            <w:shd w:val="clear" w:color="auto" w:fill="auto"/>
            <w:vAlign w:val="center"/>
            <w:hideMark/>
          </w:tcPr>
          <w:p w14:paraId="210458BC"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10.13.15.25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CCE975" w14:textId="77777777"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Pâtés contenant de la viande de dinde/dindon</w:t>
            </w:r>
          </w:p>
        </w:tc>
      </w:tr>
      <w:tr w:rsidR="0028732B" w:rsidRPr="0028732B" w14:paraId="5867AC6E" w14:textId="77777777" w:rsidTr="0028732B">
        <w:trPr>
          <w:trHeight w:val="300"/>
          <w:jc w:val="center"/>
        </w:trPr>
        <w:tc>
          <w:tcPr>
            <w:tcW w:w="1200" w:type="dxa"/>
            <w:tcBorders>
              <w:top w:val="nil"/>
              <w:left w:val="single" w:sz="4" w:space="0" w:color="000000"/>
              <w:bottom w:val="single" w:sz="4" w:space="0" w:color="000000"/>
              <w:right w:val="nil"/>
            </w:tcBorders>
            <w:shd w:val="clear" w:color="auto" w:fill="auto"/>
            <w:vAlign w:val="center"/>
            <w:hideMark/>
          </w:tcPr>
          <w:p w14:paraId="639AC388"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10.13.15.35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34C1252" w14:textId="3A3D041D"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Pâtés contenant de la viande de volaille autre que de dinde/dindon</w:t>
            </w:r>
          </w:p>
        </w:tc>
      </w:tr>
      <w:tr w:rsidR="0028732B" w:rsidRPr="0028732B" w14:paraId="02C76481" w14:textId="77777777" w:rsidTr="0028732B">
        <w:trPr>
          <w:trHeight w:val="300"/>
          <w:jc w:val="center"/>
        </w:trPr>
        <w:tc>
          <w:tcPr>
            <w:tcW w:w="1200" w:type="dxa"/>
            <w:tcBorders>
              <w:top w:val="nil"/>
              <w:left w:val="single" w:sz="4" w:space="0" w:color="000000"/>
              <w:bottom w:val="single" w:sz="4" w:space="0" w:color="000000"/>
              <w:right w:val="nil"/>
            </w:tcBorders>
            <w:shd w:val="clear" w:color="auto" w:fill="auto"/>
            <w:vAlign w:val="center"/>
            <w:hideMark/>
          </w:tcPr>
          <w:p w14:paraId="1C4ECD3B"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10.13.15.95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241F09" w14:textId="77777777"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Pâtés contenant de la viande de gibier (y compris lapin)</w:t>
            </w:r>
          </w:p>
        </w:tc>
      </w:tr>
      <w:tr w:rsidR="0028732B" w:rsidRPr="0028732B" w14:paraId="5A5EE180" w14:textId="77777777" w:rsidTr="0028732B">
        <w:trPr>
          <w:trHeight w:val="300"/>
          <w:jc w:val="center"/>
        </w:trPr>
        <w:tc>
          <w:tcPr>
            <w:tcW w:w="1200" w:type="dxa"/>
            <w:tcBorders>
              <w:top w:val="nil"/>
              <w:left w:val="single" w:sz="4" w:space="0" w:color="000000"/>
              <w:bottom w:val="single" w:sz="4" w:space="0" w:color="000000"/>
              <w:right w:val="nil"/>
            </w:tcBorders>
            <w:shd w:val="clear" w:color="auto" w:fill="auto"/>
            <w:vAlign w:val="center"/>
            <w:hideMark/>
          </w:tcPr>
          <w:p w14:paraId="3667603C"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10.13.15.35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E3C08E" w14:textId="51D3A420"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Rillettes de volailles</w:t>
            </w:r>
          </w:p>
        </w:tc>
      </w:tr>
      <w:tr w:rsidR="0028732B" w:rsidRPr="0028732B" w14:paraId="26481AEF" w14:textId="77777777" w:rsidTr="0028732B">
        <w:trPr>
          <w:trHeight w:val="300"/>
          <w:jc w:val="center"/>
        </w:trPr>
        <w:tc>
          <w:tcPr>
            <w:tcW w:w="1200" w:type="dxa"/>
            <w:tcBorders>
              <w:top w:val="nil"/>
              <w:left w:val="single" w:sz="4" w:space="0" w:color="000000"/>
              <w:bottom w:val="single" w:sz="4" w:space="0" w:color="000000"/>
              <w:right w:val="nil"/>
            </w:tcBorders>
            <w:shd w:val="clear" w:color="auto" w:fill="auto"/>
            <w:vAlign w:val="center"/>
            <w:hideMark/>
          </w:tcPr>
          <w:p w14:paraId="04FDC425" w14:textId="77777777" w:rsidR="0028732B" w:rsidRPr="0028732B" w:rsidRDefault="0028732B" w:rsidP="0002537E">
            <w:pPr>
              <w:keepNext/>
              <w:spacing w:after="0" w:line="240" w:lineRule="auto"/>
              <w:jc w:val="center"/>
              <w:rPr>
                <w:rFonts w:eastAsia="Times New Roman" w:cs="Arial"/>
                <w:sz w:val="20"/>
                <w:szCs w:val="20"/>
                <w:lang w:eastAsia="fr-FR"/>
              </w:rPr>
            </w:pPr>
            <w:r w:rsidRPr="0028732B">
              <w:rPr>
                <w:rFonts w:eastAsia="Times New Roman" w:cs="Arial"/>
                <w:sz w:val="20"/>
                <w:szCs w:val="20"/>
                <w:lang w:eastAsia="fr-FR"/>
              </w:rPr>
              <w:t>10.13.15.95</w:t>
            </w:r>
          </w:p>
        </w:tc>
        <w:tc>
          <w:tcPr>
            <w:tcW w:w="6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A6E59" w14:textId="77777777" w:rsidR="0028732B" w:rsidRPr="0028732B" w:rsidRDefault="0028732B" w:rsidP="0002537E">
            <w:pPr>
              <w:keepNext/>
              <w:spacing w:after="0" w:line="240" w:lineRule="auto"/>
              <w:jc w:val="left"/>
              <w:rPr>
                <w:rFonts w:eastAsia="Times New Roman" w:cs="Arial"/>
                <w:color w:val="000000"/>
                <w:sz w:val="20"/>
                <w:szCs w:val="20"/>
                <w:lang w:eastAsia="fr-FR"/>
              </w:rPr>
            </w:pPr>
            <w:r w:rsidRPr="0028732B">
              <w:rPr>
                <w:rFonts w:eastAsia="Times New Roman" w:cs="Arial"/>
                <w:color w:val="000000"/>
                <w:sz w:val="20"/>
                <w:szCs w:val="20"/>
                <w:lang w:eastAsia="fr-FR"/>
              </w:rPr>
              <w:t>Rillettes de lapin, gibier</w:t>
            </w:r>
          </w:p>
        </w:tc>
      </w:tr>
    </w:tbl>
    <w:p w14:paraId="37E6B871" w14:textId="5BC05964" w:rsidR="00DC2AB8" w:rsidRDefault="0061785C" w:rsidP="0002537E">
      <w:pPr>
        <w:pStyle w:val="figure"/>
      </w:pPr>
      <w:bookmarkStart w:id="236" w:name="_Toc72143401"/>
      <w:r w:rsidRPr="009C356E">
        <w:t xml:space="preserve">Tableau </w:t>
      </w:r>
      <w:r w:rsidR="00E27D6E">
        <w:fldChar w:fldCharType="begin"/>
      </w:r>
      <w:r w:rsidR="00E27D6E">
        <w:instrText xml:space="preserve"> SEQ Tableau \* ARABIC </w:instrText>
      </w:r>
      <w:r w:rsidR="00E27D6E">
        <w:fldChar w:fldCharType="separate"/>
      </w:r>
      <w:r w:rsidR="0007597F">
        <w:rPr>
          <w:noProof/>
        </w:rPr>
        <w:t>53</w:t>
      </w:r>
      <w:r w:rsidR="00E27D6E">
        <w:rPr>
          <w:noProof/>
        </w:rPr>
        <w:fldChar w:fldCharType="end"/>
      </w:r>
      <w:r w:rsidR="00B0396D">
        <w:t xml:space="preserve"> : </w:t>
      </w:r>
      <w:r w:rsidRPr="009C356E">
        <w:t xml:space="preserve">Codes PRODCOM </w:t>
      </w:r>
      <w:r w:rsidR="00134D1D">
        <w:t>des pâtés et rillettes de volaille pris en compte</w:t>
      </w:r>
      <w:bookmarkEnd w:id="236"/>
    </w:p>
    <w:p w14:paraId="7B997F9C" w14:textId="1783D749" w:rsidR="00730E40" w:rsidRPr="00134D1D" w:rsidRDefault="00134D1D">
      <w:pPr>
        <w:pStyle w:val="Lgende"/>
        <w:rPr>
          <w:i w:val="0"/>
        </w:rPr>
      </w:pPr>
      <w:r w:rsidRPr="00134D1D">
        <w:rPr>
          <w:i w:val="0"/>
        </w:rPr>
        <w:t>(Source : INSEE, Prodcom)</w:t>
      </w:r>
    </w:p>
    <w:p w14:paraId="674E7E1C" w14:textId="51EC9F1C" w:rsidR="0028732B" w:rsidRDefault="00730E40" w:rsidP="00730E40">
      <w:pPr>
        <w:spacing w:before="120"/>
        <w:ind w:left="142"/>
      </w:pPr>
      <w:r>
        <w:t xml:space="preserve">En conséquence, </w:t>
      </w:r>
      <w:r w:rsidRPr="00500736">
        <w:rPr>
          <w:u w:val="single"/>
        </w:rPr>
        <w:t xml:space="preserve">la part de porc intégrée dans les charcuteries de volaille est estimée </w:t>
      </w:r>
      <w:r w:rsidR="00500736" w:rsidRPr="00500736">
        <w:rPr>
          <w:u w:val="single"/>
        </w:rPr>
        <w:t>comme représentant</w:t>
      </w:r>
      <w:r w:rsidRPr="00500736">
        <w:rPr>
          <w:u w:val="single"/>
        </w:rPr>
        <w:t xml:space="preserve"> 2 </w:t>
      </w:r>
      <w:r w:rsidR="00500736" w:rsidRPr="00500736">
        <w:rPr>
          <w:u w:val="single"/>
        </w:rPr>
        <w:t>à</w:t>
      </w:r>
      <w:r w:rsidRPr="00500736">
        <w:rPr>
          <w:u w:val="single"/>
        </w:rPr>
        <w:t xml:space="preserve"> 3</w:t>
      </w:r>
      <w:r w:rsidR="002C373C">
        <w:rPr>
          <w:u w:val="single"/>
        </w:rPr>
        <w:t> </w:t>
      </w:r>
      <w:r w:rsidRPr="00500736">
        <w:rPr>
          <w:u w:val="single"/>
        </w:rPr>
        <w:t>kt</w:t>
      </w:r>
      <w:r>
        <w:t xml:space="preserve"> pour l’année 2018. </w:t>
      </w:r>
    </w:p>
    <w:p w14:paraId="039FE450" w14:textId="03A584B0" w:rsidR="00303B90" w:rsidRDefault="00303B90" w:rsidP="00A63F35">
      <w:pPr>
        <w:pStyle w:val="Titre2"/>
        <w:numPr>
          <w:ilvl w:val="1"/>
          <w:numId w:val="15"/>
        </w:numPr>
      </w:pPr>
      <w:bookmarkStart w:id="237" w:name="_Toc69137397"/>
      <w:bookmarkStart w:id="238" w:name="_Toc78131626"/>
      <w:r>
        <w:t>Part d’incorporation de porc dans les produits traiteurs frais</w:t>
      </w:r>
      <w:bookmarkEnd w:id="237"/>
      <w:bookmarkEnd w:id="238"/>
    </w:p>
    <w:p w14:paraId="280679AD" w14:textId="77777777" w:rsidR="00303B90" w:rsidRDefault="00303B90" w:rsidP="00303B90">
      <w:r>
        <w:t xml:space="preserve">La filière du traiteur est une industrie d’assemblage de produits finis ou semi-finis. </w:t>
      </w:r>
    </w:p>
    <w:p w14:paraId="1B76A68F" w14:textId="77777777" w:rsidR="00303B90" w:rsidRDefault="00303B90" w:rsidP="00303B90">
      <w:r>
        <w:t>En ce qui concerne les produits du porc incorporés, il s’agit de principalement de produits finis (jambons cuits, secs, lardons, bacon…). Cependant, les plats cuisinés et les charcuteries pâtissières (pâtés croûte, tourtes à la viande et saucissons briochés) font figure d’exception dans la mesure où leur conception suppose l’incorporation de produit brut ou semi finis (préparations de viande maigre et gorge, saucisserie) destinés à supporter une cuisson pour être commercialisés en produits finis.</w:t>
      </w:r>
    </w:p>
    <w:p w14:paraId="31E08515" w14:textId="77777777" w:rsidR="00303B90" w:rsidRDefault="00303B90" w:rsidP="00303B90">
      <w:r>
        <w:t xml:space="preserve">Les produits traiteurs ne sont pas régis par un Code des Usages contrairement aux produits de charcuterie tel qu’évoqué plus haut. </w:t>
      </w:r>
    </w:p>
    <w:p w14:paraId="0D5E34E6" w14:textId="5F5078DD" w:rsidR="00303B90" w:rsidRDefault="00303B90" w:rsidP="00A305CD">
      <w:pPr>
        <w:pStyle w:val="Titre3"/>
        <w:numPr>
          <w:ilvl w:val="2"/>
          <w:numId w:val="15"/>
        </w:numPr>
        <w:ind w:left="709"/>
      </w:pPr>
      <w:bookmarkStart w:id="239" w:name="_Toc69137398"/>
      <w:bookmarkStart w:id="240" w:name="_Toc78131627"/>
      <w:r>
        <w:t>Méthode de travail</w:t>
      </w:r>
      <w:bookmarkEnd w:id="239"/>
      <w:bookmarkEnd w:id="240"/>
    </w:p>
    <w:p w14:paraId="72200CDB" w14:textId="77777777" w:rsidR="00303B90" w:rsidRDefault="00303B90" w:rsidP="00303B90">
      <w:r>
        <w:t>Suivant une approche similaire à celle conduite pour les charcuteries autres que de porc, l</w:t>
      </w:r>
      <w:r w:rsidRPr="001F56C5">
        <w:t xml:space="preserve">es données sur la composition des aliments ont été extraites </w:t>
      </w:r>
      <w:r>
        <w:t xml:space="preserve">des sites de commerce en ligne des enseignes des grandes surfaces alimentaires et de </w:t>
      </w:r>
      <w:r w:rsidRPr="001F56C5">
        <w:t>la base de données Open Food Facts</w:t>
      </w:r>
      <w:r>
        <w:t>. La démarche a été complétée par des relevés en hypermarchés. Les données collectées portent sur la part des produits frais libre-service.</w:t>
      </w:r>
    </w:p>
    <w:p w14:paraId="529A1B54" w14:textId="77777777" w:rsidR="00303B90" w:rsidRDefault="00303B90" w:rsidP="00303B90">
      <w:pPr>
        <w:spacing w:after="120"/>
      </w:pPr>
      <w:r>
        <w:t xml:space="preserve">Ces données ont été enrichies par enquête auprès de professionnels du traiteur afin de quantifier les segments de produits concernés, d’évaluer </w:t>
      </w:r>
    </w:p>
    <w:p w14:paraId="7D174366" w14:textId="77777777" w:rsidR="00303B90" w:rsidRDefault="00303B90" w:rsidP="00303B90">
      <w:pPr>
        <w:pStyle w:val="Paragraphedeliste"/>
        <w:numPr>
          <w:ilvl w:val="0"/>
          <w:numId w:val="7"/>
        </w:numPr>
      </w:pPr>
      <w:r>
        <w:t xml:space="preserve">la part des produits contenant du porc dans l’univers du traiteur libre-service par famille de produits et leur poids relatif, </w:t>
      </w:r>
    </w:p>
    <w:p w14:paraId="008190C0" w14:textId="77777777" w:rsidR="00303B90" w:rsidRDefault="00303B90" w:rsidP="00303B90">
      <w:pPr>
        <w:pStyle w:val="Paragraphedeliste"/>
        <w:numPr>
          <w:ilvl w:val="0"/>
          <w:numId w:val="7"/>
        </w:numPr>
      </w:pPr>
      <w:r>
        <w:t>la part des produits traiteurs en épicerie (plats cuisinés en conserves),</w:t>
      </w:r>
    </w:p>
    <w:p w14:paraId="059AD06C" w14:textId="77777777" w:rsidR="00303B90" w:rsidRDefault="00303B90" w:rsidP="00303B90">
      <w:pPr>
        <w:pStyle w:val="Paragraphedeliste"/>
        <w:numPr>
          <w:ilvl w:val="0"/>
          <w:numId w:val="7"/>
        </w:numPr>
      </w:pPr>
      <w:r>
        <w:t>la part d’auto fabrication sur les circuits de la consommation à domicile et notamment par les circuits artisanaux (bouchers charcutiers, traiteurs, marchés...),</w:t>
      </w:r>
    </w:p>
    <w:p w14:paraId="1F3A7B55" w14:textId="77777777" w:rsidR="00303B90" w:rsidRDefault="00303B90" w:rsidP="00303B90">
      <w:pPr>
        <w:pStyle w:val="Paragraphedeliste"/>
        <w:numPr>
          <w:ilvl w:val="0"/>
          <w:numId w:val="7"/>
        </w:numPr>
        <w:spacing w:before="0"/>
        <w:ind w:left="357" w:hanging="357"/>
      </w:pPr>
      <w:r>
        <w:t>le poids relatif du traiteur sur les circuits du hors domicile.</w:t>
      </w:r>
    </w:p>
    <w:p w14:paraId="219A1E6A" w14:textId="77777777" w:rsidR="00303B90" w:rsidRDefault="00303B90" w:rsidP="00303B90">
      <w:r>
        <w:t>La collecte des données s’est déroulée de mai à juillet 2020. Seules les</w:t>
      </w:r>
      <w:r w:rsidRPr="001F56C5">
        <w:t xml:space="preserve"> </w:t>
      </w:r>
      <w:r>
        <w:t>références pour lesquelles</w:t>
      </w:r>
      <w:r w:rsidRPr="001F56C5">
        <w:t xml:space="preserve"> </w:t>
      </w:r>
      <w:r>
        <w:t xml:space="preserve">la composition des produits était accessible ont été retenues pour l’analyse, excluant </w:t>
      </w:r>
      <w:r>
        <w:lastRenderedPageBreak/>
        <w:t xml:space="preserve">en grande partie les produits locaux ou régionaux. Or, ces produits avec un positionnement de produit plaisir, gourmand, généreux, intègrent la plupart du temps, une part relativement importante de produits du porc. Il sera tenu compte de cet aspect dans l‘évaluation du marché. </w:t>
      </w:r>
    </w:p>
    <w:p w14:paraId="308D9B58" w14:textId="77777777" w:rsidR="00303B90" w:rsidRDefault="00303B90" w:rsidP="00303B90">
      <w:pPr>
        <w:spacing w:after="0"/>
      </w:pPr>
      <w:r>
        <w:t xml:space="preserve">Par ailleurs, sur le plan de la méthode, la fraction des produits finis du porc incorporés dans les typologies de produits traiteurs a été répertoriée selon leur provenance en pièces primaires (jambon, poitrine, épaule, longe). Les produits finis ont été classée comme suit : </w:t>
      </w:r>
    </w:p>
    <w:p w14:paraId="438D3E19" w14:textId="77777777" w:rsidR="00303B90" w:rsidRDefault="00303B90" w:rsidP="00303B90">
      <w:pPr>
        <w:pStyle w:val="Paragraphedeliste"/>
        <w:numPr>
          <w:ilvl w:val="0"/>
          <w:numId w:val="7"/>
        </w:numPr>
      </w:pPr>
      <w:r>
        <w:t>Issus de jambon, cuit ou sec sous toutes ses formes (tranches, dés, cubes),</w:t>
      </w:r>
    </w:p>
    <w:p w14:paraId="1C940CFA" w14:textId="77777777" w:rsidR="00303B90" w:rsidRDefault="00303B90" w:rsidP="00303B90">
      <w:pPr>
        <w:pStyle w:val="Paragraphedeliste"/>
        <w:numPr>
          <w:ilvl w:val="0"/>
          <w:numId w:val="7"/>
        </w:numPr>
      </w:pPr>
      <w:r>
        <w:t>Issus d’épaule cuite regroupée sous toutes ses formes (tranches, dés, cubes),</w:t>
      </w:r>
    </w:p>
    <w:p w14:paraId="76C2A457" w14:textId="77777777" w:rsidR="00303B90" w:rsidRDefault="00303B90" w:rsidP="00303B90">
      <w:pPr>
        <w:pStyle w:val="Paragraphedeliste"/>
        <w:numPr>
          <w:ilvl w:val="0"/>
          <w:numId w:val="7"/>
        </w:numPr>
      </w:pPr>
      <w:r>
        <w:t>Issus de longe (bacon tranche ou dé principalement),</w:t>
      </w:r>
    </w:p>
    <w:p w14:paraId="24278F6C" w14:textId="77777777" w:rsidR="00303B90" w:rsidRDefault="00303B90" w:rsidP="00303B90">
      <w:pPr>
        <w:pStyle w:val="Paragraphedeliste"/>
        <w:numPr>
          <w:ilvl w:val="0"/>
          <w:numId w:val="7"/>
        </w:numPr>
      </w:pPr>
      <w:r>
        <w:t>Issus de poitrine (lardon, tranche de lard…)</w:t>
      </w:r>
    </w:p>
    <w:p w14:paraId="1CB5F8C7" w14:textId="77777777" w:rsidR="00303B90" w:rsidRDefault="00303B90" w:rsidP="00303B90">
      <w:pPr>
        <w:pStyle w:val="Paragraphedeliste"/>
        <w:numPr>
          <w:ilvl w:val="0"/>
          <w:numId w:val="7"/>
        </w:numPr>
      </w:pPr>
      <w:r>
        <w:t>Issus de produits de mélange (saucisses, chair à saucisse, saucisses pâte fine…),</w:t>
      </w:r>
    </w:p>
    <w:p w14:paraId="0C15BC45" w14:textId="77777777" w:rsidR="00303B90" w:rsidRDefault="00303B90" w:rsidP="00303B90">
      <w:pPr>
        <w:pStyle w:val="Paragraphedeliste"/>
        <w:numPr>
          <w:ilvl w:val="0"/>
          <w:numId w:val="7"/>
        </w:numPr>
      </w:pPr>
      <w:r>
        <w:t>Issus d’abats (andouillettes, boudins noirs ou blancs).</w:t>
      </w:r>
    </w:p>
    <w:p w14:paraId="38E44B9A" w14:textId="1A6DB09C" w:rsidR="00303B90" w:rsidRDefault="00303B90" w:rsidP="00303B90">
      <w:pPr>
        <w:rPr>
          <w:bCs/>
        </w:rPr>
      </w:pPr>
      <w:r>
        <w:rPr>
          <w:bCs/>
        </w:rPr>
        <w:t>En termes de nomenclature, la classification en familles des produits retenue reprend en partie la classification PRODCOM pour la classe 10.85.Z et permet de distinguer 6 grandes familles de produits</w:t>
      </w:r>
      <w:r w:rsidR="004F0A34">
        <w:rPr>
          <w:bCs/>
        </w:rPr>
        <w:t>.</w:t>
      </w:r>
    </w:p>
    <w:tbl>
      <w:tblPr>
        <w:tblW w:w="8874" w:type="dxa"/>
        <w:jc w:val="center"/>
        <w:tblCellMar>
          <w:left w:w="70" w:type="dxa"/>
          <w:right w:w="70" w:type="dxa"/>
        </w:tblCellMar>
        <w:tblLook w:val="04A0" w:firstRow="1" w:lastRow="0" w:firstColumn="1" w:lastColumn="0" w:noHBand="0" w:noVBand="1"/>
      </w:tblPr>
      <w:tblGrid>
        <w:gridCol w:w="5714"/>
        <w:gridCol w:w="1620"/>
        <w:gridCol w:w="1540"/>
      </w:tblGrid>
      <w:tr w:rsidR="00303B90" w:rsidRPr="00437713" w14:paraId="48B60F74" w14:textId="77777777" w:rsidTr="001C4D22">
        <w:trPr>
          <w:trHeight w:val="510"/>
          <w:jc w:val="center"/>
        </w:trPr>
        <w:tc>
          <w:tcPr>
            <w:tcW w:w="571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935370D"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Familles et sous familles de produits </w:t>
            </w:r>
          </w:p>
        </w:tc>
        <w:tc>
          <w:tcPr>
            <w:tcW w:w="1620" w:type="dxa"/>
            <w:tcBorders>
              <w:top w:val="single" w:sz="4" w:space="0" w:color="000000"/>
              <w:left w:val="nil"/>
              <w:bottom w:val="single" w:sz="4" w:space="0" w:color="000000"/>
              <w:right w:val="single" w:sz="4" w:space="0" w:color="000000"/>
            </w:tcBorders>
            <w:shd w:val="clear" w:color="D9D9D9" w:fill="D9D9D9"/>
            <w:vAlign w:val="center"/>
            <w:hideMark/>
          </w:tcPr>
          <w:p w14:paraId="798DBAF8"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Nombre de références </w:t>
            </w:r>
          </w:p>
        </w:tc>
        <w:tc>
          <w:tcPr>
            <w:tcW w:w="1540" w:type="dxa"/>
            <w:tcBorders>
              <w:top w:val="single" w:sz="4" w:space="0" w:color="000000"/>
              <w:left w:val="nil"/>
              <w:bottom w:val="single" w:sz="4" w:space="0" w:color="000000"/>
              <w:right w:val="single" w:sz="4" w:space="0" w:color="000000"/>
            </w:tcBorders>
            <w:shd w:val="clear" w:color="D9D9D9" w:fill="D9D9D9"/>
            <w:vAlign w:val="center"/>
            <w:hideMark/>
          </w:tcPr>
          <w:p w14:paraId="4D4AC6B6"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Structure de l'offre analysée</w:t>
            </w:r>
          </w:p>
        </w:tc>
      </w:tr>
      <w:tr w:rsidR="00303B90" w:rsidRPr="00437713" w14:paraId="72441A18"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0B7BBF18"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Total </w:t>
            </w:r>
          </w:p>
        </w:tc>
        <w:tc>
          <w:tcPr>
            <w:tcW w:w="1620" w:type="dxa"/>
            <w:tcBorders>
              <w:top w:val="nil"/>
              <w:left w:val="nil"/>
              <w:bottom w:val="single" w:sz="4" w:space="0" w:color="000000"/>
              <w:right w:val="single" w:sz="4" w:space="0" w:color="000000"/>
            </w:tcBorders>
            <w:shd w:val="clear" w:color="auto" w:fill="auto"/>
            <w:noWrap/>
            <w:vAlign w:val="center"/>
            <w:hideMark/>
          </w:tcPr>
          <w:p w14:paraId="255EA90D"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1</w:t>
            </w:r>
            <w:r>
              <w:rPr>
                <w:rFonts w:eastAsia="Times New Roman" w:cs="Arial"/>
                <w:b/>
                <w:bCs/>
                <w:color w:val="000000"/>
                <w:sz w:val="20"/>
                <w:szCs w:val="20"/>
                <w:lang w:eastAsia="fr-FR"/>
              </w:rPr>
              <w:t>153</w:t>
            </w:r>
          </w:p>
        </w:tc>
        <w:tc>
          <w:tcPr>
            <w:tcW w:w="1540" w:type="dxa"/>
            <w:tcBorders>
              <w:top w:val="nil"/>
              <w:left w:val="nil"/>
              <w:bottom w:val="single" w:sz="4" w:space="0" w:color="000000"/>
              <w:right w:val="single" w:sz="4" w:space="0" w:color="000000"/>
            </w:tcBorders>
            <w:shd w:val="clear" w:color="auto" w:fill="auto"/>
            <w:vAlign w:val="center"/>
            <w:hideMark/>
          </w:tcPr>
          <w:p w14:paraId="3B882D71"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D4C0B3F"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39AA06F3"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Charcuterie pâtissière </w:t>
            </w:r>
          </w:p>
        </w:tc>
        <w:tc>
          <w:tcPr>
            <w:tcW w:w="1620" w:type="dxa"/>
            <w:tcBorders>
              <w:top w:val="nil"/>
              <w:left w:val="nil"/>
              <w:bottom w:val="single" w:sz="4" w:space="0" w:color="000000"/>
              <w:right w:val="single" w:sz="4" w:space="0" w:color="000000"/>
            </w:tcBorders>
            <w:shd w:val="clear" w:color="auto" w:fill="auto"/>
            <w:noWrap/>
            <w:vAlign w:val="center"/>
            <w:hideMark/>
          </w:tcPr>
          <w:p w14:paraId="4AD97869"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370</w:t>
            </w:r>
          </w:p>
        </w:tc>
        <w:tc>
          <w:tcPr>
            <w:tcW w:w="1540" w:type="dxa"/>
            <w:tcBorders>
              <w:top w:val="nil"/>
              <w:left w:val="nil"/>
              <w:bottom w:val="single" w:sz="4" w:space="0" w:color="000000"/>
              <w:right w:val="single" w:sz="4" w:space="0" w:color="000000"/>
            </w:tcBorders>
            <w:shd w:val="clear" w:color="auto" w:fill="auto"/>
            <w:noWrap/>
            <w:vAlign w:val="center"/>
            <w:hideMark/>
          </w:tcPr>
          <w:p w14:paraId="13ED2FB6" w14:textId="77777777" w:rsidR="00303B90" w:rsidRPr="00437713" w:rsidRDefault="00303B90" w:rsidP="001C4D22">
            <w:pPr>
              <w:spacing w:after="0" w:line="240" w:lineRule="auto"/>
              <w:jc w:val="right"/>
              <w:rPr>
                <w:rFonts w:eastAsia="Times New Roman" w:cs="Arial"/>
                <w:b/>
                <w:bCs/>
                <w:color w:val="000000"/>
                <w:sz w:val="20"/>
                <w:szCs w:val="20"/>
                <w:lang w:eastAsia="fr-FR"/>
              </w:rPr>
            </w:pPr>
            <w:r w:rsidRPr="00437713">
              <w:rPr>
                <w:rFonts w:eastAsia="Times New Roman" w:cs="Arial"/>
                <w:b/>
                <w:bCs/>
                <w:color w:val="000000"/>
                <w:sz w:val="20"/>
                <w:szCs w:val="20"/>
                <w:lang w:eastAsia="fr-FR"/>
              </w:rPr>
              <w:t>3</w:t>
            </w:r>
            <w:r>
              <w:rPr>
                <w:rFonts w:eastAsia="Times New Roman" w:cs="Arial"/>
                <w:b/>
                <w:bCs/>
                <w:color w:val="000000"/>
                <w:sz w:val="20"/>
                <w:szCs w:val="20"/>
                <w:lang w:eastAsia="fr-FR"/>
              </w:rPr>
              <w:t>2</w:t>
            </w:r>
            <w:r w:rsidRPr="00437713">
              <w:rPr>
                <w:rFonts w:eastAsia="Times New Roman" w:cs="Arial"/>
                <w:b/>
                <w:bCs/>
                <w:color w:val="000000"/>
                <w:sz w:val="20"/>
                <w:szCs w:val="20"/>
                <w:lang w:eastAsia="fr-FR"/>
              </w:rPr>
              <w:t>%</w:t>
            </w:r>
          </w:p>
        </w:tc>
      </w:tr>
      <w:tr w:rsidR="00303B90" w:rsidRPr="00437713" w14:paraId="3C2C9A26"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D9D9D9" w:fill="D9D9D9"/>
            <w:noWrap/>
            <w:vAlign w:val="center"/>
            <w:hideMark/>
          </w:tcPr>
          <w:p w14:paraId="39583738"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Pâtés croûte, saucissons briochés, tourtes à la viande</w:t>
            </w:r>
          </w:p>
        </w:tc>
        <w:tc>
          <w:tcPr>
            <w:tcW w:w="1620" w:type="dxa"/>
            <w:tcBorders>
              <w:top w:val="nil"/>
              <w:left w:val="nil"/>
              <w:bottom w:val="single" w:sz="4" w:space="0" w:color="000000"/>
              <w:right w:val="single" w:sz="4" w:space="0" w:color="000000"/>
            </w:tcBorders>
            <w:shd w:val="clear" w:color="D9D9D9" w:fill="D9D9D9"/>
            <w:noWrap/>
            <w:vAlign w:val="center"/>
            <w:hideMark/>
          </w:tcPr>
          <w:p w14:paraId="084B3630"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217</w:t>
            </w:r>
          </w:p>
        </w:tc>
        <w:tc>
          <w:tcPr>
            <w:tcW w:w="1540" w:type="dxa"/>
            <w:tcBorders>
              <w:top w:val="nil"/>
              <w:left w:val="nil"/>
              <w:bottom w:val="single" w:sz="4" w:space="0" w:color="000000"/>
              <w:right w:val="single" w:sz="4" w:space="0" w:color="000000"/>
            </w:tcBorders>
            <w:shd w:val="clear" w:color="D9D9D9" w:fill="D9D9D9"/>
            <w:noWrap/>
            <w:vAlign w:val="center"/>
            <w:hideMark/>
          </w:tcPr>
          <w:p w14:paraId="486A96EB"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7CEC7A9"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16228969"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Feuilletés, friands, bouchées</w:t>
            </w:r>
            <w:r>
              <w:rPr>
                <w:rFonts w:eastAsia="Times New Roman" w:cs="Arial"/>
                <w:color w:val="000000"/>
                <w:sz w:val="20"/>
                <w:szCs w:val="20"/>
                <w:lang w:eastAsia="fr-FR"/>
              </w:rPr>
              <w:t xml:space="preserve"> et autres</w:t>
            </w:r>
          </w:p>
        </w:tc>
        <w:tc>
          <w:tcPr>
            <w:tcW w:w="1620" w:type="dxa"/>
            <w:tcBorders>
              <w:top w:val="nil"/>
              <w:left w:val="nil"/>
              <w:bottom w:val="single" w:sz="4" w:space="0" w:color="000000"/>
              <w:right w:val="single" w:sz="4" w:space="0" w:color="000000"/>
            </w:tcBorders>
            <w:shd w:val="clear" w:color="auto" w:fill="auto"/>
            <w:noWrap/>
            <w:vAlign w:val="center"/>
            <w:hideMark/>
          </w:tcPr>
          <w:p w14:paraId="45FE404F"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106</w:t>
            </w:r>
          </w:p>
        </w:tc>
        <w:tc>
          <w:tcPr>
            <w:tcW w:w="1540" w:type="dxa"/>
            <w:tcBorders>
              <w:top w:val="nil"/>
              <w:left w:val="nil"/>
              <w:bottom w:val="single" w:sz="4" w:space="0" w:color="000000"/>
              <w:right w:val="single" w:sz="4" w:space="0" w:color="000000"/>
            </w:tcBorders>
            <w:shd w:val="clear" w:color="auto" w:fill="auto"/>
            <w:noWrap/>
            <w:vAlign w:val="center"/>
            <w:hideMark/>
          </w:tcPr>
          <w:p w14:paraId="45F5F542"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17A773DF"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D9D9D9" w:fill="D9D9D9"/>
            <w:noWrap/>
            <w:vAlign w:val="center"/>
            <w:hideMark/>
          </w:tcPr>
          <w:p w14:paraId="22CE5A57"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Croque</w:t>
            </w:r>
            <w:r>
              <w:rPr>
                <w:rFonts w:eastAsia="Times New Roman" w:cs="Arial"/>
                <w:color w:val="000000"/>
                <w:sz w:val="20"/>
                <w:szCs w:val="20"/>
                <w:lang w:eastAsia="fr-FR"/>
              </w:rPr>
              <w:t>-m</w:t>
            </w:r>
            <w:r w:rsidRPr="00437713">
              <w:rPr>
                <w:rFonts w:eastAsia="Times New Roman" w:cs="Arial"/>
                <w:color w:val="000000"/>
                <w:sz w:val="20"/>
                <w:szCs w:val="20"/>
                <w:lang w:eastAsia="fr-FR"/>
              </w:rPr>
              <w:t xml:space="preserve">onsieur </w:t>
            </w:r>
          </w:p>
        </w:tc>
        <w:tc>
          <w:tcPr>
            <w:tcW w:w="1620" w:type="dxa"/>
            <w:tcBorders>
              <w:top w:val="nil"/>
              <w:left w:val="nil"/>
              <w:bottom w:val="single" w:sz="4" w:space="0" w:color="000000"/>
              <w:right w:val="single" w:sz="4" w:space="0" w:color="000000"/>
            </w:tcBorders>
            <w:shd w:val="clear" w:color="D9D9D9" w:fill="D9D9D9"/>
            <w:noWrap/>
            <w:vAlign w:val="center"/>
            <w:hideMark/>
          </w:tcPr>
          <w:p w14:paraId="616C7B11"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47</w:t>
            </w:r>
          </w:p>
        </w:tc>
        <w:tc>
          <w:tcPr>
            <w:tcW w:w="1540" w:type="dxa"/>
            <w:tcBorders>
              <w:top w:val="nil"/>
              <w:left w:val="nil"/>
              <w:bottom w:val="single" w:sz="4" w:space="0" w:color="000000"/>
              <w:right w:val="single" w:sz="4" w:space="0" w:color="000000"/>
            </w:tcBorders>
            <w:shd w:val="clear" w:color="D9D9D9" w:fill="D9D9D9"/>
            <w:noWrap/>
            <w:vAlign w:val="center"/>
            <w:hideMark/>
          </w:tcPr>
          <w:p w14:paraId="19BA359C"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288C0A03"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0E14EF75"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Tartes salées</w:t>
            </w:r>
            <w:r>
              <w:rPr>
                <w:rFonts w:eastAsia="Times New Roman" w:cs="Arial"/>
                <w:b/>
                <w:bCs/>
                <w:color w:val="000000"/>
                <w:sz w:val="20"/>
                <w:szCs w:val="20"/>
                <w:lang w:eastAsia="fr-FR"/>
              </w:rPr>
              <w:t>, quiches, tartes</w:t>
            </w:r>
            <w:r w:rsidRPr="00437713">
              <w:rPr>
                <w:rFonts w:eastAsia="Times New Roman" w:cs="Arial"/>
                <w:b/>
                <w:bCs/>
                <w:color w:val="000000"/>
                <w:sz w:val="20"/>
                <w:szCs w:val="20"/>
                <w:lang w:eastAsia="fr-FR"/>
              </w:rPr>
              <w:t xml:space="preserve"> et pizzas</w:t>
            </w:r>
          </w:p>
        </w:tc>
        <w:tc>
          <w:tcPr>
            <w:tcW w:w="1620" w:type="dxa"/>
            <w:tcBorders>
              <w:top w:val="nil"/>
              <w:left w:val="nil"/>
              <w:bottom w:val="single" w:sz="4" w:space="0" w:color="000000"/>
              <w:right w:val="single" w:sz="4" w:space="0" w:color="000000"/>
            </w:tcBorders>
            <w:shd w:val="clear" w:color="auto" w:fill="auto"/>
            <w:noWrap/>
            <w:vAlign w:val="center"/>
            <w:hideMark/>
          </w:tcPr>
          <w:p w14:paraId="54330CE1"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306</w:t>
            </w:r>
          </w:p>
        </w:tc>
        <w:tc>
          <w:tcPr>
            <w:tcW w:w="1540" w:type="dxa"/>
            <w:tcBorders>
              <w:top w:val="nil"/>
              <w:left w:val="nil"/>
              <w:bottom w:val="single" w:sz="4" w:space="0" w:color="000000"/>
              <w:right w:val="single" w:sz="4" w:space="0" w:color="000000"/>
            </w:tcBorders>
            <w:shd w:val="clear" w:color="auto" w:fill="auto"/>
            <w:noWrap/>
            <w:vAlign w:val="center"/>
            <w:hideMark/>
          </w:tcPr>
          <w:p w14:paraId="4582087A" w14:textId="77777777" w:rsidR="00303B90" w:rsidRPr="00437713" w:rsidRDefault="00303B90" w:rsidP="001C4D22">
            <w:pPr>
              <w:spacing w:after="0" w:line="240" w:lineRule="auto"/>
              <w:jc w:val="right"/>
              <w:rPr>
                <w:rFonts w:eastAsia="Times New Roman" w:cs="Arial"/>
                <w:b/>
                <w:bCs/>
                <w:color w:val="000000"/>
                <w:sz w:val="20"/>
                <w:szCs w:val="20"/>
                <w:lang w:eastAsia="fr-FR"/>
              </w:rPr>
            </w:pPr>
            <w:r w:rsidRPr="00437713">
              <w:rPr>
                <w:rFonts w:eastAsia="Times New Roman" w:cs="Arial"/>
                <w:b/>
                <w:bCs/>
                <w:color w:val="000000"/>
                <w:sz w:val="20"/>
                <w:szCs w:val="20"/>
                <w:lang w:eastAsia="fr-FR"/>
              </w:rPr>
              <w:t>2</w:t>
            </w:r>
            <w:r>
              <w:rPr>
                <w:rFonts w:eastAsia="Times New Roman" w:cs="Arial"/>
                <w:b/>
                <w:bCs/>
                <w:color w:val="000000"/>
                <w:sz w:val="20"/>
                <w:szCs w:val="20"/>
                <w:lang w:eastAsia="fr-FR"/>
              </w:rPr>
              <w:t>6</w:t>
            </w:r>
            <w:r w:rsidRPr="00437713">
              <w:rPr>
                <w:rFonts w:eastAsia="Times New Roman" w:cs="Arial"/>
                <w:b/>
                <w:bCs/>
                <w:color w:val="000000"/>
                <w:sz w:val="20"/>
                <w:szCs w:val="20"/>
                <w:lang w:eastAsia="fr-FR"/>
              </w:rPr>
              <w:t>%</w:t>
            </w:r>
          </w:p>
        </w:tc>
      </w:tr>
      <w:tr w:rsidR="00303B90" w:rsidRPr="00437713" w14:paraId="371D6A6F"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D9D9D9" w:fill="D9D9D9"/>
            <w:noWrap/>
            <w:vAlign w:val="center"/>
            <w:hideMark/>
          </w:tcPr>
          <w:p w14:paraId="1F68D8D4"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Pizzas</w:t>
            </w:r>
          </w:p>
        </w:tc>
        <w:tc>
          <w:tcPr>
            <w:tcW w:w="1620" w:type="dxa"/>
            <w:tcBorders>
              <w:top w:val="nil"/>
              <w:left w:val="nil"/>
              <w:bottom w:val="single" w:sz="4" w:space="0" w:color="000000"/>
              <w:right w:val="single" w:sz="4" w:space="0" w:color="000000"/>
            </w:tcBorders>
            <w:shd w:val="clear" w:color="D9D9D9" w:fill="D9D9D9"/>
            <w:noWrap/>
            <w:vAlign w:val="center"/>
            <w:hideMark/>
          </w:tcPr>
          <w:p w14:paraId="1452F849"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154</w:t>
            </w:r>
          </w:p>
        </w:tc>
        <w:tc>
          <w:tcPr>
            <w:tcW w:w="1540" w:type="dxa"/>
            <w:tcBorders>
              <w:top w:val="nil"/>
              <w:left w:val="nil"/>
              <w:bottom w:val="single" w:sz="4" w:space="0" w:color="000000"/>
              <w:right w:val="single" w:sz="4" w:space="0" w:color="000000"/>
            </w:tcBorders>
            <w:shd w:val="clear" w:color="D9D9D9" w:fill="D9D9D9"/>
            <w:noWrap/>
            <w:vAlign w:val="center"/>
            <w:hideMark/>
          </w:tcPr>
          <w:p w14:paraId="4E0BD5FF"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6539D47C"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7E88F325"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 xml:space="preserve">Quiches, tartes, tourtes </w:t>
            </w:r>
          </w:p>
        </w:tc>
        <w:tc>
          <w:tcPr>
            <w:tcW w:w="1620" w:type="dxa"/>
            <w:tcBorders>
              <w:top w:val="nil"/>
              <w:left w:val="nil"/>
              <w:bottom w:val="single" w:sz="4" w:space="0" w:color="000000"/>
              <w:right w:val="single" w:sz="4" w:space="0" w:color="000000"/>
            </w:tcBorders>
            <w:shd w:val="clear" w:color="auto" w:fill="auto"/>
            <w:noWrap/>
            <w:vAlign w:val="center"/>
            <w:hideMark/>
          </w:tcPr>
          <w:p w14:paraId="66E4D5F0"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55</w:t>
            </w:r>
          </w:p>
        </w:tc>
        <w:tc>
          <w:tcPr>
            <w:tcW w:w="1540" w:type="dxa"/>
            <w:tcBorders>
              <w:top w:val="nil"/>
              <w:left w:val="nil"/>
              <w:bottom w:val="single" w:sz="4" w:space="0" w:color="000000"/>
              <w:right w:val="single" w:sz="4" w:space="0" w:color="000000"/>
            </w:tcBorders>
            <w:shd w:val="clear" w:color="auto" w:fill="auto"/>
            <w:noWrap/>
            <w:vAlign w:val="center"/>
            <w:hideMark/>
          </w:tcPr>
          <w:p w14:paraId="73F04FFF"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5A05449"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D9D9D9" w:fill="D9D9D9"/>
            <w:noWrap/>
            <w:vAlign w:val="center"/>
            <w:hideMark/>
          </w:tcPr>
          <w:p w14:paraId="769973C8"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Crèpes</w:t>
            </w:r>
            <w:r>
              <w:rPr>
                <w:rFonts w:eastAsia="Times New Roman" w:cs="Arial"/>
                <w:color w:val="000000"/>
                <w:sz w:val="20"/>
                <w:szCs w:val="20"/>
                <w:lang w:eastAsia="fr-FR"/>
              </w:rPr>
              <w:t>,</w:t>
            </w:r>
            <w:r w:rsidRPr="00437713">
              <w:rPr>
                <w:rFonts w:eastAsia="Times New Roman" w:cs="Arial"/>
                <w:color w:val="000000"/>
                <w:sz w:val="20"/>
                <w:szCs w:val="20"/>
                <w:lang w:eastAsia="fr-FR"/>
              </w:rPr>
              <w:t xml:space="preserve"> galettes garnies</w:t>
            </w:r>
          </w:p>
        </w:tc>
        <w:tc>
          <w:tcPr>
            <w:tcW w:w="1620" w:type="dxa"/>
            <w:tcBorders>
              <w:top w:val="nil"/>
              <w:left w:val="nil"/>
              <w:bottom w:val="single" w:sz="4" w:space="0" w:color="000000"/>
              <w:right w:val="single" w:sz="4" w:space="0" w:color="000000"/>
            </w:tcBorders>
            <w:shd w:val="clear" w:color="D9D9D9" w:fill="D9D9D9"/>
            <w:noWrap/>
            <w:vAlign w:val="center"/>
            <w:hideMark/>
          </w:tcPr>
          <w:p w14:paraId="77FBBE95"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97</w:t>
            </w:r>
          </w:p>
        </w:tc>
        <w:tc>
          <w:tcPr>
            <w:tcW w:w="1540" w:type="dxa"/>
            <w:tcBorders>
              <w:top w:val="nil"/>
              <w:left w:val="nil"/>
              <w:bottom w:val="single" w:sz="4" w:space="0" w:color="000000"/>
              <w:right w:val="single" w:sz="4" w:space="0" w:color="000000"/>
            </w:tcBorders>
            <w:shd w:val="clear" w:color="D9D9D9" w:fill="D9D9D9"/>
            <w:noWrap/>
            <w:vAlign w:val="center"/>
            <w:hideMark/>
          </w:tcPr>
          <w:p w14:paraId="0FCB4EF2"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57A6FF3B"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FFFFFF" w:themeFill="background1"/>
            <w:noWrap/>
            <w:vAlign w:val="center"/>
            <w:hideMark/>
          </w:tcPr>
          <w:p w14:paraId="72CE3B19"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Plats cuisinés</w:t>
            </w:r>
          </w:p>
        </w:tc>
        <w:tc>
          <w:tcPr>
            <w:tcW w:w="1620" w:type="dxa"/>
            <w:tcBorders>
              <w:top w:val="nil"/>
              <w:left w:val="nil"/>
              <w:bottom w:val="single" w:sz="4" w:space="0" w:color="000000"/>
              <w:right w:val="single" w:sz="4" w:space="0" w:color="000000"/>
            </w:tcBorders>
            <w:shd w:val="clear" w:color="auto" w:fill="FFFFFF" w:themeFill="background1"/>
            <w:noWrap/>
            <w:vAlign w:val="center"/>
            <w:hideMark/>
          </w:tcPr>
          <w:p w14:paraId="6CBE3254"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189</w:t>
            </w:r>
          </w:p>
        </w:tc>
        <w:tc>
          <w:tcPr>
            <w:tcW w:w="1540" w:type="dxa"/>
            <w:tcBorders>
              <w:top w:val="nil"/>
              <w:left w:val="nil"/>
              <w:bottom w:val="single" w:sz="4" w:space="0" w:color="000000"/>
              <w:right w:val="single" w:sz="4" w:space="0" w:color="000000"/>
            </w:tcBorders>
            <w:shd w:val="clear" w:color="auto" w:fill="FFFFFF" w:themeFill="background1"/>
            <w:noWrap/>
            <w:vAlign w:val="center"/>
            <w:hideMark/>
          </w:tcPr>
          <w:p w14:paraId="579DB148" w14:textId="77777777" w:rsidR="00303B90" w:rsidRPr="00437713" w:rsidRDefault="00303B90" w:rsidP="001C4D22">
            <w:pPr>
              <w:spacing w:after="0" w:line="240" w:lineRule="auto"/>
              <w:jc w:val="right"/>
              <w:rPr>
                <w:rFonts w:eastAsia="Times New Roman" w:cs="Arial"/>
                <w:b/>
                <w:bCs/>
                <w:color w:val="000000"/>
                <w:sz w:val="20"/>
                <w:szCs w:val="20"/>
                <w:lang w:eastAsia="fr-FR"/>
              </w:rPr>
            </w:pPr>
            <w:r w:rsidRPr="00437713">
              <w:rPr>
                <w:rFonts w:eastAsia="Times New Roman" w:cs="Arial"/>
                <w:b/>
                <w:bCs/>
                <w:color w:val="000000"/>
                <w:sz w:val="20"/>
                <w:szCs w:val="20"/>
                <w:lang w:eastAsia="fr-FR"/>
              </w:rPr>
              <w:t>18%</w:t>
            </w:r>
          </w:p>
        </w:tc>
      </w:tr>
      <w:tr w:rsidR="00303B90" w:rsidRPr="00437713" w14:paraId="4D557FFD"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D9D9D9" w:themeFill="background1" w:themeFillShade="D9"/>
            <w:noWrap/>
            <w:vAlign w:val="center"/>
            <w:hideMark/>
          </w:tcPr>
          <w:p w14:paraId="3C9A5FBD"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Choucroute</w:t>
            </w:r>
          </w:p>
        </w:tc>
        <w:tc>
          <w:tcPr>
            <w:tcW w:w="162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09579F51"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86</w:t>
            </w:r>
          </w:p>
        </w:tc>
        <w:tc>
          <w:tcPr>
            <w:tcW w:w="154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0187AF1C"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100E53A8" w14:textId="77777777" w:rsidTr="001C4D22">
        <w:trPr>
          <w:trHeight w:val="510"/>
          <w:jc w:val="center"/>
        </w:trPr>
        <w:tc>
          <w:tcPr>
            <w:tcW w:w="5714" w:type="dxa"/>
            <w:tcBorders>
              <w:top w:val="nil"/>
              <w:left w:val="single" w:sz="4" w:space="0" w:color="000000"/>
              <w:bottom w:val="single" w:sz="4" w:space="0" w:color="000000"/>
              <w:right w:val="single" w:sz="4" w:space="0" w:color="000000"/>
            </w:tcBorders>
            <w:shd w:val="clear" w:color="auto" w:fill="auto"/>
            <w:vAlign w:val="center"/>
            <w:hideMark/>
          </w:tcPr>
          <w:p w14:paraId="641BFD4D"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 xml:space="preserve">Plats cuisinés traditionnels (cassoulet, tomates </w:t>
            </w:r>
            <w:r>
              <w:rPr>
                <w:rFonts w:eastAsia="Times New Roman" w:cs="Arial"/>
                <w:color w:val="000000"/>
                <w:sz w:val="20"/>
                <w:szCs w:val="20"/>
                <w:lang w:eastAsia="fr-FR"/>
              </w:rPr>
              <w:t>cuisinées</w:t>
            </w:r>
            <w:r w:rsidRPr="00437713">
              <w:rPr>
                <w:rFonts w:eastAsia="Times New Roman" w:cs="Arial"/>
                <w:color w:val="000000"/>
                <w:sz w:val="20"/>
                <w:szCs w:val="20"/>
                <w:lang w:eastAsia="fr-FR"/>
              </w:rPr>
              <w:t>, saucisses et petit salé</w:t>
            </w:r>
            <w:r>
              <w:rPr>
                <w:rFonts w:eastAsia="Times New Roman" w:cs="Arial"/>
                <w:color w:val="000000"/>
                <w:sz w:val="20"/>
                <w:szCs w:val="20"/>
                <w:lang w:eastAsia="fr-FR"/>
              </w:rPr>
              <w:t>.</w:t>
            </w:r>
            <w:r w:rsidRPr="00437713">
              <w:rPr>
                <w:rFonts w:eastAsia="Times New Roman" w:cs="Arial"/>
                <w:color w:val="000000"/>
                <w:sz w:val="20"/>
                <w:szCs w:val="20"/>
                <w:lang w:eastAsia="fr-FR"/>
              </w:rPr>
              <w:t>..)</w:t>
            </w:r>
            <w:r>
              <w:rPr>
                <w:rFonts w:eastAsia="Times New Roman" w:cs="Arial"/>
                <w:color w:val="000000"/>
                <w:sz w:val="20"/>
                <w:szCs w:val="20"/>
                <w:lang w:eastAsia="fr-FR"/>
              </w:rPr>
              <w:t xml:space="preserve"> et spécialités</w:t>
            </w:r>
          </w:p>
        </w:tc>
        <w:tc>
          <w:tcPr>
            <w:tcW w:w="1620" w:type="dxa"/>
            <w:tcBorders>
              <w:top w:val="nil"/>
              <w:left w:val="nil"/>
              <w:bottom w:val="single" w:sz="4" w:space="0" w:color="000000"/>
              <w:right w:val="single" w:sz="4" w:space="0" w:color="000000"/>
            </w:tcBorders>
            <w:shd w:val="clear" w:color="auto" w:fill="auto"/>
            <w:noWrap/>
            <w:vAlign w:val="center"/>
            <w:hideMark/>
          </w:tcPr>
          <w:p w14:paraId="20D169F6" w14:textId="77777777" w:rsidR="00303B90" w:rsidRPr="00437713" w:rsidRDefault="00303B90" w:rsidP="001C4D22">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103</w:t>
            </w:r>
          </w:p>
        </w:tc>
        <w:tc>
          <w:tcPr>
            <w:tcW w:w="1540" w:type="dxa"/>
            <w:tcBorders>
              <w:top w:val="nil"/>
              <w:left w:val="nil"/>
              <w:bottom w:val="single" w:sz="4" w:space="0" w:color="000000"/>
              <w:right w:val="single" w:sz="4" w:space="0" w:color="000000"/>
            </w:tcBorders>
            <w:shd w:val="clear" w:color="auto" w:fill="auto"/>
            <w:noWrap/>
            <w:vAlign w:val="center"/>
            <w:hideMark/>
          </w:tcPr>
          <w:p w14:paraId="1CDAC6EE"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 </w:t>
            </w:r>
          </w:p>
        </w:tc>
      </w:tr>
      <w:tr w:rsidR="00303B90" w:rsidRPr="00437713" w14:paraId="1D4484A5"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D9D9D9" w:themeFill="background1" w:themeFillShade="D9"/>
            <w:noWrap/>
            <w:vAlign w:val="center"/>
            <w:hideMark/>
          </w:tcPr>
          <w:p w14:paraId="10AC1A8B" w14:textId="77777777" w:rsidR="00303B90" w:rsidRPr="00437713" w:rsidRDefault="00303B90" w:rsidP="001C4D22">
            <w:pPr>
              <w:spacing w:after="0" w:line="240" w:lineRule="auto"/>
              <w:jc w:val="left"/>
              <w:rPr>
                <w:rFonts w:eastAsia="Times New Roman" w:cs="Arial"/>
                <w:b/>
                <w:color w:val="000000"/>
                <w:sz w:val="20"/>
                <w:szCs w:val="20"/>
                <w:lang w:eastAsia="fr-FR"/>
              </w:rPr>
            </w:pPr>
            <w:r w:rsidRPr="00437713">
              <w:rPr>
                <w:rFonts w:eastAsia="Times New Roman" w:cs="Arial"/>
                <w:b/>
                <w:color w:val="000000"/>
                <w:sz w:val="20"/>
                <w:szCs w:val="20"/>
                <w:lang w:eastAsia="fr-FR"/>
              </w:rPr>
              <w:t xml:space="preserve">Pâtes </w:t>
            </w:r>
            <w:r>
              <w:rPr>
                <w:rFonts w:eastAsia="Times New Roman" w:cs="Arial"/>
                <w:b/>
                <w:color w:val="000000"/>
                <w:sz w:val="20"/>
                <w:szCs w:val="20"/>
                <w:lang w:eastAsia="fr-FR"/>
              </w:rPr>
              <w:t>cuisinées</w:t>
            </w:r>
          </w:p>
        </w:tc>
        <w:tc>
          <w:tcPr>
            <w:tcW w:w="162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3582F70D" w14:textId="77777777" w:rsidR="00303B90" w:rsidRPr="00437713" w:rsidRDefault="00303B90" w:rsidP="001C4D22">
            <w:pPr>
              <w:spacing w:after="0" w:line="240" w:lineRule="auto"/>
              <w:jc w:val="left"/>
              <w:rPr>
                <w:rFonts w:eastAsia="Times New Roman" w:cs="Arial"/>
                <w:b/>
                <w:color w:val="000000"/>
                <w:sz w:val="20"/>
                <w:szCs w:val="20"/>
                <w:lang w:eastAsia="fr-FR"/>
              </w:rPr>
            </w:pPr>
            <w:r w:rsidRPr="00437713">
              <w:rPr>
                <w:rFonts w:eastAsia="Times New Roman" w:cs="Arial"/>
                <w:b/>
                <w:color w:val="000000"/>
                <w:sz w:val="20"/>
                <w:szCs w:val="20"/>
                <w:lang w:eastAsia="fr-FR"/>
              </w:rPr>
              <w:t>105</w:t>
            </w:r>
          </w:p>
        </w:tc>
        <w:tc>
          <w:tcPr>
            <w:tcW w:w="154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7C4C7C2B" w14:textId="77777777" w:rsidR="00303B90" w:rsidRPr="00437713" w:rsidRDefault="00303B90" w:rsidP="001C4D22">
            <w:pPr>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9%</w:t>
            </w:r>
          </w:p>
        </w:tc>
      </w:tr>
      <w:tr w:rsidR="00303B90" w:rsidRPr="00437713" w14:paraId="61841BF1"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68A16DB4"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Salades </w:t>
            </w:r>
          </w:p>
        </w:tc>
        <w:tc>
          <w:tcPr>
            <w:tcW w:w="1620" w:type="dxa"/>
            <w:tcBorders>
              <w:top w:val="nil"/>
              <w:left w:val="nil"/>
              <w:bottom w:val="single" w:sz="4" w:space="0" w:color="000000"/>
              <w:right w:val="single" w:sz="4" w:space="0" w:color="000000"/>
            </w:tcBorders>
            <w:shd w:val="clear" w:color="auto" w:fill="auto"/>
            <w:noWrap/>
            <w:vAlign w:val="center"/>
            <w:hideMark/>
          </w:tcPr>
          <w:p w14:paraId="13FA8256"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102</w:t>
            </w:r>
          </w:p>
        </w:tc>
        <w:tc>
          <w:tcPr>
            <w:tcW w:w="1540" w:type="dxa"/>
            <w:tcBorders>
              <w:top w:val="nil"/>
              <w:left w:val="nil"/>
              <w:bottom w:val="single" w:sz="4" w:space="0" w:color="000000"/>
              <w:right w:val="single" w:sz="4" w:space="0" w:color="000000"/>
            </w:tcBorders>
            <w:shd w:val="clear" w:color="auto" w:fill="auto"/>
            <w:noWrap/>
            <w:vAlign w:val="center"/>
            <w:hideMark/>
          </w:tcPr>
          <w:p w14:paraId="0C66DEF5" w14:textId="77777777" w:rsidR="00303B90" w:rsidRPr="00437713" w:rsidRDefault="00303B90" w:rsidP="001C4D22">
            <w:pPr>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8</w:t>
            </w:r>
            <w:r w:rsidRPr="00437713">
              <w:rPr>
                <w:rFonts w:eastAsia="Times New Roman" w:cs="Arial"/>
                <w:b/>
                <w:bCs/>
                <w:color w:val="000000"/>
                <w:sz w:val="20"/>
                <w:szCs w:val="20"/>
                <w:lang w:eastAsia="fr-FR"/>
              </w:rPr>
              <w:t>%</w:t>
            </w:r>
          </w:p>
        </w:tc>
      </w:tr>
      <w:tr w:rsidR="00303B90" w:rsidRPr="00437713" w14:paraId="2AC7F793"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D9D9D9" w:themeFill="background1" w:themeFillShade="D9"/>
            <w:noWrap/>
            <w:vAlign w:val="center"/>
            <w:hideMark/>
          </w:tcPr>
          <w:p w14:paraId="2430DC92"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 xml:space="preserve">Salades </w:t>
            </w:r>
            <w:r>
              <w:rPr>
                <w:rFonts w:eastAsia="Times New Roman" w:cs="Arial"/>
                <w:color w:val="000000"/>
                <w:sz w:val="20"/>
                <w:szCs w:val="20"/>
                <w:lang w:eastAsia="fr-FR"/>
              </w:rPr>
              <w:t xml:space="preserve">&lt;20% d’ingrédient animal </w:t>
            </w:r>
          </w:p>
        </w:tc>
        <w:tc>
          <w:tcPr>
            <w:tcW w:w="162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018A95B9"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79</w:t>
            </w:r>
          </w:p>
        </w:tc>
        <w:tc>
          <w:tcPr>
            <w:tcW w:w="154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3C9E9507"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E6A54EF"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auto"/>
            <w:noWrap/>
            <w:vAlign w:val="center"/>
            <w:hideMark/>
          </w:tcPr>
          <w:p w14:paraId="54719306" w14:textId="77777777" w:rsidR="00303B90"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Salades charcutières</w:t>
            </w:r>
            <w:r>
              <w:rPr>
                <w:rFonts w:eastAsia="Times New Roman" w:cs="Arial"/>
                <w:color w:val="000000"/>
                <w:sz w:val="20"/>
                <w:szCs w:val="20"/>
                <w:lang w:eastAsia="fr-FR"/>
              </w:rPr>
              <w:t xml:space="preserve"> &gt;20% d’ingrédient animal</w:t>
            </w:r>
          </w:p>
          <w:p w14:paraId="2422381B" w14:textId="77777777" w:rsidR="00303B90" w:rsidRPr="00437713" w:rsidRDefault="00303B90" w:rsidP="001C4D22">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 xml:space="preserve"> </w:t>
            </w:r>
            <w:r w:rsidRPr="00437713">
              <w:rPr>
                <w:rFonts w:eastAsia="Times New Roman" w:cs="Arial"/>
                <w:color w:val="000000"/>
                <w:sz w:val="20"/>
                <w:szCs w:val="20"/>
                <w:lang w:eastAsia="fr-FR"/>
              </w:rPr>
              <w:t>(</w:t>
            </w:r>
            <w:r>
              <w:rPr>
                <w:rFonts w:eastAsia="Times New Roman" w:cs="Arial"/>
                <w:color w:val="000000"/>
                <w:sz w:val="20"/>
                <w:szCs w:val="20"/>
                <w:lang w:eastAsia="fr-FR"/>
              </w:rPr>
              <w:t>museau</w:t>
            </w:r>
            <w:r w:rsidRPr="00437713">
              <w:rPr>
                <w:rFonts w:eastAsia="Times New Roman" w:cs="Arial"/>
                <w:color w:val="000000"/>
                <w:sz w:val="20"/>
                <w:szCs w:val="20"/>
                <w:lang w:eastAsia="fr-FR"/>
              </w:rPr>
              <w:t>, cervelas...)</w:t>
            </w:r>
          </w:p>
        </w:tc>
        <w:tc>
          <w:tcPr>
            <w:tcW w:w="1620" w:type="dxa"/>
            <w:tcBorders>
              <w:top w:val="nil"/>
              <w:left w:val="nil"/>
              <w:bottom w:val="single" w:sz="4" w:space="0" w:color="000000"/>
              <w:right w:val="single" w:sz="4" w:space="0" w:color="000000"/>
            </w:tcBorders>
            <w:shd w:val="clear" w:color="auto" w:fill="auto"/>
            <w:noWrap/>
            <w:vAlign w:val="center"/>
            <w:hideMark/>
          </w:tcPr>
          <w:p w14:paraId="4FCF1F00" w14:textId="77777777" w:rsidR="00303B90" w:rsidRPr="00437713" w:rsidRDefault="00303B90" w:rsidP="001C4D22">
            <w:pPr>
              <w:spacing w:after="0" w:line="240" w:lineRule="auto"/>
              <w:jc w:val="right"/>
              <w:rPr>
                <w:rFonts w:eastAsia="Times New Roman" w:cs="Arial"/>
                <w:color w:val="000000"/>
                <w:sz w:val="20"/>
                <w:szCs w:val="20"/>
                <w:lang w:eastAsia="fr-FR"/>
              </w:rPr>
            </w:pPr>
            <w:r w:rsidRPr="00437713">
              <w:rPr>
                <w:rFonts w:eastAsia="Times New Roman" w:cs="Arial"/>
                <w:color w:val="000000"/>
                <w:sz w:val="20"/>
                <w:szCs w:val="20"/>
                <w:lang w:eastAsia="fr-FR"/>
              </w:rPr>
              <w:t>23</w:t>
            </w:r>
          </w:p>
        </w:tc>
        <w:tc>
          <w:tcPr>
            <w:tcW w:w="1540" w:type="dxa"/>
            <w:tcBorders>
              <w:top w:val="nil"/>
              <w:left w:val="nil"/>
              <w:bottom w:val="single" w:sz="4" w:space="0" w:color="000000"/>
              <w:right w:val="single" w:sz="4" w:space="0" w:color="000000"/>
            </w:tcBorders>
            <w:shd w:val="clear" w:color="auto" w:fill="auto"/>
            <w:noWrap/>
            <w:vAlign w:val="center"/>
            <w:hideMark/>
          </w:tcPr>
          <w:p w14:paraId="57E52FDF"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w:t>
            </w:r>
          </w:p>
        </w:tc>
      </w:tr>
      <w:tr w:rsidR="00303B90" w:rsidRPr="00437713" w14:paraId="043DEE4A" w14:textId="77777777" w:rsidTr="001C4D22">
        <w:trPr>
          <w:trHeight w:val="255"/>
          <w:jc w:val="center"/>
        </w:trPr>
        <w:tc>
          <w:tcPr>
            <w:tcW w:w="5714" w:type="dxa"/>
            <w:tcBorders>
              <w:top w:val="nil"/>
              <w:left w:val="single" w:sz="4" w:space="0" w:color="000000"/>
              <w:bottom w:val="single" w:sz="4" w:space="0" w:color="000000"/>
              <w:right w:val="single" w:sz="4" w:space="0" w:color="000000"/>
            </w:tcBorders>
            <w:shd w:val="clear" w:color="auto" w:fill="D9D9D9" w:themeFill="background1" w:themeFillShade="D9"/>
            <w:noWrap/>
            <w:vAlign w:val="center"/>
            <w:hideMark/>
          </w:tcPr>
          <w:p w14:paraId="2048FCEA"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 xml:space="preserve">Sandwiches </w:t>
            </w:r>
            <w:r>
              <w:rPr>
                <w:rFonts w:eastAsia="Times New Roman" w:cs="Arial"/>
                <w:b/>
                <w:bCs/>
                <w:color w:val="000000"/>
                <w:sz w:val="20"/>
                <w:szCs w:val="20"/>
                <w:lang w:eastAsia="fr-FR"/>
              </w:rPr>
              <w:t>industriels</w:t>
            </w:r>
          </w:p>
        </w:tc>
        <w:tc>
          <w:tcPr>
            <w:tcW w:w="162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2B1B574E" w14:textId="77777777" w:rsidR="00303B90" w:rsidRPr="00437713" w:rsidRDefault="00303B90" w:rsidP="001C4D22">
            <w:pPr>
              <w:spacing w:after="0" w:line="240" w:lineRule="auto"/>
              <w:jc w:val="left"/>
              <w:rPr>
                <w:rFonts w:eastAsia="Times New Roman" w:cs="Arial"/>
                <w:b/>
                <w:bCs/>
                <w:color w:val="000000"/>
                <w:sz w:val="20"/>
                <w:szCs w:val="20"/>
                <w:lang w:eastAsia="fr-FR"/>
              </w:rPr>
            </w:pPr>
            <w:r w:rsidRPr="00437713">
              <w:rPr>
                <w:rFonts w:eastAsia="Times New Roman" w:cs="Arial"/>
                <w:b/>
                <w:bCs/>
                <w:color w:val="000000"/>
                <w:sz w:val="20"/>
                <w:szCs w:val="20"/>
                <w:lang w:eastAsia="fr-FR"/>
              </w:rPr>
              <w:t>81</w:t>
            </w:r>
          </w:p>
        </w:tc>
        <w:tc>
          <w:tcPr>
            <w:tcW w:w="1540" w:type="dxa"/>
            <w:tcBorders>
              <w:top w:val="nil"/>
              <w:left w:val="nil"/>
              <w:bottom w:val="single" w:sz="4" w:space="0" w:color="000000"/>
              <w:right w:val="single" w:sz="4" w:space="0" w:color="000000"/>
            </w:tcBorders>
            <w:shd w:val="clear" w:color="auto" w:fill="D9D9D9" w:themeFill="background1" w:themeFillShade="D9"/>
            <w:noWrap/>
            <w:vAlign w:val="center"/>
            <w:hideMark/>
          </w:tcPr>
          <w:p w14:paraId="52F10AF3" w14:textId="77777777" w:rsidR="00303B90" w:rsidRPr="00437713" w:rsidRDefault="00303B90" w:rsidP="001C4D22">
            <w:pPr>
              <w:spacing w:after="0" w:line="240" w:lineRule="auto"/>
              <w:jc w:val="right"/>
              <w:rPr>
                <w:rFonts w:eastAsia="Times New Roman" w:cs="Arial"/>
                <w:b/>
                <w:bCs/>
                <w:color w:val="000000"/>
                <w:sz w:val="20"/>
                <w:szCs w:val="20"/>
                <w:lang w:eastAsia="fr-FR"/>
              </w:rPr>
            </w:pPr>
            <w:r>
              <w:rPr>
                <w:rFonts w:eastAsia="Times New Roman" w:cs="Arial"/>
                <w:b/>
                <w:bCs/>
                <w:color w:val="000000"/>
                <w:sz w:val="20"/>
                <w:szCs w:val="20"/>
                <w:lang w:eastAsia="fr-FR"/>
              </w:rPr>
              <w:t>7</w:t>
            </w:r>
            <w:r w:rsidRPr="00437713">
              <w:rPr>
                <w:rFonts w:eastAsia="Times New Roman" w:cs="Arial"/>
                <w:b/>
                <w:bCs/>
                <w:color w:val="000000"/>
                <w:sz w:val="20"/>
                <w:szCs w:val="20"/>
                <w:lang w:eastAsia="fr-FR"/>
              </w:rPr>
              <w:t>%</w:t>
            </w:r>
          </w:p>
        </w:tc>
      </w:tr>
    </w:tbl>
    <w:p w14:paraId="5F3294B1" w14:textId="61A46464" w:rsidR="00DC2AB8" w:rsidRDefault="00303B90" w:rsidP="0002537E">
      <w:pPr>
        <w:pStyle w:val="figure"/>
      </w:pPr>
      <w:bookmarkStart w:id="241" w:name="_Ref69317103"/>
      <w:bookmarkStart w:id="242" w:name="_Toc72143402"/>
      <w:bookmarkStart w:id="243" w:name="_Toc69134311"/>
      <w:r w:rsidRPr="00447604">
        <w:t xml:space="preserve">Tableau </w:t>
      </w:r>
      <w:r w:rsidR="00E27D6E">
        <w:fldChar w:fldCharType="begin"/>
      </w:r>
      <w:r w:rsidR="00E27D6E">
        <w:instrText xml:space="preserve"> SEQ Tableau \* ARABIC </w:instrText>
      </w:r>
      <w:r w:rsidR="00E27D6E">
        <w:fldChar w:fldCharType="separate"/>
      </w:r>
      <w:r w:rsidR="0007597F">
        <w:rPr>
          <w:noProof/>
        </w:rPr>
        <w:t>54</w:t>
      </w:r>
      <w:r w:rsidR="00E27D6E">
        <w:rPr>
          <w:noProof/>
        </w:rPr>
        <w:fldChar w:fldCharType="end"/>
      </w:r>
      <w:bookmarkEnd w:id="241"/>
      <w:r w:rsidR="00B0396D">
        <w:t xml:space="preserve"> : </w:t>
      </w:r>
      <w:r w:rsidRPr="00447604">
        <w:t xml:space="preserve">Répartition des références par famille </w:t>
      </w:r>
      <w:r>
        <w:t xml:space="preserve">de produits frais traiteur libre-service </w:t>
      </w:r>
      <w:r w:rsidRPr="00771CFD">
        <w:t>sur l’échantillon étudié</w:t>
      </w:r>
      <w:bookmarkEnd w:id="242"/>
      <w:r>
        <w:t xml:space="preserve"> </w:t>
      </w:r>
    </w:p>
    <w:p w14:paraId="56EB3079" w14:textId="293E89A0" w:rsidR="00303B90" w:rsidRPr="00541C1B" w:rsidRDefault="00303B90" w:rsidP="00303B90">
      <w:pPr>
        <w:pStyle w:val="Lgende"/>
        <w:ind w:left="0" w:right="283"/>
        <w:rPr>
          <w:b/>
          <w:i w:val="0"/>
        </w:rPr>
      </w:pPr>
      <w:r>
        <w:t>(Source : Ifip, d’après l’Adepale)</w:t>
      </w:r>
      <w:bookmarkEnd w:id="243"/>
    </w:p>
    <w:p w14:paraId="17AF7683" w14:textId="6AC66362" w:rsidR="00303B90" w:rsidRDefault="00303B90" w:rsidP="00C426A9">
      <w:r>
        <w:t>Selon cet échantillon, la structure de l’offre des produits traiteurs intégrant des produits de charcuterie de porc fait apparaitre en nombre de références, trois catégories de produits que sont la charcuterie pâtissière (32</w:t>
      </w:r>
      <w:r w:rsidR="0034045C">
        <w:t> </w:t>
      </w:r>
      <w:r>
        <w:t>%) devant les quiches tartes et pizzas (26</w:t>
      </w:r>
      <w:r w:rsidR="0034045C">
        <w:t> </w:t>
      </w:r>
      <w:r>
        <w:t>%) devant les plats cuisinés (18</w:t>
      </w:r>
      <w:r w:rsidR="0034045C">
        <w:t> </w:t>
      </w:r>
      <w:r>
        <w:t xml:space="preserve">%). Au sein de la charcuterie pâtissière, ont été intégrés quelques références apéritives (mini brochettes de porc…) et nems de porc. </w:t>
      </w:r>
    </w:p>
    <w:p w14:paraId="4162504A" w14:textId="77777777" w:rsidR="00303B90" w:rsidRDefault="00303B90" w:rsidP="00303B90">
      <w:r>
        <w:t xml:space="preserve">De manière qualitative, l’observation en creux de l’offre met en évidence deux faits marquants : </w:t>
      </w:r>
    </w:p>
    <w:p w14:paraId="73AEF268" w14:textId="56F0DD96" w:rsidR="00303B90" w:rsidRDefault="00303B90" w:rsidP="00303B90">
      <w:pPr>
        <w:pStyle w:val="Paragraphedeliste"/>
        <w:numPr>
          <w:ilvl w:val="0"/>
          <w:numId w:val="7"/>
        </w:numPr>
      </w:pPr>
      <w:r>
        <w:t>La substitution de produits de charcuterie de porc par des produits de charcuterie de volaille (jambon de dinde en tranches ou en dés, de bacon de dinde…) qui favorise la dénomination 100</w:t>
      </w:r>
      <w:r w:rsidR="0034045C">
        <w:t> </w:t>
      </w:r>
      <w:r>
        <w:t xml:space="preserve">% volaille. Ainsi, la catégorie des cordons bleus considérée par l’Adepale comme un produit traiteur a vu progressivement en quelques années, le jambon de porc se substituer </w:t>
      </w:r>
      <w:r>
        <w:lastRenderedPageBreak/>
        <w:t>par du jambon de volaille. Selon les données de panels distributeurs, la catégorie des cordons bleus au libre-service des grandes surfaces alimentaires représenterait environ 40</w:t>
      </w:r>
      <w:r w:rsidR="0034045C">
        <w:t> </w:t>
      </w:r>
      <w:r>
        <w:t>kt en 2019,</w:t>
      </w:r>
    </w:p>
    <w:p w14:paraId="19968395" w14:textId="5C376604" w:rsidR="00303B90" w:rsidRDefault="00303B90" w:rsidP="00303B90">
      <w:pPr>
        <w:pStyle w:val="Paragraphedeliste"/>
        <w:numPr>
          <w:ilvl w:val="0"/>
          <w:numId w:val="7"/>
        </w:numPr>
        <w:spacing w:after="120"/>
        <w:ind w:left="357" w:hanging="357"/>
      </w:pPr>
      <w:r>
        <w:t>La part</w:t>
      </w:r>
      <w:r w:rsidR="00F2449E">
        <w:t xml:space="preserve"> </w:t>
      </w:r>
      <w:r>
        <w:t>de recettes végétarienne dans les catégories plats cuisinés et salades snacking (</w:t>
      </w:r>
      <w:r w:rsidR="001967F8">
        <w:t xml:space="preserve">env. </w:t>
      </w:r>
      <w:r>
        <w:t>10</w:t>
      </w:r>
      <w:r w:rsidR="0034045C">
        <w:t> </w:t>
      </w:r>
      <w:r>
        <w:t>%) dans lesquelles l’alternative protéique à la protéine carnée est assurée soit par un féculent (pâte, semoule…) dans les recettes chaudes et par du fromage (emmental, parmesan, feta…) pour les recettes à consommer froid.</w:t>
      </w:r>
    </w:p>
    <w:p w14:paraId="3E42B216" w14:textId="0312B706" w:rsidR="00303B90" w:rsidRPr="00E02A6F" w:rsidRDefault="00767A22" w:rsidP="00150349">
      <w:pPr>
        <w:pStyle w:val="Titre3"/>
      </w:pPr>
      <w:bookmarkStart w:id="244" w:name="_Toc69137399"/>
      <w:bookmarkStart w:id="245" w:name="_Toc78131628"/>
      <w:r>
        <w:t>2</w:t>
      </w:r>
      <w:r w:rsidR="00303B90">
        <w:t>.</w:t>
      </w:r>
      <w:r w:rsidR="001A73B9">
        <w:t>2.2</w:t>
      </w:r>
      <w:r w:rsidR="00303B90">
        <w:t>. Evaluation de la part de porc dans les produits par typologie de produits</w:t>
      </w:r>
      <w:bookmarkEnd w:id="244"/>
      <w:bookmarkEnd w:id="245"/>
    </w:p>
    <w:p w14:paraId="1FB6D05C" w14:textId="77777777" w:rsidR="00303B90" w:rsidRDefault="00303B90" w:rsidP="00303B90">
      <w:r>
        <w:t xml:space="preserve">La </w:t>
      </w:r>
      <w:r w:rsidRPr="00692ACE">
        <w:t>distribution de l’incorporation de porc dans les produits finis est réalisée pour chacune des grandes familles de produits traiteur identifiée</w:t>
      </w:r>
      <w:r>
        <w:t>.</w:t>
      </w:r>
    </w:p>
    <w:p w14:paraId="43640F25" w14:textId="362521DB" w:rsidR="00303B90" w:rsidRDefault="00303B90" w:rsidP="00A305CD">
      <w:pPr>
        <w:pStyle w:val="Titre4"/>
        <w:numPr>
          <w:ilvl w:val="3"/>
          <w:numId w:val="25"/>
        </w:numPr>
      </w:pPr>
      <w:bookmarkStart w:id="246" w:name="_Toc69137400"/>
      <w:bookmarkStart w:id="247" w:name="_Toc78131629"/>
      <w:r>
        <w:t>Charcuteries pâtissières et produits apparentés</w:t>
      </w:r>
      <w:bookmarkEnd w:id="246"/>
      <w:bookmarkEnd w:id="247"/>
    </w:p>
    <w:p w14:paraId="70A5E158" w14:textId="77777777" w:rsidR="00303B90" w:rsidRDefault="00303B90" w:rsidP="00303B90">
      <w:r>
        <w:t xml:space="preserve">Au sein de la catégorie des charcuteries pâtissières, deux groupes de produits traiteurs selon leur taux moyen d’incorporation peuvent être distingués : </w:t>
      </w:r>
    </w:p>
    <w:p w14:paraId="26C2E42E" w14:textId="54519333" w:rsidR="00303B90" w:rsidRDefault="00303B90" w:rsidP="00303B90">
      <w:pPr>
        <w:pStyle w:val="Paragraphedeliste"/>
        <w:numPr>
          <w:ilvl w:val="0"/>
          <w:numId w:val="7"/>
        </w:numPr>
      </w:pPr>
      <w:r w:rsidRPr="00692ACE">
        <w:rPr>
          <w:u w:val="single"/>
        </w:rPr>
        <w:t>Feuilletés, friands, bouchées</w:t>
      </w:r>
      <w:r>
        <w:t xml:space="preserve"> avec pour valeur médiane, un taux d’incorporation de 17% de porc représenté par du jambon, des mélanges de type chair à saucisse et saucisses pâtes fines. Sont également identifiés</w:t>
      </w:r>
      <w:r w:rsidRPr="00CD1B27">
        <w:t xml:space="preserve"> </w:t>
      </w:r>
      <w:r>
        <w:t>dans cette catégorie les nems avec un taux d’incorporation d’à peine 15</w:t>
      </w:r>
      <w:r w:rsidR="0034045C">
        <w:t> </w:t>
      </w:r>
      <w:r>
        <w:t>% et des apports constitués de viande de porc hachée (échine issue de la longe, épaule).</w:t>
      </w:r>
    </w:p>
    <w:p w14:paraId="1DB89241" w14:textId="5888ED02" w:rsidR="00303B90" w:rsidRDefault="00303B90" w:rsidP="00303B90">
      <w:pPr>
        <w:pStyle w:val="Paragraphedeliste"/>
        <w:numPr>
          <w:ilvl w:val="0"/>
          <w:numId w:val="7"/>
        </w:numPr>
      </w:pPr>
      <w:r w:rsidRPr="00692ACE">
        <w:rPr>
          <w:u w:val="single"/>
        </w:rPr>
        <w:t xml:space="preserve">Pâtés croûte, saucissons briochés, tourtes à la viande </w:t>
      </w:r>
      <w:r>
        <w:t>avec pour valeur médiane, un taux d’incorporation de 40</w:t>
      </w:r>
      <w:r w:rsidR="0034045C">
        <w:t> </w:t>
      </w:r>
      <w:r>
        <w:t>% de porc au sein desquels sont retrouvés principalement des mélanges de type chair à saucisse.</w:t>
      </w:r>
    </w:p>
    <w:p w14:paraId="4CCF7D69" w14:textId="48ED1B1E" w:rsidR="00303B90" w:rsidRDefault="00303B90" w:rsidP="00303B90">
      <w:r>
        <w:t>Au sein des pâtés croûte, une part importante de recettes ayant pour espèce principale de la volaille ou du gibier incorpore également à hauteur d’environ 30</w:t>
      </w:r>
      <w:r w:rsidR="0034045C">
        <w:t> </w:t>
      </w:r>
      <w:r>
        <w:t>% (min 25</w:t>
      </w:r>
      <w:r w:rsidR="0034045C">
        <w:t> </w:t>
      </w:r>
      <w:r>
        <w:t>% ; max 40</w:t>
      </w:r>
      <w:r w:rsidR="0034045C">
        <w:t> </w:t>
      </w:r>
      <w:r>
        <w:t>%) du porc.</w:t>
      </w:r>
    </w:p>
    <w:p w14:paraId="4F0B0F05" w14:textId="1F8CB0DE" w:rsidR="00303B90" w:rsidRPr="003B388F" w:rsidRDefault="00303B90" w:rsidP="00303B90">
      <w:pPr>
        <w:jc w:val="center"/>
        <w:rPr>
          <w:lang w:eastAsia="fr-FR"/>
        </w:rPr>
      </w:pPr>
      <w:r>
        <w:rPr>
          <w:noProof/>
        </w:rPr>
        <mc:AlternateContent>
          <mc:Choice Requires="wps">
            <w:drawing>
              <wp:anchor distT="0" distB="0" distL="114300" distR="114300" simplePos="0" relativeHeight="251658285" behindDoc="0" locked="0" layoutInCell="1" allowOverlap="1" wp14:anchorId="2A46BBD4" wp14:editId="76A07799">
                <wp:simplePos x="0" y="0"/>
                <wp:positionH relativeFrom="column">
                  <wp:posOffset>3660937</wp:posOffset>
                </wp:positionH>
                <wp:positionV relativeFrom="paragraph">
                  <wp:posOffset>183691</wp:posOffset>
                </wp:positionV>
                <wp:extent cx="1466850" cy="2147777"/>
                <wp:effectExtent l="0" t="0" r="19050" b="24130"/>
                <wp:wrapNone/>
                <wp:docPr id="2" name="Rectangle 2"/>
                <wp:cNvGraphicFramePr/>
                <a:graphic xmlns:a="http://schemas.openxmlformats.org/drawingml/2006/main">
                  <a:graphicData uri="http://schemas.microsoft.com/office/word/2010/wordprocessingShape">
                    <wps:wsp>
                      <wps:cNvSpPr/>
                      <wps:spPr>
                        <a:xfrm>
                          <a:off x="0" y="0"/>
                          <a:ext cx="1466850" cy="2147777"/>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FB0268" id="Rectangle 2" o:spid="_x0000_s1026" style="position:absolute;margin-left:288.25pt;margin-top:14.45pt;width:115.5pt;height:169.1pt;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cgLlAIAAIYFAAAOAAAAZHJzL2Uyb0RvYy54bWysVE1v2zAMvQ/YfxB0Xx0b6ceMOkWQosOA&#10;oi2aDj0rshQbkEVNUuJkv36UZLtBV+wwzAdZFMlH8Ynk9c2hU2QvrGtBVzQ/m1EiNIe61duK/ni5&#10;+3JFifNM10yBFhU9CkdvFp8/XfemFAU0oGphCYJoV/amoo33pswyxxvRMXcGRmhUSrAd8yjabVZb&#10;1iN6p7JiNrvIerC1scCFc3h6m5R0EfGlFNw/SumEJ6qieDcfVxvXTVizxTUrt5aZpuXDNdg/3KJj&#10;rcagE9Qt84zsbPsHVNdyCw6kP+PQZSBly0XMAbPJZ++yWTfMiJgLkuPMRJP7f7D8Yf9kSVtXtKBE&#10;sw6f6BlJY3qrBCkCPb1xJVqtzZMdJIfbkOtB2i78MQtyiJQeJ0rFwROOh/n84uLqHJnnqCvy+SV+&#10;ATV7czfW+W8COhI2FbUYPlLJ9vfOJ9PRJETTcNcqheesVDqsDlRbh7Mo2O1mpSzZM3zw1Sx8Q7gT&#10;MwweXLOQWkom7vxRiQT7LCRygtcv4k1iNYoJlnEutM+TqmG1SNHOT4OF+g0eMVOlETAgS7zlhD0A&#10;jJYJZMROeQ/2wVXEYp6cZ3+7WHKePGJk0H5y7loN9iMAhVkNkZP9SFKiJrC0gfqIFWMhtZIz/K7F&#10;d7tnzj8xi72Db43zwD/iIhX0FYVhR0kD9tdH58EeSxq1lPTYixV1P3fMCkrUd43F/jWfz0PzRmF+&#10;flmgYE81m1ON3nUrwNfPcfIYHrfB3qtxKy10rzg2liEqqpjmGLui3NtRWPk0I3DwcLFcRjNsWMP8&#10;vV4bHsADq6EuXw6vzJqheD3W/QOMfcvKdzWcbIOnhuXOg2xjgb/xOvCNzR4LZxhMYZqcytHqbXwu&#10;fgMAAP//AwBQSwMEFAAGAAgAAAAhAGU/jYLgAAAACgEAAA8AAABkcnMvZG93bnJldi54bWxMj01P&#10;wzAMhu9I/IfISNxYuqK1pdSdJiQkDrvQcuGWNe4HNElpsq3795gTO9p+9Pp5i+1iRnGi2Q/OIqxX&#10;EQiyjdOD7RA+6teHDIQPymo1OksIF/KwLW9vCpVrd7bvdKpCJzjE+lwh9CFMuZS+6ckov3ITWb61&#10;bjYq8Dh3Us/qzOFmlHEUJdKowfKHXk300lPzXR0Nws9b1n7VcRiqdNw3of6sdu3+gnh/t+yeQQRa&#10;wj8Mf/qsDiU7HdzRai9GhE2abBhFiLMnEAxkUcqLA8Jjkq5BloW8rlD+AgAA//8DAFBLAQItABQA&#10;BgAIAAAAIQC2gziS/gAAAOEBAAATAAAAAAAAAAAAAAAAAAAAAABbQ29udGVudF9UeXBlc10ueG1s&#10;UEsBAi0AFAAGAAgAAAAhADj9If/WAAAAlAEAAAsAAAAAAAAAAAAAAAAALwEAAF9yZWxzLy5yZWxz&#10;UEsBAi0AFAAGAAgAAAAhAMsZyAuUAgAAhgUAAA4AAAAAAAAAAAAAAAAALgIAAGRycy9lMm9Eb2Mu&#10;eG1sUEsBAi0AFAAGAAgAAAAhAGU/jYLgAAAACgEAAA8AAAAAAAAAAAAAAAAA7gQAAGRycy9kb3du&#10;cmV2LnhtbFBLBQYAAAAABAAEAPMAAAD7BQAAAAA=&#10;" filled="f" strokecolor="#c00000" strokeweight="1pt"/>
            </w:pict>
          </mc:Fallback>
        </mc:AlternateContent>
      </w:r>
      <w:r>
        <w:rPr>
          <w:noProof/>
        </w:rPr>
        <mc:AlternateContent>
          <mc:Choice Requires="wps">
            <w:drawing>
              <wp:anchor distT="0" distB="0" distL="114300" distR="114300" simplePos="0" relativeHeight="251658284" behindDoc="0" locked="0" layoutInCell="1" allowOverlap="1" wp14:anchorId="051922A5" wp14:editId="3052C35F">
                <wp:simplePos x="0" y="0"/>
                <wp:positionH relativeFrom="column">
                  <wp:posOffset>620026</wp:posOffset>
                </wp:positionH>
                <wp:positionV relativeFrom="paragraph">
                  <wp:posOffset>375078</wp:posOffset>
                </wp:positionV>
                <wp:extent cx="1520190" cy="1977656"/>
                <wp:effectExtent l="0" t="0" r="22860" b="22860"/>
                <wp:wrapNone/>
                <wp:docPr id="3" name="Rectangle 3"/>
                <wp:cNvGraphicFramePr/>
                <a:graphic xmlns:a="http://schemas.openxmlformats.org/drawingml/2006/main">
                  <a:graphicData uri="http://schemas.microsoft.com/office/word/2010/wordprocessingShape">
                    <wps:wsp>
                      <wps:cNvSpPr/>
                      <wps:spPr>
                        <a:xfrm>
                          <a:off x="0" y="0"/>
                          <a:ext cx="1520190" cy="1977656"/>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94CC71" id="Rectangle 3" o:spid="_x0000_s1026" style="position:absolute;margin-left:48.8pt;margin-top:29.55pt;width:119.7pt;height:155.7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5DllQIAAIYFAAAOAAAAZHJzL2Uyb0RvYy54bWysVMFu2zAMvQ/YPwi6r47TpF2NOkWQosOA&#10;oi3aDj0rshQbkEVNUuJkXz9Ksp2gK3YY5oMsiuSj+ETy+mbfKrIT1jWgS5qfTSgRmkPV6E1Jf7ze&#10;fflKifNMV0yBFiU9CEdvFp8/XXemEFOoQVXCEgTRruhMSWvvTZFljteiZe4MjNColGBb5lG0m6yy&#10;rEP0VmXTyeQi68BWxgIXzuHpbVLSRcSXUnD/KKUTnqiS4t18XG1c12HNFtes2Fhm6ob312D/cIuW&#10;NRqDjlC3zDOytc0fUG3DLTiQ/oxDm4GUDRcxB8wmn7zL5qVmRsRckBxnRprc/4PlD7snS5qqpOeU&#10;aNbiEz0jaUxvlCDngZ7OuAKtXsyT7SWH25DrXto2/DELso+UHkZKxd4Tjof5HPO6QuY56vKry8uL&#10;+UVAzY7uxjr/TUBLwqakFsNHKtnu3vlkOpiEaBruGqXwnBVKh9WBaqpwFgW7Wa+UJTuGD76ahK8P&#10;d2KGwYNrFlJLycSdPyiRYJ+FRE7w+tN4k1iNYoRlnAvt86SqWSVStPlpsFC/wSNmqjQCBmSJtxyx&#10;e4DBMoEM2Cnv3j64iljMo/PkbxdLzqNHjAzaj85to8F+BKAwqz5ysh9IStQEltZQHbBiLKRWcobf&#10;Nfhu98z5J2axd/CtcR74R1ykgq6k0O8oqcH++ug82GNJo5aSDnuxpO7nlllBifqusdiv8tksNG8U&#10;ZvPLKQr2VLM+1ehtuwJ8/Rwnj+FxG+y9GrbSQvuGY2MZoqKKaY6xS8q9HYSVTzMCBw8Xy2U0w4Y1&#10;zN/rF8MDeGA11OXr/o1Z0xevx7p/gKFvWfGuhpNt8NSw3HqQTSzwI68939jssXD6wRSmyakcrY7j&#10;c/EbAAD//wMAUEsDBBQABgAIAAAAIQACftr/4AAAAAkBAAAPAAAAZHJzL2Rvd25yZXYueG1sTI/N&#10;TsMwEITvSLyDtUjcqNNWbdoQp6qQkDj0QsKFmxtvfsBeh9ht07dnOdHbjmY0+02+m5wVZxxD70nB&#10;fJaAQKq96alV8FG9Pm1AhKjJaOsJFVwxwK64v8t1ZvyF3vFcxlZwCYVMK+hiHDIpQ92h02HmByT2&#10;Gj86HVmOrTSjvnC5s3KRJGvpdE/8odMDvnRYf5cnp+DnbdN8VYvYl6k91LH6LPfN4arU48O0fwYR&#10;cYr/YfjDZ3QomOnoT2SCsAq26ZqTClbbOQj2l8uUtx35SJMVyCKXtwuKXwAAAP//AwBQSwECLQAU&#10;AAYACAAAACEAtoM4kv4AAADhAQAAEwAAAAAAAAAAAAAAAAAAAAAAW0NvbnRlbnRfVHlwZXNdLnht&#10;bFBLAQItABQABgAIAAAAIQA4/SH/1gAAAJQBAAALAAAAAAAAAAAAAAAAAC8BAABfcmVscy8ucmVs&#10;c1BLAQItABQABgAIAAAAIQCZr5DllQIAAIYFAAAOAAAAAAAAAAAAAAAAAC4CAABkcnMvZTJvRG9j&#10;LnhtbFBLAQItABQABgAIAAAAIQACftr/4AAAAAkBAAAPAAAAAAAAAAAAAAAAAO8EAABkcnMvZG93&#10;bnJldi54bWxQSwUGAAAAAAQABADzAAAA/AUAAAAA&#10;" filled="f" strokecolor="#c00000" strokeweight="1pt"/>
            </w:pict>
          </mc:Fallback>
        </mc:AlternateContent>
      </w:r>
      <w:r>
        <w:rPr>
          <w:noProof/>
        </w:rPr>
        <w:drawing>
          <wp:inline distT="0" distB="0" distL="0" distR="0" wp14:anchorId="721DEC86" wp14:editId="35557504">
            <wp:extent cx="5743575" cy="2466340"/>
            <wp:effectExtent l="0" t="0" r="0" b="0"/>
            <wp:docPr id="17" name="Graphique 17">
              <a:extLst xmlns:a="http://schemas.openxmlformats.org/drawingml/2006/main">
                <a:ext uri="{FF2B5EF4-FFF2-40B4-BE49-F238E27FC236}">
                  <a16:creationId xmlns:a16="http://schemas.microsoft.com/office/drawing/2014/main" id="{95FFD22C-3664-4682-A714-7929514296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764BFF8A" w14:textId="587DD41B" w:rsidR="00303B90" w:rsidRDefault="00303B90" w:rsidP="0002537E">
      <w:pPr>
        <w:pStyle w:val="figure"/>
      </w:pPr>
      <w:bookmarkStart w:id="248" w:name="_Toc69134334"/>
      <w:bookmarkStart w:id="249" w:name="_Toc69511416"/>
      <w:r w:rsidRPr="003E3500">
        <w:t xml:space="preserve">Figure </w:t>
      </w:r>
      <w:r w:rsidR="00E27D6E">
        <w:fldChar w:fldCharType="begin"/>
      </w:r>
      <w:r w:rsidR="00E27D6E">
        <w:instrText xml:space="preserve"> SEQ Figure \* ARABIC </w:instrText>
      </w:r>
      <w:r w:rsidR="00E27D6E">
        <w:fldChar w:fldCharType="separate"/>
      </w:r>
      <w:r w:rsidR="0007597F">
        <w:rPr>
          <w:noProof/>
        </w:rPr>
        <w:t>24</w:t>
      </w:r>
      <w:r w:rsidR="00E27D6E">
        <w:rPr>
          <w:noProof/>
        </w:rPr>
        <w:fldChar w:fldCharType="end"/>
      </w:r>
      <w:r w:rsidRPr="003E3500">
        <w:t> :</w:t>
      </w:r>
      <w:r w:rsidRPr="002C17D7">
        <w:t xml:space="preserve"> Distribution de la proportion de porc </w:t>
      </w:r>
      <w:r>
        <w:t>dans les recettes de charcuterie pâtissière</w:t>
      </w:r>
      <w:bookmarkEnd w:id="248"/>
      <w:bookmarkEnd w:id="249"/>
    </w:p>
    <w:p w14:paraId="5C975155" w14:textId="77777777" w:rsidR="00303B90" w:rsidRDefault="00303B90" w:rsidP="00303B90">
      <w:pPr>
        <w:pStyle w:val="Lgende"/>
      </w:pPr>
      <w:r w:rsidRPr="003D401A">
        <w:t>(Source : Ifip).</w:t>
      </w:r>
    </w:p>
    <w:p w14:paraId="341821FD" w14:textId="4B363214" w:rsidR="00303B90" w:rsidRDefault="00303B90" w:rsidP="00303B90">
      <w:r>
        <w:t xml:space="preserve">Toutes références confondues, la charcuterie pâtissière au total des différentes typologies de produits prises en compte, intègre en valeur médiane </w:t>
      </w:r>
      <w:r w:rsidRPr="00641347">
        <w:rPr>
          <w:u w:val="single"/>
        </w:rPr>
        <w:t>30</w:t>
      </w:r>
      <w:r w:rsidR="0034045C">
        <w:rPr>
          <w:u w:val="single"/>
        </w:rPr>
        <w:t> </w:t>
      </w:r>
      <w:r w:rsidRPr="00641347">
        <w:rPr>
          <w:u w:val="single"/>
        </w:rPr>
        <w:t>% des produits du porc</w:t>
      </w:r>
      <w:r>
        <w:t xml:space="preserve"> composé majoritairement de produits bruts ou semi- finis (préparations de viande et saucisserie) devant le jambon.</w:t>
      </w:r>
    </w:p>
    <w:p w14:paraId="1CDCC745" w14:textId="03C2FC7E" w:rsidR="00303B90" w:rsidRPr="00C426A9" w:rsidRDefault="00303B90" w:rsidP="00A305CD">
      <w:pPr>
        <w:pStyle w:val="Titre4"/>
        <w:numPr>
          <w:ilvl w:val="3"/>
          <w:numId w:val="25"/>
        </w:numPr>
      </w:pPr>
      <w:bookmarkStart w:id="250" w:name="_Toc78131630"/>
      <w:r w:rsidRPr="00C426A9">
        <w:t>Pizzas et quiches, tartes, tourtes et crêpes ou galettes</w:t>
      </w:r>
      <w:bookmarkEnd w:id="250"/>
    </w:p>
    <w:p w14:paraId="5CD56C2B" w14:textId="792BFD7B" w:rsidR="00303B90" w:rsidRDefault="00303B90" w:rsidP="00303B90">
      <w:r>
        <w:t>Une catégorie de produits qui présente un taux d’incorporation de porc relativement homogène entre les différentes typologies de produits avec pour valeur médiane, 15</w:t>
      </w:r>
      <w:r w:rsidR="0034045C">
        <w:t> </w:t>
      </w:r>
      <w:r>
        <w:t xml:space="preserve">%. </w:t>
      </w:r>
    </w:p>
    <w:p w14:paraId="02A3A01E" w14:textId="725EC3CA" w:rsidR="00303B90" w:rsidRDefault="00303B90" w:rsidP="00D43B39">
      <w:pPr>
        <w:spacing w:after="0"/>
      </w:pPr>
      <w:r>
        <w:lastRenderedPageBreak/>
        <w:t>Dans le détail, les pizzas se positionnent à 15</w:t>
      </w:r>
      <w:r w:rsidR="0034045C">
        <w:t> </w:t>
      </w:r>
      <w:r>
        <w:t>% de porc intégré, les quiches tartes tourtes principalement portées par les quiches Lorraine et les flamkuches sont à 13</w:t>
      </w:r>
      <w:r w:rsidR="0034045C">
        <w:t> </w:t>
      </w:r>
      <w:r>
        <w:t>% et les crêpes et galettes absorbent dans leur formulation 17% de porc. Sur cette dernière catégorie, figure une plus forte dispersion avec des valeurs supérieures allant jusqu’à plus de 30</w:t>
      </w:r>
      <w:r w:rsidR="0034045C">
        <w:t> </w:t>
      </w:r>
      <w:r>
        <w:t>%. A l’opposé, les références intégrant moins de 10% de porc correspondent à des pizzas d’entrée de gamme issues notamment de l’importation.</w:t>
      </w:r>
    </w:p>
    <w:p w14:paraId="5A4240FD" w14:textId="0A4FECB7" w:rsidR="00303B90" w:rsidRDefault="00892EA3" w:rsidP="00303B90">
      <w:r>
        <w:rPr>
          <w:noProof/>
        </w:rPr>
        <mc:AlternateContent>
          <mc:Choice Requires="wps">
            <w:drawing>
              <wp:anchor distT="0" distB="0" distL="114300" distR="114300" simplePos="0" relativeHeight="251658243" behindDoc="0" locked="0" layoutInCell="1" allowOverlap="1" wp14:anchorId="781D8E5C" wp14:editId="27F48C28">
                <wp:simplePos x="0" y="0"/>
                <wp:positionH relativeFrom="column">
                  <wp:posOffset>2166620</wp:posOffset>
                </wp:positionH>
                <wp:positionV relativeFrom="paragraph">
                  <wp:posOffset>210819</wp:posOffset>
                </wp:positionV>
                <wp:extent cx="1800225" cy="1514475"/>
                <wp:effectExtent l="0" t="0" r="28575" b="28575"/>
                <wp:wrapNone/>
                <wp:docPr id="19" name="Rectangle 19"/>
                <wp:cNvGraphicFramePr/>
                <a:graphic xmlns:a="http://schemas.openxmlformats.org/drawingml/2006/main">
                  <a:graphicData uri="http://schemas.microsoft.com/office/word/2010/wordprocessingShape">
                    <wps:wsp>
                      <wps:cNvSpPr/>
                      <wps:spPr>
                        <a:xfrm>
                          <a:off x="0" y="0"/>
                          <a:ext cx="1800225" cy="1514475"/>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6F89890" id="Rectangle 19" o:spid="_x0000_s1026" style="position:absolute;margin-left:170.6pt;margin-top:16.6pt;width:141.75pt;height:119.25pt;z-index:25165824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C3qlgIAAIgFAAAOAAAAZHJzL2Uyb0RvYy54bWysVMFu2zAMvQ/YPwi6r7aDZm2NOkWQosOA&#10;oi2aDj0rshQbkEVNUuJkXz9Kst2gK3YY5oMsiuSj+ETy+ubQKbIX1rWgK1qc5ZQIzaFu9baiP17u&#10;vlxS4jzTNVOgRUWPwtGbxedP170pxQwaULWwBEG0K3tT0cZ7U2aZ443omDsDIzQqJdiOeRTtNqst&#10;6xG9U9ksz79mPdjaWODCOTy9TUq6iPhSCu4fpXTCE1VRvJuPq43rJqzZ4pqVW8tM0/LhGuwfbtGx&#10;VmPQCeqWeUZ2tv0Dqmu5BQfSn3HoMpCy5SLmgNkU+bts1g0zIuaC5Dgz0eT+Hyx/2D9Z0tb4dleU&#10;aNbhGz0ja0xvlSB4hgT1xpVotzZPdpAcbkO2B2m78Mc8yCGSepxIFQdPOB4Wl3k+m80p4agr5sX5&#10;+cU8oGZv7sY6/01AR8KmohbjRzLZ/t75ZDqahGga7lql8JyVSofVgWrrcBYFu92slCV7hk++ysM3&#10;hDsxw+DBNQuppWTizh+VSLDPQiIreP1ZvEmsRzHBMs6F9kVSNawWKdr8NFio4OARM1UaAQOyxFtO&#10;2APAaJlARuyU92AfXEUs58k5/9vFkvPkESOD9pNz12qwHwEozGqInOxHkhI1gaUN1EesGQupmZzh&#10;dy2+2z1z/olZ7B7sM5wI/hEXqaCvKAw7Shqwvz46D/ZY1KilpMdurKj7uWNWUKK+ayz3Kyyb0L5R&#10;OJ9fzFCwp5rNqUbvuhXg6xc4ewyP22Dv1biVFrpXHBzLEBVVTHOMXVHu7SisfJoSOHq4WC6jGbas&#10;Yf5erw0P4IHVUJcvh1dmzVC8Huv+AcbOZeW7Gk62wVPDcudBtrHA33gd+MZ2j4UzjKYwT07laPU2&#10;QBe/AQAA//8DAFBLAwQUAAYACAAAACEAKiio4OAAAAAKAQAADwAAAGRycy9kb3ducmV2LnhtbEyP&#10;TU/DMAyG70j8h8hI3FjabFqn0nSakJA47EK7C7esST+2xClNtnX/HnOCk2350evHxXZ2ll3NFAaP&#10;EtJFAsxg4/WAnYRD/f6yARaiQq2sRyPhbgJsy8eHQuXa3/DTXKvYMQrBkCsJfYxjznloeuNUWPjR&#10;IO1aPzkVaZw6rid1o3BnuUiSNXdqQLrQq9G89aY5Vxcn4ftj055qEYcqs/sm1l/Vrt3fpXx+mnev&#10;wKKZ4x8Mv/qkDiU5Hf0FdWBWwnKVCkKpWVIlYC1WGbCjBJGlGfCy4P9fKH8AAAD//wMAUEsBAi0A&#10;FAAGAAgAAAAhALaDOJL+AAAA4QEAABMAAAAAAAAAAAAAAAAAAAAAAFtDb250ZW50X1R5cGVzXS54&#10;bWxQSwECLQAUAAYACAAAACEAOP0h/9YAAACUAQAACwAAAAAAAAAAAAAAAAAvAQAAX3JlbHMvLnJl&#10;bHNQSwECLQAUAAYACAAAACEARHgt6pYCAACIBQAADgAAAAAAAAAAAAAAAAAuAgAAZHJzL2Uyb0Rv&#10;Yy54bWxQSwECLQAUAAYACAAAACEAKiio4OAAAAAKAQAADwAAAAAAAAAAAAAAAADwBAAAZHJzL2Rv&#10;d25yZXYueG1sUEsFBgAAAAAEAAQA8wAAAP0FAAAAAA==&#10;" filled="f" strokecolor="#c00000" strokeweight="1pt"/>
            </w:pict>
          </mc:Fallback>
        </mc:AlternateContent>
      </w:r>
      <w:r w:rsidR="00303B90">
        <w:rPr>
          <w:noProof/>
        </w:rPr>
        <w:drawing>
          <wp:inline distT="0" distB="0" distL="0" distR="0" wp14:anchorId="22AECDD1" wp14:editId="3080FEAE">
            <wp:extent cx="5932953" cy="1764030"/>
            <wp:effectExtent l="0" t="0" r="0" b="7620"/>
            <wp:docPr id="30" name="Graphique 30">
              <a:extLst xmlns:a="http://schemas.openxmlformats.org/drawingml/2006/main">
                <a:ext uri="{FF2B5EF4-FFF2-40B4-BE49-F238E27FC236}">
                  <a16:creationId xmlns:a16="http://schemas.microsoft.com/office/drawing/2014/main" id="{970DA0BF-A35E-46E6-AB7C-140C2CAB24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3AC41C8E" w14:textId="072B4305" w:rsidR="00303B90" w:rsidRDefault="00303B90" w:rsidP="0002537E">
      <w:pPr>
        <w:pStyle w:val="figure"/>
      </w:pPr>
      <w:bookmarkStart w:id="251" w:name="_Toc69134335"/>
      <w:bookmarkStart w:id="252" w:name="_Toc69511417"/>
      <w:r w:rsidRPr="00B12AD4">
        <w:t xml:space="preserve">Figure </w:t>
      </w:r>
      <w:r w:rsidR="00E27D6E">
        <w:fldChar w:fldCharType="begin"/>
      </w:r>
      <w:r w:rsidR="00E27D6E">
        <w:instrText xml:space="preserve"> SEQ Figure \* ARABIC </w:instrText>
      </w:r>
      <w:r w:rsidR="00E27D6E">
        <w:fldChar w:fldCharType="separate"/>
      </w:r>
      <w:r w:rsidR="0007597F">
        <w:rPr>
          <w:noProof/>
        </w:rPr>
        <w:t>25</w:t>
      </w:r>
      <w:r w:rsidR="00E27D6E">
        <w:rPr>
          <w:noProof/>
        </w:rPr>
        <w:fldChar w:fldCharType="end"/>
      </w:r>
      <w:r w:rsidR="00D84E4D">
        <w:t> :</w:t>
      </w:r>
      <w:r>
        <w:t xml:space="preserve"> </w:t>
      </w:r>
      <w:r w:rsidRPr="002C17D7">
        <w:t xml:space="preserve">Distribution de la proportion de porc </w:t>
      </w:r>
      <w:r>
        <w:t>dans les recettes de pizza et quiche, tartes tourtes</w:t>
      </w:r>
      <w:bookmarkEnd w:id="251"/>
      <w:bookmarkEnd w:id="252"/>
    </w:p>
    <w:p w14:paraId="10883A9F" w14:textId="77777777" w:rsidR="00303B90" w:rsidRDefault="00303B90" w:rsidP="00303B90">
      <w:pPr>
        <w:pStyle w:val="Lgende"/>
        <w:spacing w:after="0"/>
      </w:pPr>
      <w:r w:rsidRPr="003D401A">
        <w:t>(Source : Ifip).</w:t>
      </w:r>
    </w:p>
    <w:p w14:paraId="553DA0BB" w14:textId="77777777" w:rsidR="00303B90" w:rsidRDefault="00303B90" w:rsidP="00D43B39">
      <w:pPr>
        <w:spacing w:after="0"/>
      </w:pPr>
      <w:r>
        <w:t xml:space="preserve">Les principaux produits du porc qui entrent dans la composition de cette catégorie sont par ordre d’importance : </w:t>
      </w:r>
    </w:p>
    <w:p w14:paraId="384BFDE6" w14:textId="2A22B9DF" w:rsidR="00303B90" w:rsidRDefault="00303B90" w:rsidP="00D43B39">
      <w:pPr>
        <w:pStyle w:val="Paragraphedeliste"/>
        <w:numPr>
          <w:ilvl w:val="0"/>
          <w:numId w:val="22"/>
        </w:numPr>
        <w:spacing w:before="0"/>
        <w:ind w:left="714" w:hanging="357"/>
      </w:pPr>
      <w:r>
        <w:t>Des jambons cuits de qualité souvent standard et des jambons secs (70</w:t>
      </w:r>
      <w:r w:rsidR="00D43B39">
        <w:t> </w:t>
      </w:r>
      <w:r>
        <w:t xml:space="preserve">%), </w:t>
      </w:r>
    </w:p>
    <w:p w14:paraId="565843D5" w14:textId="114156A3" w:rsidR="00303B90" w:rsidRDefault="00303B90" w:rsidP="00A305CD">
      <w:pPr>
        <w:pStyle w:val="Paragraphedeliste"/>
        <w:numPr>
          <w:ilvl w:val="0"/>
          <w:numId w:val="22"/>
        </w:numPr>
      </w:pPr>
      <w:r>
        <w:t>Des lardons ou de la poitrine en tranche (&gt;20</w:t>
      </w:r>
      <w:r w:rsidR="00D43B39">
        <w:t> </w:t>
      </w:r>
      <w:r>
        <w:t xml:space="preserve">%), </w:t>
      </w:r>
    </w:p>
    <w:p w14:paraId="79FE7266" w14:textId="6BBC6A61" w:rsidR="005861F1" w:rsidRDefault="00303B90" w:rsidP="00D43B39">
      <w:pPr>
        <w:pStyle w:val="Paragraphedeliste"/>
        <w:numPr>
          <w:ilvl w:val="0"/>
          <w:numId w:val="22"/>
        </w:numPr>
      </w:pPr>
      <w:r>
        <w:t>Les autres produits pour moins de 10</w:t>
      </w:r>
      <w:r w:rsidR="00D43B39">
        <w:t> </w:t>
      </w:r>
      <w:r>
        <w:t>% sont représentés par du chorizo, du bacon et dans une moindre proportion des abats (andouillettes, boudins).</w:t>
      </w:r>
    </w:p>
    <w:p w14:paraId="7053C11E" w14:textId="7E14559C" w:rsidR="00303B90" w:rsidRDefault="00303B90" w:rsidP="00A305CD">
      <w:pPr>
        <w:pStyle w:val="Titre4"/>
        <w:numPr>
          <w:ilvl w:val="3"/>
          <w:numId w:val="25"/>
        </w:numPr>
      </w:pPr>
      <w:bookmarkStart w:id="253" w:name="_Toc78131631"/>
      <w:r>
        <w:t>Plats cuisinés</w:t>
      </w:r>
      <w:bookmarkEnd w:id="253"/>
      <w:r>
        <w:t xml:space="preserve"> </w:t>
      </w:r>
    </w:p>
    <w:p w14:paraId="58249EA6" w14:textId="77777777" w:rsidR="00303B90" w:rsidRDefault="00303B90" w:rsidP="00D43B39">
      <w:pPr>
        <w:spacing w:after="0"/>
      </w:pPr>
      <w:r>
        <w:t>La catégorie des plats cuisinées met en avant deux familles de produits </w:t>
      </w:r>
    </w:p>
    <w:p w14:paraId="0FE71ECC" w14:textId="3649EAB3" w:rsidR="00303B90" w:rsidRDefault="00303B90" w:rsidP="00D43B39">
      <w:pPr>
        <w:pStyle w:val="Paragraphedeliste"/>
        <w:numPr>
          <w:ilvl w:val="0"/>
          <w:numId w:val="23"/>
        </w:numPr>
        <w:spacing w:before="0"/>
      </w:pPr>
      <w:r>
        <w:t>Les plats cuisinés traditionnels à base de porc tels que la choucroute dans laquelle le porc détient une place de choix avec une valeur médiane de 35</w:t>
      </w:r>
      <w:r w:rsidR="00D43B39">
        <w:t> </w:t>
      </w:r>
      <w:r>
        <w:t xml:space="preserve">% d’incorporation dans les recettes. Les types de produits intégrés sont en partie des produits de mélange (saucisses pâtes fines, saucisses), de la poitrine et de l’épaule, </w:t>
      </w:r>
    </w:p>
    <w:p w14:paraId="30953F71" w14:textId="4CBD9863" w:rsidR="00303B90" w:rsidRDefault="00303B90" w:rsidP="00A305CD">
      <w:pPr>
        <w:pStyle w:val="Paragraphedeliste"/>
        <w:numPr>
          <w:ilvl w:val="0"/>
          <w:numId w:val="23"/>
        </w:numPr>
      </w:pPr>
      <w:r>
        <w:t>Les plats cuisinés de quotidienneté en plat individuel qui intègrent une part de porc nettement moins importante avec une valeur médiane de 20</w:t>
      </w:r>
      <w:r w:rsidR="00D43B39">
        <w:t> </w:t>
      </w:r>
      <w:r>
        <w:t>%.</w:t>
      </w:r>
    </w:p>
    <w:p w14:paraId="68AFA8E4" w14:textId="6ECF013D" w:rsidR="00303B90" w:rsidRPr="0022617C" w:rsidRDefault="00303B90" w:rsidP="00303B90">
      <w:r>
        <w:t>Au global, pour cet échantillon, les plats cuisinés intègrent 30</w:t>
      </w:r>
      <w:r w:rsidR="00D43B39">
        <w:t> </w:t>
      </w:r>
      <w:r>
        <w:t xml:space="preserve">% de porc. </w:t>
      </w:r>
      <w:r w:rsidRPr="00892EA3">
        <w:t>Il s’agit de jambon (50</w:t>
      </w:r>
      <w:r w:rsidR="00D43B39">
        <w:t> </w:t>
      </w:r>
      <w:r w:rsidRPr="00892EA3">
        <w:t>%) devant la saucisserie (30</w:t>
      </w:r>
      <w:r w:rsidR="00D43B39">
        <w:t> </w:t>
      </w:r>
      <w:r w:rsidRPr="00892EA3">
        <w:t>%) et les 20</w:t>
      </w:r>
      <w:r w:rsidR="00D43B39">
        <w:t> </w:t>
      </w:r>
      <w:r w:rsidRPr="00892EA3">
        <w:t>% restant sont constitués de longe et de poitrine.</w:t>
      </w:r>
      <w:r w:rsidRPr="0022617C">
        <w:t xml:space="preserve"> </w:t>
      </w:r>
    </w:p>
    <w:p w14:paraId="35EF20AD" w14:textId="77B2AE46" w:rsidR="00303B90" w:rsidRDefault="00D43B39" w:rsidP="00303B90">
      <w:r>
        <w:rPr>
          <w:noProof/>
        </w:rPr>
        <mc:AlternateContent>
          <mc:Choice Requires="wps">
            <w:drawing>
              <wp:anchor distT="0" distB="0" distL="114300" distR="114300" simplePos="0" relativeHeight="251658287" behindDoc="0" locked="0" layoutInCell="1" allowOverlap="1" wp14:anchorId="096EF182" wp14:editId="3FCE21DD">
                <wp:simplePos x="0" y="0"/>
                <wp:positionH relativeFrom="column">
                  <wp:posOffset>893864</wp:posOffset>
                </wp:positionH>
                <wp:positionV relativeFrom="paragraph">
                  <wp:posOffset>236975</wp:posOffset>
                </wp:positionV>
                <wp:extent cx="2019935" cy="1517901"/>
                <wp:effectExtent l="0" t="0" r="18415" b="25400"/>
                <wp:wrapNone/>
                <wp:docPr id="9" name="Rectangle 9"/>
                <wp:cNvGraphicFramePr/>
                <a:graphic xmlns:a="http://schemas.openxmlformats.org/drawingml/2006/main">
                  <a:graphicData uri="http://schemas.microsoft.com/office/word/2010/wordprocessingShape">
                    <wps:wsp>
                      <wps:cNvSpPr/>
                      <wps:spPr>
                        <a:xfrm>
                          <a:off x="0" y="0"/>
                          <a:ext cx="2019935" cy="1517901"/>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4442F4" id="Rectangle 9" o:spid="_x0000_s1026" style="position:absolute;margin-left:70.4pt;margin-top:18.65pt;width:159.05pt;height:119.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lOelAIAAIYFAAAOAAAAZHJzL2Uyb0RvYy54bWysVMFu2zAMvQ/YPwi6r7a7Zl2MOkWQosOA&#10;og3aDj0rshQbkEVNUuJkXz9Kst2gK3YYloMiiuQj+Uzy6vrQKbIX1rWgK1qc5ZQIzaFu9baiP55v&#10;P32lxHmma6ZAi4oehaPXi48frnpTinNoQNXCEgTRruxNRRvvTZlljjeiY+4MjNColGA75lG026y2&#10;rEf0TmXnef4l68HWxgIXzuHrTVLSRcSXUnD/IKUTnqiKYm4+njaem3BmiytWbi0zTcuHNNg/ZNGx&#10;VmPQCeqGeUZ2tv0Dqmu5BQfSn3HoMpCy5SLWgNUU+ZtqnhpmRKwFyXFmosn9P1h+v19b0tYVnVOi&#10;WYef6BFJY3qrBJkHenrjSrR6Mms7SA6vodaDtF34xyrIIVJ6nCgVB084PmJV8/nnGSUcdcWsuJzn&#10;RUDNXt2Ndf6bgI6ES0Utho9Usv2d88l0NAnRNNy2SuE7K5UOpwPV1uEtCna7WSlL9gw/+CoPvyHc&#10;iRkGD65ZKC0VE2/+qESCfRQSOQnpx0xiN4oJlnEutC+SqmG1SNFmp8FC/waPWKnSCBiQJWY5YQ8A&#10;o2UCGbFT3YN9cBWxmSfn/G+JJefJI0YG7SfnrtVg3wNQWNUQOdmPJCVqAksbqI/YMRbSKDnDb1v8&#10;bnfM+TWzODs4ZbgP/AMeUkFfURhulDRgf733HuyxpVFLSY+zWFH3c8esoER919js8+LiIgxvFC5m&#10;l+co2FPN5lSjd90K8OsXuHkMj9dg79V4lRa6F1wbyxAVVUxzjF1R7u0orHzaEbh4uFguoxkOrGH+&#10;Tj8ZHsADq6Evnw8vzJqheT32/T2Mc8vKNz2cbIOnhuXOg2xjg7/yOvCNwx4bZ1hMYZucytHqdX0u&#10;fgMAAP//AwBQSwMEFAAGAAgAAAAhABUVme7gAAAACgEAAA8AAABkcnMvZG93bnJldi54bWxMj81O&#10;wzAQhO9IvIO1SNyoQ1KaEOJUFRISh15IuHBz480PxOsQb9v07TEnOI5mNPNNsV3sKE44+8GRgvtV&#10;BAKpcWagTsF7/XKXgfCsyejRESq4oIdteX1V6Ny4M73hqeJOhBLyuVbQM0+5lL7p0Wq/chNS8Fo3&#10;W81Bzp00sz6HcjvKOIo20uqBwkKvJ3zusfmqjlbB92vWftYxD1U67huuP6pdu78odXuz7J5AMC78&#10;F4Zf/IAOZWA6uCMZL8ag11FAZwVJmoAIgfVD9gjioCBONwnIspD/L5Q/AAAA//8DAFBLAQItABQA&#10;BgAIAAAAIQC2gziS/gAAAOEBAAATAAAAAAAAAAAAAAAAAAAAAABbQ29udGVudF9UeXBlc10ueG1s&#10;UEsBAi0AFAAGAAgAAAAhADj9If/WAAAAlAEAAAsAAAAAAAAAAAAAAAAALwEAAF9yZWxzLy5yZWxz&#10;UEsBAi0AFAAGAAgAAAAhAFVaU56UAgAAhgUAAA4AAAAAAAAAAAAAAAAALgIAAGRycy9lMm9Eb2Mu&#10;eG1sUEsBAi0AFAAGAAgAAAAhABUVme7gAAAACgEAAA8AAAAAAAAAAAAAAAAA7gQAAGRycy9kb3du&#10;cmV2LnhtbFBLBQYAAAAABAAEAPMAAAD7BQAAAAA=&#10;" filled="f" strokecolor="#c00000" strokeweight="1pt"/>
            </w:pict>
          </mc:Fallback>
        </mc:AlternateContent>
      </w:r>
      <w:r>
        <w:rPr>
          <w:noProof/>
        </w:rPr>
        <mc:AlternateContent>
          <mc:Choice Requires="wps">
            <w:drawing>
              <wp:anchor distT="0" distB="0" distL="114300" distR="114300" simplePos="0" relativeHeight="251658286" behindDoc="0" locked="0" layoutInCell="1" allowOverlap="1" wp14:anchorId="054F69E3" wp14:editId="2A898B86">
                <wp:simplePos x="0" y="0"/>
                <wp:positionH relativeFrom="column">
                  <wp:posOffset>2972830</wp:posOffset>
                </wp:positionH>
                <wp:positionV relativeFrom="paragraph">
                  <wp:posOffset>124831</wp:posOffset>
                </wp:positionV>
                <wp:extent cx="2101096" cy="1630393"/>
                <wp:effectExtent l="0" t="0" r="13970" b="27305"/>
                <wp:wrapNone/>
                <wp:docPr id="6" name="Rectangle 6"/>
                <wp:cNvGraphicFramePr/>
                <a:graphic xmlns:a="http://schemas.openxmlformats.org/drawingml/2006/main">
                  <a:graphicData uri="http://schemas.microsoft.com/office/word/2010/wordprocessingShape">
                    <wps:wsp>
                      <wps:cNvSpPr/>
                      <wps:spPr>
                        <a:xfrm>
                          <a:off x="0" y="0"/>
                          <a:ext cx="2101096" cy="1630393"/>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6CB436" id="Rectangle 6" o:spid="_x0000_s1026" style="position:absolute;margin-left:234.1pt;margin-top:9.85pt;width:165.45pt;height:128.4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mtlAIAAIYFAAAOAAAAZHJzL2Uyb0RvYy54bWysVMFu2zAMvQ/YPwi6r7bTNmuNOkWQosOA&#10;oi3aDj0rshQbkEVNUuJkXz9Kst2gK3YYloMiiuQj+Uzy6nrfKbIT1rWgK1qc5JQIzaFu9aaiP15u&#10;v1xQ4jzTNVOgRUUPwtHrxedPV70pxQwaULWwBEG0K3tT0cZ7U2aZ443omDsBIzQqJdiOeRTtJqst&#10;6xG9U9ksz+dZD7Y2FrhwDl9vkpIuIr6UgvsHKZ3wRFUUc/PxtPFchzNbXLFyY5lpWj6kwf4hi461&#10;GoNOUDfMM7K17R9QXcstOJD+hEOXgZQtF7EGrKbI31Xz3DAjYi1IjjMTTe7/wfL73aMlbV3ROSWa&#10;dfiJnpA0pjdKkHmgpzeuRKtn82gHyeE11LqXtgv/WAXZR0oPE6Vi7wnHx1mBZV0iNkddMT/NTy9P&#10;A2r25m6s898EdCRcKmoxfKSS7e6cT6ajSYim4bZVCt9ZqXQ4Hai2Dm9RsJv1SlmyY/jBV3n4DeGO&#10;zDB4cM1CaamYePMHJRLsk5DISUg/ZhK7UUywjHOhfZFUDatFinZ+HCz0b/CIlSqNgAFZYpYT9gAw&#10;WiaQETvVPdgHVxGbeXLO/5ZYcp48YmTQfnLuWg32IwCFVQ2Rk/1IUqImsLSG+oAdYyGNkjP8tsXv&#10;dsecf2QWZwenDPeBf8BDKugrCsONkgbsr4/egz22NGop6XEWK+p+bpkVlKjvGpv9sjg7C8MbhbPz&#10;rzMU7LFmfazR224F+PUL3DyGx2uw92q8SgvdK66NZYiKKqY5xq4o93YUVj7tCFw8XCyX0QwH1jB/&#10;p58ND+CB1dCXL/tXZs3QvB77/h7GuWXlux5OtsFTw3LrQbaxwd94HfjGYY+NMyymsE2O5Wj1tj4X&#10;vwEAAP//AwBQSwMEFAAGAAgAAAAhAC+hUcngAAAACgEAAA8AAABkcnMvZG93bnJldi54bWxMj8tO&#10;wzAQRfdI/IM1SOyo0wjyIk5VVarEohsSNuzcePIAexxit03/HrOiy9E9uvdMuVmMZmec3WhJwHoV&#10;AUNqrRqpF/DR7J8yYM5LUlJbQgFXdLCp7u9KWSh7oXc8175noYRcIQUM3k8F564d0Ei3shNSyDo7&#10;G+nDOfdczfISyo3mcRQl3MiRwsIgJ9wN2H7XJyPg5y3rvprYj3WqD61vPuttd7gK8fiwbF+BeVz8&#10;Pwx/+kEdquB0tCdSjmkBz0kWBzQEeQosAGmer4EdBcRp8gK8KvntC9UvAAAA//8DAFBLAQItABQA&#10;BgAIAAAAIQC2gziS/gAAAOEBAAATAAAAAAAAAAAAAAAAAAAAAABbQ29udGVudF9UeXBlc10ueG1s&#10;UEsBAi0AFAAGAAgAAAAhADj9If/WAAAAlAEAAAsAAAAAAAAAAAAAAAAALwEAAF9yZWxzLy5yZWxz&#10;UEsBAi0AFAAGAAgAAAAhAP4aKa2UAgAAhgUAAA4AAAAAAAAAAAAAAAAALgIAAGRycy9lMm9Eb2Mu&#10;eG1sUEsBAi0AFAAGAAgAAAAhAC+hUcngAAAACgEAAA8AAAAAAAAAAAAAAAAA7gQAAGRycy9kb3du&#10;cmV2LnhtbFBLBQYAAAAABAAEAPMAAAD7BQAAAAA=&#10;" filled="f" strokecolor="#c00000" strokeweight="1pt"/>
            </w:pict>
          </mc:Fallback>
        </mc:AlternateContent>
      </w:r>
      <w:r w:rsidR="00303B90">
        <w:rPr>
          <w:noProof/>
        </w:rPr>
        <mc:AlternateContent>
          <mc:Choice Requires="wps">
            <w:drawing>
              <wp:anchor distT="0" distB="0" distL="114300" distR="114300" simplePos="0" relativeHeight="251658289" behindDoc="0" locked="0" layoutInCell="1" allowOverlap="1" wp14:anchorId="42DF7F82" wp14:editId="4F50EB6A">
                <wp:simplePos x="0" y="0"/>
                <wp:positionH relativeFrom="column">
                  <wp:posOffset>4224139</wp:posOffset>
                </wp:positionH>
                <wp:positionV relativeFrom="paragraph">
                  <wp:posOffset>358937</wp:posOffset>
                </wp:positionV>
                <wp:extent cx="850590" cy="265814"/>
                <wp:effectExtent l="0" t="0" r="6985" b="1270"/>
                <wp:wrapNone/>
                <wp:docPr id="4" name="Zone de texte 4"/>
                <wp:cNvGraphicFramePr/>
                <a:graphic xmlns:a="http://schemas.openxmlformats.org/drawingml/2006/main">
                  <a:graphicData uri="http://schemas.microsoft.com/office/word/2010/wordprocessingShape">
                    <wps:wsp>
                      <wps:cNvSpPr txBox="1"/>
                      <wps:spPr>
                        <a:xfrm>
                          <a:off x="0" y="0"/>
                          <a:ext cx="850590" cy="265814"/>
                        </a:xfrm>
                        <a:prstGeom prst="rect">
                          <a:avLst/>
                        </a:prstGeom>
                        <a:solidFill>
                          <a:schemeClr val="lt1"/>
                        </a:solidFill>
                        <a:ln w="6350">
                          <a:noFill/>
                        </a:ln>
                      </wps:spPr>
                      <wps:txbx>
                        <w:txbxContent>
                          <w:p w14:paraId="287FDD96" w14:textId="77777777" w:rsidR="00741BFF" w:rsidRPr="00A4017A" w:rsidRDefault="00741BFF" w:rsidP="00303B90">
                            <w:pPr>
                              <w:jc w:val="left"/>
                              <w:rPr>
                                <w:sz w:val="20"/>
                                <w:szCs w:val="20"/>
                              </w:rPr>
                            </w:pPr>
                            <w:r w:rsidRPr="00A4017A">
                              <w:rPr>
                                <w:sz w:val="20"/>
                                <w:szCs w:val="20"/>
                              </w:rPr>
                              <w:t>Choucroute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DF7F82" id="Zone de texte 4" o:spid="_x0000_s1051" type="#_x0000_t202" style="position:absolute;left:0;text-align:left;margin-left:332.6pt;margin-top:28.25pt;width:67pt;height:20.9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SAjSgIAAIUEAAAOAAAAZHJzL2Uyb0RvYy54bWysVN9v2jAQfp+0/8Hy+0hghNGIUDEqpklV&#10;W4lOlfZmHJtEcnyebUjYX7+zQyjr9jTtxbnzne/H991lcds1ihyFdTXogo5HKSVCcyhrvS/ot+fN&#10;hzklzjNdMgVaFPQkHL1dvn+3aE0uJlCBKoUlGES7vDUFrbw3eZI4XomGuREYodEowTbMo2r3SWlZ&#10;i9EblUzSdJa0YEtjgQvn8PauN9JljC+l4P5RSic8UQXF2nw8bTx34UyWC5bvLTNVzc9lsH+oomG1&#10;xqSXUHfMM3Kw9R+hmppbcCD9iEOTgJQ1F7EH7GacvulmWzEjYi8IjjMXmNz/C8sfjk+W1GVBp5Ro&#10;1iBF35EoUgriRecFmQaIWuNy9Nwa9PXdZ+iQ6uHe4WXovJO2CV/siaAdwT5dAMZIhOPlPEuzG7Rw&#10;NE1m2Xwcoyevj411/ouAhgShoBb5i7Cy473zWAi6Di4hlwNVl5taqaiEmRFrZcmRIdvKxxLxxW9e&#10;SpO2oLOPWRoDawjP+8hKY4LQat9SkHy36yI6k2zodwflCWGw0M+SM3xTY7H3zPknZnF4sD9cCP+I&#10;h1SAyeAsUVKB/fm3++CPnKKVkhaHsaDux4FZQYn6qpHtm/F0GqY3KtPs0wQVe23ZXVv0oVkDIjDG&#10;1TM8isHfq0GUFpoX3JtVyIompjnmLqgfxLXvVwT3jovVKjrhvBrm7/XW8BA6IB6oeO5emDVnvsLI&#10;PMAwtix/Q1vvG15qWB08yDpyGoDuUT3jj7MeqT7vZVimaz16vf49lr8AAAD//wMAUEsDBBQABgAI&#10;AAAAIQClIOEK4QAAAAkBAAAPAAAAZHJzL2Rvd25yZXYueG1sTI9NT4NAEIbvJv6HzZh4MXaxFVqQ&#10;pTFGbeLN4ke8bdkRiOwsYbeA/97xpMeZefLO8+bb2XZixMG3jhRcLSIQSJUzLdUKXsqHyw0IHzQZ&#10;3TlCBd/oYVucnuQ6M26iZxz3oRYcQj7TCpoQ+kxKXzVotV+4Holvn26wOvA41NIMeuJw28llFCXS&#10;6pb4Q6N7vGuw+tofrYKPi/r9yc+Pr9MqXvX3u7Fcv5lSqfOz+fYGRMA5/MHwq8/qULDTwR3JeNEp&#10;SJJ4yaiCOIlBMLBOU14cFKSba5BFLv83KH4AAAD//wMAUEsBAi0AFAAGAAgAAAAhALaDOJL+AAAA&#10;4QEAABMAAAAAAAAAAAAAAAAAAAAAAFtDb250ZW50X1R5cGVzXS54bWxQSwECLQAUAAYACAAAACEA&#10;OP0h/9YAAACUAQAACwAAAAAAAAAAAAAAAAAvAQAAX3JlbHMvLnJlbHNQSwECLQAUAAYACAAAACEA&#10;+xEgI0oCAACFBAAADgAAAAAAAAAAAAAAAAAuAgAAZHJzL2Uyb0RvYy54bWxQSwECLQAUAAYACAAA&#10;ACEApSDhCuEAAAAJAQAADwAAAAAAAAAAAAAAAACkBAAAZHJzL2Rvd25yZXYueG1sUEsFBgAAAAAE&#10;AAQA8wAAALIFAAAAAA==&#10;" fillcolor="white [3201]" stroked="f" strokeweight=".5pt">
                <v:textbox>
                  <w:txbxContent>
                    <w:p w14:paraId="287FDD96" w14:textId="77777777" w:rsidR="00741BFF" w:rsidRPr="00A4017A" w:rsidRDefault="00741BFF" w:rsidP="00303B90">
                      <w:pPr>
                        <w:jc w:val="left"/>
                        <w:rPr>
                          <w:sz w:val="20"/>
                          <w:szCs w:val="20"/>
                        </w:rPr>
                      </w:pPr>
                      <w:r w:rsidRPr="00A4017A">
                        <w:rPr>
                          <w:sz w:val="20"/>
                          <w:szCs w:val="20"/>
                        </w:rPr>
                        <w:t>Choucroute</w:t>
                      </w:r>
                    </w:p>
                  </w:txbxContent>
                </v:textbox>
              </v:shape>
            </w:pict>
          </mc:Fallback>
        </mc:AlternateContent>
      </w:r>
      <w:r w:rsidR="00303B90">
        <w:rPr>
          <w:noProof/>
        </w:rPr>
        <mc:AlternateContent>
          <mc:Choice Requires="wps">
            <w:drawing>
              <wp:anchor distT="0" distB="0" distL="114300" distR="114300" simplePos="0" relativeHeight="251658288" behindDoc="0" locked="0" layoutInCell="1" allowOverlap="1" wp14:anchorId="0ECFC89A" wp14:editId="57143B0E">
                <wp:simplePos x="0" y="0"/>
                <wp:positionH relativeFrom="column">
                  <wp:posOffset>1077226</wp:posOffset>
                </wp:positionH>
                <wp:positionV relativeFrom="paragraph">
                  <wp:posOffset>328768</wp:posOffset>
                </wp:positionV>
                <wp:extent cx="1360967" cy="457200"/>
                <wp:effectExtent l="0" t="0" r="0" b="0"/>
                <wp:wrapNone/>
                <wp:docPr id="8" name="Zone de texte 8"/>
                <wp:cNvGraphicFramePr/>
                <a:graphic xmlns:a="http://schemas.openxmlformats.org/drawingml/2006/main">
                  <a:graphicData uri="http://schemas.microsoft.com/office/word/2010/wordprocessingShape">
                    <wps:wsp>
                      <wps:cNvSpPr txBox="1"/>
                      <wps:spPr>
                        <a:xfrm>
                          <a:off x="0" y="0"/>
                          <a:ext cx="1360967" cy="457200"/>
                        </a:xfrm>
                        <a:prstGeom prst="rect">
                          <a:avLst/>
                        </a:prstGeom>
                        <a:solidFill>
                          <a:schemeClr val="lt1"/>
                        </a:solidFill>
                        <a:ln w="6350">
                          <a:noFill/>
                        </a:ln>
                      </wps:spPr>
                      <wps:txbx>
                        <w:txbxContent>
                          <w:p w14:paraId="48CF9040" w14:textId="77777777" w:rsidR="00741BFF" w:rsidRPr="00A4017A" w:rsidRDefault="00741BFF" w:rsidP="00303B90">
                            <w:pPr>
                              <w:jc w:val="left"/>
                              <w:rPr>
                                <w:sz w:val="20"/>
                                <w:szCs w:val="20"/>
                              </w:rPr>
                            </w:pPr>
                            <w:r w:rsidRPr="00A4017A">
                              <w:rPr>
                                <w:sz w:val="20"/>
                                <w:szCs w:val="20"/>
                              </w:rPr>
                              <w:t>Plats cuisinés traditionnels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FC89A" id="Zone de texte 8" o:spid="_x0000_s1052" type="#_x0000_t202" style="position:absolute;left:0;text-align:left;margin-left:84.8pt;margin-top:25.9pt;width:107.15pt;height:36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2dDSAIAAIYEAAAOAAAAZHJzL2Uyb0RvYy54bWysVFFv2jAQfp+0/2D5fSRQStuIUDEqpkmo&#10;rUSnSnszjkMs2T7PNiTs1+/sAGXdnqa9OGff+fPd991let9pRfbCeQmmpMNBTokwHCpptiX99rL8&#10;dEuJD8xUTIERJT0IT+9nHz9MW1uIETSgKuEIghhftLakTQi2yDLPG6GZH4AVBp01OM0Cbt02qxxr&#10;EV2rbJTnk6wFV1kHXHiPpw+9k84Sfl0LHp7q2otAVEkxt5BWl9ZNXLPZlBVbx2wj+TEN9g9ZaCYN&#10;PnqGemCBkZ2Tf0BpyR14qMOAg86griUXqQasZpi/q2bdMCtSLUiOt2ea/P+D5Y/7Z0dkVVIUyjCN&#10;En1HoUglSBBdEOQ2UtRaX2Dk2mJs6D5Dh1Kfzj0exsq72un4xZoI+pHsw5lgRCI8Xrqa5HeTG0o4&#10;+sbXN6hghMneblvnwxcBmkSjpA4FTLyy/cqHPvQUEh/zoGS1lEqlTWwasVCO7BnKrULKEcF/i1KG&#10;tCWdXF3nCdhAvN4jK4O5xFr7mqIVuk2X6BlNTgVvoDogDw76ZvKWLyUmu2I+PDOH3YOl40SEJ1xq&#10;BfgYHC1KGnA//3Ye41FU9FLSYjeW1P/YMScoUV8Nyn03HI9j+6ZNIo4Sd+nZXHrMTi8AGRji7Fme&#10;TLzsgjqZtQP9ioMzj6+iixmOb5c0nMxF6GcEB4+L+TwFYcNaFlZmbXmEjoxHKV66V+bsUa/YM49w&#10;6ltWvJOtj403Dcx3AWqZNI1E96we+cdmT11xHMw4TZf7FPX2+5j9AgAA//8DAFBLAwQUAAYACAAA&#10;ACEAs41eVeAAAAAKAQAADwAAAGRycy9kb3ducmV2LnhtbEyPT0+DQBTE7yZ+h80z8WLs0pIiRZbG&#10;GP8k3iytxtuWfQKRfUvYLeC393nS42QmM7/Jt7PtxIiDbx0pWC4iEEiVMy3VCvbl43UKwgdNRneO&#10;UME3etgW52e5zoyb6BXHXagFl5DPtIImhD6T0lcNWu0Xrkdi79MNVgeWQy3NoCcut51cRVEirW6J&#10;Fxrd432D1dfuZBV8XNXvL35+OkzxOu4fnsfy5s2USl1ezHe3IALO4S8Mv/iMDgUzHd2JjBcd62ST&#10;cFTBeskXOBCn8QbEkZ1VnIIscvn/QvEDAAD//wMAUEsBAi0AFAAGAAgAAAAhALaDOJL+AAAA4QEA&#10;ABMAAAAAAAAAAAAAAAAAAAAAAFtDb250ZW50X1R5cGVzXS54bWxQSwECLQAUAAYACAAAACEAOP0h&#10;/9YAAACUAQAACwAAAAAAAAAAAAAAAAAvAQAAX3JlbHMvLnJlbHNQSwECLQAUAAYACAAAACEAfaNn&#10;Q0gCAACGBAAADgAAAAAAAAAAAAAAAAAuAgAAZHJzL2Uyb0RvYy54bWxQSwECLQAUAAYACAAAACEA&#10;s41eVeAAAAAKAQAADwAAAAAAAAAAAAAAAACiBAAAZHJzL2Rvd25yZXYueG1sUEsFBgAAAAAEAAQA&#10;8wAAAK8FAAAAAA==&#10;" fillcolor="white [3201]" stroked="f" strokeweight=".5pt">
                <v:textbox>
                  <w:txbxContent>
                    <w:p w14:paraId="48CF9040" w14:textId="77777777" w:rsidR="00741BFF" w:rsidRPr="00A4017A" w:rsidRDefault="00741BFF" w:rsidP="00303B90">
                      <w:pPr>
                        <w:jc w:val="left"/>
                        <w:rPr>
                          <w:sz w:val="20"/>
                          <w:szCs w:val="20"/>
                        </w:rPr>
                      </w:pPr>
                      <w:r w:rsidRPr="00A4017A">
                        <w:rPr>
                          <w:sz w:val="20"/>
                          <w:szCs w:val="20"/>
                        </w:rPr>
                        <w:t>Plats cuisinés traditionnels</w:t>
                      </w:r>
                    </w:p>
                  </w:txbxContent>
                </v:textbox>
              </v:shape>
            </w:pict>
          </mc:Fallback>
        </mc:AlternateContent>
      </w:r>
      <w:r w:rsidR="00303B90">
        <w:rPr>
          <w:noProof/>
        </w:rPr>
        <w:drawing>
          <wp:inline distT="0" distB="0" distL="0" distR="0" wp14:anchorId="5E161EA5" wp14:editId="0BB6D1F8">
            <wp:extent cx="5940425" cy="1816603"/>
            <wp:effectExtent l="0" t="0" r="3175" b="0"/>
            <wp:docPr id="256" name="Graphique 256">
              <a:extLst xmlns:a="http://schemas.openxmlformats.org/drawingml/2006/main">
                <a:ext uri="{FF2B5EF4-FFF2-40B4-BE49-F238E27FC236}">
                  <a16:creationId xmlns:a16="http://schemas.microsoft.com/office/drawing/2014/main" id="{81B49BEE-F3ED-47F0-BD5E-AF5762F5BF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31C54B44" w14:textId="7642C77E" w:rsidR="00303B90" w:rsidRPr="00DF3580" w:rsidRDefault="00303B90" w:rsidP="0002537E">
      <w:pPr>
        <w:pStyle w:val="figure"/>
      </w:pPr>
      <w:bookmarkStart w:id="254" w:name="_Toc69134336"/>
      <w:bookmarkStart w:id="255" w:name="_Toc69511418"/>
      <w:r w:rsidRPr="00616857">
        <w:t xml:space="preserve">Figure </w:t>
      </w:r>
      <w:r w:rsidR="00E27D6E">
        <w:fldChar w:fldCharType="begin"/>
      </w:r>
      <w:r w:rsidR="00E27D6E">
        <w:instrText xml:space="preserve"> SEQ Figure \* ARABIC </w:instrText>
      </w:r>
      <w:r w:rsidR="00E27D6E">
        <w:fldChar w:fldCharType="separate"/>
      </w:r>
      <w:r w:rsidR="0007597F">
        <w:rPr>
          <w:noProof/>
        </w:rPr>
        <w:t>26</w:t>
      </w:r>
      <w:r w:rsidR="00E27D6E">
        <w:rPr>
          <w:noProof/>
        </w:rPr>
        <w:fldChar w:fldCharType="end"/>
      </w:r>
      <w:r w:rsidR="00D84E4D">
        <w:t xml:space="preserve"> : </w:t>
      </w:r>
      <w:r w:rsidRPr="002C17D7">
        <w:t xml:space="preserve">Distribution de la proportion de porc </w:t>
      </w:r>
      <w:r>
        <w:t>dans les recettes de plats cuisinés</w:t>
      </w:r>
      <w:bookmarkEnd w:id="254"/>
      <w:r>
        <w:t xml:space="preserve"> </w:t>
      </w:r>
      <w:r w:rsidRPr="003D401A">
        <w:t>(Source : Ifip).</w:t>
      </w:r>
      <w:bookmarkEnd w:id="255"/>
    </w:p>
    <w:p w14:paraId="78E52EF1" w14:textId="77DF3D4A" w:rsidR="00303B90" w:rsidRPr="007E07F1" w:rsidRDefault="00303B90" w:rsidP="00A305CD">
      <w:pPr>
        <w:pStyle w:val="Titre4"/>
        <w:numPr>
          <w:ilvl w:val="3"/>
          <w:numId w:val="25"/>
        </w:numPr>
      </w:pPr>
      <w:bookmarkStart w:id="256" w:name="_Toc69137401"/>
      <w:bookmarkStart w:id="257" w:name="_Toc78131632"/>
      <w:r w:rsidRPr="007E07F1">
        <w:t xml:space="preserve">Salades </w:t>
      </w:r>
      <w:r w:rsidR="007E07F1" w:rsidRPr="007E07F1">
        <w:t>moins de 20% de porc et salades</w:t>
      </w:r>
      <w:r w:rsidRPr="007E07F1">
        <w:t xml:space="preserve"> charcutières</w:t>
      </w:r>
      <w:bookmarkEnd w:id="256"/>
      <w:bookmarkEnd w:id="257"/>
    </w:p>
    <w:p w14:paraId="0B46B915" w14:textId="4408FE3F" w:rsidR="00303B90" w:rsidRDefault="00303B90" w:rsidP="00303B90">
      <w:r>
        <w:t>Les salades se distinguent en produits contenant plus de 20</w:t>
      </w:r>
      <w:r w:rsidR="00D43B39">
        <w:t> </w:t>
      </w:r>
      <w:r>
        <w:t>% de porc que sont les salades charcutières (salades de museau et de cervelas) et les salades de moins de 20</w:t>
      </w:r>
      <w:r w:rsidR="00D43B39">
        <w:t> </w:t>
      </w:r>
      <w:r>
        <w:t xml:space="preserve">% de porc. Selon </w:t>
      </w:r>
      <w:r>
        <w:lastRenderedPageBreak/>
        <w:t>l’analyse, les salades charcutières incorporent 55</w:t>
      </w:r>
      <w:r w:rsidR="00D43B39">
        <w:t> </w:t>
      </w:r>
      <w:r>
        <w:t>% de porc en valeur médiane sous la forme d’abats contre cinq fois moins pour les recettes de snacking (20</w:t>
      </w:r>
      <w:r w:rsidR="00D43B39">
        <w:t> </w:t>
      </w:r>
      <w:r>
        <w:t>%). Celles-ci intègrent 10</w:t>
      </w:r>
      <w:r w:rsidR="00D43B39">
        <w:t> </w:t>
      </w:r>
      <w:r>
        <w:t>% de porc en valeur médiane au travers de jambon cuit (50</w:t>
      </w:r>
      <w:r w:rsidR="00D43B39">
        <w:t> </w:t>
      </w:r>
      <w:r>
        <w:t xml:space="preserve">%) </w:t>
      </w:r>
    </w:p>
    <w:p w14:paraId="62DCEB34" w14:textId="32149931" w:rsidR="00303B90" w:rsidRDefault="00303B90" w:rsidP="0002537E">
      <w:pPr>
        <w:pStyle w:val="figure"/>
      </w:pPr>
      <w:bookmarkStart w:id="258" w:name="_Toc69137402"/>
      <w:r>
        <w:rPr>
          <w:b w:val="0"/>
          <w:bCs w:val="0"/>
          <w:iCs w:val="0"/>
          <w:noProof/>
        </w:rPr>
        <w:drawing>
          <wp:inline distT="0" distB="0" distL="0" distR="0" wp14:anchorId="2262FF7E" wp14:editId="507A10C3">
            <wp:extent cx="5868670" cy="2349795"/>
            <wp:effectExtent l="0" t="0" r="0" b="0"/>
            <wp:docPr id="262" name="Graphique 262">
              <a:extLst xmlns:a="http://schemas.openxmlformats.org/drawingml/2006/main">
                <a:ext uri="{FF2B5EF4-FFF2-40B4-BE49-F238E27FC236}">
                  <a16:creationId xmlns:a16="http://schemas.microsoft.com/office/drawing/2014/main" id="{6C9DC94D-0954-40B2-9F91-BDADAE97490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bookmarkStart w:id="259" w:name="_Toc69134337"/>
      <w:bookmarkStart w:id="260" w:name="_Toc69511419"/>
      <w:bookmarkEnd w:id="258"/>
      <w:r w:rsidRPr="007844CB">
        <w:t xml:space="preserve">Figure </w:t>
      </w:r>
      <w:r w:rsidR="00E27D6E">
        <w:fldChar w:fldCharType="begin"/>
      </w:r>
      <w:r w:rsidR="00E27D6E">
        <w:instrText xml:space="preserve"> SEQ Figure \* ARABIC </w:instrText>
      </w:r>
      <w:r w:rsidR="00E27D6E">
        <w:fldChar w:fldCharType="separate"/>
      </w:r>
      <w:r w:rsidR="0007597F">
        <w:rPr>
          <w:noProof/>
        </w:rPr>
        <w:t>27</w:t>
      </w:r>
      <w:r w:rsidR="00E27D6E">
        <w:rPr>
          <w:noProof/>
        </w:rPr>
        <w:fldChar w:fldCharType="end"/>
      </w:r>
      <w:r w:rsidR="00D84E4D">
        <w:t> :</w:t>
      </w:r>
      <w:r>
        <w:t xml:space="preserve"> </w:t>
      </w:r>
      <w:r w:rsidRPr="002C17D7">
        <w:t xml:space="preserve">Distribution de la proportion de porc </w:t>
      </w:r>
      <w:r>
        <w:t xml:space="preserve">dans les recettes de salades </w:t>
      </w:r>
      <w:r w:rsidRPr="003D401A">
        <w:t>(Source : Ifip).</w:t>
      </w:r>
      <w:bookmarkEnd w:id="259"/>
      <w:bookmarkEnd w:id="260"/>
    </w:p>
    <w:p w14:paraId="0C19E414" w14:textId="61794D0C" w:rsidR="007A19A0" w:rsidRDefault="00303B90" w:rsidP="00D43B39">
      <w:pPr>
        <w:spacing w:before="120"/>
      </w:pPr>
      <w:r w:rsidRPr="00520EFB">
        <w:t>Pour le total des salades, le taux médian d’incorporation de porc est de 16</w:t>
      </w:r>
      <w:r w:rsidR="00D43B39">
        <w:t> </w:t>
      </w:r>
      <w:r w:rsidRPr="00520EFB">
        <w:t>%.</w:t>
      </w:r>
      <w:bookmarkStart w:id="261" w:name="_Toc69137403"/>
    </w:p>
    <w:p w14:paraId="109AA71C" w14:textId="6EF9E3B9" w:rsidR="00303B90" w:rsidRDefault="00303B90" w:rsidP="00A305CD">
      <w:pPr>
        <w:pStyle w:val="Titre4"/>
        <w:numPr>
          <w:ilvl w:val="3"/>
          <w:numId w:val="25"/>
        </w:numPr>
      </w:pPr>
      <w:bookmarkStart w:id="262" w:name="_Toc78131633"/>
      <w:r>
        <w:t>Autres produits : sandwiches industriels et pâtes cuisinées</w:t>
      </w:r>
      <w:bookmarkEnd w:id="261"/>
      <w:bookmarkEnd w:id="262"/>
      <w:r>
        <w:t xml:space="preserve"> </w:t>
      </w:r>
    </w:p>
    <w:p w14:paraId="1809875C" w14:textId="058DC15F" w:rsidR="00303B90" w:rsidRDefault="00303B90" w:rsidP="00303B90">
      <w:r>
        <w:t>La part de produits incorporée dans les sandwiches industriels est en valeur médiane de 20</w:t>
      </w:r>
      <w:r w:rsidR="00D43B39">
        <w:t> </w:t>
      </w:r>
      <w:r>
        <w:t>% de porc avec en première ressource le jambon cuit standard devant la rosette.</w:t>
      </w:r>
    </w:p>
    <w:p w14:paraId="409A9203" w14:textId="6A4C40DA" w:rsidR="00303B90" w:rsidRDefault="00303B90" w:rsidP="00303B90">
      <w:r>
        <w:rPr>
          <w:noProof/>
        </w:rPr>
        <mc:AlternateContent>
          <mc:Choice Requires="wps">
            <w:drawing>
              <wp:anchor distT="0" distB="0" distL="114300" distR="114300" simplePos="0" relativeHeight="251658283" behindDoc="0" locked="0" layoutInCell="1" allowOverlap="1" wp14:anchorId="7CEFBDD1" wp14:editId="1451E481">
                <wp:simplePos x="0" y="0"/>
                <wp:positionH relativeFrom="leftMargin">
                  <wp:posOffset>2017233</wp:posOffset>
                </wp:positionH>
                <wp:positionV relativeFrom="paragraph">
                  <wp:posOffset>308610</wp:posOffset>
                </wp:positionV>
                <wp:extent cx="1733107" cy="1179918"/>
                <wp:effectExtent l="0" t="0" r="19685" b="20320"/>
                <wp:wrapNone/>
                <wp:docPr id="10" name="Rectangle 10"/>
                <wp:cNvGraphicFramePr/>
                <a:graphic xmlns:a="http://schemas.openxmlformats.org/drawingml/2006/main">
                  <a:graphicData uri="http://schemas.microsoft.com/office/word/2010/wordprocessingShape">
                    <wps:wsp>
                      <wps:cNvSpPr/>
                      <wps:spPr>
                        <a:xfrm>
                          <a:off x="0" y="0"/>
                          <a:ext cx="1733107" cy="1179918"/>
                        </a:xfrm>
                        <a:prstGeom prst="rect">
                          <a:avLst/>
                        </a:prstGeom>
                        <a:no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17A19D" id="Rectangle 10" o:spid="_x0000_s1026" style="position:absolute;margin-left:158.85pt;margin-top:24.3pt;width:136.45pt;height:92.9pt;z-index:251658283;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TFFlwIAAIgFAAAOAAAAZHJzL2Uyb0RvYy54bWysVFFP2zAQfp+0/2D5fSQpsEJEiqoipkkI&#10;EDDx7Dp2E8nxebbbtPv1O9tJqBjaw7Q8OD7f3Xe+z3d3db3vFNkJ61rQFS1OckqE5lC3elPRHy+3&#10;Xy4ocZ7pminQoqIH4ej14vOnq96UYgYNqFpYgiDalb2paOO9KbPM8UZ0zJ2AERqVEmzHPIp2k9WW&#10;9YjeqWyW51+zHmxtLHDhHJ7eJCVdRHwpBfcPUjrhiaoo3s3H1cZ1HdZsccXKjWWmaflwDfYPt+hY&#10;qzHoBHXDPCNb2/4B1bXcggPpTzh0GUjZchFzwGyK/F02zw0zIuaC5Dgz0eT+Hyy/3z1a0tb4dkiP&#10;Zh2+0ROyxvRGCYJnSFBvXIl2z+bRDpLDbch2L20X/pgH2UdSDxOpYu8Jx8Nifnpa5HNKOOqKYn55&#10;WVwE1OzN3VjnvwnoSNhU1GL8SCbb3TmfTEeTEE3DbasUnrNS6bA6UG0dzqJgN+uVsmTH8MlXefiG&#10;cEdmGDy4ZiG1lEzc+YMSCfZJSGQFrz+LN4n1KCZYxrnQvkiqhtUiRTs/DhYqOHjETJVGwIAs8ZYT&#10;9gAwWiaQETvlPdgHVxHLeXLO/3ax5Dx5xMig/eTctRrsRwAKsxoiJ/uRpERNYGkN9QFrxkJqJmf4&#10;bYvvdsecf2QWuwcLCSeCf8BFKugrCsOOkgbsr4/Ogz0WNWop6bEbK+p+bpkVlKjvGsv9sjg7C+0b&#10;hbPz+QwFe6xZH2v0tlsBvn6Bs8fwuA32Xo1baaF7xcGxDFFRxTTH2BXl3o7CyqcpgaOHi+UymmHL&#10;Gubv9LPhATywGuryZf/KrBmK12Pd38PYuax8V8PJNnhqWG49yDYW+BuvA9/Y7rFwhtEU5smxHK3e&#10;BujiNwAAAP//AwBQSwMEFAAGAAgAAAAhAPWDyGnhAAAACgEAAA8AAABkcnMvZG93bnJldi54bWxM&#10;jz1PwzAQhnck/oN1SGzUaRqakMapKiQkhi4kLGxufPko9jnEbpv+e8xUtjvdo/eet9jORrMzTm6w&#10;JGC5iIAhNVYN1An4rN+eMmDOS1JSW0IBV3SwLe/vCpkre6EPPFe+YyGEXC4F9N6POeeu6dFIt7Aj&#10;Uri1djLSh3XquJrkJYQbzeMoWnMjBwofejnia4/Nd3UyAn7es/ZYx36oUr1vfP1V7dr9VYjHh3m3&#10;AeZx9jcY/vSDOpTB6WBPpBzTAlbLNA2ogCRbAwvA80sUhoOAeJUkwMuC/69Q/gIAAP//AwBQSwEC&#10;LQAUAAYACAAAACEAtoM4kv4AAADhAQAAEwAAAAAAAAAAAAAAAAAAAAAAW0NvbnRlbnRfVHlwZXNd&#10;LnhtbFBLAQItABQABgAIAAAAIQA4/SH/1gAAAJQBAAALAAAAAAAAAAAAAAAAAC8BAABfcmVscy8u&#10;cmVsc1BLAQItABQABgAIAAAAIQBnVTFFlwIAAIgFAAAOAAAAAAAAAAAAAAAAAC4CAABkcnMvZTJv&#10;RG9jLnhtbFBLAQItABQABgAIAAAAIQD1g8hp4QAAAAoBAAAPAAAAAAAAAAAAAAAAAPEEAABkcnMv&#10;ZG93bnJldi54bWxQSwUGAAAAAAQABADzAAAA/wUAAAAA&#10;" filled="f" strokecolor="#c00000" strokeweight="1pt">
                <w10:wrap anchorx="margin"/>
              </v:rect>
            </w:pict>
          </mc:Fallback>
        </mc:AlternateContent>
      </w:r>
      <w:r>
        <w:rPr>
          <w:noProof/>
        </w:rPr>
        <w:drawing>
          <wp:inline distT="0" distB="0" distL="0" distR="0" wp14:anchorId="24B7D9CB" wp14:editId="19ABB735">
            <wp:extent cx="5858510" cy="1505629"/>
            <wp:effectExtent l="0" t="0" r="8890" b="0"/>
            <wp:docPr id="264" name="Graphique 264">
              <a:extLst xmlns:a="http://schemas.openxmlformats.org/drawingml/2006/main">
                <a:ext uri="{FF2B5EF4-FFF2-40B4-BE49-F238E27FC236}">
                  <a16:creationId xmlns:a16="http://schemas.microsoft.com/office/drawing/2014/main" id="{0DD992E1-2165-45AB-9BD3-4A8594859AE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6EECD9C3" w14:textId="3BA62E29" w:rsidR="00DC2AB8" w:rsidRDefault="00303B90" w:rsidP="0002537E">
      <w:pPr>
        <w:pStyle w:val="figure"/>
        <w:rPr>
          <w:rFonts w:eastAsiaTheme="minorHAnsi"/>
        </w:rPr>
      </w:pPr>
      <w:bookmarkStart w:id="263" w:name="_Toc69134338"/>
      <w:bookmarkStart w:id="264" w:name="_Toc69511420"/>
      <w:r w:rsidRPr="00713036">
        <w:rPr>
          <w:rFonts w:eastAsiaTheme="minorHAnsi"/>
        </w:rPr>
        <w:t xml:space="preserve">Figure </w:t>
      </w:r>
      <w:r w:rsidRPr="00713036">
        <w:rPr>
          <w:rFonts w:eastAsiaTheme="minorHAnsi"/>
        </w:rPr>
        <w:fldChar w:fldCharType="begin"/>
      </w:r>
      <w:r w:rsidRPr="00713036">
        <w:rPr>
          <w:rFonts w:eastAsiaTheme="minorHAnsi"/>
        </w:rPr>
        <w:instrText xml:space="preserve"> SEQ Figure \* ARABIC </w:instrText>
      </w:r>
      <w:r w:rsidRPr="00713036">
        <w:rPr>
          <w:rFonts w:eastAsiaTheme="minorHAnsi"/>
        </w:rPr>
        <w:fldChar w:fldCharType="separate"/>
      </w:r>
      <w:r w:rsidR="0007597F">
        <w:rPr>
          <w:rFonts w:eastAsiaTheme="minorHAnsi"/>
          <w:noProof/>
        </w:rPr>
        <w:t>28</w:t>
      </w:r>
      <w:r w:rsidRPr="00713036">
        <w:rPr>
          <w:rFonts w:eastAsiaTheme="minorHAnsi"/>
        </w:rPr>
        <w:fldChar w:fldCharType="end"/>
      </w:r>
      <w:r w:rsidRPr="00713036">
        <w:rPr>
          <w:rFonts w:eastAsiaTheme="minorHAnsi"/>
        </w:rPr>
        <w:t xml:space="preserve"> : Distribution de la proportion de porc dans les sandwiches industriels </w:t>
      </w:r>
    </w:p>
    <w:p w14:paraId="04E062C5" w14:textId="7B57B5F8" w:rsidR="00303B90" w:rsidRPr="00713036" w:rsidRDefault="00303B90" w:rsidP="00303B90">
      <w:pPr>
        <w:pStyle w:val="Lgende"/>
        <w:rPr>
          <w:rFonts w:eastAsiaTheme="minorHAnsi" w:cstheme="minorBidi"/>
          <w:bCs w:val="0"/>
          <w:i w:val="0"/>
          <w:iCs w:val="0"/>
          <w:lang w:eastAsia="en-US"/>
        </w:rPr>
      </w:pPr>
      <w:r w:rsidRPr="00713036">
        <w:rPr>
          <w:rFonts w:eastAsiaTheme="minorHAnsi" w:cstheme="minorBidi"/>
          <w:bCs w:val="0"/>
          <w:i w:val="0"/>
          <w:iCs w:val="0"/>
          <w:lang w:eastAsia="en-US"/>
        </w:rPr>
        <w:t>(Source : Ifip).</w:t>
      </w:r>
      <w:bookmarkEnd w:id="263"/>
      <w:bookmarkEnd w:id="264"/>
    </w:p>
    <w:p w14:paraId="21370ED6" w14:textId="2A3FFE3A" w:rsidR="007A19A0" w:rsidRDefault="00303B90" w:rsidP="00303B90">
      <w:pPr>
        <w:rPr>
          <w:rFonts w:eastAsia="Times New Roman"/>
          <w:bCs/>
        </w:rPr>
      </w:pPr>
      <w:r w:rsidRPr="00207F1B">
        <w:t>Concernant les pâtes cuisinées au rayon libre-service (raviolis, tortellinis, cap</w:t>
      </w:r>
      <w:r>
        <w:t>p</w:t>
      </w:r>
      <w:r w:rsidRPr="00207F1B">
        <w:t>el</w:t>
      </w:r>
      <w:r>
        <w:t>leti…),</w:t>
      </w:r>
      <w:r w:rsidRPr="00207F1B">
        <w:t xml:space="preserve"> les </w:t>
      </w:r>
      <w:r>
        <w:t>références</w:t>
      </w:r>
      <w:r w:rsidRPr="00207F1B">
        <w:t xml:space="preserve"> </w:t>
      </w:r>
      <w:r w:rsidRPr="00860DE0">
        <w:t>intègrent moins de 10</w:t>
      </w:r>
      <w:r w:rsidR="00D43B39">
        <w:t> </w:t>
      </w:r>
      <w:r w:rsidRPr="00860DE0">
        <w:t>% de porc sous la forme de mélange de jambon cuit ou sec. Le frais libre-service n’est cependant pas très représentatif de la catégorie dans le cadre de l’extrapolation du marché. En effet</w:t>
      </w:r>
      <w:r w:rsidR="00D43B39">
        <w:t xml:space="preserve">, </w:t>
      </w:r>
      <w:r w:rsidRPr="00860DE0">
        <w:t xml:space="preserve">les produits à plus fort volume (lasagnes, cannellonis…) sont plutôt présents dans les univers du traditionnel et du surgelé. Un croisement de données à dire </w:t>
      </w:r>
      <w:r w:rsidRPr="007A19A0">
        <w:rPr>
          <w:rFonts w:eastAsia="Times New Roman"/>
          <w:bCs/>
        </w:rPr>
        <w:t>d’expert est effectué.</w:t>
      </w:r>
    </w:p>
    <w:p w14:paraId="5B2DDE77" w14:textId="469F9FAD" w:rsidR="00303B90" w:rsidRPr="007A19A0" w:rsidRDefault="00B86579" w:rsidP="00E2475B">
      <w:pPr>
        <w:pStyle w:val="Titre3"/>
        <w:rPr>
          <w:bCs/>
        </w:rPr>
      </w:pPr>
      <w:bookmarkStart w:id="265" w:name="_Toc78131634"/>
      <w:r>
        <w:t>2</w:t>
      </w:r>
      <w:r w:rsidR="00E2475B">
        <w:t>.2.3.</w:t>
      </w:r>
      <w:r w:rsidR="00303B90">
        <w:t xml:space="preserve"> Approche de quantification des produits du porc dans l’univers du traiteur</w:t>
      </w:r>
      <w:bookmarkEnd w:id="265"/>
      <w:r w:rsidR="00303B90">
        <w:t xml:space="preserve"> </w:t>
      </w:r>
    </w:p>
    <w:p w14:paraId="09BC5E4A" w14:textId="77777777" w:rsidR="00303B90" w:rsidRDefault="00303B90" w:rsidP="007A19A0">
      <w:r>
        <w:t xml:space="preserve">L’estimation du marché des produits traiteurs est évaluée tenant compte des éléments suivants : </w:t>
      </w:r>
    </w:p>
    <w:p w14:paraId="1A79F54E" w14:textId="7408D10E" w:rsidR="00303B90" w:rsidRDefault="00303B90" w:rsidP="00A305CD">
      <w:pPr>
        <w:pStyle w:val="Paragraphedeliste"/>
        <w:numPr>
          <w:ilvl w:val="0"/>
          <w:numId w:val="23"/>
        </w:numPr>
      </w:pPr>
      <w:r>
        <w:t xml:space="preserve">La part moyenne de produits contenant du porc de </w:t>
      </w:r>
      <w:r w:rsidR="003E3500">
        <w:t>30</w:t>
      </w:r>
      <w:r w:rsidR="00D43B39">
        <w:t> </w:t>
      </w:r>
      <w:r>
        <w:t xml:space="preserve">% sur l’ensemble des références d’un segment de marché, </w:t>
      </w:r>
    </w:p>
    <w:p w14:paraId="53C4828F" w14:textId="2032F88F" w:rsidR="00303B90" w:rsidRDefault="00303B90" w:rsidP="00A305CD">
      <w:pPr>
        <w:pStyle w:val="Paragraphedeliste"/>
        <w:numPr>
          <w:ilvl w:val="0"/>
          <w:numId w:val="23"/>
        </w:numPr>
      </w:pPr>
      <w:r>
        <w:t>La proportion moyenne de porc incorporée dans les recettes également de 2</w:t>
      </w:r>
      <w:r w:rsidR="003E3500">
        <w:t>3</w:t>
      </w:r>
      <w:r w:rsidR="00D43B39">
        <w:t> </w:t>
      </w:r>
      <w:r>
        <w:t xml:space="preserve">%, donnée obtenue au travers de l’analyse du traiteur frais libre-service et extrapolée à l’ensemble des segments soit appertisés et surgelés. Ce dernier point peut constituer un biais dans </w:t>
      </w:r>
      <w:r>
        <w:lastRenderedPageBreak/>
        <w:t xml:space="preserve">la mesure où le positionnement des recettes en surgelé conduit à des produits souvent moins riches en protéines carnées, </w:t>
      </w:r>
    </w:p>
    <w:p w14:paraId="34D17DE5" w14:textId="77777777" w:rsidR="00303B90" w:rsidRDefault="00303B90" w:rsidP="00303B90">
      <w:r>
        <w:t>et prenant appui sur les données d’enquête de production PRODCOM relatives à l’activité 10.85.Z (Partie 1, paragraphe 2.2.4.) enrichie de données de marché issues de panels et de dire d’experts.</w:t>
      </w:r>
    </w:p>
    <w:p w14:paraId="63D77AC7" w14:textId="55A33F4F" w:rsidR="00303B90" w:rsidRDefault="00303B90" w:rsidP="00303B90">
      <w:r>
        <w:t>En conséquence, le marché global des produits traiteurs industriels est évalué pour l’ensemble des circuits en 2018, à environ 55</w:t>
      </w:r>
      <w:r w:rsidR="00D43B39">
        <w:t> </w:t>
      </w:r>
      <w:r>
        <w:t>kt tiré par les plats cuisinés compte tenu de produits poids lourds (choucroute, cassoulet, saucisse et petit salé aux lentilles). Selon le panéliste Iri, la choucroute représente au rayon traiteur frais libre-service 40</w:t>
      </w:r>
      <w:r w:rsidR="00D43B39">
        <w:t> </w:t>
      </w:r>
      <w:r>
        <w:t>% des volumes en 2018. En second lieu se positionnent les pizzas, quiches, tartes et tourtes, devant les salades et charcuteries pâtissières (</w:t>
      </w:r>
      <w:r w:rsidR="00D62A60" w:rsidRPr="0002537E">
        <w:rPr>
          <w:sz w:val="20"/>
          <w:szCs w:val="20"/>
        </w:rPr>
        <w:fldChar w:fldCharType="begin"/>
      </w:r>
      <w:r w:rsidR="00D62A60" w:rsidRPr="0002537E">
        <w:rPr>
          <w:sz w:val="20"/>
          <w:szCs w:val="20"/>
        </w:rPr>
        <w:instrText xml:space="preserve"> REF _Ref69317147 \h </w:instrText>
      </w:r>
      <w:r w:rsidR="00D84E4D" w:rsidRPr="00D84E4D">
        <w:rPr>
          <w:sz w:val="20"/>
          <w:szCs w:val="20"/>
        </w:rPr>
        <w:instrText xml:space="preserve"> \* MERGEFORMAT </w:instrText>
      </w:r>
      <w:r w:rsidR="00D62A60" w:rsidRPr="0002537E">
        <w:rPr>
          <w:sz w:val="20"/>
          <w:szCs w:val="20"/>
        </w:rPr>
      </w:r>
      <w:r w:rsidR="00D62A60" w:rsidRPr="0002537E">
        <w:rPr>
          <w:sz w:val="20"/>
          <w:szCs w:val="20"/>
        </w:rPr>
        <w:fldChar w:fldCharType="separate"/>
      </w:r>
      <w:r w:rsidR="0007597F" w:rsidRPr="0002537E">
        <w:rPr>
          <w:sz w:val="20"/>
          <w:szCs w:val="20"/>
        </w:rPr>
        <w:t xml:space="preserve">Tableau </w:t>
      </w:r>
      <w:r w:rsidR="0007597F" w:rsidRPr="0002537E">
        <w:rPr>
          <w:i/>
          <w:iCs/>
          <w:noProof/>
          <w:sz w:val="20"/>
          <w:szCs w:val="20"/>
        </w:rPr>
        <w:t>55</w:t>
      </w:r>
      <w:r w:rsidR="00D62A60" w:rsidRPr="0002537E">
        <w:rPr>
          <w:sz w:val="20"/>
          <w:szCs w:val="20"/>
        </w:rPr>
        <w:fldChar w:fldCharType="end"/>
      </w:r>
      <w:r>
        <w:t>).</w:t>
      </w:r>
    </w:p>
    <w:tbl>
      <w:tblPr>
        <w:tblW w:w="9634" w:type="dxa"/>
        <w:tblCellMar>
          <w:left w:w="70" w:type="dxa"/>
          <w:right w:w="70" w:type="dxa"/>
        </w:tblCellMar>
        <w:tblLook w:val="04A0" w:firstRow="1" w:lastRow="0" w:firstColumn="1" w:lastColumn="0" w:noHBand="0" w:noVBand="1"/>
      </w:tblPr>
      <w:tblGrid>
        <w:gridCol w:w="1413"/>
        <w:gridCol w:w="850"/>
        <w:gridCol w:w="1134"/>
        <w:gridCol w:w="993"/>
        <w:gridCol w:w="992"/>
        <w:gridCol w:w="1417"/>
        <w:gridCol w:w="1134"/>
        <w:gridCol w:w="851"/>
        <w:gridCol w:w="850"/>
      </w:tblGrid>
      <w:tr w:rsidR="00303B90" w:rsidRPr="008A578B" w14:paraId="7DA7969E" w14:textId="77777777" w:rsidTr="0002537E">
        <w:tc>
          <w:tcPr>
            <w:tcW w:w="141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C8E1429" w14:textId="77777777" w:rsidR="00303B90" w:rsidRPr="00892EA3" w:rsidRDefault="00303B90" w:rsidP="0002537E">
            <w:pPr>
              <w:spacing w:after="0" w:line="240" w:lineRule="auto"/>
              <w:rPr>
                <w:sz w:val="20"/>
                <w:szCs w:val="20"/>
                <w:lang w:eastAsia="fr-FR"/>
              </w:rPr>
            </w:pPr>
            <w:bookmarkStart w:id="266" w:name="_Ref69165094"/>
            <w:r w:rsidRPr="0002537E">
              <w:rPr>
                <w:sz w:val="16"/>
                <w:szCs w:val="16"/>
                <w:lang w:eastAsia="fr-FR"/>
              </w:rPr>
              <w:t> Volumes (en kt)</w:t>
            </w:r>
          </w:p>
        </w:tc>
        <w:tc>
          <w:tcPr>
            <w:tcW w:w="850" w:type="dxa"/>
            <w:tcBorders>
              <w:top w:val="single" w:sz="4" w:space="0" w:color="auto"/>
              <w:left w:val="nil"/>
              <w:bottom w:val="single" w:sz="4" w:space="0" w:color="auto"/>
              <w:right w:val="single" w:sz="4" w:space="0" w:color="auto"/>
            </w:tcBorders>
            <w:shd w:val="clear" w:color="000000" w:fill="D9D9D9"/>
            <w:vAlign w:val="center"/>
            <w:hideMark/>
          </w:tcPr>
          <w:p w14:paraId="51A84A00"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Frais</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402BCB6D"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Appertisé</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6B27DDE0"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Surgelé</w:t>
            </w:r>
          </w:p>
        </w:tc>
        <w:tc>
          <w:tcPr>
            <w:tcW w:w="992" w:type="dxa"/>
            <w:tcBorders>
              <w:top w:val="single" w:sz="4" w:space="0" w:color="auto"/>
              <w:left w:val="nil"/>
              <w:bottom w:val="single" w:sz="4" w:space="0" w:color="auto"/>
              <w:right w:val="single" w:sz="4" w:space="0" w:color="auto"/>
            </w:tcBorders>
            <w:shd w:val="clear" w:color="000000" w:fill="D9D9D9"/>
            <w:vAlign w:val="center"/>
            <w:hideMark/>
          </w:tcPr>
          <w:p w14:paraId="7377CCF0" w14:textId="3D9EE75C" w:rsidR="00303B90" w:rsidRPr="00892EA3" w:rsidRDefault="00303B90" w:rsidP="0002537E">
            <w:pPr>
              <w:spacing w:after="0" w:line="240" w:lineRule="auto"/>
              <w:rPr>
                <w:b/>
                <w:bCs/>
                <w:sz w:val="20"/>
                <w:szCs w:val="20"/>
                <w:lang w:eastAsia="fr-FR"/>
              </w:rPr>
            </w:pPr>
            <w:r w:rsidRPr="00892EA3">
              <w:rPr>
                <w:b/>
                <w:bCs/>
                <w:sz w:val="20"/>
                <w:szCs w:val="20"/>
                <w:lang w:eastAsia="fr-FR"/>
              </w:rPr>
              <w:t xml:space="preserve">Vol. Est. </w:t>
            </w:r>
            <w:r w:rsidR="00D43B39">
              <w:rPr>
                <w:b/>
                <w:bCs/>
                <w:sz w:val="20"/>
                <w:szCs w:val="20"/>
                <w:lang w:eastAsia="fr-FR"/>
              </w:rPr>
              <w:t>t</w:t>
            </w:r>
            <w:r w:rsidRPr="00892EA3">
              <w:rPr>
                <w:b/>
                <w:bCs/>
                <w:sz w:val="20"/>
                <w:szCs w:val="20"/>
                <w:lang w:eastAsia="fr-FR"/>
              </w:rPr>
              <w:t>otal</w:t>
            </w:r>
          </w:p>
        </w:tc>
        <w:tc>
          <w:tcPr>
            <w:tcW w:w="1417" w:type="dxa"/>
            <w:tcBorders>
              <w:top w:val="single" w:sz="4" w:space="0" w:color="auto"/>
              <w:left w:val="nil"/>
              <w:bottom w:val="single" w:sz="4" w:space="0" w:color="auto"/>
              <w:right w:val="single" w:sz="4" w:space="0" w:color="auto"/>
            </w:tcBorders>
            <w:shd w:val="clear" w:color="000000" w:fill="D9D9D9"/>
            <w:vAlign w:val="center"/>
            <w:hideMark/>
          </w:tcPr>
          <w:p w14:paraId="55FE090C" w14:textId="77777777" w:rsidR="00303B90" w:rsidRPr="00892EA3" w:rsidRDefault="00303B90" w:rsidP="00D43B39">
            <w:pPr>
              <w:spacing w:after="0" w:line="240" w:lineRule="auto"/>
              <w:jc w:val="left"/>
              <w:rPr>
                <w:b/>
                <w:bCs/>
                <w:sz w:val="20"/>
                <w:szCs w:val="20"/>
                <w:lang w:eastAsia="fr-FR"/>
              </w:rPr>
            </w:pPr>
            <w:r w:rsidRPr="00892EA3">
              <w:rPr>
                <w:b/>
                <w:bCs/>
                <w:sz w:val="20"/>
                <w:szCs w:val="20"/>
                <w:lang w:eastAsia="fr-FR"/>
              </w:rPr>
              <w:t>Part moy. produits avec porc</w:t>
            </w:r>
          </w:p>
        </w:tc>
        <w:tc>
          <w:tcPr>
            <w:tcW w:w="1134" w:type="dxa"/>
            <w:tcBorders>
              <w:top w:val="single" w:sz="4" w:space="0" w:color="auto"/>
              <w:left w:val="nil"/>
              <w:bottom w:val="single" w:sz="4" w:space="0" w:color="auto"/>
              <w:right w:val="single" w:sz="4" w:space="0" w:color="auto"/>
            </w:tcBorders>
            <w:shd w:val="clear" w:color="000000" w:fill="D9D9D9"/>
            <w:vAlign w:val="center"/>
            <w:hideMark/>
          </w:tcPr>
          <w:p w14:paraId="0DAE06ED" w14:textId="77777777" w:rsidR="00303B90" w:rsidRPr="00892EA3" w:rsidRDefault="00303B90" w:rsidP="00D43B39">
            <w:pPr>
              <w:spacing w:after="0" w:line="240" w:lineRule="auto"/>
              <w:jc w:val="left"/>
              <w:rPr>
                <w:b/>
                <w:bCs/>
                <w:sz w:val="20"/>
                <w:szCs w:val="20"/>
                <w:lang w:eastAsia="fr-FR"/>
              </w:rPr>
            </w:pPr>
            <w:r w:rsidRPr="00892EA3">
              <w:rPr>
                <w:b/>
                <w:bCs/>
                <w:sz w:val="20"/>
                <w:szCs w:val="20"/>
                <w:lang w:eastAsia="fr-FR"/>
              </w:rPr>
              <w:t>Part moy. de porc / recette</w:t>
            </w:r>
          </w:p>
        </w:tc>
        <w:tc>
          <w:tcPr>
            <w:tcW w:w="851" w:type="dxa"/>
            <w:tcBorders>
              <w:top w:val="single" w:sz="4" w:space="0" w:color="auto"/>
              <w:left w:val="nil"/>
              <w:bottom w:val="single" w:sz="4" w:space="0" w:color="auto"/>
              <w:right w:val="single" w:sz="4" w:space="0" w:color="auto"/>
            </w:tcBorders>
            <w:shd w:val="clear" w:color="000000" w:fill="D9D9D9"/>
            <w:vAlign w:val="center"/>
            <w:hideMark/>
          </w:tcPr>
          <w:p w14:paraId="684C6559" w14:textId="77777777" w:rsidR="00303B90" w:rsidRPr="00892EA3" w:rsidRDefault="00303B90" w:rsidP="00D43B39">
            <w:pPr>
              <w:spacing w:after="0" w:line="240" w:lineRule="auto"/>
              <w:jc w:val="left"/>
              <w:rPr>
                <w:b/>
                <w:bCs/>
                <w:sz w:val="20"/>
                <w:szCs w:val="20"/>
                <w:lang w:eastAsia="fr-FR"/>
              </w:rPr>
            </w:pPr>
            <w:r w:rsidRPr="00892EA3">
              <w:rPr>
                <w:b/>
                <w:bCs/>
                <w:sz w:val="20"/>
                <w:szCs w:val="20"/>
                <w:lang w:eastAsia="fr-FR"/>
              </w:rPr>
              <w:t>Part de porc</w:t>
            </w:r>
          </w:p>
        </w:tc>
        <w:tc>
          <w:tcPr>
            <w:tcW w:w="850" w:type="dxa"/>
            <w:tcBorders>
              <w:top w:val="single" w:sz="4" w:space="0" w:color="auto"/>
              <w:left w:val="nil"/>
              <w:bottom w:val="single" w:sz="4" w:space="0" w:color="auto"/>
              <w:right w:val="single" w:sz="4" w:space="0" w:color="auto"/>
            </w:tcBorders>
            <w:shd w:val="clear" w:color="000000" w:fill="D9D9D9"/>
            <w:vAlign w:val="center"/>
            <w:hideMark/>
          </w:tcPr>
          <w:p w14:paraId="55D8EA76" w14:textId="60986A6D" w:rsidR="00303B90" w:rsidRPr="00892EA3" w:rsidRDefault="00303B90" w:rsidP="00D43B39">
            <w:pPr>
              <w:spacing w:after="0" w:line="240" w:lineRule="auto"/>
              <w:jc w:val="left"/>
              <w:rPr>
                <w:b/>
                <w:bCs/>
                <w:sz w:val="20"/>
                <w:szCs w:val="20"/>
                <w:lang w:eastAsia="fr-FR"/>
              </w:rPr>
            </w:pPr>
            <w:r w:rsidRPr="00892EA3">
              <w:rPr>
                <w:b/>
                <w:bCs/>
                <w:sz w:val="20"/>
                <w:szCs w:val="20"/>
                <w:lang w:eastAsia="fr-FR"/>
              </w:rPr>
              <w:t xml:space="preserve">Est </w:t>
            </w:r>
            <w:r w:rsidR="00D43B39">
              <w:rPr>
                <w:b/>
                <w:bCs/>
                <w:sz w:val="20"/>
                <w:szCs w:val="20"/>
                <w:lang w:eastAsia="fr-FR"/>
              </w:rPr>
              <w:t>v</w:t>
            </w:r>
            <w:r w:rsidRPr="00892EA3">
              <w:rPr>
                <w:b/>
                <w:bCs/>
                <w:sz w:val="20"/>
                <w:szCs w:val="20"/>
                <w:lang w:eastAsia="fr-FR"/>
              </w:rPr>
              <w:t>ol porc</w:t>
            </w:r>
          </w:p>
        </w:tc>
      </w:tr>
      <w:tr w:rsidR="00303B90" w:rsidRPr="008A578B" w14:paraId="220A7C0E" w14:textId="77777777" w:rsidTr="001C4D22">
        <w:trPr>
          <w:trHeight w:val="300"/>
        </w:trPr>
        <w:tc>
          <w:tcPr>
            <w:tcW w:w="14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14A1EDD"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Total</w:t>
            </w:r>
          </w:p>
        </w:tc>
        <w:tc>
          <w:tcPr>
            <w:tcW w:w="850" w:type="dxa"/>
            <w:tcBorders>
              <w:top w:val="nil"/>
              <w:left w:val="nil"/>
              <w:bottom w:val="single" w:sz="4" w:space="0" w:color="auto"/>
              <w:right w:val="single" w:sz="4" w:space="0" w:color="000000"/>
            </w:tcBorders>
            <w:shd w:val="clear" w:color="auto" w:fill="auto"/>
            <w:noWrap/>
            <w:vAlign w:val="center"/>
            <w:hideMark/>
          </w:tcPr>
          <w:p w14:paraId="338EDAAE"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493</w:t>
            </w:r>
          </w:p>
        </w:tc>
        <w:tc>
          <w:tcPr>
            <w:tcW w:w="1134" w:type="dxa"/>
            <w:tcBorders>
              <w:top w:val="nil"/>
              <w:left w:val="nil"/>
              <w:bottom w:val="single" w:sz="4" w:space="0" w:color="auto"/>
              <w:right w:val="single" w:sz="4" w:space="0" w:color="000000"/>
            </w:tcBorders>
            <w:shd w:val="clear" w:color="auto" w:fill="auto"/>
            <w:noWrap/>
            <w:vAlign w:val="center"/>
            <w:hideMark/>
          </w:tcPr>
          <w:p w14:paraId="0A680940"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78</w:t>
            </w:r>
          </w:p>
        </w:tc>
        <w:tc>
          <w:tcPr>
            <w:tcW w:w="993" w:type="dxa"/>
            <w:tcBorders>
              <w:top w:val="nil"/>
              <w:left w:val="nil"/>
              <w:bottom w:val="single" w:sz="4" w:space="0" w:color="auto"/>
              <w:right w:val="single" w:sz="4" w:space="0" w:color="000000"/>
            </w:tcBorders>
            <w:shd w:val="clear" w:color="auto" w:fill="auto"/>
            <w:noWrap/>
            <w:vAlign w:val="center"/>
            <w:hideMark/>
          </w:tcPr>
          <w:p w14:paraId="54378D07"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210</w:t>
            </w:r>
          </w:p>
        </w:tc>
        <w:tc>
          <w:tcPr>
            <w:tcW w:w="992" w:type="dxa"/>
            <w:tcBorders>
              <w:top w:val="nil"/>
              <w:left w:val="nil"/>
              <w:bottom w:val="single" w:sz="4" w:space="0" w:color="auto"/>
              <w:right w:val="single" w:sz="4" w:space="0" w:color="000000"/>
            </w:tcBorders>
            <w:shd w:val="clear" w:color="auto" w:fill="auto"/>
            <w:noWrap/>
            <w:vAlign w:val="center"/>
            <w:hideMark/>
          </w:tcPr>
          <w:p w14:paraId="722A28E5"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779</w:t>
            </w:r>
          </w:p>
        </w:tc>
        <w:tc>
          <w:tcPr>
            <w:tcW w:w="1417" w:type="dxa"/>
            <w:tcBorders>
              <w:top w:val="nil"/>
              <w:left w:val="nil"/>
              <w:bottom w:val="single" w:sz="4" w:space="0" w:color="auto"/>
              <w:right w:val="single" w:sz="4" w:space="0" w:color="000000"/>
            </w:tcBorders>
            <w:shd w:val="clear" w:color="auto" w:fill="auto"/>
            <w:noWrap/>
            <w:vAlign w:val="center"/>
            <w:hideMark/>
          </w:tcPr>
          <w:p w14:paraId="566FD3D9"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30%</w:t>
            </w:r>
          </w:p>
        </w:tc>
        <w:tc>
          <w:tcPr>
            <w:tcW w:w="1134" w:type="dxa"/>
            <w:tcBorders>
              <w:top w:val="single" w:sz="4" w:space="0" w:color="auto"/>
              <w:left w:val="nil"/>
              <w:bottom w:val="single" w:sz="4" w:space="0" w:color="auto"/>
              <w:right w:val="nil"/>
            </w:tcBorders>
            <w:shd w:val="clear" w:color="auto" w:fill="auto"/>
            <w:noWrap/>
            <w:vAlign w:val="center"/>
            <w:hideMark/>
          </w:tcPr>
          <w:p w14:paraId="1B1F1303"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23%</w:t>
            </w:r>
          </w:p>
        </w:tc>
        <w:tc>
          <w:tcPr>
            <w:tcW w:w="85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2291224"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4CA99D75"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54</w:t>
            </w:r>
          </w:p>
        </w:tc>
      </w:tr>
      <w:tr w:rsidR="00303B90" w:rsidRPr="008A578B" w14:paraId="00C8794F"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D9D9D9" w:fill="D9D9D9"/>
            <w:noWrap/>
            <w:vAlign w:val="center"/>
            <w:hideMark/>
          </w:tcPr>
          <w:p w14:paraId="0745E3CE"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 xml:space="preserve">Charcuterie Pâtissière </w:t>
            </w:r>
          </w:p>
        </w:tc>
        <w:tc>
          <w:tcPr>
            <w:tcW w:w="850" w:type="dxa"/>
            <w:tcBorders>
              <w:top w:val="nil"/>
              <w:left w:val="nil"/>
              <w:bottom w:val="single" w:sz="4" w:space="0" w:color="000000"/>
              <w:right w:val="single" w:sz="4" w:space="0" w:color="000000"/>
            </w:tcBorders>
            <w:shd w:val="clear" w:color="D9D9D9" w:fill="D9D9D9"/>
            <w:noWrap/>
            <w:vAlign w:val="center"/>
            <w:hideMark/>
          </w:tcPr>
          <w:p w14:paraId="1F410A96" w14:textId="77777777" w:rsidR="00303B90" w:rsidRPr="00892EA3" w:rsidRDefault="00303B90" w:rsidP="0002537E">
            <w:pPr>
              <w:spacing w:after="0" w:line="240" w:lineRule="auto"/>
              <w:rPr>
                <w:sz w:val="20"/>
                <w:szCs w:val="20"/>
                <w:lang w:eastAsia="fr-FR"/>
              </w:rPr>
            </w:pPr>
            <w:r w:rsidRPr="00892EA3">
              <w:rPr>
                <w:sz w:val="20"/>
                <w:szCs w:val="20"/>
                <w:lang w:eastAsia="fr-FR"/>
              </w:rPr>
              <w:t>35</w:t>
            </w:r>
          </w:p>
        </w:tc>
        <w:tc>
          <w:tcPr>
            <w:tcW w:w="1134" w:type="dxa"/>
            <w:tcBorders>
              <w:top w:val="nil"/>
              <w:left w:val="nil"/>
              <w:bottom w:val="single" w:sz="4" w:space="0" w:color="000000"/>
              <w:right w:val="single" w:sz="4" w:space="0" w:color="000000"/>
            </w:tcBorders>
            <w:shd w:val="clear" w:color="D9D9D9" w:fill="D9D9D9"/>
            <w:noWrap/>
            <w:vAlign w:val="center"/>
            <w:hideMark/>
          </w:tcPr>
          <w:p w14:paraId="1D3FF18A" w14:textId="77777777" w:rsidR="00303B90" w:rsidRPr="00892EA3" w:rsidRDefault="00303B90" w:rsidP="0002537E">
            <w:pPr>
              <w:spacing w:after="0" w:line="240" w:lineRule="auto"/>
              <w:rPr>
                <w:sz w:val="20"/>
                <w:szCs w:val="20"/>
                <w:lang w:eastAsia="fr-FR"/>
              </w:rPr>
            </w:pPr>
            <w:r w:rsidRPr="00892EA3">
              <w:rPr>
                <w:sz w:val="20"/>
                <w:szCs w:val="20"/>
                <w:lang w:eastAsia="fr-FR"/>
              </w:rPr>
              <w:t>_</w:t>
            </w:r>
          </w:p>
        </w:tc>
        <w:tc>
          <w:tcPr>
            <w:tcW w:w="993" w:type="dxa"/>
            <w:tcBorders>
              <w:top w:val="nil"/>
              <w:left w:val="nil"/>
              <w:bottom w:val="single" w:sz="4" w:space="0" w:color="000000"/>
              <w:right w:val="single" w:sz="4" w:space="0" w:color="000000"/>
            </w:tcBorders>
            <w:shd w:val="clear" w:color="D9D9D9" w:fill="D9D9D9"/>
            <w:noWrap/>
            <w:vAlign w:val="center"/>
            <w:hideMark/>
          </w:tcPr>
          <w:p w14:paraId="3921F4D4" w14:textId="77777777" w:rsidR="00303B90" w:rsidRPr="00892EA3" w:rsidRDefault="00303B90" w:rsidP="0002537E">
            <w:pPr>
              <w:spacing w:after="0" w:line="240" w:lineRule="auto"/>
              <w:rPr>
                <w:sz w:val="20"/>
                <w:szCs w:val="20"/>
                <w:lang w:eastAsia="fr-FR"/>
              </w:rPr>
            </w:pPr>
            <w:r w:rsidRPr="00892EA3">
              <w:rPr>
                <w:sz w:val="20"/>
                <w:szCs w:val="20"/>
                <w:lang w:eastAsia="fr-FR"/>
              </w:rPr>
              <w:t>7</w:t>
            </w:r>
          </w:p>
        </w:tc>
        <w:tc>
          <w:tcPr>
            <w:tcW w:w="992" w:type="dxa"/>
            <w:tcBorders>
              <w:top w:val="nil"/>
              <w:left w:val="nil"/>
              <w:bottom w:val="single" w:sz="4" w:space="0" w:color="000000"/>
              <w:right w:val="single" w:sz="4" w:space="0" w:color="000000"/>
            </w:tcBorders>
            <w:shd w:val="clear" w:color="D9D9D9" w:fill="D9D9D9"/>
            <w:noWrap/>
            <w:vAlign w:val="center"/>
            <w:hideMark/>
          </w:tcPr>
          <w:p w14:paraId="66BA3D9C" w14:textId="77777777" w:rsidR="00303B90" w:rsidRPr="00892EA3" w:rsidRDefault="00303B90" w:rsidP="0002537E">
            <w:pPr>
              <w:spacing w:after="0" w:line="240" w:lineRule="auto"/>
              <w:rPr>
                <w:sz w:val="20"/>
                <w:szCs w:val="20"/>
                <w:lang w:eastAsia="fr-FR"/>
              </w:rPr>
            </w:pPr>
            <w:r w:rsidRPr="00892EA3">
              <w:rPr>
                <w:sz w:val="20"/>
                <w:szCs w:val="20"/>
                <w:lang w:eastAsia="fr-FR"/>
              </w:rPr>
              <w:t>42</w:t>
            </w:r>
          </w:p>
        </w:tc>
        <w:tc>
          <w:tcPr>
            <w:tcW w:w="1417" w:type="dxa"/>
            <w:tcBorders>
              <w:top w:val="nil"/>
              <w:left w:val="nil"/>
              <w:bottom w:val="single" w:sz="4" w:space="0" w:color="000000"/>
              <w:right w:val="single" w:sz="4" w:space="0" w:color="000000"/>
            </w:tcBorders>
            <w:shd w:val="clear" w:color="D9D9D9" w:fill="D9D9D9"/>
            <w:noWrap/>
            <w:vAlign w:val="center"/>
            <w:hideMark/>
          </w:tcPr>
          <w:p w14:paraId="11DA6649" w14:textId="77777777" w:rsidR="00303B90" w:rsidRPr="00892EA3" w:rsidRDefault="00303B90" w:rsidP="0002537E">
            <w:pPr>
              <w:spacing w:after="0" w:line="240" w:lineRule="auto"/>
              <w:rPr>
                <w:sz w:val="20"/>
                <w:szCs w:val="20"/>
                <w:lang w:eastAsia="fr-FR"/>
              </w:rPr>
            </w:pPr>
            <w:r w:rsidRPr="00892EA3">
              <w:rPr>
                <w:sz w:val="20"/>
                <w:szCs w:val="20"/>
                <w:lang w:eastAsia="fr-FR"/>
              </w:rPr>
              <w:t>40%</w:t>
            </w:r>
          </w:p>
        </w:tc>
        <w:tc>
          <w:tcPr>
            <w:tcW w:w="1134" w:type="dxa"/>
            <w:tcBorders>
              <w:top w:val="nil"/>
              <w:left w:val="nil"/>
              <w:bottom w:val="single" w:sz="4" w:space="0" w:color="000000"/>
              <w:right w:val="single" w:sz="4" w:space="0" w:color="000000"/>
            </w:tcBorders>
            <w:shd w:val="clear" w:color="D9D9D9" w:fill="D9D9D9"/>
            <w:noWrap/>
            <w:vAlign w:val="center"/>
            <w:hideMark/>
          </w:tcPr>
          <w:p w14:paraId="0292C57B" w14:textId="77777777" w:rsidR="00303B90" w:rsidRPr="00892EA3" w:rsidRDefault="00303B90" w:rsidP="0002537E">
            <w:pPr>
              <w:spacing w:after="0" w:line="240" w:lineRule="auto"/>
              <w:rPr>
                <w:sz w:val="20"/>
                <w:szCs w:val="20"/>
                <w:lang w:eastAsia="fr-FR"/>
              </w:rPr>
            </w:pPr>
            <w:r w:rsidRPr="00892EA3">
              <w:rPr>
                <w:sz w:val="20"/>
                <w:szCs w:val="20"/>
                <w:lang w:eastAsia="fr-FR"/>
              </w:rPr>
              <w:t>30%</w:t>
            </w:r>
          </w:p>
        </w:tc>
        <w:tc>
          <w:tcPr>
            <w:tcW w:w="851" w:type="dxa"/>
            <w:tcBorders>
              <w:top w:val="nil"/>
              <w:left w:val="nil"/>
              <w:bottom w:val="single" w:sz="4" w:space="0" w:color="000000"/>
              <w:right w:val="single" w:sz="4" w:space="0" w:color="000000"/>
            </w:tcBorders>
            <w:shd w:val="clear" w:color="D9D9D9" w:fill="D9D9D9"/>
            <w:noWrap/>
            <w:vAlign w:val="center"/>
            <w:hideMark/>
          </w:tcPr>
          <w:p w14:paraId="53AEB3AF" w14:textId="77777777" w:rsidR="00303B90" w:rsidRPr="00892EA3" w:rsidRDefault="00303B90" w:rsidP="0002537E">
            <w:pPr>
              <w:spacing w:after="0" w:line="240" w:lineRule="auto"/>
              <w:rPr>
                <w:sz w:val="20"/>
                <w:szCs w:val="20"/>
                <w:lang w:eastAsia="fr-FR"/>
              </w:rPr>
            </w:pPr>
            <w:r w:rsidRPr="00892EA3">
              <w:rPr>
                <w:sz w:val="20"/>
                <w:szCs w:val="20"/>
                <w:lang w:eastAsia="fr-FR"/>
              </w:rPr>
              <w:t>5%</w:t>
            </w:r>
          </w:p>
        </w:tc>
        <w:tc>
          <w:tcPr>
            <w:tcW w:w="850" w:type="dxa"/>
            <w:tcBorders>
              <w:top w:val="nil"/>
              <w:left w:val="nil"/>
              <w:bottom w:val="single" w:sz="4" w:space="0" w:color="000000"/>
              <w:right w:val="single" w:sz="4" w:space="0" w:color="000000"/>
            </w:tcBorders>
            <w:shd w:val="clear" w:color="D9D9D9" w:fill="D9D9D9"/>
            <w:noWrap/>
            <w:vAlign w:val="center"/>
            <w:hideMark/>
          </w:tcPr>
          <w:p w14:paraId="70301CA9" w14:textId="77777777" w:rsidR="00303B90" w:rsidRPr="00892EA3" w:rsidRDefault="00303B90" w:rsidP="0002537E">
            <w:pPr>
              <w:spacing w:after="0" w:line="240" w:lineRule="auto"/>
              <w:rPr>
                <w:sz w:val="20"/>
                <w:szCs w:val="20"/>
                <w:lang w:eastAsia="fr-FR"/>
              </w:rPr>
            </w:pPr>
            <w:r w:rsidRPr="00892EA3">
              <w:rPr>
                <w:sz w:val="20"/>
                <w:szCs w:val="20"/>
                <w:lang w:eastAsia="fr-FR"/>
              </w:rPr>
              <w:t>5</w:t>
            </w:r>
          </w:p>
        </w:tc>
      </w:tr>
      <w:tr w:rsidR="00303B90" w:rsidRPr="008A578B" w14:paraId="635DC37A" w14:textId="77777777" w:rsidTr="001C4D22">
        <w:trPr>
          <w:trHeight w:val="510"/>
        </w:trPr>
        <w:tc>
          <w:tcPr>
            <w:tcW w:w="1413" w:type="dxa"/>
            <w:tcBorders>
              <w:top w:val="nil"/>
              <w:left w:val="single" w:sz="4" w:space="0" w:color="000000"/>
              <w:bottom w:val="single" w:sz="4" w:space="0" w:color="000000"/>
              <w:right w:val="single" w:sz="4" w:space="0" w:color="000000"/>
            </w:tcBorders>
            <w:shd w:val="clear" w:color="auto" w:fill="auto"/>
            <w:vAlign w:val="center"/>
            <w:hideMark/>
          </w:tcPr>
          <w:p w14:paraId="25E26D32"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Pizzas, quiches tartes tourtes, Galettes</w:t>
            </w:r>
          </w:p>
        </w:tc>
        <w:tc>
          <w:tcPr>
            <w:tcW w:w="850" w:type="dxa"/>
            <w:tcBorders>
              <w:top w:val="nil"/>
              <w:left w:val="nil"/>
              <w:bottom w:val="single" w:sz="4" w:space="0" w:color="000000"/>
              <w:right w:val="single" w:sz="4" w:space="0" w:color="000000"/>
            </w:tcBorders>
            <w:shd w:val="clear" w:color="auto" w:fill="auto"/>
            <w:noWrap/>
            <w:vAlign w:val="center"/>
            <w:hideMark/>
          </w:tcPr>
          <w:p w14:paraId="7A83D20E" w14:textId="77777777" w:rsidR="00303B90" w:rsidRPr="00892EA3" w:rsidRDefault="00303B90" w:rsidP="0002537E">
            <w:pPr>
              <w:spacing w:after="0" w:line="240" w:lineRule="auto"/>
              <w:rPr>
                <w:sz w:val="20"/>
                <w:szCs w:val="20"/>
                <w:lang w:eastAsia="fr-FR"/>
              </w:rPr>
            </w:pPr>
            <w:r w:rsidRPr="00892EA3">
              <w:rPr>
                <w:sz w:val="20"/>
                <w:szCs w:val="20"/>
                <w:lang w:eastAsia="fr-FR"/>
              </w:rPr>
              <w:t>65</w:t>
            </w:r>
          </w:p>
        </w:tc>
        <w:tc>
          <w:tcPr>
            <w:tcW w:w="1134" w:type="dxa"/>
            <w:tcBorders>
              <w:top w:val="nil"/>
              <w:left w:val="nil"/>
              <w:bottom w:val="single" w:sz="4" w:space="0" w:color="000000"/>
              <w:right w:val="single" w:sz="4" w:space="0" w:color="000000"/>
            </w:tcBorders>
            <w:shd w:val="clear" w:color="auto" w:fill="auto"/>
            <w:noWrap/>
            <w:vAlign w:val="center"/>
            <w:hideMark/>
          </w:tcPr>
          <w:p w14:paraId="2E1E65F3" w14:textId="77777777" w:rsidR="00303B90" w:rsidRPr="00892EA3" w:rsidRDefault="00303B90" w:rsidP="0002537E">
            <w:pPr>
              <w:spacing w:after="0" w:line="240" w:lineRule="auto"/>
              <w:rPr>
                <w:sz w:val="20"/>
                <w:szCs w:val="20"/>
                <w:lang w:eastAsia="fr-FR"/>
              </w:rPr>
            </w:pPr>
            <w:r w:rsidRPr="00892EA3">
              <w:rPr>
                <w:sz w:val="20"/>
                <w:szCs w:val="20"/>
                <w:lang w:eastAsia="fr-FR"/>
              </w:rPr>
              <w:t>80%</w:t>
            </w:r>
          </w:p>
        </w:tc>
        <w:tc>
          <w:tcPr>
            <w:tcW w:w="993" w:type="dxa"/>
            <w:tcBorders>
              <w:top w:val="nil"/>
              <w:left w:val="nil"/>
              <w:bottom w:val="single" w:sz="4" w:space="0" w:color="000000"/>
              <w:right w:val="single" w:sz="4" w:space="0" w:color="000000"/>
            </w:tcBorders>
            <w:shd w:val="clear" w:color="auto" w:fill="auto"/>
            <w:noWrap/>
            <w:vAlign w:val="center"/>
            <w:hideMark/>
          </w:tcPr>
          <w:p w14:paraId="5F39EB13" w14:textId="77777777" w:rsidR="00303B90" w:rsidRPr="00892EA3" w:rsidRDefault="00303B90" w:rsidP="0002537E">
            <w:pPr>
              <w:spacing w:after="0" w:line="240" w:lineRule="auto"/>
              <w:rPr>
                <w:sz w:val="20"/>
                <w:szCs w:val="20"/>
                <w:lang w:eastAsia="fr-FR"/>
              </w:rPr>
            </w:pPr>
            <w:r w:rsidRPr="00892EA3">
              <w:rPr>
                <w:sz w:val="20"/>
                <w:szCs w:val="20"/>
                <w:lang w:eastAsia="fr-FR"/>
              </w:rPr>
              <w:t>50</w:t>
            </w:r>
          </w:p>
        </w:tc>
        <w:tc>
          <w:tcPr>
            <w:tcW w:w="992" w:type="dxa"/>
            <w:tcBorders>
              <w:top w:val="nil"/>
              <w:left w:val="nil"/>
              <w:bottom w:val="single" w:sz="4" w:space="0" w:color="000000"/>
              <w:right w:val="single" w:sz="4" w:space="0" w:color="000000"/>
            </w:tcBorders>
            <w:shd w:val="clear" w:color="auto" w:fill="auto"/>
            <w:noWrap/>
            <w:vAlign w:val="center"/>
            <w:hideMark/>
          </w:tcPr>
          <w:p w14:paraId="4BFC22E6" w14:textId="77777777" w:rsidR="00303B90" w:rsidRPr="00892EA3" w:rsidRDefault="00303B90" w:rsidP="0002537E">
            <w:pPr>
              <w:spacing w:after="0" w:line="240" w:lineRule="auto"/>
              <w:rPr>
                <w:sz w:val="20"/>
                <w:szCs w:val="20"/>
                <w:lang w:eastAsia="fr-FR"/>
              </w:rPr>
            </w:pPr>
            <w:r w:rsidRPr="00892EA3">
              <w:rPr>
                <w:sz w:val="20"/>
                <w:szCs w:val="20"/>
                <w:lang w:eastAsia="fr-FR"/>
              </w:rPr>
              <w:t>115</w:t>
            </w:r>
          </w:p>
        </w:tc>
        <w:tc>
          <w:tcPr>
            <w:tcW w:w="1417" w:type="dxa"/>
            <w:tcBorders>
              <w:top w:val="nil"/>
              <w:left w:val="nil"/>
              <w:bottom w:val="single" w:sz="4" w:space="0" w:color="000000"/>
              <w:right w:val="single" w:sz="4" w:space="0" w:color="000000"/>
            </w:tcBorders>
            <w:shd w:val="clear" w:color="auto" w:fill="auto"/>
            <w:noWrap/>
            <w:vAlign w:val="center"/>
            <w:hideMark/>
          </w:tcPr>
          <w:p w14:paraId="22D3BA15" w14:textId="77777777" w:rsidR="00303B90" w:rsidRPr="00892EA3" w:rsidRDefault="00303B90" w:rsidP="0002537E">
            <w:pPr>
              <w:spacing w:after="0" w:line="240" w:lineRule="auto"/>
              <w:rPr>
                <w:sz w:val="20"/>
                <w:szCs w:val="20"/>
                <w:lang w:eastAsia="fr-FR"/>
              </w:rPr>
            </w:pPr>
            <w:r w:rsidRPr="00892EA3">
              <w:rPr>
                <w:sz w:val="20"/>
                <w:szCs w:val="20"/>
                <w:lang w:eastAsia="fr-FR"/>
              </w:rPr>
              <w:t>40%</w:t>
            </w:r>
          </w:p>
        </w:tc>
        <w:tc>
          <w:tcPr>
            <w:tcW w:w="1134" w:type="dxa"/>
            <w:tcBorders>
              <w:top w:val="nil"/>
              <w:left w:val="nil"/>
              <w:bottom w:val="single" w:sz="4" w:space="0" w:color="000000"/>
              <w:right w:val="single" w:sz="4" w:space="0" w:color="000000"/>
            </w:tcBorders>
            <w:shd w:val="clear" w:color="auto" w:fill="auto"/>
            <w:noWrap/>
            <w:vAlign w:val="center"/>
            <w:hideMark/>
          </w:tcPr>
          <w:p w14:paraId="2F967A04" w14:textId="77777777" w:rsidR="00303B90" w:rsidRPr="00892EA3" w:rsidRDefault="00303B90" w:rsidP="0002537E">
            <w:pPr>
              <w:spacing w:after="0" w:line="240" w:lineRule="auto"/>
              <w:rPr>
                <w:sz w:val="20"/>
                <w:szCs w:val="20"/>
                <w:lang w:eastAsia="fr-FR"/>
              </w:rPr>
            </w:pPr>
            <w:r w:rsidRPr="00892EA3">
              <w:rPr>
                <w:sz w:val="20"/>
                <w:szCs w:val="20"/>
                <w:lang w:eastAsia="fr-FR"/>
              </w:rPr>
              <w:t>15%</w:t>
            </w:r>
          </w:p>
        </w:tc>
        <w:tc>
          <w:tcPr>
            <w:tcW w:w="851" w:type="dxa"/>
            <w:tcBorders>
              <w:top w:val="nil"/>
              <w:left w:val="nil"/>
              <w:bottom w:val="single" w:sz="4" w:space="0" w:color="000000"/>
              <w:right w:val="single" w:sz="4" w:space="0" w:color="000000"/>
            </w:tcBorders>
            <w:shd w:val="clear" w:color="auto" w:fill="auto"/>
            <w:noWrap/>
            <w:vAlign w:val="center"/>
            <w:hideMark/>
          </w:tcPr>
          <w:p w14:paraId="3AD3C2BF" w14:textId="77777777" w:rsidR="00303B90" w:rsidRPr="00892EA3" w:rsidRDefault="00303B90" w:rsidP="0002537E">
            <w:pPr>
              <w:spacing w:after="0" w:line="240" w:lineRule="auto"/>
              <w:rPr>
                <w:sz w:val="20"/>
                <w:szCs w:val="20"/>
                <w:lang w:eastAsia="fr-FR"/>
              </w:rPr>
            </w:pPr>
            <w:r w:rsidRPr="00892EA3">
              <w:rPr>
                <w:sz w:val="20"/>
                <w:szCs w:val="20"/>
                <w:lang w:eastAsia="fr-FR"/>
              </w:rPr>
              <w:t>2%</w:t>
            </w:r>
          </w:p>
        </w:tc>
        <w:tc>
          <w:tcPr>
            <w:tcW w:w="850" w:type="dxa"/>
            <w:tcBorders>
              <w:top w:val="nil"/>
              <w:left w:val="nil"/>
              <w:bottom w:val="single" w:sz="4" w:space="0" w:color="000000"/>
              <w:right w:val="single" w:sz="4" w:space="0" w:color="000000"/>
            </w:tcBorders>
            <w:shd w:val="clear" w:color="auto" w:fill="auto"/>
            <w:noWrap/>
            <w:vAlign w:val="center"/>
            <w:hideMark/>
          </w:tcPr>
          <w:p w14:paraId="68E2E450" w14:textId="77777777" w:rsidR="00303B90" w:rsidRPr="00892EA3" w:rsidRDefault="00303B90" w:rsidP="0002537E">
            <w:pPr>
              <w:spacing w:after="0" w:line="240" w:lineRule="auto"/>
              <w:rPr>
                <w:sz w:val="20"/>
                <w:szCs w:val="20"/>
                <w:lang w:eastAsia="fr-FR"/>
              </w:rPr>
            </w:pPr>
            <w:r w:rsidRPr="00892EA3">
              <w:rPr>
                <w:sz w:val="20"/>
                <w:szCs w:val="20"/>
                <w:lang w:eastAsia="fr-FR"/>
              </w:rPr>
              <w:t>7</w:t>
            </w:r>
          </w:p>
        </w:tc>
      </w:tr>
      <w:tr w:rsidR="00303B90" w:rsidRPr="008A578B" w14:paraId="5B39B299"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D9D9D9" w:fill="D9D9D9"/>
            <w:noWrap/>
            <w:vAlign w:val="center"/>
            <w:hideMark/>
          </w:tcPr>
          <w:p w14:paraId="1F21072C"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Plats cuisinés</w:t>
            </w:r>
          </w:p>
        </w:tc>
        <w:tc>
          <w:tcPr>
            <w:tcW w:w="850" w:type="dxa"/>
            <w:tcBorders>
              <w:top w:val="nil"/>
              <w:left w:val="nil"/>
              <w:bottom w:val="single" w:sz="4" w:space="0" w:color="000000"/>
              <w:right w:val="single" w:sz="4" w:space="0" w:color="000000"/>
            </w:tcBorders>
            <w:shd w:val="clear" w:color="D9D9D9" w:fill="D9D9D9"/>
            <w:noWrap/>
            <w:vAlign w:val="center"/>
            <w:hideMark/>
          </w:tcPr>
          <w:p w14:paraId="511CF362" w14:textId="77777777" w:rsidR="00303B90" w:rsidRPr="00892EA3" w:rsidRDefault="00303B90" w:rsidP="0002537E">
            <w:pPr>
              <w:spacing w:after="0" w:line="240" w:lineRule="auto"/>
              <w:rPr>
                <w:sz w:val="20"/>
                <w:szCs w:val="20"/>
                <w:lang w:eastAsia="fr-FR"/>
              </w:rPr>
            </w:pPr>
            <w:r w:rsidRPr="00892EA3">
              <w:rPr>
                <w:sz w:val="20"/>
                <w:szCs w:val="20"/>
                <w:lang w:eastAsia="fr-FR"/>
              </w:rPr>
              <w:t>22</w:t>
            </w:r>
          </w:p>
        </w:tc>
        <w:tc>
          <w:tcPr>
            <w:tcW w:w="1134" w:type="dxa"/>
            <w:tcBorders>
              <w:top w:val="nil"/>
              <w:left w:val="nil"/>
              <w:bottom w:val="single" w:sz="4" w:space="0" w:color="000000"/>
              <w:right w:val="single" w:sz="4" w:space="0" w:color="000000"/>
            </w:tcBorders>
            <w:shd w:val="clear" w:color="D9D9D9" w:fill="D9D9D9"/>
            <w:noWrap/>
            <w:vAlign w:val="center"/>
            <w:hideMark/>
          </w:tcPr>
          <w:p w14:paraId="5EB1CC9E" w14:textId="77777777" w:rsidR="00303B90" w:rsidRPr="00892EA3" w:rsidRDefault="00303B90" w:rsidP="0002537E">
            <w:pPr>
              <w:spacing w:after="0" w:line="240" w:lineRule="auto"/>
              <w:rPr>
                <w:sz w:val="20"/>
                <w:szCs w:val="20"/>
                <w:lang w:eastAsia="fr-FR"/>
              </w:rPr>
            </w:pPr>
            <w:r w:rsidRPr="00892EA3">
              <w:rPr>
                <w:sz w:val="20"/>
                <w:szCs w:val="20"/>
                <w:lang w:eastAsia="fr-FR"/>
              </w:rPr>
              <w:t>75,7</w:t>
            </w:r>
          </w:p>
        </w:tc>
        <w:tc>
          <w:tcPr>
            <w:tcW w:w="993" w:type="dxa"/>
            <w:tcBorders>
              <w:top w:val="nil"/>
              <w:left w:val="nil"/>
              <w:bottom w:val="single" w:sz="4" w:space="0" w:color="000000"/>
              <w:right w:val="single" w:sz="4" w:space="0" w:color="000000"/>
            </w:tcBorders>
            <w:shd w:val="clear" w:color="D9D9D9" w:fill="D9D9D9"/>
            <w:noWrap/>
            <w:vAlign w:val="center"/>
            <w:hideMark/>
          </w:tcPr>
          <w:p w14:paraId="6603B751" w14:textId="77777777" w:rsidR="00303B90" w:rsidRPr="00892EA3" w:rsidRDefault="00303B90" w:rsidP="0002537E">
            <w:pPr>
              <w:spacing w:after="0" w:line="240" w:lineRule="auto"/>
              <w:rPr>
                <w:sz w:val="20"/>
                <w:szCs w:val="20"/>
                <w:lang w:eastAsia="fr-FR"/>
              </w:rPr>
            </w:pPr>
            <w:r w:rsidRPr="00892EA3">
              <w:rPr>
                <w:sz w:val="20"/>
                <w:szCs w:val="20"/>
                <w:lang w:eastAsia="fr-FR"/>
              </w:rPr>
              <w:t>130</w:t>
            </w:r>
          </w:p>
        </w:tc>
        <w:tc>
          <w:tcPr>
            <w:tcW w:w="992" w:type="dxa"/>
            <w:tcBorders>
              <w:top w:val="nil"/>
              <w:left w:val="nil"/>
              <w:bottom w:val="single" w:sz="4" w:space="0" w:color="000000"/>
              <w:right w:val="single" w:sz="4" w:space="0" w:color="000000"/>
            </w:tcBorders>
            <w:shd w:val="clear" w:color="D9D9D9" w:fill="D9D9D9"/>
            <w:noWrap/>
            <w:vAlign w:val="center"/>
            <w:hideMark/>
          </w:tcPr>
          <w:p w14:paraId="379C8A2C" w14:textId="77777777" w:rsidR="00303B90" w:rsidRPr="00892EA3" w:rsidRDefault="00303B90" w:rsidP="0002537E">
            <w:pPr>
              <w:spacing w:after="0" w:line="240" w:lineRule="auto"/>
              <w:rPr>
                <w:sz w:val="20"/>
                <w:szCs w:val="20"/>
                <w:lang w:eastAsia="fr-FR"/>
              </w:rPr>
            </w:pPr>
            <w:r w:rsidRPr="00892EA3">
              <w:rPr>
                <w:sz w:val="20"/>
                <w:szCs w:val="20"/>
                <w:lang w:eastAsia="fr-FR"/>
              </w:rPr>
              <w:t>228</w:t>
            </w:r>
          </w:p>
        </w:tc>
        <w:tc>
          <w:tcPr>
            <w:tcW w:w="1417" w:type="dxa"/>
            <w:tcBorders>
              <w:top w:val="nil"/>
              <w:left w:val="nil"/>
              <w:bottom w:val="single" w:sz="4" w:space="0" w:color="000000"/>
              <w:right w:val="single" w:sz="4" w:space="0" w:color="000000"/>
            </w:tcBorders>
            <w:shd w:val="clear" w:color="D9D9D9" w:fill="D9D9D9"/>
            <w:noWrap/>
            <w:vAlign w:val="center"/>
            <w:hideMark/>
          </w:tcPr>
          <w:p w14:paraId="0B6D9B78" w14:textId="77777777" w:rsidR="00303B90" w:rsidRPr="00892EA3" w:rsidRDefault="00303B90" w:rsidP="0002537E">
            <w:pPr>
              <w:spacing w:after="0" w:line="240" w:lineRule="auto"/>
              <w:rPr>
                <w:sz w:val="20"/>
                <w:szCs w:val="20"/>
                <w:lang w:eastAsia="fr-FR"/>
              </w:rPr>
            </w:pPr>
            <w:r w:rsidRPr="00892EA3">
              <w:rPr>
                <w:sz w:val="20"/>
                <w:szCs w:val="20"/>
                <w:lang w:eastAsia="fr-FR"/>
              </w:rPr>
              <w:t>47%</w:t>
            </w:r>
          </w:p>
        </w:tc>
        <w:tc>
          <w:tcPr>
            <w:tcW w:w="1134" w:type="dxa"/>
            <w:tcBorders>
              <w:top w:val="nil"/>
              <w:left w:val="nil"/>
              <w:bottom w:val="single" w:sz="4" w:space="0" w:color="000000"/>
              <w:right w:val="single" w:sz="4" w:space="0" w:color="000000"/>
            </w:tcBorders>
            <w:shd w:val="clear" w:color="D9D9D9" w:fill="D9D9D9"/>
            <w:noWrap/>
            <w:vAlign w:val="center"/>
            <w:hideMark/>
          </w:tcPr>
          <w:p w14:paraId="06F20A23" w14:textId="77777777" w:rsidR="00303B90" w:rsidRPr="00892EA3" w:rsidRDefault="00303B90" w:rsidP="0002537E">
            <w:pPr>
              <w:spacing w:after="0" w:line="240" w:lineRule="auto"/>
              <w:rPr>
                <w:sz w:val="20"/>
                <w:szCs w:val="20"/>
                <w:lang w:eastAsia="fr-FR"/>
              </w:rPr>
            </w:pPr>
            <w:r w:rsidRPr="00892EA3">
              <w:rPr>
                <w:sz w:val="20"/>
                <w:szCs w:val="20"/>
                <w:lang w:eastAsia="fr-FR"/>
              </w:rPr>
              <w:t>30%</w:t>
            </w:r>
          </w:p>
        </w:tc>
        <w:tc>
          <w:tcPr>
            <w:tcW w:w="851" w:type="dxa"/>
            <w:tcBorders>
              <w:top w:val="nil"/>
              <w:left w:val="nil"/>
              <w:bottom w:val="single" w:sz="4" w:space="0" w:color="000000"/>
              <w:right w:val="single" w:sz="4" w:space="0" w:color="000000"/>
            </w:tcBorders>
            <w:shd w:val="clear" w:color="D9D9D9" w:fill="D9D9D9"/>
            <w:noWrap/>
            <w:vAlign w:val="center"/>
            <w:hideMark/>
          </w:tcPr>
          <w:p w14:paraId="0E7B9565" w14:textId="77777777" w:rsidR="00303B90" w:rsidRPr="00892EA3" w:rsidRDefault="00303B90" w:rsidP="0002537E">
            <w:pPr>
              <w:spacing w:after="0" w:line="240" w:lineRule="auto"/>
              <w:rPr>
                <w:sz w:val="20"/>
                <w:szCs w:val="20"/>
                <w:lang w:eastAsia="fr-FR"/>
              </w:rPr>
            </w:pPr>
            <w:r w:rsidRPr="00892EA3">
              <w:rPr>
                <w:sz w:val="20"/>
                <w:szCs w:val="20"/>
                <w:lang w:eastAsia="fr-FR"/>
              </w:rPr>
              <w:t>7%</w:t>
            </w:r>
          </w:p>
        </w:tc>
        <w:tc>
          <w:tcPr>
            <w:tcW w:w="850" w:type="dxa"/>
            <w:tcBorders>
              <w:top w:val="nil"/>
              <w:left w:val="nil"/>
              <w:bottom w:val="single" w:sz="4" w:space="0" w:color="000000"/>
              <w:right w:val="single" w:sz="4" w:space="0" w:color="000000"/>
            </w:tcBorders>
            <w:shd w:val="clear" w:color="D9D9D9" w:fill="D9D9D9"/>
            <w:noWrap/>
            <w:vAlign w:val="center"/>
            <w:hideMark/>
          </w:tcPr>
          <w:p w14:paraId="361EEB68" w14:textId="77777777" w:rsidR="00303B90" w:rsidRPr="00892EA3" w:rsidRDefault="00303B90" w:rsidP="0002537E">
            <w:pPr>
              <w:spacing w:after="0" w:line="240" w:lineRule="auto"/>
              <w:rPr>
                <w:sz w:val="20"/>
                <w:szCs w:val="20"/>
                <w:lang w:eastAsia="fr-FR"/>
              </w:rPr>
            </w:pPr>
            <w:r w:rsidRPr="00892EA3">
              <w:rPr>
                <w:sz w:val="20"/>
                <w:szCs w:val="20"/>
                <w:lang w:eastAsia="fr-FR"/>
              </w:rPr>
              <w:t>32</w:t>
            </w:r>
          </w:p>
        </w:tc>
      </w:tr>
      <w:tr w:rsidR="00303B90" w:rsidRPr="008A578B" w14:paraId="38DDEEC1"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auto" w:fill="auto"/>
            <w:noWrap/>
            <w:vAlign w:val="center"/>
            <w:hideMark/>
          </w:tcPr>
          <w:p w14:paraId="4F856BCD"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Pâtes cuisinées</w:t>
            </w:r>
          </w:p>
        </w:tc>
        <w:tc>
          <w:tcPr>
            <w:tcW w:w="850" w:type="dxa"/>
            <w:tcBorders>
              <w:top w:val="nil"/>
              <w:left w:val="nil"/>
              <w:bottom w:val="single" w:sz="4" w:space="0" w:color="000000"/>
              <w:right w:val="single" w:sz="4" w:space="0" w:color="000000"/>
            </w:tcBorders>
            <w:shd w:val="clear" w:color="auto" w:fill="auto"/>
            <w:noWrap/>
            <w:vAlign w:val="center"/>
            <w:hideMark/>
          </w:tcPr>
          <w:p w14:paraId="4C85779B" w14:textId="77777777" w:rsidR="00303B90" w:rsidRPr="00892EA3" w:rsidRDefault="00303B90" w:rsidP="0002537E">
            <w:pPr>
              <w:spacing w:after="0" w:line="240" w:lineRule="auto"/>
              <w:rPr>
                <w:sz w:val="20"/>
                <w:szCs w:val="20"/>
                <w:lang w:eastAsia="fr-FR"/>
              </w:rPr>
            </w:pPr>
            <w:r w:rsidRPr="00892EA3">
              <w:rPr>
                <w:sz w:val="20"/>
                <w:szCs w:val="20"/>
                <w:lang w:eastAsia="fr-FR"/>
              </w:rPr>
              <w:t>79</w:t>
            </w:r>
          </w:p>
        </w:tc>
        <w:tc>
          <w:tcPr>
            <w:tcW w:w="1134" w:type="dxa"/>
            <w:tcBorders>
              <w:top w:val="nil"/>
              <w:left w:val="nil"/>
              <w:bottom w:val="single" w:sz="4" w:space="0" w:color="000000"/>
              <w:right w:val="single" w:sz="4" w:space="0" w:color="000000"/>
            </w:tcBorders>
            <w:shd w:val="clear" w:color="auto" w:fill="auto"/>
            <w:noWrap/>
            <w:vAlign w:val="center"/>
            <w:hideMark/>
          </w:tcPr>
          <w:p w14:paraId="374A50DF" w14:textId="77777777" w:rsidR="00303B90" w:rsidRPr="00892EA3" w:rsidRDefault="00303B90" w:rsidP="0002537E">
            <w:pPr>
              <w:spacing w:after="0" w:line="240" w:lineRule="auto"/>
              <w:rPr>
                <w:sz w:val="20"/>
                <w:szCs w:val="20"/>
                <w:lang w:eastAsia="fr-FR"/>
              </w:rPr>
            </w:pPr>
            <w:r w:rsidRPr="00892EA3">
              <w:rPr>
                <w:sz w:val="20"/>
                <w:szCs w:val="20"/>
                <w:lang w:eastAsia="fr-FR"/>
              </w:rPr>
              <w:t>_</w:t>
            </w:r>
          </w:p>
        </w:tc>
        <w:tc>
          <w:tcPr>
            <w:tcW w:w="993" w:type="dxa"/>
            <w:tcBorders>
              <w:top w:val="nil"/>
              <w:left w:val="nil"/>
              <w:bottom w:val="single" w:sz="4" w:space="0" w:color="000000"/>
              <w:right w:val="single" w:sz="4" w:space="0" w:color="000000"/>
            </w:tcBorders>
            <w:shd w:val="clear" w:color="auto" w:fill="auto"/>
            <w:noWrap/>
            <w:vAlign w:val="center"/>
            <w:hideMark/>
          </w:tcPr>
          <w:p w14:paraId="390D5381" w14:textId="77777777" w:rsidR="00303B90" w:rsidRPr="00892EA3" w:rsidRDefault="00303B90" w:rsidP="0002537E">
            <w:pPr>
              <w:spacing w:after="0" w:line="240" w:lineRule="auto"/>
              <w:rPr>
                <w:sz w:val="20"/>
                <w:szCs w:val="20"/>
                <w:lang w:eastAsia="fr-FR"/>
              </w:rPr>
            </w:pPr>
            <w:r w:rsidRPr="00892EA3">
              <w:rPr>
                <w:sz w:val="20"/>
                <w:szCs w:val="20"/>
                <w:lang w:eastAsia="fr-FR"/>
              </w:rPr>
              <w:t>20</w:t>
            </w:r>
          </w:p>
        </w:tc>
        <w:tc>
          <w:tcPr>
            <w:tcW w:w="992" w:type="dxa"/>
            <w:tcBorders>
              <w:top w:val="nil"/>
              <w:left w:val="nil"/>
              <w:bottom w:val="single" w:sz="4" w:space="0" w:color="000000"/>
              <w:right w:val="single" w:sz="4" w:space="0" w:color="000000"/>
            </w:tcBorders>
            <w:shd w:val="clear" w:color="auto" w:fill="auto"/>
            <w:noWrap/>
            <w:vAlign w:val="center"/>
            <w:hideMark/>
          </w:tcPr>
          <w:p w14:paraId="4F494332" w14:textId="77777777" w:rsidR="00303B90" w:rsidRPr="00892EA3" w:rsidRDefault="00303B90" w:rsidP="0002537E">
            <w:pPr>
              <w:spacing w:after="0" w:line="240" w:lineRule="auto"/>
              <w:rPr>
                <w:sz w:val="20"/>
                <w:szCs w:val="20"/>
                <w:lang w:eastAsia="fr-FR"/>
              </w:rPr>
            </w:pPr>
            <w:r w:rsidRPr="00892EA3">
              <w:rPr>
                <w:sz w:val="20"/>
                <w:szCs w:val="20"/>
                <w:lang w:eastAsia="fr-FR"/>
              </w:rPr>
              <w:t>99</w:t>
            </w:r>
          </w:p>
        </w:tc>
        <w:tc>
          <w:tcPr>
            <w:tcW w:w="1417" w:type="dxa"/>
            <w:tcBorders>
              <w:top w:val="nil"/>
              <w:left w:val="nil"/>
              <w:bottom w:val="single" w:sz="4" w:space="0" w:color="000000"/>
              <w:right w:val="single" w:sz="4" w:space="0" w:color="000000"/>
            </w:tcBorders>
            <w:shd w:val="clear" w:color="auto" w:fill="auto"/>
            <w:noWrap/>
            <w:vAlign w:val="center"/>
            <w:hideMark/>
          </w:tcPr>
          <w:p w14:paraId="48A3AC01" w14:textId="77777777" w:rsidR="00303B90" w:rsidRPr="00892EA3" w:rsidRDefault="00303B90" w:rsidP="0002537E">
            <w:pPr>
              <w:spacing w:after="0" w:line="240" w:lineRule="auto"/>
              <w:rPr>
                <w:sz w:val="20"/>
                <w:szCs w:val="20"/>
                <w:lang w:eastAsia="fr-FR"/>
              </w:rPr>
            </w:pPr>
            <w:r w:rsidRPr="00892EA3">
              <w:rPr>
                <w:sz w:val="20"/>
                <w:szCs w:val="20"/>
                <w:lang w:eastAsia="fr-FR"/>
              </w:rPr>
              <w:t>12%</w:t>
            </w:r>
          </w:p>
        </w:tc>
        <w:tc>
          <w:tcPr>
            <w:tcW w:w="1134" w:type="dxa"/>
            <w:tcBorders>
              <w:top w:val="nil"/>
              <w:left w:val="nil"/>
              <w:bottom w:val="single" w:sz="4" w:space="0" w:color="000000"/>
              <w:right w:val="single" w:sz="4" w:space="0" w:color="000000"/>
            </w:tcBorders>
            <w:shd w:val="clear" w:color="auto" w:fill="auto"/>
            <w:noWrap/>
            <w:vAlign w:val="center"/>
            <w:hideMark/>
          </w:tcPr>
          <w:p w14:paraId="4A0A9035" w14:textId="77777777" w:rsidR="00303B90" w:rsidRPr="00892EA3" w:rsidRDefault="00303B90" w:rsidP="0002537E">
            <w:pPr>
              <w:spacing w:after="0" w:line="240" w:lineRule="auto"/>
              <w:rPr>
                <w:sz w:val="20"/>
                <w:szCs w:val="20"/>
                <w:lang w:eastAsia="fr-FR"/>
              </w:rPr>
            </w:pPr>
            <w:r w:rsidRPr="00892EA3">
              <w:rPr>
                <w:sz w:val="20"/>
                <w:szCs w:val="20"/>
                <w:lang w:eastAsia="fr-FR"/>
              </w:rPr>
              <w:t>12%</w:t>
            </w:r>
          </w:p>
        </w:tc>
        <w:tc>
          <w:tcPr>
            <w:tcW w:w="851" w:type="dxa"/>
            <w:tcBorders>
              <w:top w:val="nil"/>
              <w:left w:val="nil"/>
              <w:bottom w:val="single" w:sz="4" w:space="0" w:color="000000"/>
              <w:right w:val="single" w:sz="4" w:space="0" w:color="000000"/>
            </w:tcBorders>
            <w:shd w:val="clear" w:color="auto" w:fill="auto"/>
            <w:noWrap/>
            <w:vAlign w:val="center"/>
            <w:hideMark/>
          </w:tcPr>
          <w:p w14:paraId="124B2609" w14:textId="77777777" w:rsidR="00303B90" w:rsidRPr="00892EA3" w:rsidRDefault="00303B90" w:rsidP="0002537E">
            <w:pPr>
              <w:spacing w:after="0" w:line="240" w:lineRule="auto"/>
              <w:rPr>
                <w:sz w:val="20"/>
                <w:szCs w:val="20"/>
                <w:lang w:eastAsia="fr-FR"/>
              </w:rPr>
            </w:pPr>
            <w:r w:rsidRPr="00892EA3">
              <w:rPr>
                <w:sz w:val="20"/>
                <w:szCs w:val="20"/>
                <w:lang w:eastAsia="fr-FR"/>
              </w:rPr>
              <w:t>0,2%</w:t>
            </w:r>
          </w:p>
        </w:tc>
        <w:tc>
          <w:tcPr>
            <w:tcW w:w="850" w:type="dxa"/>
            <w:tcBorders>
              <w:top w:val="nil"/>
              <w:left w:val="nil"/>
              <w:bottom w:val="single" w:sz="4" w:space="0" w:color="000000"/>
              <w:right w:val="single" w:sz="4" w:space="0" w:color="000000"/>
            </w:tcBorders>
            <w:shd w:val="clear" w:color="auto" w:fill="auto"/>
            <w:noWrap/>
            <w:vAlign w:val="center"/>
            <w:hideMark/>
          </w:tcPr>
          <w:p w14:paraId="67FEE682" w14:textId="77777777" w:rsidR="00303B90" w:rsidRPr="00892EA3" w:rsidRDefault="00303B90" w:rsidP="0002537E">
            <w:pPr>
              <w:spacing w:after="0" w:line="240" w:lineRule="auto"/>
              <w:rPr>
                <w:sz w:val="20"/>
                <w:szCs w:val="20"/>
                <w:lang w:eastAsia="fr-FR"/>
              </w:rPr>
            </w:pPr>
            <w:r w:rsidRPr="00892EA3">
              <w:rPr>
                <w:sz w:val="20"/>
                <w:szCs w:val="20"/>
                <w:lang w:eastAsia="fr-FR"/>
              </w:rPr>
              <w:t>1</w:t>
            </w:r>
          </w:p>
        </w:tc>
      </w:tr>
      <w:tr w:rsidR="00303B90" w:rsidRPr="008A578B" w14:paraId="2A93ACA4"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D9D9D9" w:fill="D9D9D9"/>
            <w:noWrap/>
            <w:vAlign w:val="center"/>
            <w:hideMark/>
          </w:tcPr>
          <w:p w14:paraId="351D40AC"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Salades</w:t>
            </w:r>
          </w:p>
        </w:tc>
        <w:tc>
          <w:tcPr>
            <w:tcW w:w="850" w:type="dxa"/>
            <w:tcBorders>
              <w:top w:val="nil"/>
              <w:left w:val="nil"/>
              <w:bottom w:val="single" w:sz="4" w:space="0" w:color="000000"/>
              <w:right w:val="single" w:sz="4" w:space="0" w:color="000000"/>
            </w:tcBorders>
            <w:shd w:val="clear" w:color="D9D9D9" w:fill="D9D9D9"/>
            <w:noWrap/>
            <w:vAlign w:val="center"/>
            <w:hideMark/>
          </w:tcPr>
          <w:p w14:paraId="3E46E92A" w14:textId="77777777" w:rsidR="00303B90" w:rsidRPr="00892EA3" w:rsidRDefault="00303B90" w:rsidP="0002537E">
            <w:pPr>
              <w:spacing w:after="0" w:line="240" w:lineRule="auto"/>
              <w:rPr>
                <w:sz w:val="20"/>
                <w:szCs w:val="20"/>
                <w:lang w:eastAsia="fr-FR"/>
              </w:rPr>
            </w:pPr>
            <w:r w:rsidRPr="00892EA3">
              <w:rPr>
                <w:sz w:val="20"/>
                <w:szCs w:val="20"/>
                <w:lang w:eastAsia="fr-FR"/>
              </w:rPr>
              <w:t>227</w:t>
            </w:r>
          </w:p>
        </w:tc>
        <w:tc>
          <w:tcPr>
            <w:tcW w:w="1134" w:type="dxa"/>
            <w:tcBorders>
              <w:top w:val="nil"/>
              <w:left w:val="nil"/>
              <w:bottom w:val="single" w:sz="4" w:space="0" w:color="000000"/>
              <w:right w:val="single" w:sz="4" w:space="0" w:color="000000"/>
            </w:tcBorders>
            <w:shd w:val="clear" w:color="D9D9D9" w:fill="D9D9D9"/>
            <w:noWrap/>
            <w:vAlign w:val="center"/>
            <w:hideMark/>
          </w:tcPr>
          <w:p w14:paraId="416BD290" w14:textId="77777777" w:rsidR="00303B90" w:rsidRPr="00892EA3" w:rsidRDefault="00303B90" w:rsidP="0002537E">
            <w:pPr>
              <w:spacing w:after="0" w:line="240" w:lineRule="auto"/>
              <w:rPr>
                <w:sz w:val="20"/>
                <w:szCs w:val="20"/>
                <w:lang w:eastAsia="fr-FR"/>
              </w:rPr>
            </w:pPr>
            <w:r w:rsidRPr="00892EA3">
              <w:rPr>
                <w:sz w:val="20"/>
                <w:szCs w:val="20"/>
                <w:lang w:eastAsia="fr-FR"/>
              </w:rPr>
              <w:t>1,9</w:t>
            </w:r>
          </w:p>
        </w:tc>
        <w:tc>
          <w:tcPr>
            <w:tcW w:w="993" w:type="dxa"/>
            <w:tcBorders>
              <w:top w:val="nil"/>
              <w:left w:val="nil"/>
              <w:bottom w:val="single" w:sz="4" w:space="0" w:color="000000"/>
              <w:right w:val="single" w:sz="4" w:space="0" w:color="000000"/>
            </w:tcBorders>
            <w:shd w:val="clear" w:color="D9D9D9" w:fill="D9D9D9"/>
            <w:noWrap/>
            <w:vAlign w:val="center"/>
            <w:hideMark/>
          </w:tcPr>
          <w:p w14:paraId="6079C423" w14:textId="77777777" w:rsidR="00303B90" w:rsidRPr="00892EA3" w:rsidRDefault="00303B90" w:rsidP="0002537E">
            <w:pPr>
              <w:spacing w:after="0" w:line="240" w:lineRule="auto"/>
              <w:rPr>
                <w:sz w:val="20"/>
                <w:szCs w:val="20"/>
                <w:lang w:eastAsia="fr-FR"/>
              </w:rPr>
            </w:pPr>
            <w:r w:rsidRPr="00892EA3">
              <w:rPr>
                <w:sz w:val="20"/>
                <w:szCs w:val="20"/>
                <w:lang w:eastAsia="fr-FR"/>
              </w:rPr>
              <w:t>3</w:t>
            </w:r>
          </w:p>
        </w:tc>
        <w:tc>
          <w:tcPr>
            <w:tcW w:w="992" w:type="dxa"/>
            <w:tcBorders>
              <w:top w:val="nil"/>
              <w:left w:val="nil"/>
              <w:bottom w:val="single" w:sz="4" w:space="0" w:color="000000"/>
              <w:right w:val="single" w:sz="4" w:space="0" w:color="000000"/>
            </w:tcBorders>
            <w:shd w:val="clear" w:color="D9D9D9" w:fill="D9D9D9"/>
            <w:noWrap/>
            <w:vAlign w:val="center"/>
            <w:hideMark/>
          </w:tcPr>
          <w:p w14:paraId="3A666D26" w14:textId="77777777" w:rsidR="00303B90" w:rsidRPr="00892EA3" w:rsidRDefault="00303B90" w:rsidP="0002537E">
            <w:pPr>
              <w:spacing w:after="0" w:line="240" w:lineRule="auto"/>
              <w:rPr>
                <w:sz w:val="20"/>
                <w:szCs w:val="20"/>
                <w:lang w:eastAsia="fr-FR"/>
              </w:rPr>
            </w:pPr>
            <w:r w:rsidRPr="00892EA3">
              <w:rPr>
                <w:sz w:val="20"/>
                <w:szCs w:val="20"/>
                <w:lang w:eastAsia="fr-FR"/>
              </w:rPr>
              <w:t>230</w:t>
            </w:r>
          </w:p>
        </w:tc>
        <w:tc>
          <w:tcPr>
            <w:tcW w:w="1417" w:type="dxa"/>
            <w:tcBorders>
              <w:top w:val="nil"/>
              <w:left w:val="nil"/>
              <w:bottom w:val="single" w:sz="4" w:space="0" w:color="000000"/>
              <w:right w:val="single" w:sz="4" w:space="0" w:color="000000"/>
            </w:tcBorders>
            <w:shd w:val="clear" w:color="D9D9D9" w:fill="D9D9D9"/>
            <w:noWrap/>
            <w:vAlign w:val="center"/>
            <w:hideMark/>
          </w:tcPr>
          <w:p w14:paraId="06761D01" w14:textId="77777777" w:rsidR="00303B90" w:rsidRPr="00892EA3" w:rsidRDefault="00303B90" w:rsidP="0002537E">
            <w:pPr>
              <w:spacing w:after="0" w:line="240" w:lineRule="auto"/>
              <w:rPr>
                <w:sz w:val="20"/>
                <w:szCs w:val="20"/>
                <w:lang w:eastAsia="fr-FR"/>
              </w:rPr>
            </w:pPr>
            <w:r w:rsidRPr="00892EA3">
              <w:rPr>
                <w:sz w:val="20"/>
                <w:szCs w:val="20"/>
                <w:lang w:eastAsia="fr-FR"/>
              </w:rPr>
              <w:t>15%</w:t>
            </w:r>
          </w:p>
        </w:tc>
        <w:tc>
          <w:tcPr>
            <w:tcW w:w="1134" w:type="dxa"/>
            <w:tcBorders>
              <w:top w:val="nil"/>
              <w:left w:val="nil"/>
              <w:bottom w:val="single" w:sz="4" w:space="0" w:color="000000"/>
              <w:right w:val="single" w:sz="4" w:space="0" w:color="000000"/>
            </w:tcBorders>
            <w:shd w:val="clear" w:color="D9D9D9" w:fill="D9D9D9"/>
            <w:noWrap/>
            <w:vAlign w:val="center"/>
            <w:hideMark/>
          </w:tcPr>
          <w:p w14:paraId="7C436CCD" w14:textId="77777777" w:rsidR="00303B90" w:rsidRPr="00892EA3" w:rsidRDefault="00303B90" w:rsidP="0002537E">
            <w:pPr>
              <w:spacing w:after="0" w:line="240" w:lineRule="auto"/>
              <w:rPr>
                <w:sz w:val="20"/>
                <w:szCs w:val="20"/>
                <w:lang w:eastAsia="fr-FR"/>
              </w:rPr>
            </w:pPr>
            <w:r w:rsidRPr="00892EA3">
              <w:rPr>
                <w:sz w:val="20"/>
                <w:szCs w:val="20"/>
                <w:lang w:eastAsia="fr-FR"/>
              </w:rPr>
              <w:t>16%</w:t>
            </w:r>
          </w:p>
        </w:tc>
        <w:tc>
          <w:tcPr>
            <w:tcW w:w="851" w:type="dxa"/>
            <w:tcBorders>
              <w:top w:val="nil"/>
              <w:left w:val="nil"/>
              <w:bottom w:val="single" w:sz="4" w:space="0" w:color="000000"/>
              <w:right w:val="single" w:sz="4" w:space="0" w:color="000000"/>
            </w:tcBorders>
            <w:shd w:val="clear" w:color="D9D9D9" w:fill="D9D9D9"/>
            <w:noWrap/>
            <w:vAlign w:val="center"/>
            <w:hideMark/>
          </w:tcPr>
          <w:p w14:paraId="41B1F294" w14:textId="77777777" w:rsidR="00303B90" w:rsidRPr="00892EA3" w:rsidRDefault="00303B90" w:rsidP="0002537E">
            <w:pPr>
              <w:spacing w:after="0" w:line="240" w:lineRule="auto"/>
              <w:rPr>
                <w:sz w:val="20"/>
                <w:szCs w:val="20"/>
                <w:lang w:eastAsia="fr-FR"/>
              </w:rPr>
            </w:pPr>
            <w:r w:rsidRPr="00892EA3">
              <w:rPr>
                <w:sz w:val="20"/>
                <w:szCs w:val="20"/>
                <w:lang w:eastAsia="fr-FR"/>
              </w:rPr>
              <w:t>0,4%</w:t>
            </w:r>
          </w:p>
        </w:tc>
        <w:tc>
          <w:tcPr>
            <w:tcW w:w="850" w:type="dxa"/>
            <w:tcBorders>
              <w:top w:val="nil"/>
              <w:left w:val="nil"/>
              <w:bottom w:val="single" w:sz="4" w:space="0" w:color="000000"/>
              <w:right w:val="single" w:sz="4" w:space="0" w:color="000000"/>
            </w:tcBorders>
            <w:shd w:val="clear" w:color="D9D9D9" w:fill="D9D9D9"/>
            <w:noWrap/>
            <w:vAlign w:val="center"/>
            <w:hideMark/>
          </w:tcPr>
          <w:p w14:paraId="62B3E637" w14:textId="77777777" w:rsidR="00303B90" w:rsidRPr="00892EA3" w:rsidRDefault="00303B90" w:rsidP="0002537E">
            <w:pPr>
              <w:spacing w:after="0" w:line="240" w:lineRule="auto"/>
              <w:rPr>
                <w:sz w:val="20"/>
                <w:szCs w:val="20"/>
                <w:lang w:eastAsia="fr-FR"/>
              </w:rPr>
            </w:pPr>
            <w:r w:rsidRPr="00892EA3">
              <w:rPr>
                <w:sz w:val="20"/>
                <w:szCs w:val="20"/>
                <w:lang w:eastAsia="fr-FR"/>
              </w:rPr>
              <w:t>6</w:t>
            </w:r>
          </w:p>
        </w:tc>
      </w:tr>
      <w:tr w:rsidR="00303B90" w:rsidRPr="008A578B" w14:paraId="05766F2E" w14:textId="77777777" w:rsidTr="001C4D22">
        <w:trPr>
          <w:trHeight w:val="300"/>
        </w:trPr>
        <w:tc>
          <w:tcPr>
            <w:tcW w:w="1413" w:type="dxa"/>
            <w:tcBorders>
              <w:top w:val="nil"/>
              <w:left w:val="single" w:sz="4" w:space="0" w:color="000000"/>
              <w:bottom w:val="single" w:sz="4" w:space="0" w:color="000000"/>
              <w:right w:val="single" w:sz="4" w:space="0" w:color="000000"/>
            </w:tcBorders>
            <w:shd w:val="clear" w:color="auto" w:fill="auto"/>
            <w:noWrap/>
            <w:vAlign w:val="center"/>
            <w:hideMark/>
          </w:tcPr>
          <w:p w14:paraId="7E52CF30" w14:textId="77777777" w:rsidR="00303B90" w:rsidRPr="00892EA3" w:rsidRDefault="00303B90" w:rsidP="0002537E">
            <w:pPr>
              <w:spacing w:after="0" w:line="240" w:lineRule="auto"/>
              <w:rPr>
                <w:b/>
                <w:bCs/>
                <w:sz w:val="20"/>
                <w:szCs w:val="20"/>
                <w:lang w:eastAsia="fr-FR"/>
              </w:rPr>
            </w:pPr>
            <w:r w:rsidRPr="00892EA3">
              <w:rPr>
                <w:b/>
                <w:bCs/>
                <w:sz w:val="20"/>
                <w:szCs w:val="20"/>
                <w:lang w:eastAsia="fr-FR"/>
              </w:rPr>
              <w:t xml:space="preserve">Sandwiches industriels </w:t>
            </w:r>
          </w:p>
        </w:tc>
        <w:tc>
          <w:tcPr>
            <w:tcW w:w="850" w:type="dxa"/>
            <w:tcBorders>
              <w:top w:val="nil"/>
              <w:left w:val="nil"/>
              <w:bottom w:val="single" w:sz="4" w:space="0" w:color="000000"/>
              <w:right w:val="single" w:sz="4" w:space="0" w:color="000000"/>
            </w:tcBorders>
            <w:shd w:val="clear" w:color="auto" w:fill="auto"/>
            <w:noWrap/>
            <w:vAlign w:val="center"/>
            <w:hideMark/>
          </w:tcPr>
          <w:p w14:paraId="49E36CCF" w14:textId="77777777" w:rsidR="00303B90" w:rsidRPr="00892EA3" w:rsidRDefault="00303B90" w:rsidP="0002537E">
            <w:pPr>
              <w:spacing w:after="0" w:line="240" w:lineRule="auto"/>
              <w:rPr>
                <w:sz w:val="20"/>
                <w:szCs w:val="20"/>
                <w:lang w:eastAsia="fr-FR"/>
              </w:rPr>
            </w:pPr>
            <w:r w:rsidRPr="00892EA3">
              <w:rPr>
                <w:sz w:val="20"/>
                <w:szCs w:val="20"/>
                <w:lang w:eastAsia="fr-FR"/>
              </w:rPr>
              <w:t>65</w:t>
            </w:r>
          </w:p>
        </w:tc>
        <w:tc>
          <w:tcPr>
            <w:tcW w:w="1134" w:type="dxa"/>
            <w:tcBorders>
              <w:top w:val="nil"/>
              <w:left w:val="nil"/>
              <w:bottom w:val="single" w:sz="4" w:space="0" w:color="000000"/>
              <w:right w:val="single" w:sz="4" w:space="0" w:color="000000"/>
            </w:tcBorders>
            <w:shd w:val="clear" w:color="auto" w:fill="auto"/>
            <w:noWrap/>
            <w:vAlign w:val="center"/>
            <w:hideMark/>
          </w:tcPr>
          <w:p w14:paraId="34D20B28" w14:textId="77777777" w:rsidR="00303B90" w:rsidRPr="00892EA3" w:rsidRDefault="00303B90" w:rsidP="0002537E">
            <w:pPr>
              <w:spacing w:after="0" w:line="240" w:lineRule="auto"/>
              <w:rPr>
                <w:sz w:val="20"/>
                <w:szCs w:val="20"/>
                <w:lang w:eastAsia="fr-FR"/>
              </w:rPr>
            </w:pPr>
            <w:r w:rsidRPr="00892EA3">
              <w:rPr>
                <w:sz w:val="20"/>
                <w:szCs w:val="20"/>
                <w:lang w:eastAsia="fr-FR"/>
              </w:rPr>
              <w:t>_</w:t>
            </w:r>
          </w:p>
        </w:tc>
        <w:tc>
          <w:tcPr>
            <w:tcW w:w="993" w:type="dxa"/>
            <w:tcBorders>
              <w:top w:val="nil"/>
              <w:left w:val="nil"/>
              <w:bottom w:val="single" w:sz="4" w:space="0" w:color="000000"/>
              <w:right w:val="single" w:sz="4" w:space="0" w:color="000000"/>
            </w:tcBorders>
            <w:shd w:val="clear" w:color="auto" w:fill="auto"/>
            <w:noWrap/>
            <w:vAlign w:val="center"/>
            <w:hideMark/>
          </w:tcPr>
          <w:p w14:paraId="7902BBB8" w14:textId="77777777" w:rsidR="00303B90" w:rsidRPr="00892EA3" w:rsidRDefault="00303B90" w:rsidP="0002537E">
            <w:pPr>
              <w:spacing w:after="0" w:line="240" w:lineRule="auto"/>
              <w:rPr>
                <w:sz w:val="20"/>
                <w:szCs w:val="20"/>
                <w:lang w:eastAsia="fr-FR"/>
              </w:rPr>
            </w:pPr>
            <w:r w:rsidRPr="00892EA3">
              <w:rPr>
                <w:sz w:val="20"/>
                <w:szCs w:val="20"/>
                <w:lang w:eastAsia="fr-FR"/>
              </w:rPr>
              <w:t>_</w:t>
            </w:r>
          </w:p>
        </w:tc>
        <w:tc>
          <w:tcPr>
            <w:tcW w:w="992" w:type="dxa"/>
            <w:tcBorders>
              <w:top w:val="nil"/>
              <w:left w:val="nil"/>
              <w:bottom w:val="single" w:sz="4" w:space="0" w:color="000000"/>
              <w:right w:val="single" w:sz="4" w:space="0" w:color="000000"/>
            </w:tcBorders>
            <w:shd w:val="clear" w:color="auto" w:fill="auto"/>
            <w:noWrap/>
            <w:vAlign w:val="center"/>
            <w:hideMark/>
          </w:tcPr>
          <w:p w14:paraId="78E878E7" w14:textId="77777777" w:rsidR="00303B90" w:rsidRPr="00892EA3" w:rsidRDefault="00303B90" w:rsidP="0002537E">
            <w:pPr>
              <w:spacing w:after="0" w:line="240" w:lineRule="auto"/>
              <w:rPr>
                <w:sz w:val="20"/>
                <w:szCs w:val="20"/>
                <w:lang w:eastAsia="fr-FR"/>
              </w:rPr>
            </w:pPr>
            <w:r w:rsidRPr="00892EA3">
              <w:rPr>
                <w:sz w:val="20"/>
                <w:szCs w:val="20"/>
                <w:lang w:eastAsia="fr-FR"/>
              </w:rPr>
              <w:t>65</w:t>
            </w:r>
          </w:p>
        </w:tc>
        <w:tc>
          <w:tcPr>
            <w:tcW w:w="1417" w:type="dxa"/>
            <w:tcBorders>
              <w:top w:val="nil"/>
              <w:left w:val="nil"/>
              <w:bottom w:val="single" w:sz="4" w:space="0" w:color="000000"/>
              <w:right w:val="single" w:sz="4" w:space="0" w:color="000000"/>
            </w:tcBorders>
            <w:shd w:val="clear" w:color="auto" w:fill="auto"/>
            <w:noWrap/>
            <w:vAlign w:val="center"/>
            <w:hideMark/>
          </w:tcPr>
          <w:p w14:paraId="097327E3" w14:textId="77777777" w:rsidR="00303B90" w:rsidRPr="00892EA3" w:rsidRDefault="00303B90" w:rsidP="0002537E">
            <w:pPr>
              <w:spacing w:after="0" w:line="240" w:lineRule="auto"/>
              <w:rPr>
                <w:sz w:val="20"/>
                <w:szCs w:val="20"/>
                <w:lang w:eastAsia="fr-FR"/>
              </w:rPr>
            </w:pPr>
            <w:r w:rsidRPr="00892EA3">
              <w:rPr>
                <w:sz w:val="20"/>
                <w:szCs w:val="20"/>
                <w:lang w:eastAsia="fr-FR"/>
              </w:rPr>
              <w:t>22%</w:t>
            </w:r>
          </w:p>
        </w:tc>
        <w:tc>
          <w:tcPr>
            <w:tcW w:w="1134" w:type="dxa"/>
            <w:tcBorders>
              <w:top w:val="nil"/>
              <w:left w:val="nil"/>
              <w:bottom w:val="single" w:sz="4" w:space="0" w:color="000000"/>
              <w:right w:val="single" w:sz="4" w:space="0" w:color="000000"/>
            </w:tcBorders>
            <w:shd w:val="clear" w:color="auto" w:fill="auto"/>
            <w:noWrap/>
            <w:vAlign w:val="center"/>
            <w:hideMark/>
          </w:tcPr>
          <w:p w14:paraId="21CDED95" w14:textId="77777777" w:rsidR="00303B90" w:rsidRPr="00892EA3" w:rsidRDefault="00303B90" w:rsidP="0002537E">
            <w:pPr>
              <w:spacing w:after="0" w:line="240" w:lineRule="auto"/>
              <w:rPr>
                <w:sz w:val="20"/>
                <w:szCs w:val="20"/>
                <w:lang w:eastAsia="fr-FR"/>
              </w:rPr>
            </w:pPr>
            <w:r w:rsidRPr="00892EA3">
              <w:rPr>
                <w:sz w:val="20"/>
                <w:szCs w:val="20"/>
                <w:lang w:eastAsia="fr-FR"/>
              </w:rPr>
              <w:t>20%</w:t>
            </w:r>
          </w:p>
        </w:tc>
        <w:tc>
          <w:tcPr>
            <w:tcW w:w="851" w:type="dxa"/>
            <w:tcBorders>
              <w:top w:val="nil"/>
              <w:left w:val="nil"/>
              <w:bottom w:val="single" w:sz="4" w:space="0" w:color="000000"/>
              <w:right w:val="single" w:sz="4" w:space="0" w:color="000000"/>
            </w:tcBorders>
            <w:shd w:val="clear" w:color="auto" w:fill="auto"/>
            <w:noWrap/>
            <w:vAlign w:val="center"/>
            <w:hideMark/>
          </w:tcPr>
          <w:p w14:paraId="742036DB" w14:textId="77777777" w:rsidR="00303B90" w:rsidRPr="00892EA3" w:rsidRDefault="00303B90" w:rsidP="0002537E">
            <w:pPr>
              <w:spacing w:after="0" w:line="240" w:lineRule="auto"/>
              <w:rPr>
                <w:sz w:val="20"/>
                <w:szCs w:val="20"/>
                <w:lang w:eastAsia="fr-FR"/>
              </w:rPr>
            </w:pPr>
            <w:r w:rsidRPr="00892EA3">
              <w:rPr>
                <w:sz w:val="20"/>
                <w:szCs w:val="20"/>
                <w:lang w:eastAsia="fr-FR"/>
              </w:rPr>
              <w:t>1%</w:t>
            </w:r>
          </w:p>
        </w:tc>
        <w:tc>
          <w:tcPr>
            <w:tcW w:w="850" w:type="dxa"/>
            <w:tcBorders>
              <w:top w:val="nil"/>
              <w:left w:val="nil"/>
              <w:bottom w:val="single" w:sz="4" w:space="0" w:color="000000"/>
              <w:right w:val="single" w:sz="4" w:space="0" w:color="000000"/>
            </w:tcBorders>
            <w:shd w:val="clear" w:color="auto" w:fill="auto"/>
            <w:noWrap/>
            <w:vAlign w:val="center"/>
            <w:hideMark/>
          </w:tcPr>
          <w:p w14:paraId="12E56593" w14:textId="77777777" w:rsidR="00303B90" w:rsidRPr="00892EA3" w:rsidRDefault="00303B90" w:rsidP="0002537E">
            <w:pPr>
              <w:spacing w:after="0" w:line="240" w:lineRule="auto"/>
              <w:rPr>
                <w:sz w:val="20"/>
                <w:szCs w:val="20"/>
                <w:lang w:eastAsia="fr-FR"/>
              </w:rPr>
            </w:pPr>
            <w:r w:rsidRPr="00892EA3">
              <w:rPr>
                <w:sz w:val="20"/>
                <w:szCs w:val="20"/>
                <w:lang w:eastAsia="fr-FR"/>
              </w:rPr>
              <w:t>3</w:t>
            </w:r>
          </w:p>
        </w:tc>
      </w:tr>
    </w:tbl>
    <w:p w14:paraId="02CD2E67" w14:textId="62A13C0D" w:rsidR="00DC2AB8" w:rsidRDefault="00303B90" w:rsidP="0002537E">
      <w:pPr>
        <w:pStyle w:val="figure"/>
        <w:rPr>
          <w:rFonts w:eastAsiaTheme="minorHAnsi"/>
        </w:rPr>
      </w:pPr>
      <w:bookmarkStart w:id="267" w:name="_Ref69317147"/>
      <w:bookmarkStart w:id="268" w:name="_Toc72143403"/>
      <w:r w:rsidRPr="0002537E">
        <w:rPr>
          <w:rFonts w:eastAsiaTheme="minorHAnsi"/>
        </w:rPr>
        <w:t xml:space="preserve">Tableau </w:t>
      </w:r>
      <w:r w:rsidRPr="0002537E">
        <w:rPr>
          <w:rFonts w:eastAsiaTheme="minorHAnsi"/>
        </w:rPr>
        <w:fldChar w:fldCharType="begin"/>
      </w:r>
      <w:r w:rsidRPr="0002537E">
        <w:rPr>
          <w:rFonts w:eastAsiaTheme="minorHAnsi"/>
        </w:rPr>
        <w:instrText xml:space="preserve"> SEQ Tableau \* ARABIC </w:instrText>
      </w:r>
      <w:r w:rsidRPr="0002537E">
        <w:rPr>
          <w:rFonts w:eastAsiaTheme="minorHAnsi"/>
        </w:rPr>
        <w:fldChar w:fldCharType="separate"/>
      </w:r>
      <w:r w:rsidR="0007597F">
        <w:rPr>
          <w:rFonts w:eastAsiaTheme="minorHAnsi"/>
          <w:i/>
          <w:noProof/>
        </w:rPr>
        <w:t>55</w:t>
      </w:r>
      <w:r w:rsidRPr="0002537E">
        <w:rPr>
          <w:rFonts w:eastAsiaTheme="minorHAnsi"/>
        </w:rPr>
        <w:fldChar w:fldCharType="end"/>
      </w:r>
      <w:bookmarkEnd w:id="266"/>
      <w:bookmarkEnd w:id="267"/>
      <w:r w:rsidR="00D84E4D">
        <w:rPr>
          <w:rFonts w:eastAsiaTheme="minorHAnsi"/>
          <w:i/>
        </w:rPr>
        <w:t> :</w:t>
      </w:r>
      <w:r w:rsidRPr="0002537E">
        <w:rPr>
          <w:rFonts w:eastAsiaTheme="minorHAnsi"/>
        </w:rPr>
        <w:t xml:space="preserve"> Estimation des volumes de porc incorporés dans le marché des</w:t>
      </w:r>
      <w:r w:rsidR="00D84E4D">
        <w:rPr>
          <w:rFonts w:eastAsiaTheme="minorHAnsi"/>
          <w:i/>
        </w:rPr>
        <w:t xml:space="preserve"> </w:t>
      </w:r>
      <w:r w:rsidRPr="0002537E">
        <w:rPr>
          <w:rFonts w:eastAsiaTheme="minorHAnsi"/>
        </w:rPr>
        <w:t>produits traiteurs industriels</w:t>
      </w:r>
      <w:bookmarkEnd w:id="268"/>
      <w:r w:rsidRPr="0002537E">
        <w:rPr>
          <w:rFonts w:eastAsiaTheme="minorHAnsi"/>
        </w:rPr>
        <w:t xml:space="preserve"> </w:t>
      </w:r>
      <w:r w:rsidR="00D43B39">
        <w:rPr>
          <w:rFonts w:eastAsiaTheme="minorHAnsi"/>
        </w:rPr>
        <w:t>en kt</w:t>
      </w:r>
    </w:p>
    <w:p w14:paraId="2B93E2B9" w14:textId="14EA7D14" w:rsidR="00303B90" w:rsidRPr="0002537E" w:rsidRDefault="00303B90" w:rsidP="00303B90">
      <w:pPr>
        <w:pStyle w:val="Lgende"/>
        <w:spacing w:after="0"/>
        <w:rPr>
          <w:rFonts w:eastAsiaTheme="minorHAnsi" w:cstheme="minorBidi"/>
          <w:b/>
          <w:bCs w:val="0"/>
          <w:iCs w:val="0"/>
          <w:lang w:eastAsia="en-US"/>
        </w:rPr>
      </w:pPr>
      <w:r w:rsidRPr="0002537E">
        <w:rPr>
          <w:rFonts w:eastAsiaTheme="minorHAnsi" w:cstheme="minorBidi"/>
          <w:bCs w:val="0"/>
          <w:iCs w:val="0"/>
          <w:lang w:eastAsia="en-US"/>
        </w:rPr>
        <w:t>(Source IFIP d’après PRODCOM Adepale)</w:t>
      </w:r>
    </w:p>
    <w:p w14:paraId="636D90B9" w14:textId="77AB1891" w:rsidR="00303B90" w:rsidRDefault="00303B90" w:rsidP="00CC606B">
      <w:r>
        <w:t xml:space="preserve">Sur ce périmètre, la nature des produits du porc incorporé dans les recettes selon la distribution de l’échantillon de produits analysé plus haut, donne une part importante de jambon (37%), suivi de produits de produits mélanges au travers de la saucisserie (saucisse, farce) compte tenu du poids des plats cuisinés, devant la poitrine (lardons, poitrine tranche) et la longe (bacon, filet). </w:t>
      </w:r>
    </w:p>
    <w:tbl>
      <w:tblPr>
        <w:tblW w:w="5665" w:type="dxa"/>
        <w:jc w:val="center"/>
        <w:tblCellMar>
          <w:left w:w="70" w:type="dxa"/>
          <w:right w:w="70" w:type="dxa"/>
        </w:tblCellMar>
        <w:tblLook w:val="04A0" w:firstRow="1" w:lastRow="0" w:firstColumn="1" w:lastColumn="0" w:noHBand="0" w:noVBand="1"/>
      </w:tblPr>
      <w:tblGrid>
        <w:gridCol w:w="2830"/>
        <w:gridCol w:w="1418"/>
        <w:gridCol w:w="1417"/>
      </w:tblGrid>
      <w:tr w:rsidR="00303B90" w:rsidRPr="00CD65E6" w14:paraId="6B8347E2"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7D55E7EA" w14:textId="77777777" w:rsidR="00303B90" w:rsidRPr="00CD65E6" w:rsidRDefault="00303B90" w:rsidP="0002537E">
            <w:pPr>
              <w:spacing w:after="0" w:line="240" w:lineRule="auto"/>
              <w:rPr>
                <w:rFonts w:eastAsia="Times New Roman" w:cs="Arial"/>
                <w:b/>
                <w:bCs/>
                <w:color w:val="000000"/>
                <w:sz w:val="20"/>
                <w:szCs w:val="20"/>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3AEECA0" w14:textId="2C674516" w:rsidR="00303B90" w:rsidRPr="00CD65E6" w:rsidRDefault="00303B90" w:rsidP="0002537E">
            <w:pPr>
              <w:spacing w:after="0" w:line="240" w:lineRule="auto"/>
              <w:rPr>
                <w:rFonts w:eastAsia="Times New Roman" w:cs="Arial"/>
                <w:b/>
                <w:bCs/>
                <w:color w:val="000000"/>
                <w:sz w:val="20"/>
                <w:szCs w:val="20"/>
                <w:lang w:eastAsia="fr-FR"/>
              </w:rPr>
            </w:pPr>
            <w:r>
              <w:rPr>
                <w:rFonts w:eastAsia="Times New Roman" w:cs="Arial"/>
                <w:b/>
                <w:bCs/>
                <w:color w:val="000000"/>
                <w:sz w:val="20"/>
                <w:szCs w:val="20"/>
                <w:lang w:eastAsia="fr-FR"/>
              </w:rPr>
              <w:t>Vol</w:t>
            </w:r>
            <w:r w:rsidR="00D43B39">
              <w:rPr>
                <w:rFonts w:eastAsia="Times New Roman" w:cs="Arial"/>
                <w:b/>
                <w:bCs/>
                <w:color w:val="000000"/>
                <w:sz w:val="20"/>
                <w:szCs w:val="20"/>
                <w:lang w:eastAsia="fr-FR"/>
              </w:rPr>
              <w:t>.</w:t>
            </w:r>
            <w:r>
              <w:rPr>
                <w:rFonts w:eastAsia="Times New Roman" w:cs="Arial"/>
                <w:b/>
                <w:bCs/>
                <w:color w:val="000000"/>
                <w:sz w:val="20"/>
                <w:szCs w:val="20"/>
                <w:lang w:eastAsia="fr-FR"/>
              </w:rPr>
              <w:t xml:space="preserve"> (en kt)</w:t>
            </w:r>
          </w:p>
        </w:tc>
        <w:tc>
          <w:tcPr>
            <w:tcW w:w="1417" w:type="dxa"/>
            <w:tcBorders>
              <w:top w:val="single" w:sz="4" w:space="0" w:color="auto"/>
              <w:left w:val="nil"/>
              <w:bottom w:val="single" w:sz="4" w:space="0" w:color="auto"/>
              <w:right w:val="single" w:sz="4" w:space="0" w:color="auto"/>
            </w:tcBorders>
            <w:shd w:val="clear" w:color="auto" w:fill="auto"/>
            <w:noWrap/>
            <w:vAlign w:val="bottom"/>
          </w:tcPr>
          <w:p w14:paraId="48B89043" w14:textId="77777777" w:rsidR="00303B90" w:rsidRPr="00CD65E6" w:rsidRDefault="00303B90" w:rsidP="0002537E">
            <w:pPr>
              <w:spacing w:after="0" w:line="240" w:lineRule="auto"/>
              <w:rPr>
                <w:rFonts w:eastAsia="Times New Roman" w:cs="Arial"/>
                <w:b/>
                <w:bCs/>
                <w:color w:val="000000"/>
                <w:sz w:val="20"/>
                <w:szCs w:val="20"/>
                <w:lang w:eastAsia="fr-FR"/>
              </w:rPr>
            </w:pPr>
            <w:r>
              <w:rPr>
                <w:rFonts w:eastAsia="Times New Roman" w:cs="Arial"/>
                <w:b/>
                <w:bCs/>
                <w:color w:val="000000"/>
                <w:sz w:val="20"/>
                <w:szCs w:val="20"/>
                <w:lang w:eastAsia="fr-FR"/>
              </w:rPr>
              <w:t>Ventilation</w:t>
            </w:r>
          </w:p>
        </w:tc>
      </w:tr>
      <w:tr w:rsidR="00303B90" w:rsidRPr="00CD65E6" w14:paraId="5AB41630"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669985F" w14:textId="77777777" w:rsidR="00303B90" w:rsidRPr="00CD65E6" w:rsidRDefault="00303B90" w:rsidP="0002537E">
            <w:pPr>
              <w:spacing w:after="0" w:line="240" w:lineRule="auto"/>
              <w:rPr>
                <w:rFonts w:eastAsia="Times New Roman" w:cs="Arial"/>
                <w:b/>
                <w:bCs/>
                <w:color w:val="000000"/>
                <w:sz w:val="20"/>
                <w:szCs w:val="20"/>
                <w:lang w:eastAsia="fr-FR"/>
              </w:rPr>
            </w:pPr>
            <w:r w:rsidRPr="00CD65E6">
              <w:rPr>
                <w:rFonts w:eastAsia="Times New Roman" w:cs="Arial"/>
                <w:b/>
                <w:bCs/>
                <w:color w:val="000000"/>
                <w:sz w:val="20"/>
                <w:szCs w:val="20"/>
                <w:lang w:eastAsia="fr-FR"/>
              </w:rPr>
              <w:t>Total</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3C074450" w14:textId="77777777" w:rsidR="00303B90" w:rsidRPr="00CD65E6" w:rsidRDefault="00303B90" w:rsidP="0002537E">
            <w:pPr>
              <w:spacing w:after="0" w:line="240" w:lineRule="auto"/>
              <w:rPr>
                <w:rFonts w:eastAsia="Times New Roman" w:cs="Arial"/>
                <w:b/>
                <w:bCs/>
                <w:color w:val="000000"/>
                <w:sz w:val="20"/>
                <w:szCs w:val="20"/>
                <w:lang w:eastAsia="fr-FR"/>
              </w:rPr>
            </w:pPr>
            <w:r w:rsidRPr="00CD65E6">
              <w:rPr>
                <w:rFonts w:eastAsia="Times New Roman" w:cs="Arial"/>
                <w:b/>
                <w:bCs/>
                <w:color w:val="000000"/>
                <w:sz w:val="20"/>
                <w:szCs w:val="20"/>
                <w:lang w:eastAsia="fr-FR"/>
              </w:rPr>
              <w:t>54</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DD475B2" w14:textId="77777777" w:rsidR="00303B90" w:rsidRPr="00CD65E6" w:rsidRDefault="00303B90" w:rsidP="0002537E">
            <w:pPr>
              <w:spacing w:after="0" w:line="240" w:lineRule="auto"/>
              <w:rPr>
                <w:rFonts w:eastAsia="Times New Roman" w:cs="Arial"/>
                <w:b/>
                <w:bCs/>
                <w:color w:val="000000"/>
                <w:sz w:val="20"/>
                <w:szCs w:val="20"/>
                <w:lang w:eastAsia="fr-FR"/>
              </w:rPr>
            </w:pPr>
            <w:r w:rsidRPr="00CD65E6">
              <w:rPr>
                <w:rFonts w:eastAsia="Times New Roman" w:cs="Arial"/>
                <w:b/>
                <w:bCs/>
                <w:color w:val="000000"/>
                <w:sz w:val="20"/>
                <w:szCs w:val="20"/>
                <w:lang w:eastAsia="fr-FR"/>
              </w:rPr>
              <w:t>100%</w:t>
            </w:r>
          </w:p>
        </w:tc>
      </w:tr>
      <w:tr w:rsidR="00303B90" w:rsidRPr="00CD65E6" w14:paraId="7B648A8A"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9C41843"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longe</w:t>
            </w:r>
            <w:r>
              <w:rPr>
                <w:rFonts w:eastAsia="Times New Roman" w:cs="Arial"/>
                <w:bCs/>
                <w:color w:val="000000"/>
                <w:sz w:val="20"/>
                <w:szCs w:val="20"/>
                <w:lang w:eastAsia="fr-FR"/>
              </w:rPr>
              <w:t xml:space="preserve"> (bacon,</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02E3A09B"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5</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194FAC0"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9%</w:t>
            </w:r>
          </w:p>
        </w:tc>
      </w:tr>
      <w:tr w:rsidR="00303B90" w:rsidRPr="00CD65E6" w14:paraId="72B7DA31"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5B23CB8A"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jambon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07444D45"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20</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62550544"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37%</w:t>
            </w:r>
          </w:p>
        </w:tc>
      </w:tr>
      <w:tr w:rsidR="00303B90" w:rsidRPr="00CD65E6" w14:paraId="0954538A"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123A7780"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épaule</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80719FA"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2</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37C79AA"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4%</w:t>
            </w:r>
          </w:p>
        </w:tc>
      </w:tr>
      <w:tr w:rsidR="00303B90" w:rsidRPr="00CD65E6" w14:paraId="2A005DB0"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3159474"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lardon, poitrine</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DECC5E8"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5</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2F715616"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9%</w:t>
            </w:r>
          </w:p>
        </w:tc>
      </w:tr>
      <w:tr w:rsidR="00303B90" w:rsidRPr="00CD65E6" w14:paraId="506E6648"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6B16FEA7"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 xml:space="preserve">Dont saucisserie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C344513"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15</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2C4AE636"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28%</w:t>
            </w:r>
          </w:p>
        </w:tc>
      </w:tr>
      <w:tr w:rsidR="00303B90" w:rsidRPr="00CD65E6" w14:paraId="2DD7C43C"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3656A8A1"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sauc</w:t>
            </w:r>
            <w:r>
              <w:rPr>
                <w:rFonts w:eastAsia="Times New Roman" w:cs="Arial"/>
                <w:bCs/>
                <w:color w:val="000000"/>
                <w:sz w:val="20"/>
                <w:szCs w:val="20"/>
                <w:lang w:eastAsia="fr-FR"/>
              </w:rPr>
              <w:t>isses</w:t>
            </w:r>
            <w:r w:rsidRPr="00CD65E6">
              <w:rPr>
                <w:rFonts w:eastAsia="Times New Roman" w:cs="Arial"/>
                <w:bCs/>
                <w:color w:val="000000"/>
                <w:sz w:val="20"/>
                <w:szCs w:val="20"/>
                <w:lang w:eastAsia="fr-FR"/>
              </w:rPr>
              <w:t xml:space="preserve"> pâte fine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3590057A"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4</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712EDCC1"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7%</w:t>
            </w:r>
          </w:p>
        </w:tc>
      </w:tr>
      <w:tr w:rsidR="00303B90" w:rsidRPr="00CD65E6" w14:paraId="431F5924" w14:textId="77777777" w:rsidTr="00D43B39">
        <w:trPr>
          <w:trHeight w:val="20"/>
          <w:jc w:val="center"/>
        </w:trPr>
        <w:tc>
          <w:tcPr>
            <w:tcW w:w="2830"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49900FD5" w14:textId="77777777" w:rsidR="00303B90" w:rsidRPr="00CD65E6" w:rsidRDefault="00303B90" w:rsidP="0002537E">
            <w:pPr>
              <w:spacing w:after="0" w:line="240" w:lineRule="auto"/>
              <w:rPr>
                <w:rFonts w:eastAsia="Times New Roman" w:cs="Arial"/>
                <w:bCs/>
                <w:color w:val="000000"/>
                <w:sz w:val="20"/>
                <w:szCs w:val="20"/>
                <w:lang w:eastAsia="fr-FR"/>
              </w:rPr>
            </w:pPr>
            <w:r>
              <w:rPr>
                <w:rFonts w:eastAsia="Times New Roman" w:cs="Arial"/>
                <w:bCs/>
                <w:color w:val="000000"/>
                <w:sz w:val="20"/>
                <w:szCs w:val="20"/>
                <w:lang w:eastAsia="fr-FR"/>
              </w:rPr>
              <w:t>Dont</w:t>
            </w:r>
            <w:r w:rsidRPr="00CD65E6">
              <w:rPr>
                <w:rFonts w:eastAsia="Times New Roman" w:cs="Arial"/>
                <w:bCs/>
                <w:color w:val="000000"/>
                <w:sz w:val="20"/>
                <w:szCs w:val="20"/>
                <w:lang w:eastAsia="fr-FR"/>
              </w:rPr>
              <w:t xml:space="preserve"> abats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36BC36A5"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3</w:t>
            </w:r>
          </w:p>
        </w:tc>
        <w:tc>
          <w:tcPr>
            <w:tcW w:w="1417" w:type="dxa"/>
            <w:tcBorders>
              <w:top w:val="single" w:sz="4" w:space="0" w:color="auto"/>
              <w:left w:val="nil"/>
              <w:bottom w:val="single" w:sz="4" w:space="0" w:color="auto"/>
              <w:right w:val="single" w:sz="4" w:space="0" w:color="auto"/>
            </w:tcBorders>
            <w:shd w:val="clear" w:color="auto" w:fill="auto"/>
            <w:noWrap/>
            <w:vAlign w:val="bottom"/>
            <w:hideMark/>
          </w:tcPr>
          <w:p w14:paraId="6D8930BB" w14:textId="77777777" w:rsidR="00303B90" w:rsidRPr="00CD65E6" w:rsidRDefault="00303B90" w:rsidP="0002537E">
            <w:pPr>
              <w:spacing w:after="0" w:line="240" w:lineRule="auto"/>
              <w:rPr>
                <w:rFonts w:eastAsia="Times New Roman" w:cs="Arial"/>
                <w:color w:val="000000"/>
                <w:sz w:val="20"/>
                <w:szCs w:val="20"/>
                <w:lang w:eastAsia="fr-FR"/>
              </w:rPr>
            </w:pPr>
            <w:r w:rsidRPr="00CD65E6">
              <w:rPr>
                <w:rFonts w:eastAsia="Times New Roman" w:cs="Arial"/>
                <w:color w:val="000000"/>
                <w:sz w:val="20"/>
                <w:szCs w:val="20"/>
                <w:lang w:eastAsia="fr-FR"/>
              </w:rPr>
              <w:t>6%</w:t>
            </w:r>
          </w:p>
        </w:tc>
      </w:tr>
    </w:tbl>
    <w:p w14:paraId="33EB6FB8" w14:textId="5DEC9733" w:rsidR="00746C7C" w:rsidRDefault="00303B90" w:rsidP="0002537E">
      <w:pPr>
        <w:pStyle w:val="figure"/>
        <w:rPr>
          <w:rFonts w:eastAsiaTheme="minorHAnsi"/>
        </w:rPr>
      </w:pPr>
      <w:bookmarkStart w:id="269" w:name="_Ref69216951"/>
      <w:bookmarkStart w:id="270" w:name="_Toc72143404"/>
      <w:r w:rsidRPr="0002537E">
        <w:rPr>
          <w:rFonts w:eastAsiaTheme="minorHAnsi"/>
        </w:rPr>
        <w:t xml:space="preserve">Tableau </w:t>
      </w:r>
      <w:r w:rsidRPr="0002537E">
        <w:rPr>
          <w:rFonts w:eastAsiaTheme="minorHAnsi"/>
        </w:rPr>
        <w:fldChar w:fldCharType="begin"/>
      </w:r>
      <w:r w:rsidRPr="0002537E">
        <w:rPr>
          <w:rFonts w:eastAsiaTheme="minorHAnsi"/>
        </w:rPr>
        <w:instrText xml:space="preserve"> SEQ Tableau \* ARABIC </w:instrText>
      </w:r>
      <w:r w:rsidRPr="0002537E">
        <w:rPr>
          <w:rFonts w:eastAsiaTheme="minorHAnsi"/>
        </w:rPr>
        <w:fldChar w:fldCharType="separate"/>
      </w:r>
      <w:r w:rsidR="0007597F">
        <w:rPr>
          <w:rFonts w:eastAsiaTheme="minorHAnsi"/>
          <w:i/>
          <w:noProof/>
        </w:rPr>
        <w:t>56</w:t>
      </w:r>
      <w:r w:rsidRPr="0002537E">
        <w:rPr>
          <w:rFonts w:eastAsiaTheme="minorHAnsi"/>
        </w:rPr>
        <w:fldChar w:fldCharType="end"/>
      </w:r>
      <w:bookmarkEnd w:id="269"/>
      <w:r w:rsidR="00D84E4D">
        <w:rPr>
          <w:rFonts w:eastAsiaTheme="minorHAnsi"/>
          <w:i/>
        </w:rPr>
        <w:t xml:space="preserve"> : </w:t>
      </w:r>
      <w:r w:rsidRPr="0002537E">
        <w:rPr>
          <w:rFonts w:eastAsiaTheme="minorHAnsi"/>
        </w:rPr>
        <w:t>Estimation des volumes de porc incorporés dans le marché des produits traiteurs industriels par typologie de produit</w:t>
      </w:r>
      <w:bookmarkEnd w:id="270"/>
      <w:r w:rsidRPr="0002537E">
        <w:rPr>
          <w:rFonts w:eastAsiaTheme="minorHAnsi"/>
        </w:rPr>
        <w:t xml:space="preserve"> </w:t>
      </w:r>
    </w:p>
    <w:p w14:paraId="24AB8070" w14:textId="577EBB7C" w:rsidR="00303B90" w:rsidRPr="0002537E" w:rsidRDefault="00303B90" w:rsidP="00303B90">
      <w:pPr>
        <w:pStyle w:val="Lgende"/>
        <w:rPr>
          <w:rFonts w:eastAsiaTheme="minorHAnsi" w:cstheme="minorBidi"/>
          <w:bCs w:val="0"/>
          <w:iCs w:val="0"/>
          <w:lang w:eastAsia="en-US"/>
        </w:rPr>
      </w:pPr>
      <w:r w:rsidRPr="0002537E">
        <w:rPr>
          <w:rFonts w:eastAsiaTheme="minorHAnsi" w:cstheme="minorBidi"/>
          <w:bCs w:val="0"/>
          <w:iCs w:val="0"/>
          <w:lang w:eastAsia="en-US"/>
        </w:rPr>
        <w:t>(Source IFIP d’après PRODCOM Adepale)</w:t>
      </w:r>
    </w:p>
    <w:p w14:paraId="626B11AA" w14:textId="288B5D43" w:rsidR="00303B90" w:rsidRPr="00E02A6F" w:rsidRDefault="00B86579" w:rsidP="00415564">
      <w:pPr>
        <w:pStyle w:val="Titre3"/>
      </w:pPr>
      <w:bookmarkStart w:id="271" w:name="_Toc78131635"/>
      <w:r>
        <w:t>2</w:t>
      </w:r>
      <w:r w:rsidR="007A19A0">
        <w:t>.</w:t>
      </w:r>
      <w:r w:rsidR="00415564">
        <w:t>2</w:t>
      </w:r>
      <w:r w:rsidR="007A19A0">
        <w:t>.4</w:t>
      </w:r>
      <w:r w:rsidR="00303B90">
        <w:t>. Limites de l’analyse et estimation de la part d’auto-fabrication en produits traiteurs</w:t>
      </w:r>
      <w:bookmarkEnd w:id="271"/>
      <w:r w:rsidR="00303B90">
        <w:t xml:space="preserve"> </w:t>
      </w:r>
    </w:p>
    <w:p w14:paraId="4091A3D0" w14:textId="77777777" w:rsidR="00303B90" w:rsidRPr="00BF54F7" w:rsidRDefault="00303B90" w:rsidP="00D13196">
      <w:r w:rsidRPr="00BF54F7">
        <w:t xml:space="preserve">Les données PRODCOM fournies par l’enquête 10.85.Z. couvrent les produits traiteurs fabriqués industriellement par les transformateurs. Cependant afin de quantifier l’ensemble de la </w:t>
      </w:r>
      <w:r w:rsidRPr="00BF54F7">
        <w:lastRenderedPageBreak/>
        <w:t xml:space="preserve">consommation, il importe de tenir compte de la part d’auto-fabrication de produits traiteurs dans les circuits spécialisés de la consommation à domicile soient les activités </w:t>
      </w:r>
    </w:p>
    <w:p w14:paraId="2E464279" w14:textId="1037C285" w:rsidR="00303B90" w:rsidRPr="00BF54F7" w:rsidRDefault="004F0A34" w:rsidP="00A305CD">
      <w:pPr>
        <w:pStyle w:val="Paragraphedeliste"/>
        <w:numPr>
          <w:ilvl w:val="0"/>
          <w:numId w:val="23"/>
        </w:numPr>
      </w:pPr>
      <w:r>
        <w:t>D</w:t>
      </w:r>
      <w:r w:rsidR="00303B90" w:rsidRPr="00BF54F7">
        <w:t>es artisans bouchers charcutiers, des charcutiers en sédentaire ou opérant sur les marchés,</w:t>
      </w:r>
    </w:p>
    <w:p w14:paraId="5870E29D" w14:textId="462E1ECA" w:rsidR="00303B90" w:rsidRPr="00BF54F7" w:rsidRDefault="004F0A34" w:rsidP="00A305CD">
      <w:pPr>
        <w:pStyle w:val="Paragraphedeliste"/>
        <w:numPr>
          <w:ilvl w:val="0"/>
          <w:numId w:val="23"/>
        </w:numPr>
      </w:pPr>
      <w:r>
        <w:t>D</w:t>
      </w:r>
      <w:r w:rsidR="00303B90" w:rsidRPr="00BF54F7">
        <w:t>es traiteurs exclusifs parmi lesquels les traiteurs asiatiques qui proposent une large gamme de produits à base de porc (porc au carmel, porc laqué…).</w:t>
      </w:r>
    </w:p>
    <w:p w14:paraId="7DB285E3" w14:textId="77777777" w:rsidR="00303B90" w:rsidRPr="00BF54F7" w:rsidRDefault="00303B90" w:rsidP="00D65F7C">
      <w:r w:rsidRPr="00BF54F7">
        <w:t xml:space="preserve">L’activité traiteur sur le plan de la codification NAF s’inscrit sur le périmètre de la consommation à domicile et correspond aux activités : </w:t>
      </w:r>
    </w:p>
    <w:p w14:paraId="44C74209" w14:textId="73A5C7EA" w:rsidR="00303B90" w:rsidRPr="00BF54F7" w:rsidRDefault="00303B90" w:rsidP="00A305CD">
      <w:pPr>
        <w:pStyle w:val="Paragraphedeliste"/>
        <w:numPr>
          <w:ilvl w:val="0"/>
          <w:numId w:val="23"/>
        </w:numPr>
      </w:pPr>
      <w:r w:rsidRPr="00BF54F7">
        <w:t>56.21Z soit la fabrication artisanale associée à la vente de plats pour consommation immédiate en véhicules motorisés ou non ainsi que l’activité traiteur en magasins sédentaires « fabrication de plats prêts à consommer, majoritairement à emporter, associée à la vente au détail »,</w:t>
      </w:r>
    </w:p>
    <w:p w14:paraId="2B3D34C1" w14:textId="5CD69717" w:rsidR="00303B90" w:rsidRPr="00BF54F7" w:rsidRDefault="00303B90" w:rsidP="00A305CD">
      <w:pPr>
        <w:pStyle w:val="Paragraphedeliste"/>
        <w:numPr>
          <w:ilvl w:val="0"/>
          <w:numId w:val="23"/>
        </w:numPr>
      </w:pPr>
      <w:r w:rsidRPr="00BF54F7">
        <w:t>56-10C-R soit la fabrication artisanale associée à la vente de plats pour consommation immédiate en magasins sédentaires ou sur éventaires et marchés.</w:t>
      </w:r>
    </w:p>
    <w:p w14:paraId="661D8FA7" w14:textId="6E526CEA" w:rsidR="00303B90" w:rsidRDefault="00303B90" w:rsidP="00D65F7C">
      <w:r>
        <w:t>Selon le rapport de 2018 de la filière artisanale de la charcuterie et du traiteur, ces activités peuvent représenter entre 25</w:t>
      </w:r>
      <w:r w:rsidR="00D43B39">
        <w:t> </w:t>
      </w:r>
      <w:r>
        <w:t>% et 40</w:t>
      </w:r>
      <w:r w:rsidR="00D43B39">
        <w:t> </w:t>
      </w:r>
      <w:r>
        <w:t>% du total du chiffre d’affaires des artisans bouchers charcutiers traiteurs.</w:t>
      </w:r>
    </w:p>
    <w:p w14:paraId="171CD4B5" w14:textId="77777777" w:rsidR="00303B90" w:rsidRDefault="00303B90" w:rsidP="00D13196">
      <w:r>
        <w:t xml:space="preserve">Concernant les seconds, tel qu’évoqué en première partie de ce rapport </w:t>
      </w:r>
      <w:r w:rsidRPr="00315F10">
        <w:t>(paragraphe 3.5.2.),</w:t>
      </w:r>
      <w:r>
        <w:t xml:space="preserve"> ils connaissent depuis quelques années une croissance importante avec l’augmentation de la part des repas livrés en métropole urbaine.</w:t>
      </w:r>
    </w:p>
    <w:p w14:paraId="4818F1D4" w14:textId="2AB4C018" w:rsidR="00303B90" w:rsidRDefault="00303B90" w:rsidP="00D13196">
      <w:r>
        <w:t xml:space="preserve">Au global, et enrichi de dires d’expert, le marché des produits du porc incorporé dans les produits traiteurs industriels ou issus de l’auto-fabrication est estimé </w:t>
      </w:r>
      <w:r>
        <w:rPr>
          <w:u w:val="single"/>
        </w:rPr>
        <w:t>dans une fourchette située entre</w:t>
      </w:r>
      <w:r w:rsidRPr="009A2061">
        <w:rPr>
          <w:u w:val="single"/>
        </w:rPr>
        <w:t xml:space="preserve"> 57</w:t>
      </w:r>
      <w:r w:rsidR="00D43B39">
        <w:rPr>
          <w:u w:val="single"/>
        </w:rPr>
        <w:t> </w:t>
      </w:r>
      <w:r w:rsidRPr="009A2061">
        <w:rPr>
          <w:u w:val="single"/>
        </w:rPr>
        <w:t>kt et 70</w:t>
      </w:r>
      <w:r w:rsidR="00D43B39">
        <w:rPr>
          <w:u w:val="single"/>
        </w:rPr>
        <w:t> </w:t>
      </w:r>
      <w:r w:rsidRPr="009A2061">
        <w:rPr>
          <w:u w:val="single"/>
        </w:rPr>
        <w:t>kt</w:t>
      </w:r>
      <w:r>
        <w:t xml:space="preserve"> pour l’année 2018.</w:t>
      </w:r>
    </w:p>
    <w:p w14:paraId="00023633" w14:textId="53CB102A" w:rsidR="00303B90" w:rsidRDefault="006520EE" w:rsidP="006520EE">
      <w:pPr>
        <w:pStyle w:val="Titre3"/>
      </w:pPr>
      <w:bookmarkStart w:id="272" w:name="_Toc78131636"/>
      <w:r>
        <w:t xml:space="preserve">2.2.5. </w:t>
      </w:r>
      <w:r w:rsidR="00303B90">
        <w:t>Validation des données et levée des incohérences par enquête auprès des professionnels</w:t>
      </w:r>
      <w:bookmarkEnd w:id="272"/>
    </w:p>
    <w:p w14:paraId="6FE5F062" w14:textId="7D0D0017" w:rsidR="00303B90" w:rsidRDefault="00303B90" w:rsidP="00D65F7C">
      <w:r>
        <w:t>La première partie d’étude établie à partir d</w:t>
      </w:r>
      <w:r w:rsidRPr="003A5740">
        <w:t xml:space="preserve">es données nationales globales et </w:t>
      </w:r>
      <w:r>
        <w:t>d</w:t>
      </w:r>
      <w:r w:rsidRPr="003A5740">
        <w:t>es enquêtes réalisées sur des échantillons nationaux représentatifs de la population</w:t>
      </w:r>
      <w:r>
        <w:t>,</w:t>
      </w:r>
      <w:r w:rsidRPr="003A5740">
        <w:t xml:space="preserve"> en référence aux données de consommation obtenues par bilan</w:t>
      </w:r>
      <w:r>
        <w:t>, conclu</w:t>
      </w:r>
      <w:r w:rsidR="002457F8">
        <w:t>t</w:t>
      </w:r>
      <w:r>
        <w:t xml:space="preserve"> sur les limites de connaissance du marché.</w:t>
      </w:r>
    </w:p>
    <w:p w14:paraId="6343BFBC" w14:textId="77777777" w:rsidR="00303B90" w:rsidRDefault="00303B90" w:rsidP="00303B90">
      <w:pPr>
        <w:spacing w:after="0"/>
      </w:pPr>
      <w:r>
        <w:t xml:space="preserve">Elle met notamment en évidence des biais relatifs aux quatre points suivants : </w:t>
      </w:r>
    </w:p>
    <w:p w14:paraId="391F78B9" w14:textId="77777777" w:rsidR="00303B90" w:rsidRDefault="00303B90" w:rsidP="00A305CD">
      <w:pPr>
        <w:pStyle w:val="Paragraphedeliste"/>
        <w:numPr>
          <w:ilvl w:val="0"/>
          <w:numId w:val="23"/>
        </w:numPr>
        <w:spacing w:before="0"/>
      </w:pPr>
      <w:r>
        <w:t>La couverture globale des marchés des grandes surfaces alimentaires, de la restauration hors domicile et des circuits de vente alternatifs,</w:t>
      </w:r>
    </w:p>
    <w:p w14:paraId="07671A7E" w14:textId="77777777" w:rsidR="00303B90" w:rsidRDefault="00303B90" w:rsidP="00A305CD">
      <w:pPr>
        <w:pStyle w:val="Paragraphedeliste"/>
        <w:numPr>
          <w:ilvl w:val="0"/>
          <w:numId w:val="23"/>
        </w:numPr>
      </w:pPr>
      <w:r>
        <w:t xml:space="preserve">La représentativité des couples produits marchés pour les produits de plus faible diffusion ou à poids variable tels que la saucisserie sèche, la saucisserie fraîche, </w:t>
      </w:r>
    </w:p>
    <w:p w14:paraId="196FF99D" w14:textId="77777777" w:rsidR="00303B90" w:rsidRDefault="00303B90" w:rsidP="00A305CD">
      <w:pPr>
        <w:pStyle w:val="Paragraphedeliste"/>
        <w:numPr>
          <w:ilvl w:val="0"/>
          <w:numId w:val="23"/>
        </w:numPr>
      </w:pPr>
      <w:r>
        <w:t>La lecture des volumes d’importation par grande typologie de produits, entre les produits « bruts » à destination de la transformation et les produits finis à destination des marchés,</w:t>
      </w:r>
    </w:p>
    <w:p w14:paraId="77C7CB75" w14:textId="77777777" w:rsidR="00303B90" w:rsidRDefault="00303B90" w:rsidP="00A305CD">
      <w:pPr>
        <w:pStyle w:val="Paragraphedeliste"/>
        <w:numPr>
          <w:ilvl w:val="0"/>
          <w:numId w:val="23"/>
        </w:numPr>
      </w:pPr>
      <w:r>
        <w:t>Les limites de compréhension des pratiques d’achat et de gestion de l’offre en viande de porc et en saucisserie de la part des laboratoires de grandes surfaces alimentaires.</w:t>
      </w:r>
    </w:p>
    <w:p w14:paraId="46D53606" w14:textId="77777777" w:rsidR="00303B90" w:rsidRDefault="00303B90" w:rsidP="00303B90">
      <w:pPr>
        <w:pStyle w:val="Paragraphedeliste"/>
        <w:numPr>
          <w:ilvl w:val="0"/>
          <w:numId w:val="0"/>
        </w:numPr>
        <w:ind w:left="720"/>
      </w:pPr>
    </w:p>
    <w:p w14:paraId="7C865B05" w14:textId="77777777" w:rsidR="00303B90" w:rsidRDefault="00303B90" w:rsidP="00D65F7C">
      <w:r w:rsidRPr="00CD718E">
        <w:rPr>
          <w:u w:val="single"/>
        </w:rPr>
        <w:t>L’enquête qualitative sur les flux des produits du porc au sein de la filière</w:t>
      </w:r>
      <w:r>
        <w:t xml:space="preserve"> conduite de juin à septembre 2020 auprès de professionnels de la filière a eu pour objectifs de permettre la v</w:t>
      </w:r>
      <w:r w:rsidRPr="00020E6A">
        <w:t xml:space="preserve">alidation des données </w:t>
      </w:r>
      <w:r>
        <w:t xml:space="preserve">en matière d’ordre </w:t>
      </w:r>
      <w:r w:rsidRPr="00020E6A">
        <w:t xml:space="preserve">de grandeur </w:t>
      </w:r>
      <w:r>
        <w:t>des</w:t>
      </w:r>
      <w:r w:rsidRPr="00020E6A">
        <w:t xml:space="preserve"> couple</w:t>
      </w:r>
      <w:r>
        <w:t>s</w:t>
      </w:r>
      <w:r w:rsidRPr="00020E6A">
        <w:t xml:space="preserve"> produit</w:t>
      </w:r>
      <w:r>
        <w:t>s</w:t>
      </w:r>
      <w:r w:rsidRPr="00020E6A">
        <w:t xml:space="preserve"> </w:t>
      </w:r>
      <w:r>
        <w:t>et</w:t>
      </w:r>
      <w:r w:rsidRPr="00020E6A">
        <w:t xml:space="preserve"> marché</w:t>
      </w:r>
      <w:r>
        <w:t>, d’identifier les incohérences dans les données et de déterminer des scénarios pour les valeurs limites.</w:t>
      </w:r>
    </w:p>
    <w:p w14:paraId="495EBCA9" w14:textId="77777777" w:rsidR="00303B90" w:rsidRDefault="00303B90" w:rsidP="00D65F7C">
      <w:r w:rsidRPr="001B1D5A">
        <w:t xml:space="preserve">En parallèle, cette étude s’est enrichie des apports </w:t>
      </w:r>
      <w:r w:rsidRPr="00CD718E">
        <w:rPr>
          <w:u w:val="single"/>
        </w:rPr>
        <w:t>d’une enquête dédiée aux marchés de la restauration collective</w:t>
      </w:r>
      <w:r>
        <w:t xml:space="preserve"> </w:t>
      </w:r>
      <w:r w:rsidRPr="001B1D5A">
        <w:t>conduite dans le cadre d’un</w:t>
      </w:r>
      <w:r>
        <w:t xml:space="preserve"> financement Inaporc et visant à quantifier ce segment de marché. Celle-ci s’est déroulée de mai à septembre 2020 et les principaux résultats sont présentés.</w:t>
      </w:r>
    </w:p>
    <w:p w14:paraId="52788452" w14:textId="135E579A" w:rsidR="00303B90" w:rsidRDefault="00303B90" w:rsidP="00A305CD">
      <w:pPr>
        <w:pStyle w:val="Titre1"/>
        <w:numPr>
          <w:ilvl w:val="0"/>
          <w:numId w:val="25"/>
        </w:numPr>
      </w:pPr>
      <w:bookmarkStart w:id="273" w:name="_Toc78131637"/>
      <w:r>
        <w:lastRenderedPageBreak/>
        <w:t>Enquête qualitative sur les flux de la filière porcine</w:t>
      </w:r>
      <w:bookmarkEnd w:id="273"/>
    </w:p>
    <w:p w14:paraId="686640CD" w14:textId="71EB81E5" w:rsidR="00303B90" w:rsidRDefault="00303B90" w:rsidP="00A63F35">
      <w:pPr>
        <w:pStyle w:val="Titre2"/>
        <w:numPr>
          <w:ilvl w:val="1"/>
          <w:numId w:val="85"/>
        </w:numPr>
      </w:pPr>
      <w:bookmarkStart w:id="274" w:name="_Toc78131638"/>
      <w:r>
        <w:t>Méthode et limites</w:t>
      </w:r>
      <w:bookmarkEnd w:id="274"/>
    </w:p>
    <w:p w14:paraId="27F5CF2B" w14:textId="0C60C24A" w:rsidR="00303B90" w:rsidRDefault="00303B90" w:rsidP="006520EE">
      <w:pPr>
        <w:pStyle w:val="Titre3"/>
        <w:numPr>
          <w:ilvl w:val="2"/>
          <w:numId w:val="9"/>
        </w:numPr>
      </w:pPr>
      <w:bookmarkStart w:id="275" w:name="_Toc78131639"/>
      <w:r>
        <w:t>Ciblage et structure de l’échantillon</w:t>
      </w:r>
      <w:bookmarkEnd w:id="275"/>
      <w:r>
        <w:t xml:space="preserve"> </w:t>
      </w:r>
    </w:p>
    <w:p w14:paraId="1C195999" w14:textId="7EC6A7EC" w:rsidR="00303B90" w:rsidRDefault="00303B90" w:rsidP="00D65F7C">
      <w:pPr>
        <w:spacing w:after="0"/>
      </w:pPr>
      <w:r w:rsidRPr="001B141B">
        <w:t xml:space="preserve">Afin d’appréhender les flux, </w:t>
      </w:r>
      <w:r>
        <w:t>plus d’une quarantaine d’entretiens approfondis en distanciel ont été menés auprès d</w:t>
      </w:r>
      <w:r w:rsidRPr="001B141B">
        <w:t>es fonctions achats et vente des différents niveaux de la filière porcine</w:t>
      </w:r>
      <w:r>
        <w:t xml:space="preserve"> soient des abatteurs découpeurs, des importateurs exportateurs, des transformateurs en charcuterie salaison, des distributeurs ou centrales d’achats et enfin des chaînes de la restauration commerciale.</w:t>
      </w:r>
    </w:p>
    <w:p w14:paraId="138F062C" w14:textId="77777777" w:rsidR="00303B90" w:rsidRDefault="00303B90" w:rsidP="00D65F7C">
      <w:pPr>
        <w:spacing w:after="0"/>
      </w:pPr>
      <w:r>
        <w:t>Parmi les orientations qui ont prévalu</w:t>
      </w:r>
      <w:r w:rsidRPr="005116C8">
        <w:t xml:space="preserve"> </w:t>
      </w:r>
      <w:r>
        <w:t>aux</w:t>
      </w:r>
      <w:r w:rsidRPr="005116C8">
        <w:t xml:space="preserve"> </w:t>
      </w:r>
      <w:r>
        <w:t xml:space="preserve">choix </w:t>
      </w:r>
      <w:r w:rsidRPr="005116C8">
        <w:t xml:space="preserve">des </w:t>
      </w:r>
      <w:r>
        <w:t>acteurs</w:t>
      </w:r>
      <w:r w:rsidRPr="005116C8">
        <w:t xml:space="preserve"> enquêtés</w:t>
      </w:r>
      <w:r>
        <w:t xml:space="preserve">, ont figuré les notions de </w:t>
      </w:r>
    </w:p>
    <w:p w14:paraId="70EC7350" w14:textId="77777777" w:rsidR="00303B90" w:rsidRDefault="00303B90" w:rsidP="00A305CD">
      <w:pPr>
        <w:pStyle w:val="Paragraphedeliste"/>
        <w:numPr>
          <w:ilvl w:val="0"/>
          <w:numId w:val="23"/>
        </w:numPr>
        <w:spacing w:before="0"/>
        <w:ind w:left="714" w:hanging="357"/>
      </w:pPr>
      <w:r>
        <w:t>Part de marché relative de l’opérateur sur son marché afin que les données collectées consolidées permettent d’atteindre une bonne représentativité du marché. Ce point est important dans le cas de marché atomisés tel que l’aval de la restauration hors domicile,</w:t>
      </w:r>
    </w:p>
    <w:p w14:paraId="3A10C025" w14:textId="77777777" w:rsidR="00303B90" w:rsidRDefault="00303B90" w:rsidP="00A305CD">
      <w:pPr>
        <w:pStyle w:val="Paragraphedeliste"/>
        <w:numPr>
          <w:ilvl w:val="0"/>
          <w:numId w:val="23"/>
        </w:numPr>
        <w:spacing w:after="120"/>
        <w:ind w:left="714" w:hanging="357"/>
      </w:pPr>
      <w:r>
        <w:t>Qualité de la donnée collectée en termes de volumétrie, de v</w:t>
      </w:r>
      <w:r w:rsidRPr="00C00966">
        <w:t xml:space="preserve">alidité, </w:t>
      </w:r>
      <w:r>
        <w:t xml:space="preserve">de </w:t>
      </w:r>
      <w:r w:rsidRPr="00C00966">
        <w:t>robustesse</w:t>
      </w:r>
      <w:r>
        <w:t xml:space="preserve"> et</w:t>
      </w:r>
      <w:r w:rsidRPr="00C00966">
        <w:t xml:space="preserve"> </w:t>
      </w:r>
      <w:r>
        <w:t xml:space="preserve">de </w:t>
      </w:r>
      <w:r w:rsidRPr="00C00966">
        <w:t>représentativité</w:t>
      </w:r>
      <w:r>
        <w:t xml:space="preserve"> sachant que certains acheteurs n’ont pas accès à des données statistiques complètes de leur marché.</w:t>
      </w:r>
    </w:p>
    <w:p w14:paraId="2FA81D7D" w14:textId="77777777" w:rsidR="00303B90" w:rsidRDefault="00303B90" w:rsidP="00303B90">
      <w:r>
        <w:t>Le détail des acteurs interviewés par niveau de transformation au sein de la filière figure en Annexe 9.</w:t>
      </w:r>
    </w:p>
    <w:p w14:paraId="6A290ADD" w14:textId="603F0613" w:rsidR="0086662B" w:rsidRDefault="00303B90" w:rsidP="0086662B">
      <w:pPr>
        <w:spacing w:after="0"/>
      </w:pPr>
      <w:r>
        <w:t xml:space="preserve">A noter, au sein </w:t>
      </w:r>
      <w:r w:rsidR="00A613E1">
        <w:t xml:space="preserve">des </w:t>
      </w:r>
      <w:r>
        <w:t>enseignes de la grande distribution, l’organisation des services achats en pôles produits soient la charcuterie libre-service, la charcuterie coupe et le secteur traditionnel de la viande fraîche, a conduit à devoir multiplier les contacts</w:t>
      </w:r>
      <w:r w:rsidR="00603E8C">
        <w:t xml:space="preserve"> auprès</w:t>
      </w:r>
      <w:r>
        <w:t xml:space="preserve"> </w:t>
      </w:r>
      <w:r w:rsidR="00603E8C">
        <w:t>d’</w:t>
      </w:r>
      <w:r>
        <w:t>acheteurs afin de couvrir l’ensemble des catégories de produits concernées par le porc. Néanmoins, les segments</w:t>
      </w:r>
      <w:r w:rsidR="0086662B">
        <w:t xml:space="preserve"> suivants</w:t>
      </w:r>
      <w:r>
        <w:t xml:space="preserve"> </w:t>
      </w:r>
      <w:r w:rsidR="0086662B">
        <w:t xml:space="preserve">ont été dépriorisés : </w:t>
      </w:r>
    </w:p>
    <w:p w14:paraId="63BB1616" w14:textId="0AC502B4" w:rsidR="0086662B" w:rsidRDefault="0086662B" w:rsidP="00A305CD">
      <w:pPr>
        <w:pStyle w:val="Paragraphedeliste"/>
        <w:numPr>
          <w:ilvl w:val="0"/>
          <w:numId w:val="23"/>
        </w:numPr>
        <w:spacing w:before="0"/>
        <w:ind w:left="714" w:hanging="357"/>
      </w:pPr>
      <w:r>
        <w:t>le</w:t>
      </w:r>
      <w:r w:rsidR="00303B90">
        <w:t xml:space="preserve"> drive</w:t>
      </w:r>
      <w:r>
        <w:t xml:space="preserve"> (moins de 5</w:t>
      </w:r>
      <w:r w:rsidR="00FA6A05">
        <w:t> </w:t>
      </w:r>
      <w:r>
        <w:t>% du marché selon KWp)</w:t>
      </w:r>
      <w:r w:rsidR="00303B90">
        <w:t>,</w:t>
      </w:r>
    </w:p>
    <w:p w14:paraId="5BDDB649" w14:textId="7B999875" w:rsidR="0086662B" w:rsidRDefault="00303B90" w:rsidP="00A305CD">
      <w:pPr>
        <w:pStyle w:val="Paragraphedeliste"/>
        <w:numPr>
          <w:ilvl w:val="0"/>
          <w:numId w:val="23"/>
        </w:numPr>
      </w:pPr>
      <w:r>
        <w:t>l’épicerie (terrines et jambons appertisés)</w:t>
      </w:r>
      <w:r w:rsidR="004C6299">
        <w:t>,</w:t>
      </w:r>
    </w:p>
    <w:p w14:paraId="5F801A47" w14:textId="56473CFA" w:rsidR="00303B90" w:rsidRDefault="00303B90" w:rsidP="00A305CD">
      <w:pPr>
        <w:pStyle w:val="Paragraphedeliste"/>
        <w:numPr>
          <w:ilvl w:val="0"/>
          <w:numId w:val="23"/>
        </w:numPr>
      </w:pPr>
      <w:r>
        <w:t>et le surgelé (moins de 2</w:t>
      </w:r>
      <w:r w:rsidR="00FA6A05">
        <w:t> </w:t>
      </w:r>
      <w:r>
        <w:t>% des volumes d’achat du total viande de porc</w:t>
      </w:r>
      <w:r w:rsidR="0086662B">
        <w:t xml:space="preserve"> selon K</w:t>
      </w:r>
      <w:r w:rsidR="00FA6A05">
        <w:t>W</w:t>
      </w:r>
      <w:r w:rsidR="0086662B">
        <w:t>p</w:t>
      </w:r>
      <w:r>
        <w:t>).</w:t>
      </w:r>
    </w:p>
    <w:p w14:paraId="507CF5C7" w14:textId="6FAB43DE" w:rsidR="00303B90" w:rsidRDefault="00303B90" w:rsidP="006520EE">
      <w:pPr>
        <w:pStyle w:val="Titre3"/>
        <w:numPr>
          <w:ilvl w:val="2"/>
          <w:numId w:val="9"/>
        </w:numPr>
      </w:pPr>
      <w:bookmarkStart w:id="276" w:name="_Toc78131640"/>
      <w:r>
        <w:t>Objectif</w:t>
      </w:r>
      <w:r w:rsidR="00B06AD0">
        <w:t>s</w:t>
      </w:r>
      <w:bookmarkEnd w:id="276"/>
    </w:p>
    <w:p w14:paraId="64EDA0EB" w14:textId="05FB2D26" w:rsidR="00303B90" w:rsidRDefault="00303B90" w:rsidP="00E65F44">
      <w:r w:rsidRPr="00487114">
        <w:t>L</w:t>
      </w:r>
      <w:r>
        <w:t xml:space="preserve">e </w:t>
      </w:r>
      <w:r w:rsidRPr="00487114">
        <w:t>principal</w:t>
      </w:r>
      <w:r>
        <w:t xml:space="preserve"> enjeu</w:t>
      </w:r>
      <w:r w:rsidRPr="00487114">
        <w:t xml:space="preserve"> de ces entretiens était de </w:t>
      </w:r>
      <w:r>
        <w:t>confronter les</w:t>
      </w:r>
      <w:r w:rsidR="00603E8C">
        <w:t xml:space="preserve"> </w:t>
      </w:r>
      <w:r>
        <w:t>différentes sources de données</w:t>
      </w:r>
      <w:r w:rsidR="005D5087">
        <w:t xml:space="preserve"> quantitatives </w:t>
      </w:r>
      <w:r>
        <w:t xml:space="preserve">de marché fournies (Prodcom/INSEE, KantarWorldpanel ou Gira Food Service) </w:t>
      </w:r>
      <w:r w:rsidR="005D5087">
        <w:t xml:space="preserve">par croisement avec les volumes d’achat ou de vente des acteurs interrogés </w:t>
      </w:r>
      <w:r>
        <w:t>afin d</w:t>
      </w:r>
      <w:r w:rsidR="005D5087">
        <w:t>e mesurer les écarts</w:t>
      </w:r>
      <w:r w:rsidR="003A4BAA">
        <w:t>.</w:t>
      </w:r>
    </w:p>
    <w:p w14:paraId="0B43381B" w14:textId="2B42087B" w:rsidR="00303B90" w:rsidRDefault="00303B90" w:rsidP="00303B90">
      <w:pPr>
        <w:spacing w:after="0"/>
      </w:pPr>
      <w:r>
        <w:t>Les autres objectifs </w:t>
      </w:r>
      <w:r w:rsidR="005D5087">
        <w:t xml:space="preserve">sont de </w:t>
      </w:r>
    </w:p>
    <w:p w14:paraId="2CCC2A64" w14:textId="10462E5E" w:rsidR="00303B90" w:rsidRDefault="00303B90" w:rsidP="00A305CD">
      <w:pPr>
        <w:pStyle w:val="Paragraphedeliste"/>
        <w:numPr>
          <w:ilvl w:val="0"/>
          <w:numId w:val="23"/>
        </w:numPr>
        <w:spacing w:before="0"/>
        <w:ind w:left="714" w:hanging="357"/>
      </w:pPr>
      <w:r>
        <w:t>Clarifier la nature des produits importés</w:t>
      </w:r>
      <w:r w:rsidR="005D5087">
        <w:t xml:space="preserve"> compte tenu de l’agrégation des libellés des codes NACE</w:t>
      </w:r>
      <w:r>
        <w:t xml:space="preserve">, </w:t>
      </w:r>
      <w:r w:rsidR="005D5087">
        <w:t xml:space="preserve">d’approcher </w:t>
      </w:r>
      <w:r>
        <w:t>l</w:t>
      </w:r>
      <w:r w:rsidR="005D5087">
        <w:t>a</w:t>
      </w:r>
      <w:r>
        <w:t xml:space="preserve"> destination par marché </w:t>
      </w:r>
      <w:r w:rsidR="005D5087">
        <w:t xml:space="preserve">des produits </w:t>
      </w:r>
      <w:r>
        <w:t xml:space="preserve">et </w:t>
      </w:r>
      <w:r w:rsidR="005D5087">
        <w:t>les logiques d’arbitrage qui les gouvernent</w:t>
      </w:r>
      <w:r>
        <w:t>,</w:t>
      </w:r>
    </w:p>
    <w:p w14:paraId="2F831C37" w14:textId="77777777" w:rsidR="00303B90" w:rsidRDefault="00303B90" w:rsidP="00A305CD">
      <w:pPr>
        <w:pStyle w:val="Paragraphedeliste"/>
        <w:numPr>
          <w:ilvl w:val="0"/>
          <w:numId w:val="23"/>
        </w:numPr>
      </w:pPr>
      <w:r>
        <w:t xml:space="preserve">Evaluer le niveau des pertes et gaspillages lors des différentes phases de découpe ou de transformation et la part des viandes commercialisées avec os dans la mesure où cette pratique distingue la France de ses voisins européens. </w:t>
      </w:r>
    </w:p>
    <w:p w14:paraId="0E899BBC" w14:textId="6FDACF45" w:rsidR="00303B90" w:rsidRDefault="00303B90" w:rsidP="0053592E">
      <w:pPr>
        <w:pStyle w:val="Paragraphedeliste"/>
        <w:numPr>
          <w:ilvl w:val="0"/>
          <w:numId w:val="23"/>
        </w:numPr>
      </w:pPr>
      <w:r>
        <w:t xml:space="preserve">Enfin, ces entretiens qualitatifs ont visé, au-delà de la collecte de données explicitée plus haut, à comprendre également les arbitrages stratégiques effectués concernant la structure du portefeuille de produits. </w:t>
      </w:r>
      <w:r w:rsidR="00603E8C">
        <w:t>I</w:t>
      </w:r>
      <w:r>
        <w:t xml:space="preserve">l s’est agi </w:t>
      </w:r>
      <w:r w:rsidR="00603E8C">
        <w:t xml:space="preserve">aussi </w:t>
      </w:r>
      <w:r>
        <w:t>de mieux appréhender les politiques d’achat des produits sous signe de qualité, les éventuels partenariats mis en place.</w:t>
      </w:r>
    </w:p>
    <w:p w14:paraId="50283764" w14:textId="76B4AADB" w:rsidR="00303B90" w:rsidRDefault="00303B90" w:rsidP="006520EE">
      <w:pPr>
        <w:pStyle w:val="Titre3"/>
        <w:numPr>
          <w:ilvl w:val="2"/>
          <w:numId w:val="9"/>
        </w:numPr>
      </w:pPr>
      <w:bookmarkStart w:id="277" w:name="_Toc78131641"/>
      <w:r>
        <w:lastRenderedPageBreak/>
        <w:t>Les limites</w:t>
      </w:r>
      <w:bookmarkEnd w:id="277"/>
      <w:r>
        <w:t xml:space="preserve"> </w:t>
      </w:r>
    </w:p>
    <w:p w14:paraId="31E1C4BB" w14:textId="77777777" w:rsidR="00303B90" w:rsidRDefault="00303B90" w:rsidP="00303B90">
      <w:pPr>
        <w:spacing w:before="120" w:after="0"/>
      </w:pPr>
      <w:r>
        <w:t xml:space="preserve">Des difficultés inhérentes à l’organisation et aux pratiques des acteurs, ont été rencontrées à différents niveaux lors de la collecte des données susceptibles d’introduire des biais lors de leur exploitation : </w:t>
      </w:r>
    </w:p>
    <w:p w14:paraId="3D4505C3" w14:textId="384E7FEE" w:rsidR="00303B90" w:rsidRDefault="00303B90" w:rsidP="00713036">
      <w:pPr>
        <w:spacing w:before="120"/>
      </w:pPr>
      <w:r>
        <w:t>a/</w:t>
      </w:r>
      <w:r w:rsidR="003A4BAA">
        <w:t xml:space="preserve"> L</w:t>
      </w:r>
      <w:r>
        <w:t>es flux de pièces de découpe de viande entre abatteurs découpeurs et transformateurs ou distributeurs, la d</w:t>
      </w:r>
      <w:r w:rsidRPr="001E7DD5">
        <w:t>iversité des découpes</w:t>
      </w:r>
      <w:r>
        <w:t xml:space="preserve">, des dénominations </w:t>
      </w:r>
      <w:r w:rsidRPr="001E7DD5">
        <w:t xml:space="preserve">et </w:t>
      </w:r>
      <w:r>
        <w:t xml:space="preserve">de </w:t>
      </w:r>
      <w:r w:rsidRPr="001E7DD5">
        <w:t xml:space="preserve">segmentation </w:t>
      </w:r>
      <w:r>
        <w:t xml:space="preserve">des produits </w:t>
      </w:r>
      <w:r w:rsidRPr="001E7DD5">
        <w:t>propre</w:t>
      </w:r>
      <w:r>
        <w:t xml:space="preserve">s </w:t>
      </w:r>
      <w:r w:rsidRPr="001E7DD5">
        <w:t>à chaque structure</w:t>
      </w:r>
      <w:r>
        <w:t xml:space="preserve">, </w:t>
      </w:r>
      <w:r w:rsidR="001941C9">
        <w:t>ont</w:t>
      </w:r>
      <w:r>
        <w:t xml:space="preserve"> pu</w:t>
      </w:r>
      <w:r w:rsidRPr="001E7DD5">
        <w:t xml:space="preserve"> indui</w:t>
      </w:r>
      <w:r>
        <w:t>re</w:t>
      </w:r>
      <w:r w:rsidRPr="001E7DD5">
        <w:t xml:space="preserve"> des biais dans l</w:t>
      </w:r>
      <w:r>
        <w:t xml:space="preserve">a consolidation </w:t>
      </w:r>
      <w:r w:rsidRPr="001E7DD5">
        <w:t>des données par pièce primaire (</w:t>
      </w:r>
      <w:r>
        <w:t>affectation de la</w:t>
      </w:r>
      <w:r w:rsidRPr="001E7DD5">
        <w:t xml:space="preserve"> palette,</w:t>
      </w:r>
      <w:r>
        <w:t xml:space="preserve"> du </w:t>
      </w:r>
      <w:r w:rsidRPr="001E7DD5">
        <w:t>jambonneau)</w:t>
      </w:r>
      <w:r w:rsidR="003A4BAA">
        <w:t>.</w:t>
      </w:r>
    </w:p>
    <w:p w14:paraId="1BFADCCA" w14:textId="5C80A93D" w:rsidR="00303B90" w:rsidRDefault="00303B90" w:rsidP="00303B90">
      <w:r>
        <w:t xml:space="preserve">b/ </w:t>
      </w:r>
      <w:r w:rsidR="003A4BAA">
        <w:t>Pour ce qui concerne</w:t>
      </w:r>
      <w:r>
        <w:t xml:space="preserve"> les distributeurs, sur le périmètre du rayon traditionnel soit de la viande de porc et de ses élaborés, le suivi des ventes s’effectue au travers du chiffre d’affaire réalisé et des unités de ventes commercialisées (UC). Les ventes en volume </w:t>
      </w:r>
      <w:r w:rsidRPr="001E7DD5">
        <w:t xml:space="preserve">des </w:t>
      </w:r>
      <w:r>
        <w:t>produits</w:t>
      </w:r>
      <w:r w:rsidR="001941C9">
        <w:t xml:space="preserve"> à</w:t>
      </w:r>
      <w:r w:rsidRPr="001E7DD5">
        <w:t xml:space="preserve"> poids variables</w:t>
      </w:r>
      <w:r>
        <w:t xml:space="preserve"> ont été par conséquent déduits avec des risques d’erreur.</w:t>
      </w:r>
    </w:p>
    <w:p w14:paraId="6265B6EA" w14:textId="17BE497E" w:rsidR="008279D3" w:rsidRDefault="008279D3" w:rsidP="008279D3">
      <w:r>
        <w:t xml:space="preserve">Selon la structure de l’enseigne, l’existence d’un périmètre hétérogène entre des points de vente intégrés et des franchisés n’a pas toujours permis d’appréhender dans son entièreté les volumes réalisés, conduisant à effectuer des approximations. </w:t>
      </w:r>
    </w:p>
    <w:p w14:paraId="01F4E7C9" w14:textId="276CB0D0" w:rsidR="00303B90" w:rsidRDefault="00303B90" w:rsidP="00303B90">
      <w:r>
        <w:t>Par ailleurs,</w:t>
      </w:r>
      <w:r w:rsidR="003A4BAA">
        <w:t xml:space="preserve"> </w:t>
      </w:r>
      <w:r w:rsidR="001941C9">
        <w:t xml:space="preserve">pour </w:t>
      </w:r>
      <w:r>
        <w:t>certaines familles de produits telles que les salaisons et charcuteries sèches, les pâtés, le référencement en direct auprès des points de vente par les transformateurs peut conduire à une fuite de volumes en région qui ne sont pas consolidés et comptabilisés au niveau national. Le « </w:t>
      </w:r>
      <w:r w:rsidRPr="001E7DD5">
        <w:t>direct point de vente</w:t>
      </w:r>
      <w:r>
        <w:t> » a en conséquence été estimé.</w:t>
      </w:r>
    </w:p>
    <w:p w14:paraId="13958B32" w14:textId="4EE969E4" w:rsidR="00B50E0E" w:rsidRDefault="008279D3" w:rsidP="00E65F44">
      <w:r>
        <w:t>c</w:t>
      </w:r>
      <w:r w:rsidR="00303B90">
        <w:t>/ Aux différents niveaux de la filière, le niveau des pertes associées à la découpe des pièces</w:t>
      </w:r>
      <w:r w:rsidR="004F71E7">
        <w:t xml:space="preserve"> pour chacune des</w:t>
      </w:r>
      <w:r w:rsidR="00303B90">
        <w:t xml:space="preserve"> phases de production </w:t>
      </w:r>
      <w:r w:rsidR="001941C9">
        <w:t>est méconnu</w:t>
      </w:r>
      <w:r w:rsidR="00303B90">
        <w:t xml:space="preserve">. </w:t>
      </w:r>
      <w:r w:rsidR="001941C9">
        <w:t>L’estimation de ces variables</w:t>
      </w:r>
      <w:r w:rsidR="00303B90">
        <w:t xml:space="preserve"> est souvent difficile, nécessitant du temps pour assurer l’obtention de données fiables.</w:t>
      </w:r>
    </w:p>
    <w:p w14:paraId="04F0CB5A" w14:textId="15D301C4" w:rsidR="00303B90" w:rsidRDefault="00303B90" w:rsidP="00E65F44">
      <w:r>
        <w:t>Toutes ces données recueillies en entretien, ont été croisées avec les données présentées dans ce rapport et les écarts ont été analysés en tenant compte des conditions de recueil de ces données. Les résultats présentés ultérieurement dans ce rapport tiennent donc compte de ces analyses.</w:t>
      </w:r>
      <w:r w:rsidR="00B41C25">
        <w:t xml:space="preserve"> L’ensemble des données ont été collectées et traitées de manière confidentielle afin de préserver l’anonymat des enquêtés.</w:t>
      </w:r>
    </w:p>
    <w:p w14:paraId="70CAF1FE" w14:textId="007E6425" w:rsidR="00303B90" w:rsidRDefault="00A30233" w:rsidP="00A63F35">
      <w:pPr>
        <w:pStyle w:val="Titre2"/>
      </w:pPr>
      <w:bookmarkStart w:id="278" w:name="_Toc78131642"/>
      <w:r>
        <w:t>Principaux résultats</w:t>
      </w:r>
      <w:r w:rsidR="00B41C25">
        <w:t> :</w:t>
      </w:r>
      <w:bookmarkEnd w:id="278"/>
      <w:r w:rsidR="00B41C25">
        <w:t xml:space="preserve"> </w:t>
      </w:r>
    </w:p>
    <w:p w14:paraId="3108CC69" w14:textId="28046692" w:rsidR="00D52669" w:rsidRDefault="007D7527" w:rsidP="005D179D">
      <w:pPr>
        <w:pStyle w:val="Titre3"/>
        <w:numPr>
          <w:ilvl w:val="2"/>
          <w:numId w:val="9"/>
        </w:numPr>
      </w:pPr>
      <w:bookmarkStart w:id="279" w:name="_Toc78131643"/>
      <w:r>
        <w:t>Co</w:t>
      </w:r>
      <w:r w:rsidR="00BD3F5B">
        <w:t>nsolidation des flux</w:t>
      </w:r>
      <w:r>
        <w:t xml:space="preserve"> </w:t>
      </w:r>
      <w:r w:rsidR="00BD3F5B">
        <w:t>à chaque niveau de transformation de la filière</w:t>
      </w:r>
      <w:bookmarkEnd w:id="279"/>
      <w:r w:rsidR="00BD3F5B">
        <w:t xml:space="preserve"> </w:t>
      </w:r>
    </w:p>
    <w:p w14:paraId="75061661" w14:textId="0523C19F" w:rsidR="00A74D7B" w:rsidRDefault="00A74D7B" w:rsidP="00BD3F5B">
      <w:pPr>
        <w:rPr>
          <w:lang w:val="fr-CA" w:eastAsia="fr-FR"/>
        </w:rPr>
      </w:pPr>
      <w:r>
        <w:rPr>
          <w:lang w:val="fr-CA" w:eastAsia="fr-FR"/>
        </w:rPr>
        <w:t>Les différents</w:t>
      </w:r>
      <w:r w:rsidR="00CC0084">
        <w:rPr>
          <w:lang w:val="fr-CA" w:eastAsia="fr-FR"/>
        </w:rPr>
        <w:t xml:space="preserve"> niveaux de transformation au sein de la filière </w:t>
      </w:r>
      <w:r>
        <w:rPr>
          <w:lang w:val="fr-CA" w:eastAsia="fr-FR"/>
        </w:rPr>
        <w:t>qui vont guider l’approche, sont récapitulés dans le schéma suivant (</w:t>
      </w:r>
      <w:r w:rsidR="007F1007" w:rsidRPr="00183DA7">
        <w:rPr>
          <w:lang w:val="fr-CA" w:eastAsia="fr-FR"/>
        </w:rPr>
        <w:fldChar w:fldCharType="begin"/>
      </w:r>
      <w:r w:rsidR="007F1007" w:rsidRPr="00183DA7">
        <w:rPr>
          <w:lang w:val="fr-CA" w:eastAsia="fr-FR"/>
        </w:rPr>
        <w:instrText xml:space="preserve"> REF _Ref70359650 \h </w:instrText>
      </w:r>
      <w:r w:rsidR="00183DA7">
        <w:rPr>
          <w:lang w:val="fr-CA" w:eastAsia="fr-FR"/>
        </w:rPr>
        <w:instrText xml:space="preserve"> \* MERGEFORMAT </w:instrText>
      </w:r>
      <w:r w:rsidR="007F1007" w:rsidRPr="00183DA7">
        <w:rPr>
          <w:lang w:val="fr-CA" w:eastAsia="fr-FR"/>
        </w:rPr>
      </w:r>
      <w:r w:rsidR="007F1007" w:rsidRPr="00183DA7">
        <w:rPr>
          <w:lang w:val="fr-CA" w:eastAsia="fr-FR"/>
        </w:rPr>
        <w:fldChar w:fldCharType="separate"/>
      </w:r>
      <w:r w:rsidR="0007597F" w:rsidRPr="0002537E">
        <w:t>Figure</w:t>
      </w:r>
      <w:r w:rsidR="0007597F" w:rsidRPr="0002537E">
        <w:rPr>
          <w:b/>
        </w:rPr>
        <w:t xml:space="preserve"> </w:t>
      </w:r>
      <w:r w:rsidR="0007597F" w:rsidRPr="0002537E">
        <w:rPr>
          <w:noProof/>
        </w:rPr>
        <w:t>29</w:t>
      </w:r>
      <w:r w:rsidR="007F1007" w:rsidRPr="00183DA7">
        <w:rPr>
          <w:lang w:val="fr-CA" w:eastAsia="fr-FR"/>
        </w:rPr>
        <w:fldChar w:fldCharType="end"/>
      </w:r>
      <w:r w:rsidR="007F1007">
        <w:rPr>
          <w:lang w:val="fr-CA" w:eastAsia="fr-FR"/>
        </w:rPr>
        <w:t>).</w:t>
      </w:r>
    </w:p>
    <w:p w14:paraId="1A4CF434" w14:textId="30994217" w:rsidR="00A74D7B" w:rsidRPr="00BD3F5B" w:rsidRDefault="00A74D7B" w:rsidP="00BD3F5B">
      <w:pPr>
        <w:rPr>
          <w:lang w:val="fr-CA" w:eastAsia="fr-FR"/>
        </w:rPr>
      </w:pPr>
      <w:r>
        <w:rPr>
          <w:lang w:val="fr-CA" w:eastAsia="fr-FR"/>
        </w:rPr>
        <w:t xml:space="preserve">Les flux pris en compte concernent les pièces et les abats. </w:t>
      </w:r>
    </w:p>
    <w:p w14:paraId="32136308" w14:textId="6F0A3E7C" w:rsidR="00BD3F5B" w:rsidRDefault="00496235" w:rsidP="00451293">
      <w:pPr>
        <w:jc w:val="right"/>
        <w:rPr>
          <w:lang w:val="fr-CA" w:eastAsia="fr-FR"/>
        </w:rPr>
      </w:pPr>
      <w:r>
        <w:rPr>
          <w:noProof/>
        </w:rPr>
        <w:lastRenderedPageBreak/>
        <mc:AlternateContent>
          <mc:Choice Requires="wps">
            <w:drawing>
              <wp:anchor distT="0" distB="0" distL="114300" distR="114300" simplePos="0" relativeHeight="251658291" behindDoc="0" locked="0" layoutInCell="1" allowOverlap="1" wp14:anchorId="461D2F9D" wp14:editId="4FF25486">
                <wp:simplePos x="0" y="0"/>
                <wp:positionH relativeFrom="column">
                  <wp:posOffset>-241462</wp:posOffset>
                </wp:positionH>
                <wp:positionV relativeFrom="paragraph">
                  <wp:posOffset>467818</wp:posOffset>
                </wp:positionV>
                <wp:extent cx="775335" cy="276225"/>
                <wp:effectExtent l="0" t="0" r="24765" b="28575"/>
                <wp:wrapNone/>
                <wp:docPr id="87" name="Zone de texte 87"/>
                <wp:cNvGraphicFramePr/>
                <a:graphic xmlns:a="http://schemas.openxmlformats.org/drawingml/2006/main">
                  <a:graphicData uri="http://schemas.microsoft.com/office/word/2010/wordprocessingShape">
                    <wps:wsp>
                      <wps:cNvSpPr txBox="1"/>
                      <wps:spPr>
                        <a:xfrm>
                          <a:off x="0" y="0"/>
                          <a:ext cx="775335" cy="276225"/>
                        </a:xfrm>
                        <a:prstGeom prst="rect">
                          <a:avLst/>
                        </a:prstGeom>
                        <a:solidFill>
                          <a:schemeClr val="lt1"/>
                        </a:solidFill>
                        <a:ln w="6350">
                          <a:solidFill>
                            <a:prstClr val="black"/>
                          </a:solidFill>
                        </a:ln>
                      </wps:spPr>
                      <wps:txbx>
                        <w:txbxContent>
                          <w:p w14:paraId="0678F31A" w14:textId="72F48AF2" w:rsidR="00741BFF" w:rsidRDefault="00741BFF" w:rsidP="00451293">
                            <w:pPr>
                              <w:jc w:val="center"/>
                            </w:pPr>
                            <w:r>
                              <w:t>Partie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1D2F9D" id="Zone de texte 87" o:spid="_x0000_s1053" type="#_x0000_t202" style="position:absolute;left:0;text-align:left;margin-left:-19pt;margin-top:36.85pt;width:61.05pt;height:21.7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FmsVQIAAK8EAAAOAAAAZHJzL2Uyb0RvYy54bWysVN9v2jAQfp+0/8Hy+wiEX11EqBgV0yTU&#10;VqJTpb0ZxwFrjs+zDQn763t2AqXdnqa9mPPdl893390xu20qRY7COgk6p4NenxKhORRS73L6/Wn1&#10;6YYS55kumAItcnoSjt7OP36Y1SYTKexBFcISJNEuq01O996bLEkc34uKuR4YoTFYgq2Yx6vdJYVl&#10;NbJXKkn7/UlSgy2MBS6cQ+9dG6TzyF+WgvuHsnTCE5VTzM3H08ZzG85kPmPZzjKzl7xLg/1DFhWT&#10;Gh+9UN0xz8jByj+oKsktOCh9j0OVQFlKLmINWM2g/66azZ4ZEWtBcZy5yOT+Hy2/Pz5aIouc3kwp&#10;0azCHv3ATpFCEC8aLwj6UaTauAyxG4No33yBBpt99jt0htqb0lbhF6siGEe5TxeJkYpwdE6n4+Fw&#10;TAnHUDqdpOk4sCSvHxvr/FcBFQlGTi12MArLjmvnW+gZEt5yoGSxkkrFS5gasVSWHBn2W/mYIpK/&#10;QSlN6pxOhuN+JH4TC9SX77eK8Z9delco5FMacw6StKUHyzfbJuqYXvTaQnFCuSy0U+cMX0nkXzPn&#10;H5nFMUOFcHX8Ax6lAkwKOouSPdjff/MHPHYfo5TUOLY5db8OzApK1DeNc/F5MBqFOY+X0Xia4sVe&#10;R7bXEX2oloBKDXBJDY9mwHt1NksL1TNu2CK8iiGmOb6dU382l75dJtxQLhaLCMLJNsyv9cbwQB06&#10;E3R9ap6ZNV1fw2zdw3nAWfauvS02fKlhcfBQytj7IHSraqc/bkWcnm6Dw9pd3yPq9X9m/gIAAP//&#10;AwBQSwMEFAAGAAgAAAAhACjRV+jdAAAACQEAAA8AAABkcnMvZG93bnJldi54bWxMj8FOwzAQRO9I&#10;/IO1SNxaJy0iJsSpALVcOFEQ523s2haxHcVumv49ywmOq32aedNsZt+zSY/JxSChXBbAdOiicsFI&#10;+PzYLQSwlDEo7GPQEi46waa9vmqwVvEc3vW0z4ZRSEg1SrA5DzXnqbPaY1rGQQf6HePoMdM5Gq5G&#10;PFO47/mqKO65RxeoweKgX6zuvvcnL2H7bB5MJ3C0W6Gcm+av45t5lfL2Zn56BJb1nP9g+NUndWjJ&#10;6RBPQSXWS1isBW3JEqp1BYwAcVcCOxBYVivgbcP/L2h/AAAA//8DAFBLAQItABQABgAIAAAAIQC2&#10;gziS/gAAAOEBAAATAAAAAAAAAAAAAAAAAAAAAABbQ29udGVudF9UeXBlc10ueG1sUEsBAi0AFAAG&#10;AAgAAAAhADj9If/WAAAAlAEAAAsAAAAAAAAAAAAAAAAALwEAAF9yZWxzLy5yZWxzUEsBAi0AFAAG&#10;AAgAAAAhAO28WaxVAgAArwQAAA4AAAAAAAAAAAAAAAAALgIAAGRycy9lMm9Eb2MueG1sUEsBAi0A&#10;FAAGAAgAAAAhACjRV+jdAAAACQEAAA8AAAAAAAAAAAAAAAAArwQAAGRycy9kb3ducmV2LnhtbFBL&#10;BQYAAAAABAAEAPMAAAC5BQAAAAA=&#10;" fillcolor="white [3201]" strokeweight=".5pt">
                <v:textbox>
                  <w:txbxContent>
                    <w:p w14:paraId="0678F31A" w14:textId="72F48AF2" w:rsidR="00741BFF" w:rsidRDefault="00741BFF" w:rsidP="00451293">
                      <w:pPr>
                        <w:jc w:val="center"/>
                      </w:pPr>
                      <w:r>
                        <w:t>Partie 1</w:t>
                      </w:r>
                    </w:p>
                  </w:txbxContent>
                </v:textbox>
              </v:shape>
            </w:pict>
          </mc:Fallback>
        </mc:AlternateContent>
      </w:r>
      <w:r w:rsidR="00451293">
        <w:rPr>
          <w:noProof/>
        </w:rPr>
        <mc:AlternateContent>
          <mc:Choice Requires="wps">
            <w:drawing>
              <wp:anchor distT="0" distB="0" distL="114300" distR="114300" simplePos="0" relativeHeight="251658297" behindDoc="0" locked="0" layoutInCell="1" allowOverlap="1" wp14:anchorId="0DB4C3CA" wp14:editId="7BB6B67F">
                <wp:simplePos x="0" y="0"/>
                <wp:positionH relativeFrom="margin">
                  <wp:posOffset>-4918</wp:posOffset>
                </wp:positionH>
                <wp:positionV relativeFrom="paragraph">
                  <wp:posOffset>2775585</wp:posOffset>
                </wp:positionV>
                <wp:extent cx="5922335" cy="0"/>
                <wp:effectExtent l="38100" t="76200" r="21590" b="95250"/>
                <wp:wrapNone/>
                <wp:docPr id="291" name="Connecteur droit avec flèche 291"/>
                <wp:cNvGraphicFramePr/>
                <a:graphic xmlns:a="http://schemas.openxmlformats.org/drawingml/2006/main">
                  <a:graphicData uri="http://schemas.microsoft.com/office/word/2010/wordprocessingShape">
                    <wps:wsp>
                      <wps:cNvCnPr/>
                      <wps:spPr>
                        <a:xfrm flipV="1">
                          <a:off x="0" y="0"/>
                          <a:ext cx="5922335" cy="0"/>
                        </a:xfrm>
                        <a:prstGeom prst="straightConnector1">
                          <a:avLst/>
                        </a:prstGeom>
                        <a:ln>
                          <a:headEnd type="triangle"/>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42738BC" id="Connecteur droit avec flèche 291" o:spid="_x0000_s1026" type="#_x0000_t32" style="position:absolute;margin-left:-.4pt;margin-top:218.55pt;width:466.35pt;height:0;flip:y;z-index:25165829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kYR7QEAACMEAAAOAAAAZHJzL2Uyb0RvYy54bWysU8uOEzEQvCPxD5bvZJKJFrFRJnvIAhcE&#10;Ea+7125nLPxS25vHH/Ef/Bhtz2RA7GoPKy6W7e4qd1W31zcnZ9kBMJngO76YzTkDL4Myft/xb1/f&#10;vXrDWcrCK2GDh46fIfGbzcsX62NcQRv6YBUgIxKfVsfY8T7nuGqaJHtwIs1CBE9BHdCJTEfcNwrF&#10;kdidbdr5/HVzDKgiBgkp0e3tEOSbyq81yPxJ6wSZ2Y5TbbmuWNe7sjabtVjtUcTeyLEM8YwqnDCe&#10;Hp2obkUW7B7NAypnJIYUdJ7J4JqgtZFQNZCaxfwfNV96EaFqIXNSnGxK/49WfjzskBnV8fZ6wZkX&#10;jpq0Dd6Tc3CPTGEwmYkDSKbtr5/UFlYSybZjTCtCb/0Ox1OKOywenDQ6yjbxO01EdYV0slM1/TyZ&#10;DqfMJF1eXbftcnnFmbzEmoGiUEVM+T0Ex8qm4ymjMPs+jwUGHOjF4UPKVAQBL4ACtr6sPQj11iuW&#10;z5GkZTTC7y0Mjc/C2MdjRFXgTVE56Kq7fLYwUH8GTbZR/cuqsA4sbC2yg6BRUz+qR5WFMgtEG2sn&#10;0Pxp0JhbYFCHeAK2TwOn7Ppi8HkCOuMDPgbOp0upesi/qB60Ftl3QZ1rl6sdNInV6vHXlFH/+1zh&#10;f/725jcAAAD//wMAUEsDBBQABgAIAAAAIQCYT2MG3QAAAAkBAAAPAAAAZHJzL2Rvd25yZXYueG1s&#10;TI/BTsMwEETvSPyDtUjcqBNaAQ1xKlSUA+2phQPc3HhJrMZrK9626d/jSkhw3JnRzNtyMbpeHHGI&#10;1pOCfJKBQGq8sdQq+Hiv755ARNZkdO8JFZwxwqK6vip1YfyJNnjccitSCcVCK+iYQyFlbDp0Ok58&#10;QEretx+c5nQOrTSDPqVy18v7LHuQTltKC50OuOyw2W8PTgGaT95/rZZvdR1m6zOubFi/WqVub8aX&#10;ZxCMI/+F4YKf0KFKTDt/IBNFr+ACzgpm08ccRPLn03wOYveryKqU/z+ofgAAAP//AwBQSwECLQAU&#10;AAYACAAAACEAtoM4kv4AAADhAQAAEwAAAAAAAAAAAAAAAAAAAAAAW0NvbnRlbnRfVHlwZXNdLnht&#10;bFBLAQItABQABgAIAAAAIQA4/SH/1gAAAJQBAAALAAAAAAAAAAAAAAAAAC8BAABfcmVscy8ucmVs&#10;c1BLAQItABQABgAIAAAAIQCPMkYR7QEAACMEAAAOAAAAAAAAAAAAAAAAAC4CAABkcnMvZTJvRG9j&#10;LnhtbFBLAQItABQABgAIAAAAIQCYT2MG3QAAAAkBAAAPAAAAAAAAAAAAAAAAAEcEAABkcnMvZG93&#10;bnJldi54bWxQSwUGAAAAAAQABADzAAAAUQUAAAAA&#10;" strokecolor="black [3200]" strokeweight="1.5pt">
                <v:stroke startarrow="block" endarrow="block" joinstyle="miter"/>
                <w10:wrap anchorx="margin"/>
              </v:shape>
            </w:pict>
          </mc:Fallback>
        </mc:AlternateContent>
      </w:r>
      <w:r w:rsidR="00451293">
        <w:rPr>
          <w:noProof/>
        </w:rPr>
        <mc:AlternateContent>
          <mc:Choice Requires="wps">
            <w:drawing>
              <wp:anchor distT="0" distB="0" distL="114300" distR="114300" simplePos="0" relativeHeight="251658296" behindDoc="0" locked="0" layoutInCell="1" allowOverlap="1" wp14:anchorId="0E30A637" wp14:editId="5CEB2A1C">
                <wp:simplePos x="0" y="0"/>
                <wp:positionH relativeFrom="margin">
                  <wp:posOffset>-4918</wp:posOffset>
                </wp:positionH>
                <wp:positionV relativeFrom="paragraph">
                  <wp:posOffset>1064260</wp:posOffset>
                </wp:positionV>
                <wp:extent cx="5922335" cy="0"/>
                <wp:effectExtent l="38100" t="76200" r="21590" b="95250"/>
                <wp:wrapNone/>
                <wp:docPr id="290" name="Connecteur droit avec flèche 290"/>
                <wp:cNvGraphicFramePr/>
                <a:graphic xmlns:a="http://schemas.openxmlformats.org/drawingml/2006/main">
                  <a:graphicData uri="http://schemas.microsoft.com/office/word/2010/wordprocessingShape">
                    <wps:wsp>
                      <wps:cNvCnPr/>
                      <wps:spPr>
                        <a:xfrm flipV="1">
                          <a:off x="0" y="0"/>
                          <a:ext cx="5922335" cy="0"/>
                        </a:xfrm>
                        <a:prstGeom prst="straightConnector1">
                          <a:avLst/>
                        </a:prstGeom>
                        <a:ln>
                          <a:headEnd type="triangle"/>
                          <a:tailEnd type="triangle"/>
                        </a:ln>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EF91BB" id="Connecteur droit avec flèche 290" o:spid="_x0000_s1026" type="#_x0000_t32" style="position:absolute;margin-left:-.4pt;margin-top:83.8pt;width:466.35pt;height:0;flip:y;z-index:251658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wP57QEAACMEAAAOAAAAZHJzL2Uyb0RvYy54bWysU8uOEzEQvCPxD5bvZJKJFrFRJnvIAhcE&#10;Ea+7125nLPxS25vHH/Ef/Bhtz2RA7GoPKy6W7e4qd1W31zcnZ9kBMJngO76YzTkDL4Myft/xb1/f&#10;vXrDWcrCK2GDh46fIfGbzcsX62NcQRv6YBUgIxKfVsfY8T7nuGqaJHtwIs1CBE9BHdCJTEfcNwrF&#10;kdidbdr5/HVzDKgiBgkp0e3tEOSbyq81yPxJ6wSZ2Y5TbbmuWNe7sjabtVjtUcTeyLEM8YwqnDCe&#10;Hp2obkUW7B7NAypnJIYUdJ7J4JqgtZFQNZCaxfwfNV96EaFqIXNSnGxK/49WfjzskBnV8faa/PHC&#10;UZO2wXtyDu6RKQwmM3EAybT99ZPawkoi2XaMaUXord/heEpxh8WDk0ZH2SZ+p4morpBOdqqmnyfT&#10;4ZSZpMur67ZdLq84k5dYM1AUqogpv4fgWNl0PGUUZt/nscCAA704fEiZiiDgBVDA1pe1B6HeesXy&#10;OZK0jEb4vYWh8VkY+3iMqAq8KSoHXXWXzxYG6s+gyTaqf1kV1oGFrUV2EDRq6seivFBZKLNAtLF2&#10;As2fBo25BQZ1iCdg+zRwyq4vBp8noDM+4GPgfLqUqof8i+pBa5F9F9S5drnaQZNYlY2/poz63+cK&#10;//O3N78BAAD//wMAUEsDBBQABgAIAAAAIQA9L9xu3AAAAAkBAAAPAAAAZHJzL2Rvd25yZXYueG1s&#10;TI/BTsMwEETvSPyDtUjcqFNAgYY4FSrKgfZE4dDe3HhJrMZrK9626d/jSkhwnJnVzNtyPrpeHHGI&#10;1pOC6SQDgdR4Y6lV8PVZ3z2DiKzJ6N4TKjhjhHl1fVXqwvgTfeBxza1IJRQLraBjDoWUsenQ6Tjx&#10;ASll335wmpMcWmkGfUrlrpf3WZZLpy2lhU4HXHTY7NcHpwDNhvfb5eK9rsPj6oxLG1ZvVqnbm/H1&#10;BQTjyH/HcMFP6FAlpp0/kImiV3AB52TnTzmIlM8epjMQu19HVqX8/0H1AwAA//8DAFBLAQItABQA&#10;BgAIAAAAIQC2gziS/gAAAOEBAAATAAAAAAAAAAAAAAAAAAAAAABbQ29udGVudF9UeXBlc10ueG1s&#10;UEsBAi0AFAAGAAgAAAAhADj9If/WAAAAlAEAAAsAAAAAAAAAAAAAAAAALwEAAF9yZWxzLy5yZWxz&#10;UEsBAi0AFAAGAAgAAAAhAMN/A/ntAQAAIwQAAA4AAAAAAAAAAAAAAAAALgIAAGRycy9lMm9Eb2Mu&#10;eG1sUEsBAi0AFAAGAAgAAAAhAD0v3G7cAAAACQEAAA8AAAAAAAAAAAAAAAAARwQAAGRycy9kb3du&#10;cmV2LnhtbFBLBQYAAAAABAAEAPMAAABQBQAAAAA=&#10;" strokecolor="black [3200]" strokeweight="1.5pt">
                <v:stroke startarrow="block" endarrow="block" joinstyle="miter"/>
                <w10:wrap anchorx="margin"/>
              </v:shape>
            </w:pict>
          </mc:Fallback>
        </mc:AlternateContent>
      </w:r>
      <w:r w:rsidR="00451293">
        <w:rPr>
          <w:noProof/>
        </w:rPr>
        <mc:AlternateContent>
          <mc:Choice Requires="wps">
            <w:drawing>
              <wp:anchor distT="0" distB="0" distL="114300" distR="114300" simplePos="0" relativeHeight="251658295" behindDoc="0" locked="0" layoutInCell="1" allowOverlap="1" wp14:anchorId="634E1BD3" wp14:editId="2D742B29">
                <wp:simplePos x="0" y="0"/>
                <wp:positionH relativeFrom="column">
                  <wp:posOffset>-237608</wp:posOffset>
                </wp:positionH>
                <wp:positionV relativeFrom="paragraph">
                  <wp:posOffset>2907089</wp:posOffset>
                </wp:positionV>
                <wp:extent cx="775882" cy="276447"/>
                <wp:effectExtent l="0" t="0" r="24765" b="28575"/>
                <wp:wrapNone/>
                <wp:docPr id="94" name="Zone de texte 94"/>
                <wp:cNvGraphicFramePr/>
                <a:graphic xmlns:a="http://schemas.openxmlformats.org/drawingml/2006/main">
                  <a:graphicData uri="http://schemas.microsoft.com/office/word/2010/wordprocessingShape">
                    <wps:wsp>
                      <wps:cNvSpPr txBox="1"/>
                      <wps:spPr>
                        <a:xfrm>
                          <a:off x="0" y="0"/>
                          <a:ext cx="775882" cy="276447"/>
                        </a:xfrm>
                        <a:prstGeom prst="rect">
                          <a:avLst/>
                        </a:prstGeom>
                        <a:solidFill>
                          <a:schemeClr val="lt1"/>
                        </a:solidFill>
                        <a:ln w="6350">
                          <a:solidFill>
                            <a:prstClr val="black"/>
                          </a:solidFill>
                        </a:ln>
                      </wps:spPr>
                      <wps:txbx>
                        <w:txbxContent>
                          <w:p w14:paraId="47948479" w14:textId="228414F8" w:rsidR="00741BFF" w:rsidRDefault="00741BFF" w:rsidP="00451293">
                            <w:pPr>
                              <w:jc w:val="center"/>
                            </w:pPr>
                            <w:r>
                              <w:t>Partie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4E1BD3" id="Zone de texte 94" o:spid="_x0000_s1054" type="#_x0000_t202" style="position:absolute;left:0;text-align:left;margin-left:-18.7pt;margin-top:228.9pt;width:61.1pt;height:21.7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H8ZVgIAAK8EAAAOAAAAZHJzL2Uyb0RvYy54bWysVE1v2zAMvQ/YfxB0X5x4+aoRp8hSZBgQ&#10;tAXSocBuiizHxmRRk5TY2a8vJdtp2u007KJQ5PMT+UhmcdtUkpyEsSWolI4GQ0qE4pCV6pDS70+b&#10;T3NKrGMqYxKUSOlZWHq7/PhhUetExFCAzIQhSKJsUuuUFs7pJIosL0TF7AC0UBjMwVTM4dUcosyw&#10;GtkrGcXD4TSqwWTaABfWoveuDdJl4M9zwd1DnlvhiEwp5ubCacK592e0XLDkYJguSt6lwf4hi4qV&#10;Ch+9UN0xx8jRlH9QVSU3YCF3Aw5VBHlechFqwGpGw3fV7AqmRagFxbH6IpP9f7T8/vRoSJml9GZM&#10;iWIV9ugHdopkgjjROEHQjyLV2iaI3WlEu+YLNNjs3m/R6WtvclP5X6yKYBzlPl8kRirC0TmbTebz&#10;mBKOoXg2HY9nniV6/Vgb674KqIg3Umqwg0FYdtpa10J7iH/LgiyzTSlluPipEWtpyIlhv6ULKSL5&#10;G5RUpE7p9PNkGIjfxDz15fu9ZPxnl94VCvmkwpy9JG3p3nLNvgk6xvNelz1kZ5TLQDt1VvNNifxb&#10;Zt0jMzhmqBCujnvAI5eASUFnUVKA+f03v8dj9zFKSY1jm1L768iMoER+UzgXN6Px2M95uIwnsxgv&#10;5jqyv46oY7UGVGqES6p5MD3eyd7MDVTPuGEr/yqGmOL4dkpdb65du0y4oVysVgGEk62Z26qd5p7a&#10;d8br+tQ8M6O7vvrZuod+wFnyrr0t1n+pYHV0kJeh917oVtVOf9yKMD3dBvu1u74H1Ov/zPIFAAD/&#10;/wMAUEsDBBQABgAIAAAAIQAwM2l83gAAAAoBAAAPAAAAZHJzL2Rvd25yZXYueG1sTI/BTsMwDIbv&#10;SLxDZCRuWzrWsa5rOgEaXDgxEOes8ZKIJqmSrCtvjznBybL86ff3N7vJ9WzEmGzwAhbzAhj6Lijr&#10;tYCP9+dZBSxl6ZXsg0cB35hg115fNbJW4eLfcDxkzSjEp1oKMDkPNeepM+hkmocBPd1OITqZaY2a&#10;qygvFO56flcU99xJ6+mDkQM+Gey+DmcnYP+oN7qrZDT7Slk7Tp+nV/0ixO3N9LAFlnHKfzD86pM6&#10;tOR0DGevEusFzJbrklAB5WpNHYioSppHAatisQTeNvx/hfYHAAD//wMAUEsBAi0AFAAGAAgAAAAh&#10;ALaDOJL+AAAA4QEAABMAAAAAAAAAAAAAAAAAAAAAAFtDb250ZW50X1R5cGVzXS54bWxQSwECLQAU&#10;AAYACAAAACEAOP0h/9YAAACUAQAACwAAAAAAAAAAAAAAAAAvAQAAX3JlbHMvLnJlbHNQSwECLQAU&#10;AAYACAAAACEAArx/GVYCAACvBAAADgAAAAAAAAAAAAAAAAAuAgAAZHJzL2Uyb0RvYy54bWxQSwEC&#10;LQAUAAYACAAAACEAMDNpfN4AAAAKAQAADwAAAAAAAAAAAAAAAACwBAAAZHJzL2Rvd25yZXYueG1s&#10;UEsFBgAAAAAEAAQA8wAAALsFAAAAAA==&#10;" fillcolor="white [3201]" strokeweight=".5pt">
                <v:textbox>
                  <w:txbxContent>
                    <w:p w14:paraId="47948479" w14:textId="228414F8" w:rsidR="00741BFF" w:rsidRDefault="00741BFF" w:rsidP="00451293">
                      <w:pPr>
                        <w:jc w:val="center"/>
                      </w:pPr>
                      <w:r>
                        <w:t>Partie 3</w:t>
                      </w:r>
                    </w:p>
                  </w:txbxContent>
                </v:textbox>
              </v:shape>
            </w:pict>
          </mc:Fallback>
        </mc:AlternateContent>
      </w:r>
      <w:r w:rsidR="00451293">
        <w:rPr>
          <w:noProof/>
        </w:rPr>
        <mc:AlternateContent>
          <mc:Choice Requires="wps">
            <w:drawing>
              <wp:anchor distT="0" distB="0" distL="114300" distR="114300" simplePos="0" relativeHeight="251658294" behindDoc="0" locked="0" layoutInCell="1" allowOverlap="1" wp14:anchorId="0225B583" wp14:editId="32CD0DB0">
                <wp:simplePos x="0" y="0"/>
                <wp:positionH relativeFrom="column">
                  <wp:posOffset>710935</wp:posOffset>
                </wp:positionH>
                <wp:positionV relativeFrom="paragraph">
                  <wp:posOffset>2797500</wp:posOffset>
                </wp:positionV>
                <wp:extent cx="206448" cy="520760"/>
                <wp:effectExtent l="38100" t="0" r="22225" b="12700"/>
                <wp:wrapNone/>
                <wp:docPr id="93" name="Accolade ouvrante 93"/>
                <wp:cNvGraphicFramePr/>
                <a:graphic xmlns:a="http://schemas.openxmlformats.org/drawingml/2006/main">
                  <a:graphicData uri="http://schemas.microsoft.com/office/word/2010/wordprocessingShape">
                    <wps:wsp>
                      <wps:cNvSpPr/>
                      <wps:spPr>
                        <a:xfrm>
                          <a:off x="0" y="0"/>
                          <a:ext cx="206448" cy="520760"/>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D554E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93" o:spid="_x0000_s1026" type="#_x0000_t87" style="position:absolute;margin-left:56pt;margin-top:220.3pt;width:16.25pt;height:41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K4fAIAAGQFAAAOAAAAZHJzL2Uyb0RvYy54bWysVN9P2zAQfp+0/8Hy+0jaFRgVKeqKmCYh&#10;QIOJZ+PYrSXH553dpt1fv7OTtNVAmjbtxfHlfn/+7i6vto1lG4XBgKv46KTkTDkJtXHLin9/uvnw&#10;ibMQhauFBacqvlOBX83ev7ts/VSNYQW2VsgoiAvT1ld8FaOfFkWQK9WIcAJeOVJqwEZEEnFZ1Cha&#10;it7YYlyWZ0ULWHsEqUKgv9edks9yfK2VjPdaBxWZrTjVFvOJ+XxJZzG7FNMlCr8ysi9D/EMVjTCO&#10;ku5DXYso2BrNq1CNkQgBdDyR0BSgtZEq90DdjMrfunlcCa9yLwRO8HuYwv8LK+82D8hMXfGLj5w5&#10;0dAbzaUEK2rFYL1B4aJipCOgWh+mZP/oH7CXAl1T11uNTfpSP2ybwd3twVXbyCT9HJdnkwmxQZLq&#10;dFyen2Xwi4OzxxC/KGhYulTcKh0/o5AJADEVm9sQKSvZD3bpt3XpDGBNfWOszUKijlpYZBtBjx63&#10;o1Q7+R1ZkZQ8i9RR10O+xZ1VXdRvShMoVPUoZ890PMQUUioXh7jWkXVy01TB3rH8s2Nvn1xVpurf&#10;OO89cmZwce/cGAf4VvYDFLqzHxDo+k4QvEC9Iz4gdIMSvLwx9Bq3IsQHgTQZNEM07fGeDm2hrTj0&#10;N85WgD/f+p/sibCk5aylSat4+LEWqDizXx1R+WI0maTRzMLk9HxMAh5rXo41bt0sgN51RHvFy3xN&#10;9tEOV43QPNNSmKespBJOUu6Ky4iDsIjdBqC1ItV8ns1oHL2It+7Ry+HVE9Gets8CfU/JSFy+g2Eq&#10;X5Gys03v4WC+jqBNZuwB1x5vGuVMyH7tpF1xLGerw3Kc/QIAAP//AwBQSwMEFAAGAAgAAAAhAJXd&#10;N1DhAAAACwEAAA8AAABkcnMvZG93bnJldi54bWxMj0FLxDAQhe+C/yGM4M1NN7RFa9OlCoqCCHb3&#10;4DHbxKbYTEqT7nb99c6e9PiYxzffKzeLG9jBTKH3KGG9SoAZbL3usZOw2z7d3AILUaFWg0cj4WQC&#10;bKrLi1IV2h/xwxya2DGCYCiUBBvjWHAeWmucCis/GqTbl5+cihSnjutJHQnuBi6SJOdO9UgfrBrN&#10;ozXtdzM7orxs5x+0r7uHrjndfb4/15l4q6W8vlrqe2DRLPGvDGd9UoeKnPZ+Rh3YQHktaEuUkKZJ&#10;DuzcSNMM2F5CJkQOvCr5/w3VLwAAAP//AwBQSwECLQAUAAYACAAAACEAtoM4kv4AAADhAQAAEwAA&#10;AAAAAAAAAAAAAAAAAAAAW0NvbnRlbnRfVHlwZXNdLnhtbFBLAQItABQABgAIAAAAIQA4/SH/1gAA&#10;AJQBAAALAAAAAAAAAAAAAAAAAC8BAABfcmVscy8ucmVsc1BLAQItABQABgAIAAAAIQBQD/K4fAIA&#10;AGQFAAAOAAAAAAAAAAAAAAAAAC4CAABkcnMvZTJvRG9jLnhtbFBLAQItABQABgAIAAAAIQCV3TdQ&#10;4QAAAAsBAAAPAAAAAAAAAAAAAAAAANYEAABkcnMvZG93bnJldi54bWxQSwUGAAAAAAQABADzAAAA&#10;5AUAAAAA&#10;" adj="714" strokecolor="black [3213]" strokeweight=".5pt">
                <v:stroke joinstyle="miter"/>
              </v:shape>
            </w:pict>
          </mc:Fallback>
        </mc:AlternateContent>
      </w:r>
      <w:r w:rsidR="00451293">
        <w:rPr>
          <w:noProof/>
        </w:rPr>
        <mc:AlternateContent>
          <mc:Choice Requires="wps">
            <w:drawing>
              <wp:anchor distT="0" distB="0" distL="114300" distR="114300" simplePos="0" relativeHeight="251658293" behindDoc="0" locked="0" layoutInCell="1" allowOverlap="1" wp14:anchorId="7969BFDF" wp14:editId="57341AF8">
                <wp:simplePos x="0" y="0"/>
                <wp:positionH relativeFrom="column">
                  <wp:posOffset>711289</wp:posOffset>
                </wp:positionH>
                <wp:positionV relativeFrom="paragraph">
                  <wp:posOffset>1160248</wp:posOffset>
                </wp:positionV>
                <wp:extent cx="206448" cy="1573619"/>
                <wp:effectExtent l="38100" t="0" r="22225" b="26670"/>
                <wp:wrapNone/>
                <wp:docPr id="92" name="Accolade ouvrante 92"/>
                <wp:cNvGraphicFramePr/>
                <a:graphic xmlns:a="http://schemas.openxmlformats.org/drawingml/2006/main">
                  <a:graphicData uri="http://schemas.microsoft.com/office/word/2010/wordprocessingShape">
                    <wps:wsp>
                      <wps:cNvSpPr/>
                      <wps:spPr>
                        <a:xfrm>
                          <a:off x="0" y="0"/>
                          <a:ext cx="206448" cy="1573619"/>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D01ED" id="Accolade ouvrante 92" o:spid="_x0000_s1026" type="#_x0000_t87" style="position:absolute;margin-left:56pt;margin-top:91.35pt;width:16.25pt;height:123.9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eoefAIAAGUFAAAOAAAAZHJzL2Uyb0RvYy54bWysVN9r2zAQfh/sfxB6Xx1nabuGOiVr6RiU&#10;tqwdfVZkKRHIOu2kxMn++p1kOwlrYWzsRdb5fum+++4ur7aNZRuFwYCreHky4kw5CbVxy4p/f779&#10;8ImzEIWrhQWnKr5TgV/N3r+7bP1UjWEFtlbIKIgL09ZXfBWjnxZFkCvViHACXjlSasBGRBJxWdQo&#10;Wore2GI8Gp0VLWDtEaQKgf7edEo+y/G1VjI+aB1UZLbi9LaYT8znIp3F7FJMlyj8ysj+GeIfXtEI&#10;4yjpPtSNiIKt0bwK1RiJEEDHEwlNAVobqXINVE05+q2ap5XwKtdC4AS/hyn8v7DyfvOIzNQVvxhz&#10;5kRDPZpLCVbUisF6g8JFxUhHQLU+TMn+yT9iLwW6pqq3Gpv0pXrYNoO724OrtpFJ+jkenU0mxAZJ&#10;qvL0/ONZeZGCFgdvjyF+UdCwdKm4VTp+RiETAmIqNnchdvaDXfptXToDWFPfGmuzkLijri2yjaCu&#10;x23Z5zmyoqzJs0gldUXkW9xZ1UX9pjShQs8uc/bMx0NMIaVycYhrHVknN00v2DuO/uzY2ydXlbn6&#10;N857j5wZXNw7N8YBvpX9AIXu7AcEuroTBAuod0QIhG5Sgpe3hrpxJ0J8FEijQUNE4x4f6NAW2opD&#10;f+NsBfjzrf/JnhhLWs5aGrWKhx9rgYoz+9URly/KySTNZhYmp+djEvBYszjWuHVzDdTXkhaLl/ma&#10;7KMdrhqheaGtME9ZSSWcpNwVlxEH4Tp2K4D2ilTzeTajefQi3rknL4euJ6I9b18E+p6Skch8D8NY&#10;viJlZ5v64WC+jqBNZuwB1x5vmuVM/H7vpGVxLGerw3ac/QIAAP//AwBQSwMEFAAGAAgAAAAhAA62&#10;0crgAAAACwEAAA8AAABkcnMvZG93bnJldi54bWxMj8FOwzAQRO9I/IO1SNyoXddpS4hTISQQQuJA&#10;6Qe4sUlC43UUO23o17M9wW1HO5p5U2wm37GjG2IbUMN8JoA5rIJtsdaw+3y+WwOLyaA1XUCn4cdF&#10;2JTXV4XJbTjhhztuU80oBGNuNDQp9TnnsWqcN3EWeof0+wqDN4nkUHM7mBOF+45LIZbcmxapoTG9&#10;e2pcddiOXsOwfEcl7uULfzt/n/Eg1ZgtXrW+vZkeH4AlN6U/M1zwCR1KYtqHEW1kHem5pC2JjrVc&#10;Abs4lMqA7TWohciAlwX/v6H8BQAA//8DAFBLAQItABQABgAIAAAAIQC2gziS/gAAAOEBAAATAAAA&#10;AAAAAAAAAAAAAAAAAABbQ29udGVudF9UeXBlc10ueG1sUEsBAi0AFAAGAAgAAAAhADj9If/WAAAA&#10;lAEAAAsAAAAAAAAAAAAAAAAALwEAAF9yZWxzLy5yZWxzUEsBAi0AFAAGAAgAAAAhAKWR6h58AgAA&#10;ZQUAAA4AAAAAAAAAAAAAAAAALgIAAGRycy9lMm9Eb2MueG1sUEsBAi0AFAAGAAgAAAAhAA620crg&#10;AAAACwEAAA8AAAAAAAAAAAAAAAAA1gQAAGRycy9kb3ducmV2LnhtbFBLBQYAAAAABAAEAPMAAADj&#10;BQAAAAA=&#10;" adj="236" strokecolor="black [3213]" strokeweight=".5pt">
                <v:stroke joinstyle="miter"/>
              </v:shape>
            </w:pict>
          </mc:Fallback>
        </mc:AlternateContent>
      </w:r>
      <w:r w:rsidR="00451293">
        <w:rPr>
          <w:noProof/>
        </w:rPr>
        <mc:AlternateContent>
          <mc:Choice Requires="wps">
            <w:drawing>
              <wp:anchor distT="0" distB="0" distL="114300" distR="114300" simplePos="0" relativeHeight="251658292" behindDoc="0" locked="0" layoutInCell="1" allowOverlap="1" wp14:anchorId="60180F12" wp14:editId="1DC5ABDB">
                <wp:simplePos x="0" y="0"/>
                <wp:positionH relativeFrom="column">
                  <wp:posOffset>-269181</wp:posOffset>
                </wp:positionH>
                <wp:positionV relativeFrom="paragraph">
                  <wp:posOffset>1557006</wp:posOffset>
                </wp:positionV>
                <wp:extent cx="775882" cy="276447"/>
                <wp:effectExtent l="0" t="0" r="24765" b="28575"/>
                <wp:wrapNone/>
                <wp:docPr id="91" name="Zone de texte 91"/>
                <wp:cNvGraphicFramePr/>
                <a:graphic xmlns:a="http://schemas.openxmlformats.org/drawingml/2006/main">
                  <a:graphicData uri="http://schemas.microsoft.com/office/word/2010/wordprocessingShape">
                    <wps:wsp>
                      <wps:cNvSpPr txBox="1"/>
                      <wps:spPr>
                        <a:xfrm>
                          <a:off x="0" y="0"/>
                          <a:ext cx="775882" cy="276447"/>
                        </a:xfrm>
                        <a:prstGeom prst="rect">
                          <a:avLst/>
                        </a:prstGeom>
                        <a:solidFill>
                          <a:schemeClr val="lt1"/>
                        </a:solidFill>
                        <a:ln w="6350">
                          <a:solidFill>
                            <a:prstClr val="black"/>
                          </a:solidFill>
                        </a:ln>
                      </wps:spPr>
                      <wps:txbx>
                        <w:txbxContent>
                          <w:p w14:paraId="36E4C467" w14:textId="17BEBD7E" w:rsidR="00741BFF" w:rsidRDefault="00741BFF" w:rsidP="00451293">
                            <w:pPr>
                              <w:jc w:val="center"/>
                            </w:pPr>
                            <w:r>
                              <w:t>Partie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180F12" id="Zone de texte 91" o:spid="_x0000_s1055" type="#_x0000_t202" style="position:absolute;left:0;text-align:left;margin-left:-21.2pt;margin-top:122.6pt;width:61.1pt;height:21.7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sfhVgIAAK8EAAAOAAAAZHJzL2Uyb0RvYy54bWysVE1vGjEQvVfqf7B8bxYohA9liWgiqkpR&#10;EolUkXozXm9Y1etxbcNu+uvz7AVC0p6qXsx45u3zzJsZLi7bWrOdcr4ik/P+WY8zZSQVlXnK+feH&#10;5acJZz4IUwhNRuX8WXl+Of/44aKxMzWgDelCOQYS42eNzfkmBDvLMi83qhb+jKwyCJbkahFwdU9Z&#10;4UQD9lpng17vPGvIFdaRVN7De90F+Tzxl6WS4a4svQpM5xy5hXS6dK7jmc0vxOzJCbup5D4N8Q9Z&#10;1KIyePRIdS2CYFtX/UFVV9KRpzKcSaozKstKqlQDqun33lWz2girUi0Qx9ujTP7/0crb3b1jVZHz&#10;aZ8zI2r06Ac6xQrFgmqDYvBDpMb6GbArC3Rov1CLZh/8Hs5Ye1u6Ov6iKoY45H4+SgwqJuEcj0eT&#10;yYAzidBgfD4cjiNL9vqxdT58VVSzaOTcoYNJWLG78aGDHiDxLU+6KpaV1ukSp0Zdacd2Av3WIaUI&#10;8jcobViT8/PPo14ifhOL1Mfv11rIn/v0TlDg0wY5R0m60qMV2nWbdBxMD7qsqXiGXI66qfNWLivw&#10;3wgf7oXDmEEhrE64w1FqQlK0tzjbkPv9N3/Eo/uIctZgbHPuf22FU5zpbwZzMe0Ph3HO02U4Gg9w&#10;caeR9WnEbOsrglJoPbJLZsQHfTBLR/UjNmwRX0VIGIm3cx4O5lXolgkbKtVikUCYbCvCjVlZGalj&#10;Z6KuD+2jcHbf1zhbt3QYcDF7194OG780tNgGKqvU+yh0p+pef2xFmp79Bse1O70n1Ov/zPwFAAD/&#10;/wMAUEsDBBQABgAIAAAAIQD1HJkO3QAAAAoBAAAPAAAAZHJzL2Rvd25yZXYueG1sTI/BTsMwDIbv&#10;SLxDZCRuW0pVWNY1nQANLpwYaOes8ZKIJqmarCtvjznB0fan39/fbGffswnH5GKQcLcsgGHoonbB&#10;SPj8eFkIYCmroFUfA0r4xgTb9vqqUbWOl/CO0z4bRiEh1UqCzXmoOU+dRa/SMg4Y6HaKo1eZxtFw&#10;PaoLhfuel0XxwL1ygT5YNeCzxe5rf/YSdk9mbTqhRrsT2rlpPpzezKuUtzfz4wZYxjn/wfCrT+rQ&#10;ktMxnoNOrJewqMqKUAlldV8CI2K1pi5HWgixAt42/H+F9gcAAP//AwBQSwECLQAUAAYACAAAACEA&#10;toM4kv4AAADhAQAAEwAAAAAAAAAAAAAAAAAAAAAAW0NvbnRlbnRfVHlwZXNdLnhtbFBLAQItABQA&#10;BgAIAAAAIQA4/SH/1gAAAJQBAAALAAAAAAAAAAAAAAAAAC8BAABfcmVscy8ucmVsc1BLAQItABQA&#10;BgAIAAAAIQDPpsfhVgIAAK8EAAAOAAAAAAAAAAAAAAAAAC4CAABkcnMvZTJvRG9jLnhtbFBLAQIt&#10;ABQABgAIAAAAIQD1HJkO3QAAAAoBAAAPAAAAAAAAAAAAAAAAALAEAABkcnMvZG93bnJldi54bWxQ&#10;SwUGAAAAAAQABADzAAAAugUAAAAA&#10;" fillcolor="white [3201]" strokeweight=".5pt">
                <v:textbox>
                  <w:txbxContent>
                    <w:p w14:paraId="36E4C467" w14:textId="17BEBD7E" w:rsidR="00741BFF" w:rsidRDefault="00741BFF" w:rsidP="00451293">
                      <w:pPr>
                        <w:jc w:val="center"/>
                      </w:pPr>
                      <w:r>
                        <w:t>Partie 2</w:t>
                      </w:r>
                    </w:p>
                  </w:txbxContent>
                </v:textbox>
              </v:shape>
            </w:pict>
          </mc:Fallback>
        </mc:AlternateContent>
      </w:r>
      <w:r w:rsidR="00451293">
        <w:rPr>
          <w:noProof/>
        </w:rPr>
        <mc:AlternateContent>
          <mc:Choice Requires="wps">
            <w:drawing>
              <wp:anchor distT="0" distB="0" distL="114300" distR="114300" simplePos="0" relativeHeight="251658290" behindDoc="0" locked="0" layoutInCell="1" allowOverlap="1" wp14:anchorId="26F43A0D" wp14:editId="6912F366">
                <wp:simplePos x="0" y="0"/>
                <wp:positionH relativeFrom="column">
                  <wp:posOffset>700656</wp:posOffset>
                </wp:positionH>
                <wp:positionV relativeFrom="paragraph">
                  <wp:posOffset>128890</wp:posOffset>
                </wp:positionV>
                <wp:extent cx="195816" cy="935665"/>
                <wp:effectExtent l="38100" t="0" r="13970" b="17145"/>
                <wp:wrapNone/>
                <wp:docPr id="85" name="Accolade ouvrante 85"/>
                <wp:cNvGraphicFramePr/>
                <a:graphic xmlns:a="http://schemas.openxmlformats.org/drawingml/2006/main">
                  <a:graphicData uri="http://schemas.microsoft.com/office/word/2010/wordprocessingShape">
                    <wps:wsp>
                      <wps:cNvSpPr/>
                      <wps:spPr>
                        <a:xfrm>
                          <a:off x="0" y="0"/>
                          <a:ext cx="195816" cy="935665"/>
                        </a:xfrm>
                        <a:prstGeom prst="leftBrac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D45C5F9" id="Accolade ouvrante 85" o:spid="_x0000_s1026" type="#_x0000_t87" style="position:absolute;margin-left:55.15pt;margin-top:10.15pt;width:15.4pt;height:73.65pt;z-index:25165829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m3KewIAAGQFAAAOAAAAZHJzL2Uyb0RvYy54bWysVN1P2zAQf5+0/8Hy+0jDaAdVU9SBmCYh&#10;QIOJZ9exaSTb553dpt1fv7OTtNVAmjbtxbnL/e77Y3a5tYZtFIYGXMXLkxFnykmoG/dS8e9PNx/O&#10;OQtRuFoYcKriOxX45fz9u1nrp+oUVmBqhYyMuDBtfcVXMfppUQS5UlaEE/DKkVADWhGJxZeiRtGS&#10;dWuK09FoUrSAtUeQKgT6e90J+Tzb11rJeK91UJGZilNsMb+Y32V6i/lMTF9Q+FUj+zDEP0RhRePI&#10;6d7UtYiCrbF5Zco2EiGAjicSbAFaN1LlHCibcvRbNo8r4VXOhYoT/L5M4f+ZlXebB2RNXfHzMWdO&#10;WOrRQkowolYM1hsULipGMipU68OU8I/+AXsuEJmy3mq06Uv5sG0u7m5fXLWNTNLP8mJ8Xk44kyS6&#10;+DieTLLN4qDsMcQvCixLRMWN0vEzCpkKIKZicxsieSX8gEu/jUtvANPUN40xmUmjo64Mso2gpsdt&#10;mWInvSMUcUmzSBl1OWQq7ozqrH5TmoqSos7e8zgebAoplYuDXeMIndQ0RbBXHP1ZsccnVZVH9W+U&#10;9xrZM7i4V7aNA3zL+6EUusMPFejyTiVYQr2jeUDoFiV4edNQN25FiA8CaTNoh2jb4z092kBbcegp&#10;zlaAP9/6n/A0sCTlrKVNq3j4sRaoODNfHY3yRXl2llYzM2fjT6fE4LFkeSxxa3sF1NeS7oqXmUz4&#10;aAZSI9hnOgqL5JVEwknyXXEZcWCuYncB6KxItVhkGK2jF/HWPXo5dD0N2tP2WaDvRzLSLN/BsJWv&#10;hrLDpn44WKwj6CZP7KGufb1plfNA9mcn3YpjPqMOx3H+CwAA//8DAFBLAwQUAAYACAAAACEArcpU&#10;ed4AAAAKAQAADwAAAGRycy9kb3ducmV2LnhtbEyPT0+DQBDF7yZ+h8008WaXP4ZSytIYEw/GU6sx&#10;HLcwAoGdJeyW4rd3OOlp5uW9vPlNflzMIGacXGdJQbgNQCBVtu6oUfD58fqYgnBeU60HS6jgBx0c&#10;i/u7XGe1vdEJ57NvBJeQy7SC1vsxk9JVLRrttnZEYu/bTkZ7llMj60nfuNwMMgqCRBrdEV9o9Ygv&#10;LVb9+WoU7Mp4ifv3yPdfZflmo3Sfnua9Ug+b5fkAwuPi/8Kw4jM6FMx0sVeqnRhYh0HMUQXROtfA&#10;UxiCuPCS7BKQRS7/v1D8AgAA//8DAFBLAQItABQABgAIAAAAIQC2gziS/gAAAOEBAAATAAAAAAAA&#10;AAAAAAAAAAAAAABbQ29udGVudF9UeXBlc10ueG1sUEsBAi0AFAAGAAgAAAAhADj9If/WAAAAlAEA&#10;AAsAAAAAAAAAAAAAAAAALwEAAF9yZWxzLy5yZWxzUEsBAi0AFAAGAAgAAAAhALA+bcp7AgAAZAUA&#10;AA4AAAAAAAAAAAAAAAAALgIAAGRycy9lMm9Eb2MueG1sUEsBAi0AFAAGAAgAAAAhAK3KVHneAAAA&#10;CgEAAA8AAAAAAAAAAAAAAAAA1QQAAGRycy9kb3ducmV2LnhtbFBLBQYAAAAABAAEAPMAAADgBQAA&#10;AAA=&#10;" adj="377" strokecolor="black [3213]" strokeweight=".5pt">
                <v:stroke joinstyle="miter"/>
              </v:shape>
            </w:pict>
          </mc:Fallback>
        </mc:AlternateContent>
      </w:r>
      <w:r w:rsidR="00BD3F5B">
        <w:rPr>
          <w:noProof/>
        </w:rPr>
        <w:drawing>
          <wp:inline distT="0" distB="0" distL="0" distR="0" wp14:anchorId="665A203F" wp14:editId="0B2E208D">
            <wp:extent cx="5134995" cy="3429635"/>
            <wp:effectExtent l="0" t="0" r="8890" b="0"/>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174378" cy="3455939"/>
                    </a:xfrm>
                    <a:prstGeom prst="rect">
                      <a:avLst/>
                    </a:prstGeom>
                  </pic:spPr>
                </pic:pic>
              </a:graphicData>
            </a:graphic>
          </wp:inline>
        </w:drawing>
      </w:r>
    </w:p>
    <w:p w14:paraId="61D5005B" w14:textId="47C79B52" w:rsidR="00BD3F5B" w:rsidRPr="0061123D" w:rsidRDefault="00BD3F5B" w:rsidP="0002537E">
      <w:pPr>
        <w:pStyle w:val="figure"/>
        <w:rPr>
          <w:lang w:val="fr-CA"/>
        </w:rPr>
      </w:pPr>
      <w:bookmarkStart w:id="280" w:name="_Ref70359650"/>
      <w:bookmarkStart w:id="281" w:name="_Ref69652175"/>
      <w:r w:rsidRPr="0061123D">
        <w:rPr>
          <w:i/>
        </w:rPr>
        <w:t xml:space="preserve">Figure </w:t>
      </w:r>
      <w:r w:rsidRPr="0061123D">
        <w:rPr>
          <w:i/>
        </w:rPr>
        <w:fldChar w:fldCharType="begin"/>
      </w:r>
      <w:r w:rsidRPr="0061123D">
        <w:rPr>
          <w:i/>
        </w:rPr>
        <w:instrText xml:space="preserve"> SEQ Figure \* ARABIC </w:instrText>
      </w:r>
      <w:r w:rsidRPr="0061123D">
        <w:rPr>
          <w:i/>
        </w:rPr>
        <w:fldChar w:fldCharType="separate"/>
      </w:r>
      <w:r w:rsidR="0007597F">
        <w:rPr>
          <w:i/>
          <w:noProof/>
        </w:rPr>
        <w:t>29</w:t>
      </w:r>
      <w:r w:rsidRPr="0061123D">
        <w:rPr>
          <w:i/>
        </w:rPr>
        <w:fldChar w:fldCharType="end"/>
      </w:r>
      <w:bookmarkEnd w:id="280"/>
      <w:r w:rsidR="00D84E4D">
        <w:rPr>
          <w:i/>
        </w:rPr>
        <w:t xml:space="preserve"> : </w:t>
      </w:r>
      <w:r w:rsidRPr="0002537E">
        <w:t xml:space="preserve">Schéma </w:t>
      </w:r>
      <w:r w:rsidR="00CC0084" w:rsidRPr="0002537E">
        <w:t>simplifié des étapes de transformation au sein de la filière</w:t>
      </w:r>
      <w:r w:rsidR="00451293" w:rsidRPr="0002537E">
        <w:t>.</w:t>
      </w:r>
      <w:bookmarkEnd w:id="281"/>
    </w:p>
    <w:p w14:paraId="6545D5A1" w14:textId="7DF47790" w:rsidR="00AB4E29" w:rsidRPr="00AB4E29" w:rsidRDefault="00D52669" w:rsidP="005D179D">
      <w:pPr>
        <w:pStyle w:val="Titre4"/>
        <w:numPr>
          <w:ilvl w:val="3"/>
          <w:numId w:val="9"/>
        </w:numPr>
      </w:pPr>
      <w:bookmarkStart w:id="282" w:name="_Toc78131644"/>
      <w:r>
        <w:t>Disponible en viande de porc brute</w:t>
      </w:r>
      <w:r w:rsidR="00AB4E29">
        <w:t xml:space="preserve">, graisses et abats </w:t>
      </w:r>
      <w:r>
        <w:t>en sortie d’activité 10.11.Z</w:t>
      </w:r>
      <w:r w:rsidR="00451293">
        <w:t xml:space="preserve"> (partie 1)</w:t>
      </w:r>
      <w:bookmarkEnd w:id="282"/>
    </w:p>
    <w:p w14:paraId="278DC8AB" w14:textId="6FB807BB" w:rsidR="00496235" w:rsidRDefault="00496235" w:rsidP="00CC0084">
      <w:pPr>
        <w:spacing w:before="120" w:after="0"/>
        <w:rPr>
          <w:lang w:val="fr-CA"/>
        </w:rPr>
      </w:pPr>
      <w:r>
        <w:rPr>
          <w:lang w:val="fr-CA"/>
        </w:rPr>
        <w:t xml:space="preserve">Les données en sortie d’abattage et découpe présentent selon l’INSEE PRODcom, un taux de couverture de 100 à 110% et sont par conséquent considérées comme robustes. </w:t>
      </w:r>
    </w:p>
    <w:p w14:paraId="7D111B1D" w14:textId="04061631" w:rsidR="00AB4E29" w:rsidRDefault="00496235" w:rsidP="00CC0084">
      <w:pPr>
        <w:spacing w:before="120" w:after="0"/>
        <w:rPr>
          <w:u w:val="single"/>
        </w:rPr>
      </w:pPr>
      <w:r>
        <w:rPr>
          <w:lang w:val="fr-CA"/>
        </w:rPr>
        <w:t xml:space="preserve">Aussi, </w:t>
      </w:r>
      <w:r w:rsidRPr="00496235">
        <w:rPr>
          <w:lang w:val="fr-CA"/>
        </w:rPr>
        <w:t>l</w:t>
      </w:r>
      <w:r w:rsidR="00BD3F5B" w:rsidRPr="00496235">
        <w:rPr>
          <w:lang w:val="fr-CA"/>
        </w:rPr>
        <w:t>e</w:t>
      </w:r>
      <w:r w:rsidR="00D52669" w:rsidRPr="00496235">
        <w:t xml:space="preserve"> disponible</w:t>
      </w:r>
      <w:r w:rsidR="00AB4E29" w:rsidRPr="00496235">
        <w:t xml:space="preserve"> </w:t>
      </w:r>
      <w:r w:rsidR="00D52669" w:rsidRPr="00496235">
        <w:t>net</w:t>
      </w:r>
      <w:r w:rsidR="00AB4E29" w:rsidRPr="00496235">
        <w:t xml:space="preserve"> en viande de porc brute</w:t>
      </w:r>
      <w:r w:rsidRPr="00496235">
        <w:t xml:space="preserve"> et graisses</w:t>
      </w:r>
      <w:r w:rsidR="00D52669" w:rsidRPr="00496235">
        <w:t xml:space="preserve"> </w:t>
      </w:r>
      <w:r w:rsidR="00AB4E29" w:rsidRPr="00496235">
        <w:t>(</w:t>
      </w:r>
      <w:r w:rsidR="00AB4E29">
        <w:t>Production + Import - Export) (Enquête PRODcom)</w:t>
      </w:r>
      <w:r>
        <w:t xml:space="preserve"> est </w:t>
      </w:r>
      <w:r w:rsidR="001F4E37">
        <w:t xml:space="preserve">évalué </w:t>
      </w:r>
      <w:r>
        <w:t xml:space="preserve">: </w:t>
      </w:r>
    </w:p>
    <w:p w14:paraId="5FE144DE" w14:textId="6BA118E0" w:rsidR="00AB4E29" w:rsidRPr="00AB4E29" w:rsidRDefault="00A362DA" w:rsidP="00496235">
      <w:pPr>
        <w:pStyle w:val="Paragraphedeliste"/>
        <w:numPr>
          <w:ilvl w:val="0"/>
          <w:numId w:val="23"/>
        </w:numPr>
        <w:spacing w:before="0"/>
        <w:ind w:left="714" w:hanging="357"/>
        <w:rPr>
          <w:u w:val="single"/>
        </w:rPr>
      </w:pPr>
      <w:r>
        <w:rPr>
          <w:u w:val="single"/>
        </w:rPr>
        <w:t>E</w:t>
      </w:r>
      <w:r w:rsidR="004700D8" w:rsidRPr="00AB4E29">
        <w:rPr>
          <w:u w:val="single"/>
        </w:rPr>
        <w:t xml:space="preserve">n viande de porc </w:t>
      </w:r>
      <w:r w:rsidR="004700D8" w:rsidRPr="00496235">
        <w:rPr>
          <w:u w:val="single"/>
        </w:rPr>
        <w:t xml:space="preserve">brute </w:t>
      </w:r>
      <w:r w:rsidR="001F4E37">
        <w:rPr>
          <w:u w:val="single"/>
        </w:rPr>
        <w:t xml:space="preserve">à </w:t>
      </w:r>
      <w:r w:rsidR="004700D8" w:rsidRPr="00496235">
        <w:rPr>
          <w:u w:val="single"/>
        </w:rPr>
        <w:t>environ</w:t>
      </w:r>
      <w:r w:rsidR="004700D8" w:rsidRPr="00AB4E29">
        <w:rPr>
          <w:u w:val="single"/>
        </w:rPr>
        <w:t xml:space="preserve"> 1</w:t>
      </w:r>
      <w:r w:rsidR="00FA6A05">
        <w:rPr>
          <w:u w:val="single"/>
        </w:rPr>
        <w:t> </w:t>
      </w:r>
      <w:r w:rsidR="004700D8" w:rsidRPr="00AB4E29">
        <w:rPr>
          <w:u w:val="single"/>
        </w:rPr>
        <w:t>820</w:t>
      </w:r>
      <w:r w:rsidR="00FA6A05">
        <w:rPr>
          <w:u w:val="single"/>
        </w:rPr>
        <w:t> </w:t>
      </w:r>
      <w:r w:rsidR="004700D8" w:rsidRPr="00AB4E29">
        <w:rPr>
          <w:u w:val="single"/>
        </w:rPr>
        <w:t>kt</w:t>
      </w:r>
      <w:r w:rsidR="004700D8">
        <w:t xml:space="preserve"> dont 90</w:t>
      </w:r>
      <w:r w:rsidR="00FA6A05">
        <w:t> </w:t>
      </w:r>
      <w:r w:rsidR="004700D8">
        <w:t>% sous la forme de viande fraîche</w:t>
      </w:r>
      <w:r w:rsidR="00AB4E29">
        <w:t>,</w:t>
      </w:r>
    </w:p>
    <w:p w14:paraId="0A58CEA4" w14:textId="3FA5B50C" w:rsidR="00B851D3" w:rsidRDefault="005E518F" w:rsidP="00B851D3">
      <w:pPr>
        <w:pStyle w:val="Paragraphedeliste"/>
        <w:numPr>
          <w:ilvl w:val="0"/>
          <w:numId w:val="23"/>
        </w:numPr>
      </w:pPr>
      <w:r>
        <w:rPr>
          <w:u w:val="single"/>
        </w:rPr>
        <w:t xml:space="preserve">En graisses </w:t>
      </w:r>
      <w:r w:rsidR="001F4E37">
        <w:rPr>
          <w:u w:val="single"/>
        </w:rPr>
        <w:t>à</w:t>
      </w:r>
      <w:r w:rsidR="00AB4E29">
        <w:rPr>
          <w:u w:val="single"/>
        </w:rPr>
        <w:t xml:space="preserve"> 126</w:t>
      </w:r>
      <w:r w:rsidR="00FA6A05">
        <w:rPr>
          <w:u w:val="single"/>
        </w:rPr>
        <w:t> </w:t>
      </w:r>
      <w:r w:rsidR="00AB4E29">
        <w:rPr>
          <w:u w:val="single"/>
        </w:rPr>
        <w:t xml:space="preserve">kt </w:t>
      </w:r>
      <w:r w:rsidR="00AB4E29" w:rsidRPr="00496235">
        <w:t>dont 89</w:t>
      </w:r>
      <w:r w:rsidR="00FA6A05">
        <w:t> </w:t>
      </w:r>
      <w:r w:rsidR="00AB4E29" w:rsidRPr="00496235">
        <w:t xml:space="preserve">kt de </w:t>
      </w:r>
      <w:r w:rsidR="00496235" w:rsidRPr="00496235">
        <w:t xml:space="preserve">lard et graisse de porc </w:t>
      </w:r>
      <w:r w:rsidR="004C1323">
        <w:t xml:space="preserve">et le reste en saindoux destiné en grande partie au fondoir. Une toute petite partie est commercialisée </w:t>
      </w:r>
      <w:r w:rsidR="00A362DA">
        <w:t xml:space="preserve">directement </w:t>
      </w:r>
      <w:r w:rsidR="004C1323">
        <w:t>auprès de la restauration</w:t>
      </w:r>
      <w:r w:rsidR="00747A6C">
        <w:t xml:space="preserve"> et dans quelques circuits de vente vers le consommateur </w:t>
      </w:r>
      <w:r w:rsidR="004C1323">
        <w:t>mais cette pratique se marginalise</w:t>
      </w:r>
      <w:r w:rsidR="00747A6C">
        <w:t xml:space="preserve"> (estimé à &lt;1</w:t>
      </w:r>
      <w:r w:rsidR="00FA6A05">
        <w:t> </w:t>
      </w:r>
      <w:r w:rsidR="00747A6C">
        <w:t>kt)</w:t>
      </w:r>
      <w:r w:rsidR="004C1323">
        <w:t>.</w:t>
      </w:r>
      <w:r w:rsidR="00496235">
        <w:t xml:space="preserve"> </w:t>
      </w:r>
      <w:r w:rsidR="00A362DA">
        <w:t>L’ensemble de c</w:t>
      </w:r>
      <w:r w:rsidR="00496235">
        <w:t xml:space="preserve">ette fraction </w:t>
      </w:r>
      <w:r w:rsidR="007F1007">
        <w:t xml:space="preserve">est </w:t>
      </w:r>
      <w:r w:rsidR="00A362DA">
        <w:t>à destination de la consommation humaine</w:t>
      </w:r>
      <w:r w:rsidR="00496235">
        <w:t>.</w:t>
      </w:r>
    </w:p>
    <w:p w14:paraId="2AAFF16E" w14:textId="77777777" w:rsidR="00A362DA" w:rsidRDefault="00A362DA" w:rsidP="00A362DA">
      <w:pPr>
        <w:pStyle w:val="Paragraphedeliste"/>
        <w:numPr>
          <w:ilvl w:val="0"/>
          <w:numId w:val="0"/>
        </w:numPr>
        <w:ind w:left="720"/>
      </w:pPr>
    </w:p>
    <w:p w14:paraId="4B549CD2" w14:textId="726DA9EF" w:rsidR="00496235" w:rsidRDefault="00496235" w:rsidP="000015C3">
      <w:r>
        <w:t>L</w:t>
      </w:r>
      <w:r w:rsidR="00A362DA">
        <w:t>es</w:t>
      </w:r>
      <w:r w:rsidRPr="004C3119">
        <w:rPr>
          <w:u w:val="single"/>
        </w:rPr>
        <w:t xml:space="preserve"> abat</w:t>
      </w:r>
      <w:r w:rsidR="005A60F2">
        <w:rPr>
          <w:u w:val="single"/>
        </w:rPr>
        <w:t>s</w:t>
      </w:r>
      <w:r w:rsidRPr="004C3119">
        <w:rPr>
          <w:u w:val="single"/>
        </w:rPr>
        <w:t xml:space="preserve"> bruts</w:t>
      </w:r>
      <w:r w:rsidR="005E518F">
        <w:rPr>
          <w:u w:val="single"/>
        </w:rPr>
        <w:t xml:space="preserve"> en sortie d’abattage</w:t>
      </w:r>
      <w:r w:rsidRPr="004C3119">
        <w:rPr>
          <w:u w:val="single"/>
        </w:rPr>
        <w:t xml:space="preserve"> </w:t>
      </w:r>
      <w:r w:rsidR="004C3119">
        <w:rPr>
          <w:u w:val="single"/>
        </w:rPr>
        <w:t>soi</w:t>
      </w:r>
      <w:r w:rsidR="00A362DA">
        <w:rPr>
          <w:u w:val="single"/>
        </w:rPr>
        <w:t>en</w:t>
      </w:r>
      <w:r w:rsidR="004C3119">
        <w:rPr>
          <w:u w:val="single"/>
        </w:rPr>
        <w:t>t</w:t>
      </w:r>
      <w:r>
        <w:t xml:space="preserve"> </w:t>
      </w:r>
      <w:r w:rsidR="004C3119">
        <w:t>(Production – Export</w:t>
      </w:r>
      <w:r w:rsidR="005A60F2">
        <w:t xml:space="preserve"> Abats sur la</w:t>
      </w:r>
      <w:r w:rsidR="0090266B">
        <w:t xml:space="preserve"> Carcasse</w:t>
      </w:r>
      <w:r w:rsidR="004C3119">
        <w:t xml:space="preserve">) </w:t>
      </w:r>
      <w:r w:rsidR="005E518F">
        <w:t>ont été estimés</w:t>
      </w:r>
      <w:r w:rsidR="004C3119">
        <w:t xml:space="preserve"> à 175</w:t>
      </w:r>
      <w:r w:rsidR="00FA6A05">
        <w:t> </w:t>
      </w:r>
      <w:r w:rsidR="004C3119">
        <w:t>kt</w:t>
      </w:r>
      <w:r w:rsidR="00B851D3">
        <w:t xml:space="preserve"> (Partie 2, paragraphe 1.1.2.)</w:t>
      </w:r>
      <w:r w:rsidR="004C3119">
        <w:t xml:space="preserve">. En tenant compte des importations </w:t>
      </w:r>
      <w:r w:rsidR="0090266B">
        <w:t xml:space="preserve">et exportations </w:t>
      </w:r>
      <w:r w:rsidR="004C3119">
        <w:t>d’abats</w:t>
      </w:r>
      <w:r w:rsidR="0090266B">
        <w:t xml:space="preserve"> soient les foies et autres abats</w:t>
      </w:r>
      <w:r w:rsidR="004C3119">
        <w:t xml:space="preserve">, </w:t>
      </w:r>
      <w:r w:rsidR="004C3119" w:rsidRPr="005A60F2">
        <w:rPr>
          <w:u w:val="single"/>
        </w:rPr>
        <w:t xml:space="preserve">le disponible net (Production + Import - Export) est de </w:t>
      </w:r>
      <w:r w:rsidR="005A60F2" w:rsidRPr="005A60F2">
        <w:rPr>
          <w:u w:val="single"/>
        </w:rPr>
        <w:t>108</w:t>
      </w:r>
      <w:r w:rsidR="00FA6A05">
        <w:rPr>
          <w:u w:val="single"/>
        </w:rPr>
        <w:t> </w:t>
      </w:r>
      <w:r w:rsidR="004C3119" w:rsidRPr="005A60F2">
        <w:rPr>
          <w:u w:val="single"/>
        </w:rPr>
        <w:t>kt</w:t>
      </w:r>
      <w:r w:rsidR="00211046">
        <w:t xml:space="preserve"> </w:t>
      </w:r>
      <w:r w:rsidR="006665BC">
        <w:t xml:space="preserve">(Partie 1, paragraphe </w:t>
      </w:r>
      <w:r w:rsidR="005A60F2">
        <w:t>2.2.5.4.).</w:t>
      </w:r>
    </w:p>
    <w:tbl>
      <w:tblPr>
        <w:tblW w:w="3970" w:type="dxa"/>
        <w:jc w:val="center"/>
        <w:tblCellMar>
          <w:left w:w="70" w:type="dxa"/>
          <w:right w:w="70" w:type="dxa"/>
        </w:tblCellMar>
        <w:tblLook w:val="04A0" w:firstRow="1" w:lastRow="0" w:firstColumn="1" w:lastColumn="0" w:noHBand="0" w:noVBand="1"/>
      </w:tblPr>
      <w:tblGrid>
        <w:gridCol w:w="2977"/>
        <w:gridCol w:w="993"/>
      </w:tblGrid>
      <w:tr w:rsidR="00332453" w:rsidRPr="00332453" w14:paraId="7249149B" w14:textId="77777777" w:rsidTr="00332453">
        <w:trPr>
          <w:trHeight w:val="300"/>
          <w:jc w:val="center"/>
        </w:trPr>
        <w:tc>
          <w:tcPr>
            <w:tcW w:w="2977"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4E9EA66" w14:textId="77777777" w:rsidR="00332453" w:rsidRPr="00332453" w:rsidRDefault="00332453" w:rsidP="00332453">
            <w:pPr>
              <w:spacing w:after="0" w:line="240" w:lineRule="auto"/>
              <w:jc w:val="left"/>
              <w:rPr>
                <w:rFonts w:eastAsia="Times New Roman" w:cs="Arial"/>
                <w:b/>
                <w:color w:val="000000"/>
                <w:sz w:val="20"/>
                <w:szCs w:val="20"/>
                <w:lang w:eastAsia="fr-FR"/>
              </w:rPr>
            </w:pPr>
            <w:r w:rsidRPr="00332453">
              <w:rPr>
                <w:rFonts w:eastAsia="Times New Roman" w:cs="Arial"/>
                <w:b/>
                <w:color w:val="000000"/>
                <w:sz w:val="20"/>
                <w:szCs w:val="20"/>
                <w:lang w:eastAsia="fr-FR"/>
              </w:rPr>
              <w:t>Total sortie activité 10.11.Z</w:t>
            </w:r>
          </w:p>
        </w:tc>
        <w:tc>
          <w:tcPr>
            <w:tcW w:w="99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CD213AA" w14:textId="4B68B7B9" w:rsidR="00332453" w:rsidRPr="00332453" w:rsidRDefault="00332453" w:rsidP="00332453">
            <w:pPr>
              <w:spacing w:after="0" w:line="240" w:lineRule="auto"/>
              <w:jc w:val="left"/>
              <w:rPr>
                <w:rFonts w:eastAsia="Times New Roman" w:cs="Arial"/>
                <w:b/>
                <w:color w:val="000000"/>
                <w:sz w:val="20"/>
                <w:szCs w:val="20"/>
                <w:lang w:eastAsia="fr-FR"/>
              </w:rPr>
            </w:pPr>
            <w:r w:rsidRPr="00332453">
              <w:rPr>
                <w:rFonts w:eastAsia="Times New Roman" w:cs="Arial"/>
                <w:b/>
                <w:color w:val="000000"/>
                <w:sz w:val="20"/>
                <w:szCs w:val="20"/>
                <w:lang w:eastAsia="fr-FR"/>
              </w:rPr>
              <w:t>2</w:t>
            </w:r>
            <w:r>
              <w:rPr>
                <w:rFonts w:eastAsia="Times New Roman" w:cs="Arial"/>
                <w:b/>
                <w:color w:val="000000"/>
                <w:sz w:val="20"/>
                <w:szCs w:val="20"/>
                <w:lang w:eastAsia="fr-FR"/>
              </w:rPr>
              <w:t xml:space="preserve"> </w:t>
            </w:r>
            <w:r w:rsidRPr="00332453">
              <w:rPr>
                <w:rFonts w:eastAsia="Times New Roman" w:cs="Arial"/>
                <w:b/>
                <w:color w:val="000000"/>
                <w:sz w:val="20"/>
                <w:szCs w:val="20"/>
                <w:lang w:eastAsia="fr-FR"/>
              </w:rPr>
              <w:t>054</w:t>
            </w:r>
          </w:p>
        </w:tc>
      </w:tr>
      <w:tr w:rsidR="00332453" w:rsidRPr="00332453" w14:paraId="375DF1BB" w14:textId="77777777" w:rsidTr="00332453">
        <w:trPr>
          <w:trHeight w:val="300"/>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8A872D2" w14:textId="77777777" w:rsidR="00332453" w:rsidRPr="00332453" w:rsidRDefault="00332453" w:rsidP="00332453">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Viande de porc brute</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149CD82" w14:textId="77777777" w:rsidR="00332453" w:rsidRPr="00332453" w:rsidRDefault="00332453" w:rsidP="00332453">
            <w:pPr>
              <w:spacing w:after="0" w:line="240" w:lineRule="auto"/>
              <w:jc w:val="right"/>
              <w:rPr>
                <w:rFonts w:eastAsia="Times New Roman" w:cs="Arial"/>
                <w:color w:val="000000"/>
                <w:sz w:val="20"/>
                <w:szCs w:val="20"/>
                <w:lang w:eastAsia="fr-FR"/>
              </w:rPr>
            </w:pPr>
            <w:r w:rsidRPr="00332453">
              <w:rPr>
                <w:rFonts w:eastAsia="Times New Roman" w:cs="Arial"/>
                <w:color w:val="000000"/>
                <w:sz w:val="20"/>
                <w:szCs w:val="20"/>
                <w:lang w:eastAsia="fr-FR"/>
              </w:rPr>
              <w:t>1 820</w:t>
            </w:r>
          </w:p>
        </w:tc>
      </w:tr>
      <w:tr w:rsidR="00332453" w:rsidRPr="00332453" w14:paraId="682E1456" w14:textId="77777777" w:rsidTr="00332453">
        <w:trPr>
          <w:trHeight w:val="300"/>
          <w:jc w:val="center"/>
        </w:trPr>
        <w:tc>
          <w:tcPr>
            <w:tcW w:w="2977"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A0F765D" w14:textId="77777777" w:rsidR="00332453" w:rsidRPr="00332453" w:rsidRDefault="00332453" w:rsidP="00332453">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Graisses, lards saindoux</w:t>
            </w:r>
          </w:p>
        </w:tc>
        <w:tc>
          <w:tcPr>
            <w:tcW w:w="99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E3CA90D" w14:textId="75514B6D" w:rsidR="00332453" w:rsidRPr="00332453" w:rsidRDefault="00332453" w:rsidP="00332453">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126</w:t>
            </w:r>
          </w:p>
        </w:tc>
      </w:tr>
      <w:tr w:rsidR="00332453" w:rsidRPr="00332453" w14:paraId="093A8456" w14:textId="77777777" w:rsidTr="00332453">
        <w:trPr>
          <w:trHeight w:val="300"/>
          <w:jc w:val="center"/>
        </w:trPr>
        <w:tc>
          <w:tcPr>
            <w:tcW w:w="297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ACF256C" w14:textId="77777777" w:rsidR="00332453" w:rsidRPr="00332453" w:rsidRDefault="00332453" w:rsidP="00332453">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 xml:space="preserve">Abats dont foies </w:t>
            </w:r>
          </w:p>
        </w:tc>
        <w:tc>
          <w:tcPr>
            <w:tcW w:w="99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7DB7595" w14:textId="77777777" w:rsidR="00332453" w:rsidRPr="00332453" w:rsidRDefault="00332453" w:rsidP="00332453">
            <w:pPr>
              <w:spacing w:after="0" w:line="240" w:lineRule="auto"/>
              <w:jc w:val="right"/>
              <w:rPr>
                <w:rFonts w:eastAsia="Times New Roman" w:cs="Arial"/>
                <w:color w:val="000000"/>
                <w:sz w:val="20"/>
                <w:szCs w:val="20"/>
                <w:lang w:eastAsia="fr-FR"/>
              </w:rPr>
            </w:pPr>
            <w:r w:rsidRPr="00332453">
              <w:rPr>
                <w:rFonts w:eastAsia="Times New Roman" w:cs="Arial"/>
                <w:color w:val="000000"/>
                <w:sz w:val="20"/>
                <w:szCs w:val="20"/>
                <w:lang w:eastAsia="fr-FR"/>
              </w:rPr>
              <w:t>108</w:t>
            </w:r>
          </w:p>
        </w:tc>
      </w:tr>
    </w:tbl>
    <w:p w14:paraId="17580227" w14:textId="12D3136F" w:rsidR="00A362DA" w:rsidRPr="0002537E" w:rsidRDefault="00A362DA" w:rsidP="0002537E">
      <w:pPr>
        <w:pStyle w:val="figure"/>
        <w:rPr>
          <w:b w:val="0"/>
          <w:i/>
        </w:rPr>
      </w:pPr>
      <w:bookmarkStart w:id="283" w:name="_Toc72143405"/>
      <w:r w:rsidRPr="0002537E">
        <w:t xml:space="preserve">Tableau </w:t>
      </w:r>
      <w:r w:rsidR="00E27D6E">
        <w:fldChar w:fldCharType="begin"/>
      </w:r>
      <w:r w:rsidR="00E27D6E">
        <w:instrText xml:space="preserve"> SEQ Tableau \* ARABIC </w:instrText>
      </w:r>
      <w:r w:rsidR="00E27D6E">
        <w:fldChar w:fldCharType="separate"/>
      </w:r>
      <w:r w:rsidR="0007597F">
        <w:rPr>
          <w:i/>
          <w:noProof/>
        </w:rPr>
        <w:t>57</w:t>
      </w:r>
      <w:r w:rsidR="00E27D6E">
        <w:rPr>
          <w:i/>
          <w:noProof/>
        </w:rPr>
        <w:fldChar w:fldCharType="end"/>
      </w:r>
      <w:r w:rsidR="00D84E4D">
        <w:rPr>
          <w:i/>
        </w:rPr>
        <w:t xml:space="preserve"> : </w:t>
      </w:r>
      <w:r w:rsidR="00332453" w:rsidRPr="0002537E">
        <w:t>Fraction des produits du porc disponible en sortie 10.11.Z. en kt en 2018</w:t>
      </w:r>
      <w:bookmarkEnd w:id="283"/>
    </w:p>
    <w:p w14:paraId="40279AE5" w14:textId="0B5D09A1" w:rsidR="004700D8" w:rsidRDefault="00220F38" w:rsidP="00220F38">
      <w:pPr>
        <w:spacing w:after="0"/>
      </w:pPr>
      <w:r>
        <w:t xml:space="preserve">Au total </w:t>
      </w:r>
      <w:r w:rsidRPr="004C3119">
        <w:rPr>
          <w:u w:val="single"/>
        </w:rPr>
        <w:t>de la viande de porc brute, des graisses et abats, sont comptabilisés 2 0</w:t>
      </w:r>
      <w:r w:rsidR="005A60F2">
        <w:rPr>
          <w:u w:val="single"/>
        </w:rPr>
        <w:t>5</w:t>
      </w:r>
      <w:r w:rsidRPr="004C3119">
        <w:rPr>
          <w:u w:val="single"/>
        </w:rPr>
        <w:t xml:space="preserve">4 kt </w:t>
      </w:r>
      <w:r>
        <w:t xml:space="preserve">pour lesquels se présentent </w:t>
      </w:r>
      <w:r w:rsidR="004700D8">
        <w:t xml:space="preserve">trois débouchés </w:t>
      </w:r>
      <w:r w:rsidR="00624154">
        <w:t>soient</w:t>
      </w:r>
      <w:r w:rsidR="00CC0084">
        <w:t> :</w:t>
      </w:r>
    </w:p>
    <w:p w14:paraId="0BA4F584" w14:textId="233D8624" w:rsidR="004700D8" w:rsidRDefault="004700D8" w:rsidP="004700D8">
      <w:pPr>
        <w:pStyle w:val="Paragraphedeliste"/>
        <w:numPr>
          <w:ilvl w:val="0"/>
          <w:numId w:val="23"/>
        </w:numPr>
        <w:spacing w:before="0"/>
        <w:ind w:left="714" w:hanging="357"/>
      </w:pPr>
      <w:r>
        <w:t>L</w:t>
      </w:r>
      <w:r w:rsidR="00624154">
        <w:t>a transformation en produits de charcuterie</w:t>
      </w:r>
      <w:r w:rsidR="00754A25">
        <w:t xml:space="preserve"> et de salaison</w:t>
      </w:r>
      <w:r w:rsidR="00624154">
        <w:t>,</w:t>
      </w:r>
    </w:p>
    <w:p w14:paraId="78C5BD00" w14:textId="366D3FB8" w:rsidR="00783F39" w:rsidRDefault="00783F39" w:rsidP="00783F39">
      <w:pPr>
        <w:pStyle w:val="Paragraphedeliste"/>
        <w:numPr>
          <w:ilvl w:val="0"/>
          <w:numId w:val="23"/>
        </w:numPr>
        <w:spacing w:before="0"/>
        <w:ind w:left="714" w:hanging="357"/>
      </w:pPr>
      <w:r>
        <w:t>Le pi</w:t>
      </w:r>
      <w:r w:rsidR="00332453">
        <w:t>é</w:t>
      </w:r>
      <w:r>
        <w:t xml:space="preserve">çage et la découpe de viande de porc en </w:t>
      </w:r>
      <w:r w:rsidR="004C3119">
        <w:t xml:space="preserve">unités de vente </w:t>
      </w:r>
      <w:r>
        <w:t>consommateurs</w:t>
      </w:r>
      <w:r w:rsidR="003A3724">
        <w:t xml:space="preserve">. </w:t>
      </w:r>
    </w:p>
    <w:p w14:paraId="65BA77D6" w14:textId="1F0D331B" w:rsidR="00A814F1" w:rsidRPr="0002537E" w:rsidRDefault="00A814F1" w:rsidP="0092736B">
      <w:pPr>
        <w:rPr>
          <w:rFonts w:eastAsia="Arial Unicode MS" w:cs="Arial"/>
          <w:kern w:val="1"/>
          <w:szCs w:val="24"/>
          <w:lang w:eastAsia="ar-SA"/>
        </w:rPr>
      </w:pPr>
      <w:r w:rsidRPr="0002537E">
        <w:rPr>
          <w:rFonts w:eastAsia="Arial Unicode MS" w:cs="Arial"/>
          <w:kern w:val="1"/>
          <w:szCs w:val="24"/>
          <w:lang w:eastAsia="ar-SA"/>
        </w:rPr>
        <w:t>Le rendement de découpe estimé à environ 7%</w:t>
      </w:r>
      <w:r w:rsidR="00661879">
        <w:rPr>
          <w:rFonts w:eastAsia="Arial Unicode MS" w:cs="Arial"/>
          <w:kern w:val="1"/>
          <w:szCs w:val="24"/>
          <w:lang w:eastAsia="ar-SA"/>
        </w:rPr>
        <w:t xml:space="preserve">. </w:t>
      </w:r>
    </w:p>
    <w:p w14:paraId="081D60E8" w14:textId="0E76FD69" w:rsidR="00A814F1" w:rsidRPr="00A814F1" w:rsidRDefault="00A814F1" w:rsidP="00A814F1">
      <w:pPr>
        <w:rPr>
          <w:lang w:val="fr-CA" w:eastAsia="fr-FR"/>
        </w:rPr>
      </w:pPr>
      <w:r>
        <w:rPr>
          <w:lang w:val="fr-CA" w:eastAsia="fr-FR"/>
        </w:rPr>
        <w:t>En conséquence, les deux approches voient leurs résultats corroborés</w:t>
      </w:r>
      <w:r w:rsidR="0092736B">
        <w:rPr>
          <w:lang w:val="fr-CA" w:eastAsia="fr-FR"/>
        </w:rPr>
        <w:t>.</w:t>
      </w:r>
    </w:p>
    <w:p w14:paraId="295FB0E7" w14:textId="15F2D390" w:rsidR="004C1323" w:rsidRPr="00A814F1" w:rsidRDefault="004C1323" w:rsidP="005D179D">
      <w:pPr>
        <w:pStyle w:val="Titre4"/>
        <w:numPr>
          <w:ilvl w:val="3"/>
          <w:numId w:val="9"/>
        </w:numPr>
      </w:pPr>
      <w:bookmarkStart w:id="284" w:name="_Toc78131645"/>
      <w:r w:rsidRPr="00A814F1">
        <w:lastRenderedPageBreak/>
        <w:t>Destinations de la viande de porc brute, des graisses et abats en sortie d’activité 10.11.Z (partie 1)</w:t>
      </w:r>
      <w:bookmarkEnd w:id="284"/>
    </w:p>
    <w:p w14:paraId="47CF11B3" w14:textId="1C534188" w:rsidR="00B851D3" w:rsidRDefault="00783F39" w:rsidP="00220F38">
      <w:r>
        <w:t>La</w:t>
      </w:r>
      <w:r w:rsidR="001F4E37">
        <w:t xml:space="preserve"> part de porc approvisionnée pour la</w:t>
      </w:r>
      <w:r>
        <w:t xml:space="preserve"> transformation en produits de charcuterie</w:t>
      </w:r>
      <w:r w:rsidR="00754A25">
        <w:t xml:space="preserve"> et de salaison,</w:t>
      </w:r>
      <w:r>
        <w:t xml:space="preserve"> selon l’enquête PRODcom 10.13.A. </w:t>
      </w:r>
      <w:r w:rsidR="008D2620">
        <w:t xml:space="preserve">et tenant compte des importations, </w:t>
      </w:r>
      <w:r>
        <w:t>absorbe 882</w:t>
      </w:r>
      <w:r w:rsidR="00FA6A05">
        <w:t> </w:t>
      </w:r>
      <w:r>
        <w:t xml:space="preserve">kt </w:t>
      </w:r>
      <w:r w:rsidR="00A74D7B">
        <w:t xml:space="preserve">de viande brute </w:t>
      </w:r>
      <w:r w:rsidR="00B851D3">
        <w:t xml:space="preserve">(hors abats et hors gras) </w:t>
      </w:r>
      <w:r>
        <w:t>avec cependant un taux de couverture positionné entre 84</w:t>
      </w:r>
      <w:r w:rsidR="00FA6A05">
        <w:t> %</w:t>
      </w:r>
      <w:r>
        <w:t xml:space="preserve"> et 91</w:t>
      </w:r>
      <w:r w:rsidR="00FA6A05">
        <w:t> </w:t>
      </w:r>
      <w:r>
        <w:t>%</w:t>
      </w:r>
      <w:r w:rsidR="00CC0084">
        <w:t xml:space="preserve"> </w:t>
      </w:r>
      <w:r w:rsidR="00451293">
        <w:t>en lien avec le taux de répondants</w:t>
      </w:r>
      <w:r w:rsidR="00220F38">
        <w:t xml:space="preserve"> à l’enquête</w:t>
      </w:r>
      <w:r w:rsidR="00451293">
        <w:t xml:space="preserve"> </w:t>
      </w:r>
      <w:r w:rsidR="00CC0084">
        <w:t>(Partie 1 ; paragraphe 2.2.1.)</w:t>
      </w:r>
      <w:r w:rsidR="003D7658">
        <w:t xml:space="preserve">. </w:t>
      </w:r>
      <w:r>
        <w:t xml:space="preserve">En conséquence, </w:t>
      </w:r>
      <w:r w:rsidR="00754A25">
        <w:t xml:space="preserve">le </w:t>
      </w:r>
      <w:r>
        <w:t xml:space="preserve">correctif </w:t>
      </w:r>
      <w:r w:rsidR="00754A25">
        <w:t xml:space="preserve">apporté </w:t>
      </w:r>
      <w:r w:rsidR="00886E22">
        <w:t xml:space="preserve">à ce </w:t>
      </w:r>
      <w:r w:rsidR="00A74D7B">
        <w:t>chiffre</w:t>
      </w:r>
      <w:r w:rsidR="00886E22">
        <w:t xml:space="preserve"> </w:t>
      </w:r>
      <w:r w:rsidR="00754A25">
        <w:t>donnerait</w:t>
      </w:r>
      <w:r w:rsidR="00886E22">
        <w:t xml:space="preserve"> </w:t>
      </w:r>
      <w:r w:rsidR="00754A25">
        <w:t>un estimé</w:t>
      </w:r>
      <w:r w:rsidR="00A74D7B">
        <w:t xml:space="preserve"> en viande brute pour la transformation en charcuterie salaison </w:t>
      </w:r>
      <w:r w:rsidR="00754A25">
        <w:t xml:space="preserve">à hauteur de </w:t>
      </w:r>
      <w:r w:rsidR="00754A25" w:rsidRPr="00220F38">
        <w:rPr>
          <w:u w:val="single"/>
        </w:rPr>
        <w:t>1000</w:t>
      </w:r>
      <w:r w:rsidR="00FA6A05">
        <w:rPr>
          <w:u w:val="single"/>
        </w:rPr>
        <w:t> </w:t>
      </w:r>
      <w:r w:rsidR="00754A25" w:rsidRPr="00220F38">
        <w:rPr>
          <w:u w:val="single"/>
        </w:rPr>
        <w:t>kt</w:t>
      </w:r>
      <w:r w:rsidR="003F255E">
        <w:t>.</w:t>
      </w:r>
    </w:p>
    <w:p w14:paraId="6FA2A836" w14:textId="1808DF14" w:rsidR="00747A6C" w:rsidRPr="00FA6A05" w:rsidRDefault="005A60F2" w:rsidP="004D1E12">
      <w:pPr>
        <w:rPr>
          <w:u w:val="single"/>
        </w:rPr>
      </w:pPr>
      <w:r>
        <w:t>Selon Kantar</w:t>
      </w:r>
      <w:r w:rsidRPr="00FA6A05">
        <w:t xml:space="preserve">, </w:t>
      </w:r>
      <w:r w:rsidRPr="004C1323">
        <w:rPr>
          <w:u w:val="single"/>
        </w:rPr>
        <w:t xml:space="preserve">la part d’abats à destination de la </w:t>
      </w:r>
      <w:r w:rsidR="004C1323" w:rsidRPr="004C1323">
        <w:rPr>
          <w:u w:val="single"/>
        </w:rPr>
        <w:t>boucherie</w:t>
      </w:r>
      <w:r w:rsidR="004C1323">
        <w:t xml:space="preserve"> et commercialisé dans l’univers de la viande fraîche élargi</w:t>
      </w:r>
      <w:r w:rsidR="00FA6A05">
        <w:t>,</w:t>
      </w:r>
      <w:r w:rsidR="004C1323">
        <w:t xml:space="preserve"> est de 8,8</w:t>
      </w:r>
      <w:r w:rsidR="00FA6A05">
        <w:t> </w:t>
      </w:r>
      <w:r w:rsidR="004C1323">
        <w:t xml:space="preserve">kt. S’agissant de produits </w:t>
      </w:r>
      <w:r w:rsidR="006412DC">
        <w:t>vendu</w:t>
      </w:r>
      <w:r w:rsidR="00FA6A05">
        <w:t>s</w:t>
      </w:r>
      <w:r w:rsidR="006412DC">
        <w:t xml:space="preserve"> en</w:t>
      </w:r>
      <w:r w:rsidR="004C1323">
        <w:t xml:space="preserve"> poids variables, un correctif est appliqué à partir des données à dire d’expert et </w:t>
      </w:r>
      <w:r w:rsidR="004C1323" w:rsidRPr="004C1323">
        <w:rPr>
          <w:u w:val="single"/>
        </w:rPr>
        <w:t>la fraction d’abats est évaluée à environ 12 kt</w:t>
      </w:r>
      <w:r w:rsidR="004C1323">
        <w:t xml:space="preserve">. </w:t>
      </w:r>
      <w:r w:rsidR="001F4E37">
        <w:t xml:space="preserve">Le solde d’abats pour la transformation correspondrait à un peu moins de </w:t>
      </w:r>
      <w:r w:rsidR="00747A6C">
        <w:t>100</w:t>
      </w:r>
      <w:r w:rsidR="00FA6A05">
        <w:t> </w:t>
      </w:r>
      <w:r w:rsidR="001F4E37">
        <w:t>kt</w:t>
      </w:r>
      <w:r w:rsidR="00747A6C">
        <w:t xml:space="preserve"> (96</w:t>
      </w:r>
      <w:r w:rsidR="00FA6A05">
        <w:t> </w:t>
      </w:r>
      <w:r w:rsidR="00747A6C">
        <w:t>kt)</w:t>
      </w:r>
      <w:r w:rsidR="001F4E37">
        <w:t>.</w:t>
      </w:r>
      <w:r w:rsidR="00747A6C">
        <w:t xml:space="preserve"> </w:t>
      </w:r>
      <w:r w:rsidR="004C1323">
        <w:t>Enfin, l’ensemble des graisses est destiné à la transformation en charcuterie salaison</w:t>
      </w:r>
      <w:r w:rsidR="001F4E37">
        <w:t xml:space="preserve"> soit estimé à </w:t>
      </w:r>
      <w:r w:rsidR="00747A6C">
        <w:t>environ</w:t>
      </w:r>
      <w:r w:rsidR="001F4E37">
        <w:t xml:space="preserve"> de 1</w:t>
      </w:r>
      <w:r w:rsidR="00747A6C">
        <w:t>2</w:t>
      </w:r>
      <w:r w:rsidR="001F4E37">
        <w:t>0</w:t>
      </w:r>
      <w:r w:rsidR="00FA6A05">
        <w:t> </w:t>
      </w:r>
      <w:r w:rsidR="001F4E37">
        <w:t xml:space="preserve">kt. </w:t>
      </w:r>
      <w:r w:rsidR="00A362DA">
        <w:t>En conséquence, la part de produits du porc destiné à la transformation en charcuterie salaison est d</w:t>
      </w:r>
      <w:r w:rsidR="00747A6C">
        <w:t>’environ 1</w:t>
      </w:r>
      <w:r w:rsidR="00FA6A05">
        <w:t> </w:t>
      </w:r>
      <w:r w:rsidR="00747A6C">
        <w:t>2</w:t>
      </w:r>
      <w:r w:rsidR="00EF5483">
        <w:t>2</w:t>
      </w:r>
      <w:r w:rsidR="00747A6C">
        <w:t>0</w:t>
      </w:r>
      <w:r w:rsidR="00FA6A05">
        <w:t> </w:t>
      </w:r>
      <w:r w:rsidR="00747A6C">
        <w:t>kt.</w:t>
      </w:r>
    </w:p>
    <w:tbl>
      <w:tblPr>
        <w:tblW w:w="6941" w:type="dxa"/>
        <w:jc w:val="center"/>
        <w:tblCellMar>
          <w:left w:w="70" w:type="dxa"/>
          <w:right w:w="70" w:type="dxa"/>
        </w:tblCellMar>
        <w:tblLook w:val="04A0" w:firstRow="1" w:lastRow="0" w:firstColumn="1" w:lastColumn="0" w:noHBand="0" w:noVBand="1"/>
      </w:tblPr>
      <w:tblGrid>
        <w:gridCol w:w="5534"/>
        <w:gridCol w:w="1407"/>
      </w:tblGrid>
      <w:tr w:rsidR="00747A6C" w:rsidRPr="00332453" w14:paraId="56A1346E" w14:textId="77777777" w:rsidTr="00747A6C">
        <w:trPr>
          <w:trHeight w:val="300"/>
          <w:jc w:val="center"/>
        </w:trPr>
        <w:tc>
          <w:tcPr>
            <w:tcW w:w="55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E47732F" w14:textId="6ABA9E43" w:rsidR="00747A6C" w:rsidRPr="00332453" w:rsidRDefault="00747A6C" w:rsidP="0034609D">
            <w:pPr>
              <w:spacing w:after="0" w:line="240" w:lineRule="auto"/>
              <w:jc w:val="left"/>
              <w:rPr>
                <w:rFonts w:eastAsia="Times New Roman" w:cs="Arial"/>
                <w:b/>
                <w:color w:val="000000"/>
                <w:sz w:val="20"/>
                <w:szCs w:val="20"/>
                <w:lang w:eastAsia="fr-FR"/>
              </w:rPr>
            </w:pPr>
            <w:r w:rsidRPr="00332453">
              <w:rPr>
                <w:rFonts w:eastAsia="Times New Roman" w:cs="Arial"/>
                <w:b/>
                <w:color w:val="000000"/>
                <w:sz w:val="20"/>
                <w:szCs w:val="20"/>
                <w:lang w:eastAsia="fr-FR"/>
              </w:rPr>
              <w:t xml:space="preserve">Total </w:t>
            </w:r>
            <w:r>
              <w:rPr>
                <w:rFonts w:eastAsia="Times New Roman" w:cs="Arial"/>
                <w:b/>
                <w:color w:val="000000"/>
                <w:sz w:val="20"/>
                <w:szCs w:val="20"/>
                <w:lang w:eastAsia="fr-FR"/>
              </w:rPr>
              <w:t>pour la transformation en charcuterie salaison</w:t>
            </w:r>
          </w:p>
        </w:tc>
        <w:tc>
          <w:tcPr>
            <w:tcW w:w="1407"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61AA10C" w14:textId="0A43AA0C" w:rsidR="00747A6C" w:rsidRPr="00332453" w:rsidRDefault="00747A6C" w:rsidP="0034609D">
            <w:pPr>
              <w:spacing w:after="0" w:line="240" w:lineRule="auto"/>
              <w:jc w:val="left"/>
              <w:rPr>
                <w:rFonts w:eastAsia="Times New Roman" w:cs="Arial"/>
                <w:b/>
                <w:color w:val="000000"/>
                <w:sz w:val="20"/>
                <w:szCs w:val="20"/>
                <w:lang w:eastAsia="fr-FR"/>
              </w:rPr>
            </w:pPr>
            <w:r>
              <w:rPr>
                <w:rFonts w:eastAsia="Times New Roman" w:cs="Arial"/>
                <w:b/>
                <w:color w:val="000000"/>
                <w:sz w:val="20"/>
                <w:szCs w:val="20"/>
                <w:lang w:eastAsia="fr-FR"/>
              </w:rPr>
              <w:t>Env 1220</w:t>
            </w:r>
          </w:p>
        </w:tc>
      </w:tr>
      <w:tr w:rsidR="00747A6C" w:rsidRPr="00332453" w14:paraId="486BD23C" w14:textId="77777777" w:rsidTr="00747A6C">
        <w:trPr>
          <w:trHeight w:val="300"/>
          <w:jc w:val="center"/>
        </w:trPr>
        <w:tc>
          <w:tcPr>
            <w:tcW w:w="55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1654F75" w14:textId="77777777" w:rsidR="00747A6C" w:rsidRPr="00332453" w:rsidRDefault="00747A6C" w:rsidP="0034609D">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Viande de porc brute</w:t>
            </w:r>
          </w:p>
        </w:tc>
        <w:tc>
          <w:tcPr>
            <w:tcW w:w="140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6A5F9C5" w14:textId="5E4CA604" w:rsidR="00747A6C" w:rsidRPr="00332453" w:rsidRDefault="00747A6C" w:rsidP="0034609D">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w:t>
            </w:r>
            <w:r w:rsidR="00DE6CC0">
              <w:rPr>
                <w:rFonts w:eastAsia="Times New Roman" w:cs="Arial"/>
                <w:color w:val="000000"/>
                <w:sz w:val="20"/>
                <w:szCs w:val="20"/>
                <w:lang w:eastAsia="fr-FR"/>
              </w:rPr>
              <w:t xml:space="preserve"> </w:t>
            </w:r>
            <w:r>
              <w:rPr>
                <w:rFonts w:eastAsia="Times New Roman" w:cs="Arial"/>
                <w:color w:val="000000"/>
                <w:sz w:val="20"/>
                <w:szCs w:val="20"/>
                <w:lang w:eastAsia="fr-FR"/>
              </w:rPr>
              <w:t>000</w:t>
            </w:r>
          </w:p>
        </w:tc>
      </w:tr>
      <w:tr w:rsidR="00747A6C" w:rsidRPr="00332453" w14:paraId="2F8679E8" w14:textId="77777777" w:rsidTr="00747A6C">
        <w:trPr>
          <w:trHeight w:val="300"/>
          <w:jc w:val="center"/>
        </w:trPr>
        <w:tc>
          <w:tcPr>
            <w:tcW w:w="553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B6D1AB4" w14:textId="77777777" w:rsidR="00747A6C" w:rsidRPr="00332453" w:rsidRDefault="00747A6C" w:rsidP="0034609D">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Graisses, lards saindoux</w:t>
            </w:r>
          </w:p>
        </w:tc>
        <w:tc>
          <w:tcPr>
            <w:tcW w:w="1407"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3A657E3" w14:textId="2CA29029" w:rsidR="00747A6C" w:rsidRPr="00332453" w:rsidRDefault="00747A6C" w:rsidP="0034609D">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125</w:t>
            </w:r>
          </w:p>
        </w:tc>
      </w:tr>
      <w:tr w:rsidR="00747A6C" w:rsidRPr="00332453" w14:paraId="103F0BC0" w14:textId="77777777" w:rsidTr="00747A6C">
        <w:trPr>
          <w:trHeight w:val="300"/>
          <w:jc w:val="center"/>
        </w:trPr>
        <w:tc>
          <w:tcPr>
            <w:tcW w:w="553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4FF75F9" w14:textId="77777777" w:rsidR="00747A6C" w:rsidRPr="00332453" w:rsidRDefault="00747A6C" w:rsidP="0034609D">
            <w:pPr>
              <w:spacing w:after="0" w:line="240" w:lineRule="auto"/>
              <w:jc w:val="left"/>
              <w:rPr>
                <w:rFonts w:eastAsia="Times New Roman" w:cs="Arial"/>
                <w:color w:val="000000"/>
                <w:sz w:val="20"/>
                <w:szCs w:val="20"/>
                <w:lang w:eastAsia="fr-FR"/>
              </w:rPr>
            </w:pPr>
            <w:r w:rsidRPr="00332453">
              <w:rPr>
                <w:rFonts w:eastAsia="Times New Roman" w:cs="Arial"/>
                <w:color w:val="000000"/>
                <w:sz w:val="20"/>
                <w:szCs w:val="20"/>
                <w:lang w:eastAsia="fr-FR"/>
              </w:rPr>
              <w:t xml:space="preserve">Abats dont foies </w:t>
            </w:r>
          </w:p>
        </w:tc>
        <w:tc>
          <w:tcPr>
            <w:tcW w:w="1407"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75DB03D" w14:textId="4B72FB1E" w:rsidR="00747A6C" w:rsidRPr="00332453" w:rsidRDefault="00747A6C" w:rsidP="0034609D">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96</w:t>
            </w:r>
          </w:p>
        </w:tc>
      </w:tr>
    </w:tbl>
    <w:p w14:paraId="50457B7E" w14:textId="7788957B" w:rsidR="001F4E37" w:rsidRPr="0002537E" w:rsidRDefault="00747A6C" w:rsidP="0002537E">
      <w:pPr>
        <w:pStyle w:val="figure"/>
        <w:rPr>
          <w:b w:val="0"/>
          <w:i/>
        </w:rPr>
      </w:pPr>
      <w:bookmarkStart w:id="285" w:name="_Toc72143406"/>
      <w:r w:rsidRPr="0002537E">
        <w:t xml:space="preserve">Tableau </w:t>
      </w:r>
      <w:r w:rsidR="00E27D6E">
        <w:fldChar w:fldCharType="begin"/>
      </w:r>
      <w:r w:rsidR="00E27D6E">
        <w:instrText xml:space="preserve"> SEQ Tableau \* ARABIC </w:instrText>
      </w:r>
      <w:r w:rsidR="00E27D6E">
        <w:fldChar w:fldCharType="separate"/>
      </w:r>
      <w:r w:rsidR="0007597F">
        <w:rPr>
          <w:i/>
          <w:noProof/>
        </w:rPr>
        <w:t>58</w:t>
      </w:r>
      <w:r w:rsidR="00E27D6E">
        <w:rPr>
          <w:i/>
          <w:noProof/>
        </w:rPr>
        <w:fldChar w:fldCharType="end"/>
      </w:r>
      <w:r w:rsidR="00D84E4D">
        <w:rPr>
          <w:i/>
        </w:rPr>
        <w:t xml:space="preserve"> : </w:t>
      </w:r>
      <w:r w:rsidRPr="0002537E">
        <w:t>Fraction des produits du porc en entrée activité 10.13.A. en kt en 2018</w:t>
      </w:r>
      <w:bookmarkEnd w:id="285"/>
    </w:p>
    <w:p w14:paraId="69C6ED91" w14:textId="13019737" w:rsidR="003A4B43" w:rsidRDefault="00EF5483" w:rsidP="003A4B43">
      <w:r>
        <w:t xml:space="preserve">Le solde disponible </w:t>
      </w:r>
      <w:r w:rsidRPr="006412DC">
        <w:rPr>
          <w:u w:val="single"/>
        </w:rPr>
        <w:t>vers le piéçage en découpes de viande sous la forme d’UVCI ou UVCM</w:t>
      </w:r>
      <w:r>
        <w:t xml:space="preserve"> pour l’ensemble des circuits du marché, est d’environ 8</w:t>
      </w:r>
      <w:r w:rsidR="00D87FA6">
        <w:t>2</w:t>
      </w:r>
      <w:r w:rsidR="00AD5A60">
        <w:t>0</w:t>
      </w:r>
      <w:r w:rsidR="00FA6A05">
        <w:t> </w:t>
      </w:r>
      <w:r>
        <w:t>kt.</w:t>
      </w:r>
      <w:r w:rsidR="009B3984">
        <w:t xml:space="preserve"> </w:t>
      </w:r>
      <w:r w:rsidR="00163B3E">
        <w:t xml:space="preserve">Ces éléments ont été corroborés au travers des enquêtes conduites. </w:t>
      </w:r>
    </w:p>
    <w:p w14:paraId="1DEB0C9C" w14:textId="5C6A7BC0" w:rsidR="00DE6CC0" w:rsidRDefault="00AF310A" w:rsidP="006B04C1">
      <w:pPr>
        <w:pStyle w:val="Titre4"/>
        <w:numPr>
          <w:ilvl w:val="3"/>
          <w:numId w:val="9"/>
        </w:numPr>
      </w:pPr>
      <w:bookmarkStart w:id="286" w:name="_Toc78131646"/>
      <w:r>
        <w:t xml:space="preserve">Disponible en </w:t>
      </w:r>
      <w:r w:rsidR="006412DC">
        <w:t xml:space="preserve">produits transformés en sortie d’activité de transformation en charcuterie salaison </w:t>
      </w:r>
      <w:r>
        <w:t>10.1</w:t>
      </w:r>
      <w:r w:rsidR="006412DC">
        <w:t>3</w:t>
      </w:r>
      <w:r>
        <w:t>.</w:t>
      </w:r>
      <w:r w:rsidR="006412DC">
        <w:t>A</w:t>
      </w:r>
      <w:r>
        <w:t xml:space="preserve"> (partie </w:t>
      </w:r>
      <w:r w:rsidR="006412DC">
        <w:t>2</w:t>
      </w:r>
      <w:r>
        <w:t>)</w:t>
      </w:r>
      <w:bookmarkEnd w:id="286"/>
    </w:p>
    <w:p w14:paraId="7A2591AC" w14:textId="7BE9E8E3" w:rsidR="00104F31" w:rsidRDefault="00104F31" w:rsidP="0034609D">
      <w:pPr>
        <w:pStyle w:val="Puce1"/>
        <w:tabs>
          <w:tab w:val="clear" w:pos="720"/>
        </w:tabs>
        <w:spacing w:after="120"/>
        <w:ind w:left="0" w:firstLine="0"/>
      </w:pPr>
      <w:r>
        <w:rPr>
          <w:lang w:val="fr-CA"/>
        </w:rPr>
        <w:t xml:space="preserve">A partir </w:t>
      </w:r>
      <w:r w:rsidR="00163B3E">
        <w:rPr>
          <w:lang w:val="fr-CA"/>
        </w:rPr>
        <w:t>des données statistiques</w:t>
      </w:r>
      <w:r>
        <w:rPr>
          <w:lang w:val="fr-CA"/>
        </w:rPr>
        <w:t xml:space="preserve"> PRODcom et tenant compte des importations et exportations</w:t>
      </w:r>
      <w:r w:rsidR="00163B3E">
        <w:rPr>
          <w:lang w:val="fr-CA"/>
        </w:rPr>
        <w:t>, le</w:t>
      </w:r>
      <w:r w:rsidR="0034609D">
        <w:t xml:space="preserve"> volume </w:t>
      </w:r>
      <w:r>
        <w:t xml:space="preserve">net </w:t>
      </w:r>
      <w:r w:rsidR="0034609D">
        <w:t>disponible</w:t>
      </w:r>
      <w:r>
        <w:t xml:space="preserve"> en produits finis de charcuterie salaison hors produits de volaille</w:t>
      </w:r>
      <w:r w:rsidR="0034609D">
        <w:t xml:space="preserve"> </w:t>
      </w:r>
      <w:r w:rsidR="00296906">
        <w:t xml:space="preserve">et inclus la saucisserie (fraîche et gros hachage) </w:t>
      </w:r>
      <w:r w:rsidR="0034609D">
        <w:t>est de 1</w:t>
      </w:r>
      <w:r w:rsidR="00FA6A05">
        <w:t> </w:t>
      </w:r>
      <w:r w:rsidR="0034609D">
        <w:t>11</w:t>
      </w:r>
      <w:r w:rsidR="00627786">
        <w:t>0</w:t>
      </w:r>
      <w:r w:rsidR="00FA6A05">
        <w:t> </w:t>
      </w:r>
      <w:r w:rsidR="0034609D">
        <w:t>kt</w:t>
      </w:r>
      <w:r>
        <w:t xml:space="preserve"> en donnée déclarative (Partie 1, paragraphe 2.2.5.5.). Après correction du taux de couverture statistique, le volume net disponible</w:t>
      </w:r>
      <w:r w:rsidR="00505BD7">
        <w:t xml:space="preserve"> de produits transformés</w:t>
      </w:r>
      <w:r>
        <w:t xml:space="preserve"> donne </w:t>
      </w:r>
      <w:r w:rsidR="00627786">
        <w:t xml:space="preserve">environ </w:t>
      </w:r>
      <w:r>
        <w:t>1</w:t>
      </w:r>
      <w:r w:rsidR="00FA6A05">
        <w:t> </w:t>
      </w:r>
      <w:r>
        <w:t>2</w:t>
      </w:r>
      <w:r w:rsidR="00627786">
        <w:t>60</w:t>
      </w:r>
      <w:r w:rsidR="00FA6A05">
        <w:t> </w:t>
      </w:r>
      <w:r>
        <w:t>kt.</w:t>
      </w:r>
    </w:p>
    <w:p w14:paraId="5FB115C7" w14:textId="7795B525" w:rsidR="00EE7FCE" w:rsidRDefault="00505BD7" w:rsidP="0034609D">
      <w:pPr>
        <w:pStyle w:val="Puce1"/>
        <w:tabs>
          <w:tab w:val="clear" w:pos="720"/>
        </w:tabs>
        <w:spacing w:after="120"/>
        <w:ind w:left="0" w:firstLine="0"/>
      </w:pPr>
      <w:r>
        <w:t>En parallèle de ces produits transformés</w:t>
      </w:r>
      <w:r w:rsidR="00EE7FCE">
        <w:t xml:space="preserve"> industriellement</w:t>
      </w:r>
      <w:r w:rsidR="00104F31">
        <w:t>, il faut tenir compte de la part</w:t>
      </w:r>
      <w:r>
        <w:t xml:space="preserve"> totale</w:t>
      </w:r>
      <w:r w:rsidR="00EE7FCE">
        <w:t xml:space="preserve"> de l’auto-fabrication des opérateurs de la distribution spécialisée. Celle-ci concerne plusieurs typologies d’acteurs soient</w:t>
      </w:r>
      <w:r w:rsidR="00FA6A05">
        <w:t> :</w:t>
      </w:r>
    </w:p>
    <w:p w14:paraId="0155A168" w14:textId="268AF4E2" w:rsidR="003E15A9" w:rsidRDefault="00391F94" w:rsidP="003E15A9">
      <w:pPr>
        <w:pStyle w:val="Puce1"/>
        <w:numPr>
          <w:ilvl w:val="0"/>
          <w:numId w:val="23"/>
        </w:numPr>
        <w:spacing w:after="120"/>
      </w:pPr>
      <w:r>
        <w:t>L</w:t>
      </w:r>
      <w:r w:rsidR="00104F31">
        <w:t xml:space="preserve">es artisans bouchers </w:t>
      </w:r>
      <w:r w:rsidR="00505BD7">
        <w:t>volaillers</w:t>
      </w:r>
      <w:r w:rsidR="005F43D2">
        <w:t xml:space="preserve"> et</w:t>
      </w:r>
      <w:r w:rsidR="00505BD7">
        <w:t xml:space="preserve"> </w:t>
      </w:r>
      <w:r w:rsidR="00EE7FCE">
        <w:t>l</w:t>
      </w:r>
      <w:r w:rsidR="00505BD7">
        <w:t xml:space="preserve">es </w:t>
      </w:r>
      <w:r w:rsidR="00104F31">
        <w:t>charcutiers traiteurs</w:t>
      </w:r>
      <w:r w:rsidR="00505BD7">
        <w:t xml:space="preserve"> pour lesquels l’activité de la charcuterie peut représenter environ 25</w:t>
      </w:r>
      <w:r w:rsidR="00FA6A05">
        <w:t> </w:t>
      </w:r>
      <w:r w:rsidR="00505BD7">
        <w:t xml:space="preserve">% du chiffres d’affaires ainsi que </w:t>
      </w:r>
      <w:r w:rsidR="00EE7FCE">
        <w:t>l</w:t>
      </w:r>
      <w:r w:rsidR="00505BD7">
        <w:t xml:space="preserve">es marchés et </w:t>
      </w:r>
      <w:r w:rsidR="003E15A9">
        <w:t>l</w:t>
      </w:r>
      <w:r w:rsidR="00505BD7">
        <w:t>es traiteurs pour lesquels l’activité</w:t>
      </w:r>
      <w:r w:rsidR="00EE7FCE">
        <w:t xml:space="preserve"> peut représenter une part plus importante</w:t>
      </w:r>
      <w:r w:rsidR="00505BD7">
        <w:t>. Une part de négoce de produits de charcuterie est</w:t>
      </w:r>
      <w:r w:rsidR="003E15A9">
        <w:t xml:space="preserve"> néanmoins</w:t>
      </w:r>
      <w:r w:rsidR="00505BD7">
        <w:t xml:space="preserve"> effectué</w:t>
      </w:r>
      <w:r w:rsidR="003E15A9">
        <w:t>e</w:t>
      </w:r>
      <w:r w:rsidR="00505BD7">
        <w:t xml:space="preserve"> auprès des transformateurs de la charcuterie salaison</w:t>
      </w:r>
      <w:r w:rsidR="005F43D2">
        <w:t xml:space="preserve"> qui reste majoritaire soit estimée à un peu plus de 50</w:t>
      </w:r>
      <w:r w:rsidR="00FA6A05">
        <w:t> </w:t>
      </w:r>
      <w:r w:rsidR="005F43D2">
        <w:t xml:space="preserve">%. </w:t>
      </w:r>
    </w:p>
    <w:p w14:paraId="0896B750" w14:textId="61F726E1" w:rsidR="003E15A9" w:rsidRDefault="003E15A9" w:rsidP="003E15A9">
      <w:pPr>
        <w:pStyle w:val="Puce1"/>
        <w:numPr>
          <w:ilvl w:val="0"/>
          <w:numId w:val="23"/>
        </w:numPr>
        <w:spacing w:after="120"/>
      </w:pPr>
      <w:r>
        <w:t xml:space="preserve">Sont également concernés une part des opérateurs en circuits courts, les spécialistes du frais qui sont la plupart du temps adossés à des laboratoires de transformation de type artisanal. </w:t>
      </w:r>
    </w:p>
    <w:p w14:paraId="79C69315" w14:textId="2B164796" w:rsidR="00EE7FCE" w:rsidRDefault="003E15A9" w:rsidP="000015C3">
      <w:r>
        <w:t xml:space="preserve">Selon Kantar, les </w:t>
      </w:r>
      <w:r w:rsidR="005F43D2">
        <w:t xml:space="preserve">circuits </w:t>
      </w:r>
      <w:r>
        <w:t>spécialis</w:t>
      </w:r>
      <w:r w:rsidR="005F43D2">
        <w:t>é</w:t>
      </w:r>
      <w:r>
        <w:t xml:space="preserve">s </w:t>
      </w:r>
      <w:r w:rsidR="000015C3">
        <w:t>représentent</w:t>
      </w:r>
      <w:r>
        <w:t xml:space="preserve"> </w:t>
      </w:r>
      <w:r w:rsidR="005F43D2">
        <w:t xml:space="preserve">en 2018 </w:t>
      </w:r>
      <w:r>
        <w:t xml:space="preserve">en charcuterie </w:t>
      </w:r>
      <w:r w:rsidR="005F43D2">
        <w:t xml:space="preserve">(hors salaison) </w:t>
      </w:r>
      <w:r>
        <w:t xml:space="preserve">un peu plus de </w:t>
      </w:r>
      <w:r w:rsidRPr="00391F94">
        <w:t>1</w:t>
      </w:r>
      <w:r w:rsidR="0015670E" w:rsidRPr="00391F94">
        <w:t>1</w:t>
      </w:r>
      <w:r w:rsidR="00FA6A05">
        <w:t> </w:t>
      </w:r>
      <w:r w:rsidRPr="00391F94">
        <w:t>%</w:t>
      </w:r>
      <w:r w:rsidR="005F43D2">
        <w:t xml:space="preserve"> dont 6,6</w:t>
      </w:r>
      <w:r w:rsidR="00FA6A05">
        <w:t> </w:t>
      </w:r>
      <w:r w:rsidR="005F43D2">
        <w:t>% pour les réseaux traditionnels. I</w:t>
      </w:r>
      <w:r w:rsidR="00505BD7">
        <w:t xml:space="preserve">l est possible de considérer que la part d’auto-fabrication de produits de charcuterie pèse environ </w:t>
      </w:r>
      <w:r w:rsidR="00837F23">
        <w:t>4</w:t>
      </w:r>
      <w:r w:rsidR="00FA6A05">
        <w:t> </w:t>
      </w:r>
      <w:r w:rsidR="00505BD7">
        <w:t xml:space="preserve">% du total produit soit une estimation de </w:t>
      </w:r>
      <w:r w:rsidR="00EE7FCE">
        <w:t xml:space="preserve">d’environ </w:t>
      </w:r>
      <w:r w:rsidR="00837F23">
        <w:t>50</w:t>
      </w:r>
      <w:r w:rsidR="00FA6A05">
        <w:t> </w:t>
      </w:r>
      <w:r w:rsidR="00EE7FCE">
        <w:t>kt.</w:t>
      </w:r>
      <w:r w:rsidR="000015C3">
        <w:t xml:space="preserve"> </w:t>
      </w:r>
      <w:r w:rsidR="00EE7FCE">
        <w:t>L’auto-fabrication ne concerne pas les produits de salaison compte tenu des contraintes d’équipement et de normes sanita</w:t>
      </w:r>
      <w:r w:rsidR="000015C3">
        <w:t>i</w:t>
      </w:r>
      <w:r w:rsidR="00EE7FCE">
        <w:t>res</w:t>
      </w:r>
      <w:r w:rsidR="000015C3">
        <w:t xml:space="preserve"> en vigueur</w:t>
      </w:r>
      <w:r w:rsidR="00EE7FCE">
        <w:t>, mais les produits de charcuterie frais ou en conserve tels que les pâtés, terrines, les rillettes, les sau</w:t>
      </w:r>
      <w:r w:rsidR="000015C3">
        <w:t>cissons.</w:t>
      </w:r>
    </w:p>
    <w:p w14:paraId="2B4E041D" w14:textId="1968EDE1" w:rsidR="00381F7F" w:rsidRDefault="00EE7FCE" w:rsidP="00E7342E">
      <w:pPr>
        <w:spacing w:after="0"/>
      </w:pPr>
      <w:r>
        <w:lastRenderedPageBreak/>
        <w:t xml:space="preserve">Le </w:t>
      </w:r>
      <w:r w:rsidRPr="00EE7FCE">
        <w:t xml:space="preserve">total consolidé des </w:t>
      </w:r>
      <w:r w:rsidRPr="00EE7FCE">
        <w:rPr>
          <w:u w:val="single"/>
        </w:rPr>
        <w:t>produits de charcuterie salaison</w:t>
      </w:r>
      <w:r w:rsidRPr="00EE7FCE">
        <w:t xml:space="preserve"> </w:t>
      </w:r>
      <w:r>
        <w:t>fabriqué</w:t>
      </w:r>
      <w:r w:rsidRPr="00EE7FCE">
        <w:t xml:space="preserve"> est évalué à </w:t>
      </w:r>
      <w:r w:rsidRPr="005F43D2">
        <w:rPr>
          <w:u w:val="single"/>
        </w:rPr>
        <w:t>1</w:t>
      </w:r>
      <w:r w:rsidR="00FA6A05">
        <w:rPr>
          <w:u w:val="single"/>
        </w:rPr>
        <w:t> </w:t>
      </w:r>
      <w:r w:rsidRPr="005F43D2">
        <w:rPr>
          <w:u w:val="single"/>
        </w:rPr>
        <w:t>3</w:t>
      </w:r>
      <w:r w:rsidR="00837F23">
        <w:rPr>
          <w:u w:val="single"/>
        </w:rPr>
        <w:t>1</w:t>
      </w:r>
      <w:r w:rsidRPr="005F43D2">
        <w:rPr>
          <w:u w:val="single"/>
        </w:rPr>
        <w:t>0</w:t>
      </w:r>
      <w:r w:rsidR="00FA6A05">
        <w:rPr>
          <w:u w:val="single"/>
        </w:rPr>
        <w:t> </w:t>
      </w:r>
      <w:r w:rsidRPr="005F43D2">
        <w:rPr>
          <w:u w:val="single"/>
        </w:rPr>
        <w:t>kt</w:t>
      </w:r>
      <w:r w:rsidR="001671F2">
        <w:t>, saucisserie fraîche et gros hachage inclus</w:t>
      </w:r>
      <w:r w:rsidR="00296906">
        <w:t xml:space="preserve"> soit 141</w:t>
      </w:r>
      <w:r w:rsidR="00FA6A05">
        <w:t> </w:t>
      </w:r>
      <w:r w:rsidR="00296906">
        <w:t xml:space="preserve">kt. </w:t>
      </w:r>
    </w:p>
    <w:p w14:paraId="5360D6A3" w14:textId="127B5F5A" w:rsidR="006B04C1" w:rsidRDefault="00296906" w:rsidP="006B04C1">
      <w:r>
        <w:t xml:space="preserve">Cette même fraction </w:t>
      </w:r>
      <w:r w:rsidR="00283CCD" w:rsidRPr="00283CCD">
        <w:rPr>
          <w:u w:val="single"/>
        </w:rPr>
        <w:t>en de</w:t>
      </w:r>
      <w:r w:rsidRPr="00283CCD">
        <w:rPr>
          <w:u w:val="single"/>
        </w:rPr>
        <w:t>hors</w:t>
      </w:r>
      <w:r w:rsidR="00283CCD">
        <w:rPr>
          <w:u w:val="single"/>
        </w:rPr>
        <w:t xml:space="preserve"> de la</w:t>
      </w:r>
      <w:r w:rsidRPr="00381F7F">
        <w:rPr>
          <w:u w:val="single"/>
        </w:rPr>
        <w:t xml:space="preserve"> saucisserie</w:t>
      </w:r>
      <w:r w:rsidR="00E7342E">
        <w:rPr>
          <w:u w:val="single"/>
        </w:rPr>
        <w:t>,</w:t>
      </w:r>
      <w:r w:rsidRPr="00381F7F">
        <w:rPr>
          <w:u w:val="single"/>
        </w:rPr>
        <w:t xml:space="preserve"> donne environ 1</w:t>
      </w:r>
      <w:r w:rsidR="00FA6A05">
        <w:rPr>
          <w:u w:val="single"/>
        </w:rPr>
        <w:t> </w:t>
      </w:r>
      <w:r w:rsidRPr="00381F7F">
        <w:rPr>
          <w:u w:val="single"/>
        </w:rPr>
        <w:t>170</w:t>
      </w:r>
      <w:r w:rsidR="00FA6A05">
        <w:rPr>
          <w:u w:val="single"/>
        </w:rPr>
        <w:t> </w:t>
      </w:r>
      <w:r w:rsidRPr="00381F7F">
        <w:rPr>
          <w:u w:val="single"/>
        </w:rPr>
        <w:t>kt</w:t>
      </w:r>
      <w:r>
        <w:t>.</w:t>
      </w:r>
    </w:p>
    <w:p w14:paraId="59CC91BF" w14:textId="370F68FC" w:rsidR="00104F31" w:rsidRDefault="006B04C1" w:rsidP="00261243">
      <w:pPr>
        <w:pStyle w:val="Titre4"/>
      </w:pPr>
      <w:bookmarkStart w:id="287" w:name="_Toc78131647"/>
      <w:r>
        <w:t>3.</w:t>
      </w:r>
      <w:r w:rsidR="00FD0CA3">
        <w:t>2</w:t>
      </w:r>
      <w:r>
        <w:t>.</w:t>
      </w:r>
      <w:r w:rsidR="0002537E">
        <w:t>1</w:t>
      </w:r>
      <w:r>
        <w:t xml:space="preserve">.4. </w:t>
      </w:r>
      <w:r w:rsidR="004270EA">
        <w:t>Destination des produits transformés en sortie d’activité 10.1</w:t>
      </w:r>
      <w:r w:rsidR="003A4B43">
        <w:t>3</w:t>
      </w:r>
      <w:r w:rsidR="004270EA">
        <w:t>.</w:t>
      </w:r>
      <w:r w:rsidR="003A4B43">
        <w:t>A</w:t>
      </w:r>
      <w:r w:rsidR="004270EA">
        <w:t xml:space="preserve"> (partie </w:t>
      </w:r>
      <w:r w:rsidR="003A4B43">
        <w:t>3</w:t>
      </w:r>
      <w:r w:rsidR="004270EA">
        <w:t>)</w:t>
      </w:r>
      <w:bookmarkEnd w:id="287"/>
    </w:p>
    <w:p w14:paraId="3293F594" w14:textId="192A8D61" w:rsidR="003A4B43" w:rsidRDefault="00391F94" w:rsidP="003A4B43">
      <w:pPr>
        <w:pStyle w:val="Puce1"/>
        <w:tabs>
          <w:tab w:val="clear" w:pos="720"/>
        </w:tabs>
        <w:spacing w:before="0"/>
        <w:ind w:left="0" w:firstLine="0"/>
      </w:pPr>
      <w:r>
        <w:t>Les produits de charcuterie salaisons ont 3 principaux types de débouchés que s</w:t>
      </w:r>
      <w:r w:rsidR="003A4B43">
        <w:t xml:space="preserve">ont </w:t>
      </w:r>
    </w:p>
    <w:p w14:paraId="51800528" w14:textId="6F780E9A" w:rsidR="003A4B43" w:rsidRDefault="003A4B43" w:rsidP="003A4B43">
      <w:pPr>
        <w:pStyle w:val="Puce1"/>
        <w:numPr>
          <w:ilvl w:val="0"/>
          <w:numId w:val="23"/>
        </w:numPr>
        <w:spacing w:before="0"/>
      </w:pPr>
      <w:r>
        <w:t>Les circuits de distribution de la consommation à domicile,</w:t>
      </w:r>
    </w:p>
    <w:p w14:paraId="2CAB45E8" w14:textId="6B93A76A" w:rsidR="003A4B43" w:rsidRDefault="003A4B43" w:rsidP="003A4B43">
      <w:pPr>
        <w:pStyle w:val="Puce1"/>
        <w:numPr>
          <w:ilvl w:val="0"/>
          <w:numId w:val="23"/>
        </w:numPr>
        <w:spacing w:before="0"/>
      </w:pPr>
      <w:r>
        <w:t>Les circuits de la consommation hors domicile parmi lesquels il est possible d’intégrer les circuits de vente alternatifs,</w:t>
      </w:r>
    </w:p>
    <w:p w14:paraId="41E09D7F" w14:textId="752313A1" w:rsidR="003A4B43" w:rsidRDefault="003A4B43" w:rsidP="003A4B43">
      <w:pPr>
        <w:pStyle w:val="Puce1"/>
        <w:numPr>
          <w:ilvl w:val="0"/>
          <w:numId w:val="23"/>
        </w:numPr>
        <w:spacing w:before="0"/>
      </w:pPr>
      <w:r>
        <w:t xml:space="preserve">Et </w:t>
      </w:r>
      <w:r w:rsidR="00AD447E">
        <w:t>l</w:t>
      </w:r>
      <w:r>
        <w:t>es marchés du traiteur dans lesquels les produits sont absorbés sous la forme de PAI.</w:t>
      </w:r>
    </w:p>
    <w:p w14:paraId="78C23D35" w14:textId="579836A3" w:rsidR="004270EA" w:rsidRDefault="00AD447E" w:rsidP="004270EA">
      <w:pPr>
        <w:pStyle w:val="Puce1"/>
        <w:tabs>
          <w:tab w:val="clear" w:pos="720"/>
        </w:tabs>
        <w:spacing w:after="120"/>
        <w:ind w:left="0" w:firstLine="0"/>
      </w:pPr>
      <w:r>
        <w:t>A partir de données d’enquête consolidées croisées avec les données de panel, les segments de marchés ont été évalués par segment comme suit (</w:t>
      </w:r>
      <w:r w:rsidR="00A4116A" w:rsidRPr="00FA6A05">
        <w:fldChar w:fldCharType="begin"/>
      </w:r>
      <w:r w:rsidR="00A4116A" w:rsidRPr="00FA6A05">
        <w:instrText xml:space="preserve"> REF _Ref69731822 \h </w:instrText>
      </w:r>
      <w:r w:rsidR="00FA6A05" w:rsidRPr="00FA6A05">
        <w:instrText xml:space="preserve"> \* MERGEFORMAT </w:instrText>
      </w:r>
      <w:r w:rsidR="00A4116A" w:rsidRPr="00FA6A05">
        <w:fldChar w:fldCharType="separate"/>
      </w:r>
      <w:r w:rsidR="0007597F" w:rsidRPr="00FA6A05">
        <w:t xml:space="preserve">Tableau </w:t>
      </w:r>
      <w:r w:rsidR="0007597F" w:rsidRPr="00FA6A05">
        <w:rPr>
          <w:i/>
          <w:noProof/>
        </w:rPr>
        <w:t>59</w:t>
      </w:r>
      <w:r w:rsidR="00A4116A" w:rsidRPr="00FA6A05">
        <w:fldChar w:fldCharType="end"/>
      </w:r>
      <w:r>
        <w:t>).</w:t>
      </w:r>
    </w:p>
    <w:tbl>
      <w:tblPr>
        <w:tblW w:w="7820" w:type="dxa"/>
        <w:jc w:val="center"/>
        <w:tblCellMar>
          <w:left w:w="70" w:type="dxa"/>
          <w:right w:w="70" w:type="dxa"/>
        </w:tblCellMar>
        <w:tblLook w:val="04A0" w:firstRow="1" w:lastRow="0" w:firstColumn="1" w:lastColumn="0" w:noHBand="0" w:noVBand="1"/>
      </w:tblPr>
      <w:tblGrid>
        <w:gridCol w:w="4673"/>
        <w:gridCol w:w="1427"/>
        <w:gridCol w:w="1720"/>
      </w:tblGrid>
      <w:tr w:rsidR="006C77C3" w:rsidRPr="006C77C3" w14:paraId="34A31A16"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1EBC100"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C58114A"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Vol en kt</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99C1A20" w14:textId="5BB90651"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Ventilation en %</w:t>
            </w:r>
          </w:p>
        </w:tc>
      </w:tr>
      <w:tr w:rsidR="006C77C3" w:rsidRPr="006C77C3" w14:paraId="7248C9D6"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702C9D60" w14:textId="7148FABE"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Total Charcuterie Salaison </w:t>
            </w:r>
            <w:r w:rsidR="00A4116A">
              <w:rPr>
                <w:rFonts w:eastAsia="Times New Roman" w:cs="Arial"/>
                <w:b/>
                <w:bCs/>
                <w:color w:val="000000"/>
                <w:sz w:val="20"/>
                <w:szCs w:val="20"/>
                <w:lang w:eastAsia="fr-FR"/>
              </w:rPr>
              <w:t>(*)</w:t>
            </w:r>
          </w:p>
        </w:tc>
        <w:tc>
          <w:tcPr>
            <w:tcW w:w="1427" w:type="dxa"/>
            <w:tcBorders>
              <w:top w:val="nil"/>
              <w:left w:val="nil"/>
              <w:bottom w:val="single" w:sz="4" w:space="0" w:color="auto"/>
              <w:right w:val="single" w:sz="4" w:space="0" w:color="auto"/>
            </w:tcBorders>
            <w:shd w:val="clear" w:color="auto" w:fill="auto"/>
            <w:noWrap/>
            <w:vAlign w:val="center"/>
            <w:hideMark/>
          </w:tcPr>
          <w:p w14:paraId="7A9E4E7A" w14:textId="769C0D59"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1 103</w:t>
            </w:r>
          </w:p>
        </w:tc>
        <w:tc>
          <w:tcPr>
            <w:tcW w:w="1720" w:type="dxa"/>
            <w:tcBorders>
              <w:top w:val="nil"/>
              <w:left w:val="nil"/>
              <w:bottom w:val="single" w:sz="4" w:space="0" w:color="auto"/>
              <w:right w:val="single" w:sz="4" w:space="0" w:color="auto"/>
            </w:tcBorders>
            <w:shd w:val="clear" w:color="auto" w:fill="auto"/>
            <w:noWrap/>
            <w:vAlign w:val="center"/>
            <w:hideMark/>
          </w:tcPr>
          <w:p w14:paraId="2635A006" w14:textId="64343C59" w:rsidR="006C77C3" w:rsidRPr="006C77C3" w:rsidRDefault="006C77C3" w:rsidP="00A4116A">
            <w:pPr>
              <w:spacing w:after="0" w:line="240" w:lineRule="auto"/>
              <w:jc w:val="left"/>
              <w:rPr>
                <w:rFonts w:eastAsia="Times New Roman" w:cs="Arial"/>
                <w:color w:val="000000"/>
                <w:sz w:val="20"/>
                <w:szCs w:val="20"/>
                <w:lang w:eastAsia="fr-FR"/>
              </w:rPr>
            </w:pPr>
          </w:p>
        </w:tc>
      </w:tr>
      <w:tr w:rsidR="006C77C3" w:rsidRPr="006C77C3" w14:paraId="6DABE435"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D7417C4"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Dont Consommation A domicile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9C0B251"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870</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0858780"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79%</w:t>
            </w:r>
          </w:p>
        </w:tc>
      </w:tr>
      <w:tr w:rsidR="006C77C3" w:rsidRPr="006C77C3" w14:paraId="49103863"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765EB39F"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charcuterie </w:t>
            </w:r>
          </w:p>
        </w:tc>
        <w:tc>
          <w:tcPr>
            <w:tcW w:w="1427" w:type="dxa"/>
            <w:tcBorders>
              <w:top w:val="nil"/>
              <w:left w:val="nil"/>
              <w:bottom w:val="single" w:sz="4" w:space="0" w:color="auto"/>
              <w:right w:val="single" w:sz="4" w:space="0" w:color="auto"/>
            </w:tcBorders>
            <w:shd w:val="clear" w:color="auto" w:fill="auto"/>
            <w:noWrap/>
            <w:vAlign w:val="center"/>
            <w:hideMark/>
          </w:tcPr>
          <w:p w14:paraId="2A1DCA08"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580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C64B4"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67%</w:t>
            </w:r>
          </w:p>
        </w:tc>
      </w:tr>
      <w:tr w:rsidR="006C77C3" w:rsidRPr="006C77C3" w14:paraId="410DBA5E"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E50167E"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salaison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17BA229"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290</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F08D62F"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33%</w:t>
            </w:r>
          </w:p>
        </w:tc>
      </w:tr>
      <w:tr w:rsidR="006C77C3" w:rsidRPr="006C77C3" w14:paraId="15E9C84F"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46B37433" w14:textId="2B4DD564"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Dont produits libre</w:t>
            </w:r>
            <w:r w:rsidR="00A4116A">
              <w:rPr>
                <w:rFonts w:eastAsia="Times New Roman" w:cs="Arial"/>
                <w:color w:val="000000"/>
                <w:sz w:val="20"/>
                <w:szCs w:val="20"/>
                <w:lang w:eastAsia="fr-FR"/>
              </w:rPr>
              <w:t>-</w:t>
            </w:r>
            <w:r w:rsidRPr="006C77C3">
              <w:rPr>
                <w:rFonts w:eastAsia="Times New Roman" w:cs="Arial"/>
                <w:color w:val="000000"/>
                <w:sz w:val="20"/>
                <w:szCs w:val="20"/>
                <w:lang w:eastAsia="fr-FR"/>
              </w:rPr>
              <w:t xml:space="preserve">service </w:t>
            </w:r>
          </w:p>
        </w:tc>
        <w:tc>
          <w:tcPr>
            <w:tcW w:w="1427" w:type="dxa"/>
            <w:tcBorders>
              <w:top w:val="nil"/>
              <w:left w:val="nil"/>
              <w:bottom w:val="single" w:sz="4" w:space="0" w:color="auto"/>
              <w:right w:val="single" w:sz="4" w:space="0" w:color="auto"/>
            </w:tcBorders>
            <w:shd w:val="clear" w:color="auto" w:fill="auto"/>
            <w:noWrap/>
            <w:vAlign w:val="center"/>
            <w:hideMark/>
          </w:tcPr>
          <w:p w14:paraId="6D7DB060"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242</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E449A4"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28%</w:t>
            </w:r>
          </w:p>
        </w:tc>
      </w:tr>
      <w:tr w:rsidR="006C77C3" w:rsidRPr="006C77C3" w14:paraId="22A377AE"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4B64D39"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produits Coupe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BD6B56"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628</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DCB7DBD"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72%</w:t>
            </w:r>
          </w:p>
        </w:tc>
      </w:tr>
      <w:tr w:rsidR="006C77C3" w:rsidRPr="006C77C3" w14:paraId="5AFBE735"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743314A4" w14:textId="21294193"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Dont Consommation Hors domicile </w:t>
            </w:r>
            <w:r w:rsidR="006D16FA">
              <w:rPr>
                <w:rFonts w:eastAsia="Times New Roman" w:cs="Arial"/>
                <w:b/>
                <w:bCs/>
                <w:color w:val="000000"/>
                <w:sz w:val="20"/>
                <w:szCs w:val="20"/>
                <w:lang w:eastAsia="fr-FR"/>
              </w:rPr>
              <w:t>dont CVA</w:t>
            </w:r>
          </w:p>
        </w:tc>
        <w:tc>
          <w:tcPr>
            <w:tcW w:w="1427" w:type="dxa"/>
            <w:tcBorders>
              <w:top w:val="nil"/>
              <w:left w:val="nil"/>
              <w:bottom w:val="single" w:sz="4" w:space="0" w:color="auto"/>
              <w:right w:val="single" w:sz="4" w:space="0" w:color="auto"/>
            </w:tcBorders>
            <w:shd w:val="clear" w:color="auto" w:fill="auto"/>
            <w:noWrap/>
            <w:vAlign w:val="center"/>
            <w:hideMark/>
          </w:tcPr>
          <w:p w14:paraId="66ABCDE3"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160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067679"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15%</w:t>
            </w:r>
          </w:p>
        </w:tc>
      </w:tr>
      <w:tr w:rsidR="006C77C3" w:rsidRPr="006C77C3" w14:paraId="1E88C94C" w14:textId="77777777" w:rsidTr="00A4116A">
        <w:trPr>
          <w:trHeight w:val="300"/>
          <w:jc w:val="center"/>
        </w:trPr>
        <w:tc>
          <w:tcPr>
            <w:tcW w:w="467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CE1C1A3"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charcuterie </w:t>
            </w:r>
          </w:p>
        </w:tc>
        <w:tc>
          <w:tcPr>
            <w:tcW w:w="1427"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BCE3479" w14:textId="42FC03E4" w:rsidR="006C77C3" w:rsidRPr="006C77C3" w:rsidRDefault="006C77C3" w:rsidP="00A4116A">
            <w:pPr>
              <w:spacing w:after="0" w:line="240" w:lineRule="auto"/>
              <w:jc w:val="right"/>
              <w:rPr>
                <w:rFonts w:eastAsia="Times New Roman" w:cs="Arial"/>
                <w:color w:val="000000"/>
                <w:sz w:val="20"/>
                <w:szCs w:val="20"/>
                <w:highlight w:val="yellow"/>
                <w:lang w:eastAsia="fr-FR"/>
              </w:rPr>
            </w:pP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0BFF0E1" w14:textId="592E0856" w:rsidR="006C77C3" w:rsidRPr="006C77C3" w:rsidRDefault="006C77C3" w:rsidP="00A4116A">
            <w:pPr>
              <w:spacing w:after="0" w:line="240" w:lineRule="auto"/>
              <w:jc w:val="right"/>
              <w:rPr>
                <w:rFonts w:eastAsia="Times New Roman" w:cs="Arial"/>
                <w:color w:val="000000"/>
                <w:sz w:val="20"/>
                <w:szCs w:val="20"/>
                <w:highlight w:val="yellow"/>
                <w:lang w:eastAsia="fr-FR"/>
              </w:rPr>
            </w:pPr>
          </w:p>
        </w:tc>
      </w:tr>
      <w:tr w:rsidR="006C77C3" w:rsidRPr="006C77C3" w14:paraId="1B139726"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009F2F1F" w14:textId="77777777" w:rsidR="006C77C3" w:rsidRPr="006C77C3" w:rsidRDefault="006C77C3" w:rsidP="00A4116A">
            <w:pPr>
              <w:spacing w:after="0" w:line="240" w:lineRule="auto"/>
              <w:jc w:val="right"/>
              <w:rPr>
                <w:rFonts w:eastAsia="Times New Roman" w:cs="Arial"/>
                <w:color w:val="000000"/>
                <w:sz w:val="20"/>
                <w:szCs w:val="20"/>
                <w:lang w:eastAsia="fr-FR"/>
              </w:rPr>
            </w:pPr>
            <w:r w:rsidRPr="006C77C3">
              <w:rPr>
                <w:rFonts w:eastAsia="Times New Roman" w:cs="Arial"/>
                <w:color w:val="000000"/>
                <w:sz w:val="20"/>
                <w:szCs w:val="20"/>
                <w:lang w:eastAsia="fr-FR"/>
              </w:rPr>
              <w:t xml:space="preserve">Dont salaison </w:t>
            </w:r>
          </w:p>
        </w:tc>
        <w:tc>
          <w:tcPr>
            <w:tcW w:w="1427" w:type="dxa"/>
            <w:tcBorders>
              <w:top w:val="nil"/>
              <w:left w:val="nil"/>
              <w:bottom w:val="single" w:sz="4" w:space="0" w:color="auto"/>
              <w:right w:val="single" w:sz="4" w:space="0" w:color="auto"/>
            </w:tcBorders>
            <w:shd w:val="clear" w:color="auto" w:fill="auto"/>
            <w:noWrap/>
            <w:vAlign w:val="center"/>
            <w:hideMark/>
          </w:tcPr>
          <w:p w14:paraId="75DF68D0" w14:textId="5602A228" w:rsidR="006C77C3" w:rsidRPr="006C77C3" w:rsidRDefault="006C77C3" w:rsidP="00A4116A">
            <w:pPr>
              <w:spacing w:after="0" w:line="240" w:lineRule="auto"/>
              <w:jc w:val="right"/>
              <w:rPr>
                <w:rFonts w:eastAsia="Times New Roman" w:cs="Arial"/>
                <w:color w:val="000000"/>
                <w:sz w:val="20"/>
                <w:szCs w:val="20"/>
                <w:highlight w:val="yellow"/>
                <w:lang w:eastAsia="fr-FR"/>
              </w:rPr>
            </w:pPr>
          </w:p>
        </w:tc>
        <w:tc>
          <w:tcPr>
            <w:tcW w:w="1720" w:type="dxa"/>
            <w:tcBorders>
              <w:top w:val="nil"/>
              <w:left w:val="nil"/>
              <w:bottom w:val="single" w:sz="4" w:space="0" w:color="auto"/>
              <w:right w:val="single" w:sz="4" w:space="0" w:color="auto"/>
            </w:tcBorders>
            <w:shd w:val="clear" w:color="auto" w:fill="auto"/>
            <w:noWrap/>
            <w:vAlign w:val="center"/>
            <w:hideMark/>
          </w:tcPr>
          <w:p w14:paraId="16C4E861" w14:textId="3E13CD58" w:rsidR="006C77C3" w:rsidRPr="006C77C3" w:rsidRDefault="006C77C3" w:rsidP="00A4116A">
            <w:pPr>
              <w:spacing w:after="0" w:line="240" w:lineRule="auto"/>
              <w:jc w:val="right"/>
              <w:rPr>
                <w:rFonts w:eastAsia="Times New Roman" w:cs="Arial"/>
                <w:color w:val="000000"/>
                <w:sz w:val="20"/>
                <w:szCs w:val="20"/>
                <w:highlight w:val="yellow"/>
                <w:lang w:eastAsia="fr-FR"/>
              </w:rPr>
            </w:pPr>
          </w:p>
        </w:tc>
      </w:tr>
      <w:tr w:rsidR="006C77C3" w:rsidRPr="006C77C3" w14:paraId="0E983DE0" w14:textId="77777777" w:rsidTr="00A4116A">
        <w:trPr>
          <w:trHeight w:val="300"/>
          <w:jc w:val="center"/>
        </w:trPr>
        <w:tc>
          <w:tcPr>
            <w:tcW w:w="4673" w:type="dxa"/>
            <w:tcBorders>
              <w:top w:val="nil"/>
              <w:left w:val="single" w:sz="4" w:space="0" w:color="auto"/>
              <w:bottom w:val="single" w:sz="4" w:space="0" w:color="auto"/>
              <w:right w:val="single" w:sz="4" w:space="0" w:color="auto"/>
            </w:tcBorders>
            <w:shd w:val="clear" w:color="D9D9D9" w:fill="D9D9D9"/>
            <w:noWrap/>
            <w:vAlign w:val="center"/>
            <w:hideMark/>
          </w:tcPr>
          <w:p w14:paraId="599A5256" w14:textId="5A729F6E"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Dont PAI à destination du traiteur </w:t>
            </w:r>
            <w:r w:rsidR="003F0463">
              <w:rPr>
                <w:rFonts w:eastAsia="Times New Roman" w:cs="Arial"/>
                <w:b/>
                <w:bCs/>
                <w:color w:val="000000"/>
                <w:sz w:val="20"/>
                <w:szCs w:val="20"/>
                <w:lang w:eastAsia="fr-FR"/>
              </w:rPr>
              <w:t>(**)</w:t>
            </w:r>
          </w:p>
        </w:tc>
        <w:tc>
          <w:tcPr>
            <w:tcW w:w="1427" w:type="dxa"/>
            <w:tcBorders>
              <w:top w:val="nil"/>
              <w:left w:val="nil"/>
              <w:bottom w:val="single" w:sz="4" w:space="0" w:color="auto"/>
              <w:right w:val="single" w:sz="4" w:space="0" w:color="auto"/>
            </w:tcBorders>
            <w:shd w:val="clear" w:color="D9D9D9" w:fill="D9D9D9"/>
            <w:noWrap/>
            <w:vAlign w:val="center"/>
            <w:hideMark/>
          </w:tcPr>
          <w:p w14:paraId="10559CAA"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70</w:t>
            </w:r>
          </w:p>
        </w:tc>
        <w:tc>
          <w:tcPr>
            <w:tcW w:w="1720" w:type="dxa"/>
            <w:tcBorders>
              <w:top w:val="nil"/>
              <w:left w:val="nil"/>
              <w:bottom w:val="single" w:sz="4" w:space="0" w:color="auto"/>
              <w:right w:val="single" w:sz="4" w:space="0" w:color="auto"/>
            </w:tcBorders>
            <w:shd w:val="clear" w:color="D9D9D9" w:fill="D9D9D9"/>
            <w:noWrap/>
            <w:vAlign w:val="center"/>
            <w:hideMark/>
          </w:tcPr>
          <w:p w14:paraId="3F67DD0E"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6%</w:t>
            </w:r>
          </w:p>
        </w:tc>
      </w:tr>
      <w:tr w:rsidR="006C77C3" w:rsidRPr="006C77C3" w14:paraId="232F813F" w14:textId="77777777" w:rsidTr="00A4116A">
        <w:trPr>
          <w:trHeight w:val="339"/>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14:paraId="018A8169"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 xml:space="preserve">Dont PAI à destination charcuterie de volaille </w:t>
            </w:r>
          </w:p>
        </w:tc>
        <w:tc>
          <w:tcPr>
            <w:tcW w:w="1427" w:type="dxa"/>
            <w:tcBorders>
              <w:top w:val="nil"/>
              <w:left w:val="nil"/>
              <w:bottom w:val="single" w:sz="4" w:space="0" w:color="auto"/>
              <w:right w:val="single" w:sz="4" w:space="0" w:color="auto"/>
            </w:tcBorders>
            <w:shd w:val="clear" w:color="auto" w:fill="auto"/>
            <w:noWrap/>
            <w:vAlign w:val="center"/>
            <w:hideMark/>
          </w:tcPr>
          <w:p w14:paraId="3993541D"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3</w:t>
            </w:r>
          </w:p>
        </w:tc>
        <w:tc>
          <w:tcPr>
            <w:tcW w:w="1720" w:type="dxa"/>
            <w:tcBorders>
              <w:top w:val="nil"/>
              <w:left w:val="nil"/>
              <w:bottom w:val="single" w:sz="4" w:space="0" w:color="auto"/>
              <w:right w:val="single" w:sz="4" w:space="0" w:color="auto"/>
            </w:tcBorders>
            <w:shd w:val="clear" w:color="auto" w:fill="auto"/>
            <w:noWrap/>
            <w:vAlign w:val="center"/>
            <w:hideMark/>
          </w:tcPr>
          <w:p w14:paraId="640EB480" w14:textId="77777777" w:rsidR="006C77C3" w:rsidRPr="006C77C3" w:rsidRDefault="006C77C3" w:rsidP="00A4116A">
            <w:pPr>
              <w:spacing w:after="0" w:line="240" w:lineRule="auto"/>
              <w:jc w:val="left"/>
              <w:rPr>
                <w:rFonts w:eastAsia="Times New Roman" w:cs="Arial"/>
                <w:b/>
                <w:bCs/>
                <w:color w:val="000000"/>
                <w:sz w:val="20"/>
                <w:szCs w:val="20"/>
                <w:lang w:eastAsia="fr-FR"/>
              </w:rPr>
            </w:pPr>
            <w:r w:rsidRPr="006C77C3">
              <w:rPr>
                <w:rFonts w:eastAsia="Times New Roman" w:cs="Arial"/>
                <w:b/>
                <w:bCs/>
                <w:color w:val="000000"/>
                <w:sz w:val="20"/>
                <w:szCs w:val="20"/>
                <w:lang w:eastAsia="fr-FR"/>
              </w:rPr>
              <w:t>0,3%</w:t>
            </w:r>
          </w:p>
        </w:tc>
      </w:tr>
    </w:tbl>
    <w:p w14:paraId="534AB1BA" w14:textId="09751723" w:rsidR="00746C7C" w:rsidRDefault="00A4116A" w:rsidP="00C205A7">
      <w:pPr>
        <w:pStyle w:val="Lgende"/>
        <w:spacing w:after="0"/>
        <w:rPr>
          <w:b/>
          <w:i w:val="0"/>
        </w:rPr>
      </w:pPr>
      <w:bookmarkStart w:id="288" w:name="_Ref69730870"/>
      <w:r w:rsidRPr="007F1007">
        <w:t>(*) Hors charcuterie de volaille et hors saucisserie</w:t>
      </w:r>
      <w:r w:rsidR="003F0463" w:rsidRPr="007F1007">
        <w:t> ; (**) Inclus la fraction de farce crue intégrée dans certaines préparations de charcuterie pâtissière</w:t>
      </w:r>
      <w:bookmarkStart w:id="289" w:name="_Ref69731822"/>
    </w:p>
    <w:p w14:paraId="122951BF" w14:textId="556E97D6" w:rsidR="00AD447E" w:rsidRPr="0002537E" w:rsidRDefault="00A4116A" w:rsidP="0002537E">
      <w:pPr>
        <w:pStyle w:val="figure"/>
        <w:rPr>
          <w:i/>
        </w:rPr>
      </w:pPr>
      <w:bookmarkStart w:id="290" w:name="_Toc72143407"/>
      <w:r w:rsidRPr="00926407">
        <w:t xml:space="preserve">Tableau </w:t>
      </w:r>
      <w:r w:rsidR="00E27D6E">
        <w:fldChar w:fldCharType="begin"/>
      </w:r>
      <w:r w:rsidR="00E27D6E">
        <w:instrText xml:space="preserve"> SEQ Tableau \* ARABIC </w:instrText>
      </w:r>
      <w:r w:rsidR="00E27D6E">
        <w:fldChar w:fldCharType="separate"/>
      </w:r>
      <w:r w:rsidR="0007597F">
        <w:rPr>
          <w:i/>
          <w:noProof/>
        </w:rPr>
        <w:t>59</w:t>
      </w:r>
      <w:r w:rsidR="00E27D6E">
        <w:rPr>
          <w:i/>
          <w:noProof/>
        </w:rPr>
        <w:fldChar w:fldCharType="end"/>
      </w:r>
      <w:bookmarkEnd w:id="289"/>
      <w:r w:rsidR="00D84E4D">
        <w:t xml:space="preserve"> : </w:t>
      </w:r>
      <w:r w:rsidRPr="00926407">
        <w:t>Marchés de consommation de la charcuterie salaison</w:t>
      </w:r>
      <w:r w:rsidR="006C77C3" w:rsidRPr="00D54EC4">
        <w:t xml:space="preserve"> en kt en 2018</w:t>
      </w:r>
      <w:bookmarkEnd w:id="288"/>
      <w:bookmarkEnd w:id="290"/>
    </w:p>
    <w:p w14:paraId="53BA6186" w14:textId="0109EDAC" w:rsidR="00A4116A" w:rsidRDefault="00A4116A" w:rsidP="0002537E">
      <w:pPr>
        <w:spacing w:before="120" w:after="0"/>
        <w:rPr>
          <w:lang w:eastAsia="fr-FR"/>
        </w:rPr>
      </w:pPr>
      <w:r>
        <w:rPr>
          <w:lang w:eastAsia="fr-FR"/>
        </w:rPr>
        <w:t>La consommation à domicile en charcuterie et salaison hors saucisserie</w:t>
      </w:r>
      <w:r w:rsidR="00E7342E">
        <w:rPr>
          <w:lang w:eastAsia="fr-FR"/>
        </w:rPr>
        <w:t>,</w:t>
      </w:r>
      <w:r>
        <w:rPr>
          <w:lang w:eastAsia="fr-FR"/>
        </w:rPr>
        <w:t xml:space="preserve"> </w:t>
      </w:r>
      <w:r w:rsidR="00D87FA6">
        <w:rPr>
          <w:lang w:eastAsia="fr-FR"/>
        </w:rPr>
        <w:t xml:space="preserve">est de loin le premier circuit avec </w:t>
      </w:r>
      <w:r>
        <w:rPr>
          <w:lang w:eastAsia="fr-FR"/>
        </w:rPr>
        <w:t>79</w:t>
      </w:r>
      <w:r w:rsidR="007339CB">
        <w:rPr>
          <w:lang w:eastAsia="fr-FR"/>
        </w:rPr>
        <w:t> </w:t>
      </w:r>
      <w:r>
        <w:rPr>
          <w:lang w:eastAsia="fr-FR"/>
        </w:rPr>
        <w:t>% du marché</w:t>
      </w:r>
      <w:r w:rsidR="00D87FA6">
        <w:rPr>
          <w:lang w:eastAsia="fr-FR"/>
        </w:rPr>
        <w:t>, les 21</w:t>
      </w:r>
      <w:r w:rsidR="007339CB">
        <w:rPr>
          <w:lang w:eastAsia="fr-FR"/>
        </w:rPr>
        <w:t> </w:t>
      </w:r>
      <w:r w:rsidR="00D87FA6">
        <w:rPr>
          <w:lang w:eastAsia="fr-FR"/>
        </w:rPr>
        <w:t xml:space="preserve">% restant s’articulent entre </w:t>
      </w:r>
      <w:r w:rsidR="00E7342E">
        <w:rPr>
          <w:lang w:eastAsia="fr-FR"/>
        </w:rPr>
        <w:t xml:space="preserve">la </w:t>
      </w:r>
      <w:r w:rsidR="00D87FA6">
        <w:rPr>
          <w:lang w:eastAsia="fr-FR"/>
        </w:rPr>
        <w:t>consommation hors domicile et</w:t>
      </w:r>
      <w:r w:rsidR="00E7342E">
        <w:rPr>
          <w:lang w:eastAsia="fr-FR"/>
        </w:rPr>
        <w:t xml:space="preserve"> le circuit des produits traiteurs</w:t>
      </w:r>
      <w:r w:rsidR="005176A1">
        <w:rPr>
          <w:lang w:eastAsia="fr-FR"/>
        </w:rPr>
        <w:t xml:space="preserve"> sous la forme de PAI</w:t>
      </w:r>
      <w:r w:rsidR="005176A1">
        <w:rPr>
          <w:rStyle w:val="Appelnotedebasdep"/>
          <w:lang w:eastAsia="fr-FR"/>
        </w:rPr>
        <w:footnoteReference w:id="13"/>
      </w:r>
      <w:r>
        <w:rPr>
          <w:lang w:eastAsia="fr-FR"/>
        </w:rPr>
        <w:t>.</w:t>
      </w:r>
    </w:p>
    <w:p w14:paraId="2F87F47B" w14:textId="043BB582" w:rsidR="00A4116A" w:rsidRDefault="00A4116A" w:rsidP="009A7857">
      <w:pPr>
        <w:pStyle w:val="Titre4"/>
        <w:numPr>
          <w:ilvl w:val="3"/>
          <w:numId w:val="33"/>
        </w:numPr>
      </w:pPr>
      <w:bookmarkStart w:id="291" w:name="_Toc78131648"/>
      <w:r>
        <w:t>Destination par marché des produits transformés en sortie d’activité 10.11.Z</w:t>
      </w:r>
      <w:r w:rsidR="003F0463">
        <w:t xml:space="preserve"> et saucisserie</w:t>
      </w:r>
      <w:r>
        <w:t xml:space="preserve"> (partie 3</w:t>
      </w:r>
      <w:r w:rsidR="003F0463">
        <w:t>)</w:t>
      </w:r>
      <w:bookmarkEnd w:id="291"/>
    </w:p>
    <w:p w14:paraId="765A0F5F" w14:textId="28471DA0" w:rsidR="007C7B6A" w:rsidRDefault="00D87FA6" w:rsidP="00AD447E">
      <w:r w:rsidRPr="00113A93">
        <w:t>Le total disponible</w:t>
      </w:r>
      <w:r w:rsidR="007C7B6A">
        <w:t xml:space="preserve"> théorique</w:t>
      </w:r>
      <w:r w:rsidRPr="00113A93">
        <w:t xml:space="preserve"> en viande pièce est de 820</w:t>
      </w:r>
      <w:r w:rsidR="007339CB">
        <w:t> </w:t>
      </w:r>
      <w:r w:rsidRPr="00113A93">
        <w:t>kt pour l’année 2018</w:t>
      </w:r>
      <w:r w:rsidR="00E7342E" w:rsidRPr="00113A93">
        <w:t>.</w:t>
      </w:r>
      <w:r w:rsidR="00B97EC6" w:rsidRPr="00113A93">
        <w:t xml:space="preserve"> </w:t>
      </w:r>
    </w:p>
    <w:p w14:paraId="675DD5EC" w14:textId="2EE081D0" w:rsidR="007C7B6A" w:rsidRDefault="00C56E13" w:rsidP="00AD447E">
      <w:r w:rsidRPr="00113A93">
        <w:t xml:space="preserve">Le retour d’enquête permet d’évaluer </w:t>
      </w:r>
      <w:r w:rsidR="00C517A4" w:rsidRPr="00113A93">
        <w:t xml:space="preserve">les marchés de destination de la viande </w:t>
      </w:r>
      <w:r w:rsidR="007C7B6A">
        <w:t>pour une consolidation à hauteur de 600</w:t>
      </w:r>
      <w:r w:rsidR="007339CB">
        <w:t> </w:t>
      </w:r>
      <w:r w:rsidR="007C7B6A">
        <w:t xml:space="preserve">kt environ </w:t>
      </w:r>
      <w:r w:rsidR="00D672F4" w:rsidRPr="00113A93">
        <w:t>avec</w:t>
      </w:r>
      <w:r w:rsidR="007C7B6A">
        <w:t xml:space="preserve"> environ</w:t>
      </w:r>
      <w:r w:rsidR="00D672F4" w:rsidRPr="00113A93">
        <w:t xml:space="preserve"> </w:t>
      </w:r>
      <w:r w:rsidR="007C7B6A">
        <w:t>87</w:t>
      </w:r>
      <w:r w:rsidR="007339CB">
        <w:t> </w:t>
      </w:r>
      <w:r w:rsidR="00D672F4" w:rsidRPr="00113A93">
        <w:t xml:space="preserve">% des volumes </w:t>
      </w:r>
      <w:r w:rsidR="00C56712" w:rsidRPr="00113A93">
        <w:t>à destination de</w:t>
      </w:r>
      <w:r w:rsidR="0030360F" w:rsidRPr="00113A93">
        <w:t xml:space="preserve"> la consommation à domicile</w:t>
      </w:r>
      <w:r w:rsidR="00D672F4" w:rsidRPr="00113A93">
        <w:t xml:space="preserve"> devant la restauration hors domicile</w:t>
      </w:r>
      <w:r w:rsidR="00C56712" w:rsidRPr="00113A93">
        <w:t xml:space="preserve"> soit 1</w:t>
      </w:r>
      <w:r w:rsidR="007C7B6A">
        <w:t>3</w:t>
      </w:r>
      <w:r w:rsidR="007339CB">
        <w:t> </w:t>
      </w:r>
      <w:r w:rsidR="00C56712" w:rsidRPr="00113A93">
        <w:t>%</w:t>
      </w:r>
      <w:r w:rsidR="007C7B6A">
        <w:t>.</w:t>
      </w:r>
      <w:r w:rsidR="007D32DD" w:rsidRPr="00113A93">
        <w:t xml:space="preserve"> </w:t>
      </w:r>
      <w:r w:rsidR="007C7B6A">
        <w:t>Potentiellement, on peut supposer que les volumes de viande et saucisserie absorbés par la restauration hors domicile sont relativement sous</w:t>
      </w:r>
      <w:r w:rsidR="007339CB">
        <w:t>-</w:t>
      </w:r>
      <w:r w:rsidR="007C7B6A">
        <w:t xml:space="preserve">estimés en particulier sur le volet saucisserie compte tenu de l’atomisation des opérateurs. </w:t>
      </w:r>
    </w:p>
    <w:p w14:paraId="10ED2DC9" w14:textId="4FDBB545" w:rsidR="00E36B29" w:rsidRDefault="00747659" w:rsidP="00AD447E">
      <w:pPr>
        <w:rPr>
          <w:lang w:eastAsia="fr-FR"/>
        </w:rPr>
      </w:pPr>
      <w:r w:rsidRPr="00113A93">
        <w:t xml:space="preserve">Par ailleurs, </w:t>
      </w:r>
      <w:r w:rsidR="00880DE0" w:rsidRPr="00113A93">
        <w:t>les opérations de piéçage et de découpe</w:t>
      </w:r>
      <w:r w:rsidRPr="00113A93">
        <w:t xml:space="preserve"> effectuées par</w:t>
      </w:r>
      <w:r w:rsidR="00880DE0" w:rsidRPr="00113A93">
        <w:t xml:space="preserve"> des découpeurs, des laboratoires de grande surface alimentaire ou encore des artisans bouchers charcutiers, génèrent des pertes à la découpe</w:t>
      </w:r>
      <w:r w:rsidRPr="00113A93">
        <w:t>. Ceux-ci font l’objet</w:t>
      </w:r>
      <w:r w:rsidR="00880DE0" w:rsidRPr="00113A93">
        <w:t xml:space="preserve"> </w:t>
      </w:r>
      <w:r w:rsidRPr="00113A93">
        <w:t>d’</w:t>
      </w:r>
      <w:r w:rsidR="00880DE0" w:rsidRPr="00113A93">
        <w:t>écarts importants qui varient s</w:t>
      </w:r>
      <w:r w:rsidR="0085693C" w:rsidRPr="00113A93">
        <w:t>uivant</w:t>
      </w:r>
      <w:r w:rsidR="00880DE0" w:rsidRPr="00113A93">
        <w:t xml:space="preserve"> le type de préparation et de pièce découpée </w:t>
      </w:r>
      <w:r w:rsidR="00F85883" w:rsidRPr="00113A93">
        <w:t>(de 5 à 18</w:t>
      </w:r>
      <w:r w:rsidR="007339CB">
        <w:t> </w:t>
      </w:r>
      <w:r w:rsidR="00F85883" w:rsidRPr="00113A93">
        <w:t xml:space="preserve">%) </w:t>
      </w:r>
      <w:r w:rsidR="0085693C" w:rsidRPr="00113A93">
        <w:t>selon les données à</w:t>
      </w:r>
      <w:r w:rsidR="00880DE0" w:rsidRPr="00113A93">
        <w:t xml:space="preserve"> dire d’expert. Ces </w:t>
      </w:r>
      <w:r w:rsidR="00E3500A" w:rsidRPr="00113A93">
        <w:t>coproduits de découpe</w:t>
      </w:r>
      <w:r w:rsidR="00880DE0" w:rsidRPr="00113A93">
        <w:t xml:space="preserve"> ne seraient pas </w:t>
      </w:r>
      <w:r w:rsidR="00E3500A" w:rsidRPr="00113A93">
        <w:t>t</w:t>
      </w:r>
      <w:r w:rsidR="009D7F75" w:rsidRPr="00113A93">
        <w:t>oujours</w:t>
      </w:r>
      <w:r w:rsidR="00880DE0" w:rsidRPr="00113A93">
        <w:t xml:space="preserve"> </w:t>
      </w:r>
      <w:r w:rsidR="00E3500A" w:rsidRPr="00113A93">
        <w:t>suivis</w:t>
      </w:r>
      <w:r w:rsidR="00880DE0" w:rsidRPr="00113A93">
        <w:t xml:space="preserve"> </w:t>
      </w:r>
      <w:r w:rsidR="009D7F75" w:rsidRPr="00113A93">
        <w:t xml:space="preserve">précisément </w:t>
      </w:r>
      <w:r w:rsidR="00880DE0" w:rsidRPr="00113A93">
        <w:t>par les professionnels mais ont fait l’objet</w:t>
      </w:r>
      <w:r w:rsidR="00880DE0">
        <w:rPr>
          <w:lang w:eastAsia="fr-FR"/>
        </w:rPr>
        <w:t xml:space="preserve"> </w:t>
      </w:r>
      <w:r w:rsidR="00880DE0" w:rsidRPr="00113A93">
        <w:t>d’une évaluatio</w:t>
      </w:r>
      <w:r w:rsidR="0043233C" w:rsidRPr="00113A93">
        <w:t>n. Une partie</w:t>
      </w:r>
      <w:r w:rsidR="006F519D" w:rsidRPr="00113A93">
        <w:t xml:space="preserve"> </w:t>
      </w:r>
      <w:r w:rsidR="009D7F75" w:rsidRPr="00113A93">
        <w:t>est destinée</w:t>
      </w:r>
      <w:r w:rsidR="006F519D" w:rsidRPr="00113A93">
        <w:t xml:space="preserve"> </w:t>
      </w:r>
      <w:r w:rsidR="009D7F75" w:rsidRPr="00113A93">
        <w:t>au</w:t>
      </w:r>
      <w:r w:rsidR="00A43B62" w:rsidRPr="00113A93">
        <w:t xml:space="preserve"> réemploi dans la catégorie saucisserie</w:t>
      </w:r>
      <w:r w:rsidR="00C426A7" w:rsidRPr="00113A93">
        <w:t xml:space="preserve"> mais</w:t>
      </w:r>
      <w:r w:rsidR="00A43B62" w:rsidRPr="00113A93">
        <w:t xml:space="preserve"> plus </w:t>
      </w:r>
      <w:r w:rsidR="00A43B62" w:rsidRPr="00113A93">
        <w:lastRenderedPageBreak/>
        <w:t>généralement</w:t>
      </w:r>
      <w:r w:rsidR="00121BD1" w:rsidRPr="00113A93">
        <w:t>,</w:t>
      </w:r>
      <w:r w:rsidR="00A43B62" w:rsidRPr="00113A93">
        <w:t xml:space="preserve"> </w:t>
      </w:r>
      <w:r w:rsidR="00121BD1" w:rsidRPr="00113A93">
        <w:t>est</w:t>
      </w:r>
      <w:r w:rsidR="00A43B62" w:rsidRPr="00113A93">
        <w:t xml:space="preserve"> incorporé</w:t>
      </w:r>
      <w:r w:rsidR="006F519D" w:rsidRPr="00113A93">
        <w:t>e</w:t>
      </w:r>
      <w:r w:rsidR="00A43B62" w:rsidRPr="00113A93">
        <w:t xml:space="preserve"> dans des produits de mélange</w:t>
      </w:r>
      <w:r w:rsidR="00B16E88" w:rsidRPr="00113A93">
        <w:t xml:space="preserve"> de charcuterie</w:t>
      </w:r>
      <w:r w:rsidR="00281AD9" w:rsidRPr="00113A93">
        <w:t xml:space="preserve"> </w:t>
      </w:r>
      <w:r w:rsidR="002A2A69" w:rsidRPr="00113A93">
        <w:t>notamment de type pâtés et terrines</w:t>
      </w:r>
      <w:r w:rsidR="00051F9E" w:rsidRPr="00113A93">
        <w:t xml:space="preserve">. </w:t>
      </w:r>
      <w:r w:rsidR="00606B0B" w:rsidRPr="00113A93">
        <w:t xml:space="preserve">La part de réemploi pourrait atteindre </w:t>
      </w:r>
      <w:r w:rsidR="00281AD9" w:rsidRPr="00113A93">
        <w:t>entre 50 et 80</w:t>
      </w:r>
      <w:r w:rsidR="007339CB">
        <w:t> </w:t>
      </w:r>
      <w:r w:rsidR="00281AD9" w:rsidRPr="00113A93">
        <w:t>kt.</w:t>
      </w:r>
    </w:p>
    <w:p w14:paraId="4F3BB073" w14:textId="276C5BC5" w:rsidR="007C7B6A" w:rsidRDefault="007C7B6A" w:rsidP="0002537E">
      <w:pPr>
        <w:spacing w:after="0"/>
      </w:pPr>
    </w:p>
    <w:tbl>
      <w:tblPr>
        <w:tblW w:w="7680" w:type="dxa"/>
        <w:jc w:val="center"/>
        <w:tblCellMar>
          <w:left w:w="70" w:type="dxa"/>
          <w:right w:w="70" w:type="dxa"/>
        </w:tblCellMar>
        <w:tblLook w:val="04A0" w:firstRow="1" w:lastRow="0" w:firstColumn="1" w:lastColumn="0" w:noHBand="0" w:noVBand="1"/>
      </w:tblPr>
      <w:tblGrid>
        <w:gridCol w:w="4480"/>
        <w:gridCol w:w="1480"/>
        <w:gridCol w:w="1720"/>
      </w:tblGrid>
      <w:tr w:rsidR="00E36B29" w:rsidRPr="00E36B29" w14:paraId="7E02EF7A" w14:textId="77777777" w:rsidTr="00260368">
        <w:trPr>
          <w:trHeight w:val="300"/>
          <w:jc w:val="center"/>
        </w:trPr>
        <w:tc>
          <w:tcPr>
            <w:tcW w:w="4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31C88F49" w14:textId="77777777" w:rsidR="00E36B29" w:rsidRPr="0002537E" w:rsidRDefault="00E36B29" w:rsidP="00260368">
            <w:pPr>
              <w:rPr>
                <w:sz w:val="20"/>
                <w:szCs w:val="20"/>
                <w:lang w:eastAsia="fr-FR"/>
              </w:rPr>
            </w:pPr>
            <w:r w:rsidRPr="0002537E">
              <w:rPr>
                <w:sz w:val="20"/>
                <w:szCs w:val="20"/>
                <w:lang w:eastAsia="fr-FR"/>
              </w:rPr>
              <w:t> </w:t>
            </w:r>
          </w:p>
        </w:tc>
        <w:tc>
          <w:tcPr>
            <w:tcW w:w="1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62DC094" w14:textId="77777777" w:rsidR="00E36B29" w:rsidRPr="0002537E" w:rsidRDefault="00E36B29" w:rsidP="00260368">
            <w:pPr>
              <w:rPr>
                <w:sz w:val="20"/>
                <w:szCs w:val="20"/>
                <w:lang w:eastAsia="fr-FR"/>
              </w:rPr>
            </w:pPr>
            <w:r w:rsidRPr="0002537E">
              <w:rPr>
                <w:sz w:val="20"/>
                <w:szCs w:val="20"/>
                <w:lang w:eastAsia="fr-FR"/>
              </w:rPr>
              <w:t>Vol en kt</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441DE88" w14:textId="77777777" w:rsidR="00E36B29" w:rsidRPr="0002537E" w:rsidRDefault="00E36B29" w:rsidP="00260368">
            <w:pPr>
              <w:rPr>
                <w:sz w:val="20"/>
                <w:szCs w:val="20"/>
                <w:lang w:eastAsia="fr-FR"/>
              </w:rPr>
            </w:pPr>
            <w:r w:rsidRPr="0002537E">
              <w:rPr>
                <w:sz w:val="20"/>
                <w:szCs w:val="20"/>
                <w:lang w:eastAsia="fr-FR"/>
              </w:rPr>
              <w:t xml:space="preserve">Ventilation en % </w:t>
            </w:r>
          </w:p>
        </w:tc>
      </w:tr>
      <w:tr w:rsidR="00E36B29" w:rsidRPr="00E36B29" w14:paraId="440E643E" w14:textId="77777777" w:rsidTr="00260368">
        <w:trPr>
          <w:trHeight w:val="276"/>
          <w:jc w:val="center"/>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51AA26FC" w14:textId="77777777" w:rsidR="00E36B29" w:rsidRPr="0002537E" w:rsidRDefault="00E36B29" w:rsidP="00260368">
            <w:pPr>
              <w:rPr>
                <w:sz w:val="20"/>
                <w:szCs w:val="20"/>
                <w:lang w:eastAsia="fr-FR"/>
              </w:rPr>
            </w:pPr>
            <w:r w:rsidRPr="0002537E">
              <w:rPr>
                <w:sz w:val="20"/>
                <w:szCs w:val="20"/>
                <w:lang w:eastAsia="fr-FR"/>
              </w:rPr>
              <w:t>Total Viandes de porc disponible</w:t>
            </w:r>
          </w:p>
        </w:tc>
        <w:tc>
          <w:tcPr>
            <w:tcW w:w="1480" w:type="dxa"/>
            <w:tcBorders>
              <w:top w:val="nil"/>
              <w:left w:val="nil"/>
              <w:bottom w:val="single" w:sz="4" w:space="0" w:color="auto"/>
              <w:right w:val="single" w:sz="4" w:space="0" w:color="auto"/>
            </w:tcBorders>
            <w:shd w:val="clear" w:color="auto" w:fill="auto"/>
            <w:noWrap/>
            <w:vAlign w:val="bottom"/>
            <w:hideMark/>
          </w:tcPr>
          <w:p w14:paraId="07A68192" w14:textId="62C03053" w:rsidR="00E36B29" w:rsidRPr="0002537E" w:rsidRDefault="007C7B6A" w:rsidP="00260368">
            <w:pPr>
              <w:rPr>
                <w:sz w:val="20"/>
                <w:szCs w:val="20"/>
                <w:lang w:eastAsia="fr-FR"/>
              </w:rPr>
            </w:pPr>
            <w:r>
              <w:rPr>
                <w:sz w:val="20"/>
                <w:szCs w:val="20"/>
                <w:lang w:eastAsia="fr-FR"/>
              </w:rPr>
              <w:t>690</w:t>
            </w:r>
          </w:p>
        </w:tc>
        <w:tc>
          <w:tcPr>
            <w:tcW w:w="1720" w:type="dxa"/>
            <w:tcBorders>
              <w:top w:val="nil"/>
              <w:left w:val="nil"/>
              <w:bottom w:val="single" w:sz="4" w:space="0" w:color="auto"/>
              <w:right w:val="single" w:sz="4" w:space="0" w:color="auto"/>
            </w:tcBorders>
            <w:shd w:val="clear" w:color="auto" w:fill="auto"/>
            <w:noWrap/>
            <w:vAlign w:val="bottom"/>
            <w:hideMark/>
          </w:tcPr>
          <w:p w14:paraId="19C5605C" w14:textId="77777777" w:rsidR="00E36B29" w:rsidRPr="0002537E" w:rsidRDefault="00E36B29" w:rsidP="00260368">
            <w:pPr>
              <w:rPr>
                <w:sz w:val="20"/>
                <w:szCs w:val="20"/>
                <w:lang w:eastAsia="fr-FR"/>
              </w:rPr>
            </w:pPr>
            <w:r w:rsidRPr="0002537E">
              <w:rPr>
                <w:sz w:val="20"/>
                <w:szCs w:val="20"/>
                <w:lang w:eastAsia="fr-FR"/>
              </w:rPr>
              <w:t>100%</w:t>
            </w:r>
          </w:p>
        </w:tc>
      </w:tr>
      <w:tr w:rsidR="00E36B29" w:rsidRPr="00E36B29" w14:paraId="20C40281" w14:textId="77777777" w:rsidTr="00260368">
        <w:trPr>
          <w:trHeight w:val="300"/>
          <w:jc w:val="center"/>
        </w:trPr>
        <w:tc>
          <w:tcPr>
            <w:tcW w:w="4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728688D" w14:textId="77777777" w:rsidR="00E36B29" w:rsidRPr="0002537E" w:rsidRDefault="00E36B29" w:rsidP="00260368">
            <w:pPr>
              <w:rPr>
                <w:sz w:val="20"/>
                <w:szCs w:val="20"/>
                <w:lang w:eastAsia="fr-FR"/>
              </w:rPr>
            </w:pPr>
            <w:r w:rsidRPr="0002537E">
              <w:rPr>
                <w:sz w:val="20"/>
                <w:szCs w:val="20"/>
                <w:lang w:eastAsia="fr-FR"/>
              </w:rPr>
              <w:t xml:space="preserve">Dont Consommation A domicile </w:t>
            </w:r>
          </w:p>
        </w:tc>
        <w:tc>
          <w:tcPr>
            <w:tcW w:w="1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643FD4BE" w14:textId="77777777" w:rsidR="00E36B29" w:rsidRPr="0002537E" w:rsidRDefault="00E36B29" w:rsidP="00260368">
            <w:pPr>
              <w:rPr>
                <w:sz w:val="20"/>
                <w:szCs w:val="20"/>
                <w:lang w:eastAsia="fr-FR"/>
              </w:rPr>
            </w:pPr>
            <w:r w:rsidRPr="0002537E">
              <w:rPr>
                <w:sz w:val="20"/>
                <w:szCs w:val="20"/>
                <w:lang w:eastAsia="fr-FR"/>
              </w:rPr>
              <w:t>600</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7FD17009" w14:textId="4AA22AB9" w:rsidR="00E36B29" w:rsidRPr="0002537E" w:rsidRDefault="007C7B6A" w:rsidP="00260368">
            <w:pPr>
              <w:rPr>
                <w:sz w:val="20"/>
                <w:szCs w:val="20"/>
                <w:lang w:eastAsia="fr-FR"/>
              </w:rPr>
            </w:pPr>
            <w:r>
              <w:rPr>
                <w:sz w:val="20"/>
                <w:szCs w:val="20"/>
                <w:lang w:eastAsia="fr-FR"/>
              </w:rPr>
              <w:t>87</w:t>
            </w:r>
            <w:r w:rsidR="00E36B29" w:rsidRPr="0002537E">
              <w:rPr>
                <w:sz w:val="20"/>
                <w:szCs w:val="20"/>
                <w:lang w:eastAsia="fr-FR"/>
              </w:rPr>
              <w:t>%</w:t>
            </w:r>
          </w:p>
        </w:tc>
      </w:tr>
      <w:tr w:rsidR="00E36B29" w:rsidRPr="00E36B29" w14:paraId="21FA1C93" w14:textId="77777777" w:rsidTr="00260368">
        <w:trPr>
          <w:trHeight w:val="300"/>
          <w:jc w:val="center"/>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1AA0E4CF" w14:textId="77777777" w:rsidR="00E36B29" w:rsidRPr="0002537E" w:rsidRDefault="00E36B29" w:rsidP="0002537E">
            <w:pPr>
              <w:jc w:val="right"/>
              <w:rPr>
                <w:i/>
                <w:sz w:val="20"/>
                <w:szCs w:val="20"/>
                <w:lang w:eastAsia="fr-FR"/>
              </w:rPr>
            </w:pPr>
            <w:r w:rsidRPr="0002537E">
              <w:rPr>
                <w:i/>
                <w:sz w:val="20"/>
                <w:szCs w:val="20"/>
                <w:lang w:eastAsia="fr-FR"/>
              </w:rPr>
              <w:t>Dont viande de porc</w:t>
            </w:r>
          </w:p>
        </w:tc>
        <w:tc>
          <w:tcPr>
            <w:tcW w:w="1480" w:type="dxa"/>
            <w:tcBorders>
              <w:top w:val="nil"/>
              <w:left w:val="nil"/>
              <w:bottom w:val="single" w:sz="4" w:space="0" w:color="auto"/>
              <w:right w:val="single" w:sz="4" w:space="0" w:color="auto"/>
            </w:tcBorders>
            <w:shd w:val="clear" w:color="auto" w:fill="auto"/>
            <w:noWrap/>
            <w:vAlign w:val="bottom"/>
            <w:hideMark/>
          </w:tcPr>
          <w:p w14:paraId="297699CA" w14:textId="77777777" w:rsidR="00E36B29" w:rsidRPr="0002537E" w:rsidRDefault="00E36B29" w:rsidP="0002537E">
            <w:pPr>
              <w:jc w:val="right"/>
              <w:rPr>
                <w:i/>
                <w:sz w:val="20"/>
                <w:szCs w:val="20"/>
                <w:lang w:eastAsia="fr-FR"/>
              </w:rPr>
            </w:pPr>
            <w:r w:rsidRPr="0002537E">
              <w:rPr>
                <w:i/>
                <w:sz w:val="20"/>
                <w:szCs w:val="20"/>
                <w:lang w:eastAsia="fr-FR"/>
              </w:rPr>
              <w:t>410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F6A3E3" w14:textId="77777777" w:rsidR="00E36B29" w:rsidRPr="0002537E" w:rsidRDefault="00E36B29" w:rsidP="0002537E">
            <w:pPr>
              <w:jc w:val="right"/>
              <w:rPr>
                <w:i/>
                <w:sz w:val="20"/>
                <w:szCs w:val="20"/>
                <w:lang w:eastAsia="fr-FR"/>
              </w:rPr>
            </w:pPr>
            <w:r w:rsidRPr="0002537E">
              <w:rPr>
                <w:i/>
                <w:sz w:val="20"/>
                <w:szCs w:val="20"/>
                <w:lang w:eastAsia="fr-FR"/>
              </w:rPr>
              <w:t>68%</w:t>
            </w:r>
          </w:p>
        </w:tc>
      </w:tr>
      <w:tr w:rsidR="00E36B29" w:rsidRPr="00E36B29" w14:paraId="1FC3B02C" w14:textId="77777777" w:rsidTr="00260368">
        <w:trPr>
          <w:trHeight w:val="300"/>
          <w:jc w:val="center"/>
        </w:trPr>
        <w:tc>
          <w:tcPr>
            <w:tcW w:w="4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1326F677" w14:textId="77777777" w:rsidR="00E36B29" w:rsidRPr="0002537E" w:rsidRDefault="00E36B29" w:rsidP="0002537E">
            <w:pPr>
              <w:jc w:val="right"/>
              <w:rPr>
                <w:i/>
                <w:sz w:val="20"/>
                <w:szCs w:val="20"/>
                <w:lang w:eastAsia="fr-FR"/>
              </w:rPr>
            </w:pPr>
            <w:r w:rsidRPr="0002537E">
              <w:rPr>
                <w:i/>
                <w:sz w:val="20"/>
                <w:szCs w:val="20"/>
                <w:lang w:eastAsia="fr-FR"/>
              </w:rPr>
              <w:t xml:space="preserve">Dont saucisserie </w:t>
            </w:r>
          </w:p>
        </w:tc>
        <w:tc>
          <w:tcPr>
            <w:tcW w:w="148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8C9FC82" w14:textId="77777777" w:rsidR="00E36B29" w:rsidRPr="0002537E" w:rsidRDefault="00E36B29" w:rsidP="0002537E">
            <w:pPr>
              <w:jc w:val="right"/>
              <w:rPr>
                <w:i/>
                <w:sz w:val="20"/>
                <w:szCs w:val="20"/>
                <w:lang w:eastAsia="fr-FR"/>
              </w:rPr>
            </w:pPr>
            <w:r w:rsidRPr="0002537E">
              <w:rPr>
                <w:i/>
                <w:sz w:val="20"/>
                <w:szCs w:val="20"/>
                <w:lang w:eastAsia="fr-FR"/>
              </w:rPr>
              <w:t>190</w:t>
            </w:r>
          </w:p>
        </w:tc>
        <w:tc>
          <w:tcPr>
            <w:tcW w:w="1720" w:type="dxa"/>
            <w:tcBorders>
              <w:top w:val="single" w:sz="4" w:space="0" w:color="auto"/>
              <w:left w:val="single" w:sz="4" w:space="0" w:color="auto"/>
              <w:bottom w:val="single" w:sz="4" w:space="0" w:color="auto"/>
              <w:right w:val="single" w:sz="4" w:space="0" w:color="auto"/>
            </w:tcBorders>
            <w:shd w:val="clear" w:color="D9D9D9" w:fill="D9D9D9"/>
            <w:noWrap/>
            <w:vAlign w:val="bottom"/>
            <w:hideMark/>
          </w:tcPr>
          <w:p w14:paraId="57E8F9CA" w14:textId="77777777" w:rsidR="00E36B29" w:rsidRPr="0002537E" w:rsidRDefault="00E36B29" w:rsidP="0002537E">
            <w:pPr>
              <w:jc w:val="right"/>
              <w:rPr>
                <w:i/>
                <w:sz w:val="20"/>
                <w:szCs w:val="20"/>
                <w:lang w:eastAsia="fr-FR"/>
              </w:rPr>
            </w:pPr>
            <w:r w:rsidRPr="0002537E">
              <w:rPr>
                <w:i/>
                <w:sz w:val="20"/>
                <w:szCs w:val="20"/>
                <w:lang w:eastAsia="fr-FR"/>
              </w:rPr>
              <w:t>32%</w:t>
            </w:r>
          </w:p>
        </w:tc>
      </w:tr>
      <w:tr w:rsidR="00E36B29" w:rsidRPr="00E36B29" w14:paraId="639D0CDE" w14:textId="77777777" w:rsidTr="00260368">
        <w:trPr>
          <w:trHeight w:val="300"/>
          <w:jc w:val="center"/>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314A5024" w14:textId="77777777" w:rsidR="00E36B29" w:rsidRPr="0002537E" w:rsidRDefault="00E36B29" w:rsidP="00260368">
            <w:pPr>
              <w:rPr>
                <w:sz w:val="20"/>
                <w:szCs w:val="20"/>
                <w:lang w:eastAsia="fr-FR"/>
              </w:rPr>
            </w:pPr>
            <w:r w:rsidRPr="0002537E">
              <w:rPr>
                <w:sz w:val="20"/>
                <w:szCs w:val="20"/>
                <w:lang w:eastAsia="fr-FR"/>
              </w:rPr>
              <w:t xml:space="preserve">Dont Consommation Hors domicile </w:t>
            </w:r>
          </w:p>
        </w:tc>
        <w:tc>
          <w:tcPr>
            <w:tcW w:w="1480" w:type="dxa"/>
            <w:tcBorders>
              <w:top w:val="nil"/>
              <w:left w:val="nil"/>
              <w:bottom w:val="single" w:sz="4" w:space="0" w:color="auto"/>
              <w:right w:val="single" w:sz="4" w:space="0" w:color="auto"/>
            </w:tcBorders>
            <w:shd w:val="clear" w:color="auto" w:fill="auto"/>
            <w:noWrap/>
            <w:vAlign w:val="bottom"/>
            <w:hideMark/>
          </w:tcPr>
          <w:p w14:paraId="0AF14BD9" w14:textId="77777777" w:rsidR="00E36B29" w:rsidRPr="0002537E" w:rsidRDefault="00E36B29" w:rsidP="00260368">
            <w:pPr>
              <w:rPr>
                <w:sz w:val="20"/>
                <w:szCs w:val="20"/>
                <w:lang w:eastAsia="fr-FR"/>
              </w:rPr>
            </w:pPr>
            <w:r w:rsidRPr="0002537E">
              <w:rPr>
                <w:sz w:val="20"/>
                <w:szCs w:val="20"/>
                <w:lang w:eastAsia="fr-FR"/>
              </w:rPr>
              <w:t>90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F78458" w14:textId="0D1E11CE" w:rsidR="00E36B29" w:rsidRPr="0002537E" w:rsidRDefault="00E36B29" w:rsidP="00260368">
            <w:pPr>
              <w:rPr>
                <w:sz w:val="20"/>
                <w:szCs w:val="20"/>
                <w:lang w:eastAsia="fr-FR"/>
              </w:rPr>
            </w:pPr>
            <w:r w:rsidRPr="0002537E">
              <w:rPr>
                <w:sz w:val="20"/>
                <w:szCs w:val="20"/>
                <w:lang w:eastAsia="fr-FR"/>
              </w:rPr>
              <w:t>1</w:t>
            </w:r>
            <w:r w:rsidR="007C7B6A">
              <w:rPr>
                <w:sz w:val="20"/>
                <w:szCs w:val="20"/>
                <w:lang w:eastAsia="fr-FR"/>
              </w:rPr>
              <w:t>3</w:t>
            </w:r>
            <w:r w:rsidRPr="0002537E">
              <w:rPr>
                <w:sz w:val="20"/>
                <w:szCs w:val="20"/>
                <w:lang w:eastAsia="fr-FR"/>
              </w:rPr>
              <w:t>%</w:t>
            </w:r>
          </w:p>
        </w:tc>
      </w:tr>
    </w:tbl>
    <w:p w14:paraId="7FF1A3B7" w14:textId="18510653" w:rsidR="00E36B29" w:rsidRPr="0002537E" w:rsidRDefault="00E36B29" w:rsidP="0002537E">
      <w:pPr>
        <w:pStyle w:val="figure"/>
        <w:rPr>
          <w:i/>
        </w:rPr>
      </w:pPr>
      <w:bookmarkStart w:id="292" w:name="_Toc72143408"/>
      <w:r w:rsidRPr="00926407">
        <w:t xml:space="preserve">Tableau </w:t>
      </w:r>
      <w:r w:rsidR="00E27D6E">
        <w:fldChar w:fldCharType="begin"/>
      </w:r>
      <w:r w:rsidR="00E27D6E">
        <w:instrText xml:space="preserve"> SEQ Tableau \* ARABIC </w:instrText>
      </w:r>
      <w:r w:rsidR="00E27D6E">
        <w:fldChar w:fldCharType="separate"/>
      </w:r>
      <w:r w:rsidR="0007597F">
        <w:rPr>
          <w:noProof/>
        </w:rPr>
        <w:t>60</w:t>
      </w:r>
      <w:r w:rsidR="00E27D6E">
        <w:rPr>
          <w:noProof/>
        </w:rPr>
        <w:fldChar w:fldCharType="end"/>
      </w:r>
      <w:r w:rsidR="00D84E4D">
        <w:t xml:space="preserve"> : </w:t>
      </w:r>
      <w:r w:rsidRPr="00926407">
        <w:t>Marchés de consommation de</w:t>
      </w:r>
      <w:r w:rsidR="007C7B6A" w:rsidRPr="00D54EC4">
        <w:t xml:space="preserve"> la viande de boucherie </w:t>
      </w:r>
      <w:r w:rsidR="007C7B6A" w:rsidRPr="0002537E">
        <w:t>de porc et de la saucisserie</w:t>
      </w:r>
      <w:r w:rsidRPr="0002537E">
        <w:t xml:space="preserve"> en kt en 2018</w:t>
      </w:r>
      <w:bookmarkEnd w:id="292"/>
    </w:p>
    <w:p w14:paraId="0DF4D7DF" w14:textId="6B19455A" w:rsidR="00F32705" w:rsidRDefault="00833FD9" w:rsidP="00113A93">
      <w:pPr>
        <w:rPr>
          <w:lang w:eastAsia="fr-FR"/>
        </w:rPr>
      </w:pPr>
      <w:r>
        <w:rPr>
          <w:lang w:eastAsia="fr-FR"/>
        </w:rPr>
        <w:t>De plus</w:t>
      </w:r>
      <w:r w:rsidR="00F32705">
        <w:rPr>
          <w:lang w:eastAsia="fr-FR"/>
        </w:rPr>
        <w:t>, la part de</w:t>
      </w:r>
      <w:r w:rsidR="007F4DB2">
        <w:rPr>
          <w:lang w:eastAsia="fr-FR"/>
        </w:rPr>
        <w:t>s</w:t>
      </w:r>
      <w:r w:rsidR="00F32705">
        <w:rPr>
          <w:lang w:eastAsia="fr-FR"/>
        </w:rPr>
        <w:t xml:space="preserve"> perte</w:t>
      </w:r>
      <w:r w:rsidR="007F4DB2">
        <w:rPr>
          <w:lang w:eastAsia="fr-FR"/>
        </w:rPr>
        <w:t>s</w:t>
      </w:r>
      <w:r w:rsidR="0097024C">
        <w:rPr>
          <w:lang w:eastAsia="fr-FR"/>
        </w:rPr>
        <w:t xml:space="preserve"> tel que défini</w:t>
      </w:r>
      <w:r w:rsidR="006F519D">
        <w:rPr>
          <w:lang w:eastAsia="fr-FR"/>
        </w:rPr>
        <w:t>es</w:t>
      </w:r>
      <w:r w:rsidR="007F4DB2">
        <w:rPr>
          <w:lang w:eastAsia="fr-FR"/>
        </w:rPr>
        <w:t xml:space="preserve"> par </w:t>
      </w:r>
      <w:r w:rsidR="000D76F2">
        <w:rPr>
          <w:lang w:eastAsia="fr-FR"/>
        </w:rPr>
        <w:t>l’ADEME</w:t>
      </w:r>
      <w:r w:rsidR="007F4DB2">
        <w:rPr>
          <w:lang w:eastAsia="fr-FR"/>
        </w:rPr>
        <w:t xml:space="preserve"> et décrit plus haut</w:t>
      </w:r>
      <w:r>
        <w:rPr>
          <w:lang w:eastAsia="fr-FR"/>
        </w:rPr>
        <w:t xml:space="preserve">, correspond </w:t>
      </w:r>
      <w:r w:rsidR="001C4FA6">
        <w:rPr>
          <w:lang w:eastAsia="fr-FR"/>
        </w:rPr>
        <w:t xml:space="preserve">aux méventes de produits à destination du consommateur et </w:t>
      </w:r>
      <w:r w:rsidR="00582F2F">
        <w:rPr>
          <w:lang w:eastAsia="fr-FR"/>
        </w:rPr>
        <w:t>s’inscrivent dans le suivi du</w:t>
      </w:r>
      <w:r w:rsidR="00FE60B9">
        <w:rPr>
          <w:lang w:eastAsia="fr-FR"/>
        </w:rPr>
        <w:t xml:space="preserve"> </w:t>
      </w:r>
      <w:r w:rsidR="000D3D03">
        <w:rPr>
          <w:lang w:eastAsia="fr-FR"/>
        </w:rPr>
        <w:t>« </w:t>
      </w:r>
      <w:r w:rsidR="00C4492B">
        <w:rPr>
          <w:lang w:eastAsia="fr-FR"/>
        </w:rPr>
        <w:t>taux de démarque</w:t>
      </w:r>
      <w:r w:rsidR="000D3D03">
        <w:rPr>
          <w:lang w:eastAsia="fr-FR"/>
        </w:rPr>
        <w:t> »</w:t>
      </w:r>
      <w:r w:rsidR="00582F2F">
        <w:rPr>
          <w:lang w:eastAsia="fr-FR"/>
        </w:rPr>
        <w:t xml:space="preserve"> des magasins</w:t>
      </w:r>
      <w:r w:rsidR="005B2E2D">
        <w:rPr>
          <w:lang w:eastAsia="fr-FR"/>
        </w:rPr>
        <w:t>.</w:t>
      </w:r>
      <w:r w:rsidR="00AF2810">
        <w:rPr>
          <w:lang w:eastAsia="fr-FR"/>
        </w:rPr>
        <w:t xml:space="preserve"> L’estimation de ces éléments n’a pas été rendue possible</w:t>
      </w:r>
      <w:r w:rsidR="006A25F7">
        <w:rPr>
          <w:lang w:eastAsia="fr-FR"/>
        </w:rPr>
        <w:t xml:space="preserve"> par enquête</w:t>
      </w:r>
      <w:r w:rsidR="00AF2810">
        <w:rPr>
          <w:lang w:eastAsia="fr-FR"/>
        </w:rPr>
        <w:t xml:space="preserve">. </w:t>
      </w:r>
      <w:r w:rsidR="005B2E2D">
        <w:rPr>
          <w:lang w:eastAsia="fr-FR"/>
        </w:rPr>
        <w:t>Selon les données fournies par</w:t>
      </w:r>
      <w:r w:rsidR="00A04976">
        <w:rPr>
          <w:lang w:eastAsia="fr-FR"/>
        </w:rPr>
        <w:t xml:space="preserve"> </w:t>
      </w:r>
      <w:r w:rsidR="000D76F2">
        <w:rPr>
          <w:lang w:eastAsia="fr-FR"/>
        </w:rPr>
        <w:t>l’ADEME</w:t>
      </w:r>
      <w:r w:rsidR="00A04976">
        <w:rPr>
          <w:lang w:eastAsia="fr-FR"/>
        </w:rPr>
        <w:t xml:space="preserve"> à partir</w:t>
      </w:r>
      <w:r w:rsidR="005B2E2D">
        <w:rPr>
          <w:lang w:eastAsia="fr-FR"/>
        </w:rPr>
        <w:t xml:space="preserve"> </w:t>
      </w:r>
      <w:r w:rsidR="00A04976">
        <w:rPr>
          <w:lang w:eastAsia="fr-FR"/>
        </w:rPr>
        <w:t>d</w:t>
      </w:r>
      <w:r w:rsidR="00A61F2F">
        <w:rPr>
          <w:lang w:eastAsia="fr-FR"/>
        </w:rPr>
        <w:t xml:space="preserve">’une </w:t>
      </w:r>
      <w:r w:rsidR="006A25F7">
        <w:rPr>
          <w:lang w:eastAsia="fr-FR"/>
        </w:rPr>
        <w:t xml:space="preserve">étude </w:t>
      </w:r>
      <w:r w:rsidR="00A61F2F">
        <w:rPr>
          <w:lang w:eastAsia="fr-FR"/>
        </w:rPr>
        <w:t>conduite en</w:t>
      </w:r>
      <w:r w:rsidR="00F071F8">
        <w:rPr>
          <w:lang w:eastAsia="fr-FR"/>
        </w:rPr>
        <w:t xml:space="preserve"> 2016 </w:t>
      </w:r>
      <w:r w:rsidR="00A04976">
        <w:rPr>
          <w:lang w:eastAsia="fr-FR"/>
        </w:rPr>
        <w:t>sur les pratiques en points de vente</w:t>
      </w:r>
      <w:r w:rsidR="007519F2">
        <w:rPr>
          <w:lang w:eastAsia="fr-FR"/>
        </w:rPr>
        <w:t xml:space="preserve"> des grandes surfaces alimentaires</w:t>
      </w:r>
      <w:r w:rsidR="00F071F8">
        <w:rPr>
          <w:lang w:eastAsia="fr-FR"/>
        </w:rPr>
        <w:t xml:space="preserve"> et en artisanat </w:t>
      </w:r>
      <w:r w:rsidR="0029507F">
        <w:rPr>
          <w:lang w:eastAsia="fr-FR"/>
        </w:rPr>
        <w:t>en</w:t>
      </w:r>
      <w:r w:rsidR="00F071F8">
        <w:rPr>
          <w:lang w:eastAsia="fr-FR"/>
        </w:rPr>
        <w:t xml:space="preserve"> ce qui concerne le porc,</w:t>
      </w:r>
      <w:r w:rsidR="00FB2D87">
        <w:rPr>
          <w:lang w:eastAsia="fr-FR"/>
        </w:rPr>
        <w:t xml:space="preserve"> </w:t>
      </w:r>
      <w:r w:rsidR="005B2E2D">
        <w:rPr>
          <w:lang w:eastAsia="fr-FR"/>
        </w:rPr>
        <w:t xml:space="preserve">les pertes nettes pour l’alimentation humaine </w:t>
      </w:r>
      <w:r w:rsidR="007519F2">
        <w:rPr>
          <w:lang w:eastAsia="fr-FR"/>
        </w:rPr>
        <w:t>serai</w:t>
      </w:r>
      <w:r w:rsidR="008536F1">
        <w:rPr>
          <w:lang w:eastAsia="fr-FR"/>
        </w:rPr>
        <w:t>en</w:t>
      </w:r>
      <w:r w:rsidR="007519F2">
        <w:rPr>
          <w:lang w:eastAsia="fr-FR"/>
        </w:rPr>
        <w:t xml:space="preserve">t </w:t>
      </w:r>
      <w:r w:rsidR="00F071F8">
        <w:rPr>
          <w:lang w:eastAsia="fr-FR"/>
        </w:rPr>
        <w:t>d</w:t>
      </w:r>
      <w:r w:rsidR="0047064D">
        <w:rPr>
          <w:lang w:eastAsia="fr-FR"/>
        </w:rPr>
        <w:t>’environ 4</w:t>
      </w:r>
      <w:r w:rsidR="007339CB">
        <w:rPr>
          <w:lang w:eastAsia="fr-FR"/>
        </w:rPr>
        <w:t> </w:t>
      </w:r>
      <w:r w:rsidR="0047064D">
        <w:rPr>
          <w:lang w:eastAsia="fr-FR"/>
        </w:rPr>
        <w:t>%</w:t>
      </w:r>
      <w:r w:rsidR="007519F2">
        <w:rPr>
          <w:lang w:eastAsia="fr-FR"/>
        </w:rPr>
        <w:t>.</w:t>
      </w:r>
      <w:r w:rsidR="00051F9E">
        <w:rPr>
          <w:lang w:eastAsia="fr-FR"/>
        </w:rPr>
        <w:t xml:space="preserve"> A noter</w:t>
      </w:r>
      <w:r w:rsidR="0015676F">
        <w:rPr>
          <w:lang w:eastAsia="fr-FR"/>
        </w:rPr>
        <w:t>,</w:t>
      </w:r>
      <w:r w:rsidR="00051F9E">
        <w:rPr>
          <w:lang w:eastAsia="fr-FR"/>
        </w:rPr>
        <w:t xml:space="preserve"> la part de perte de la part des traiteurs liée à la dimension événementielle de leur activité serait bien supérieure.</w:t>
      </w:r>
      <w:r w:rsidR="00F41E85">
        <w:rPr>
          <w:lang w:eastAsia="fr-FR"/>
        </w:rPr>
        <w:t xml:space="preserve"> </w:t>
      </w:r>
      <w:r w:rsidR="00C362A4">
        <w:rPr>
          <w:lang w:eastAsia="fr-FR"/>
        </w:rPr>
        <w:t>Au total</w:t>
      </w:r>
      <w:r w:rsidR="00606B0B">
        <w:rPr>
          <w:lang w:eastAsia="fr-FR"/>
        </w:rPr>
        <w:t>, le volume représenterait à peine 35</w:t>
      </w:r>
      <w:r w:rsidR="007339CB">
        <w:rPr>
          <w:lang w:eastAsia="fr-FR"/>
        </w:rPr>
        <w:t> </w:t>
      </w:r>
      <w:r w:rsidR="00606B0B">
        <w:rPr>
          <w:lang w:eastAsia="fr-FR"/>
        </w:rPr>
        <w:t>kt.</w:t>
      </w:r>
    </w:p>
    <w:p w14:paraId="56196A0F" w14:textId="77777777" w:rsidR="00B2522A" w:rsidRDefault="00B2522A" w:rsidP="00B2522A">
      <w:pPr>
        <w:rPr>
          <w:lang w:eastAsia="fr-FR"/>
        </w:rPr>
      </w:pPr>
      <w:r w:rsidRPr="00B10156">
        <w:t xml:space="preserve">La poursuite de l’analyse des résultats obtenus par enquête qualitative sur les flux des produits du porc au sein de la filière </w:t>
      </w:r>
      <w:r>
        <w:t xml:space="preserve">nous conduit </w:t>
      </w:r>
      <w:r>
        <w:rPr>
          <w:lang w:eastAsia="fr-FR"/>
        </w:rPr>
        <w:t xml:space="preserve">à devoir caractériser l’offre selon les marchés. Il va s’agir d’approcher de manière quantitative les couples produits marchés par grande destination en abordant successivement les marchés suivants soient </w:t>
      </w:r>
    </w:p>
    <w:p w14:paraId="2806A3D5" w14:textId="77777777" w:rsidR="00B2522A" w:rsidRDefault="00B2522A" w:rsidP="00B2522A">
      <w:pPr>
        <w:pStyle w:val="Paragraphedeliste"/>
        <w:numPr>
          <w:ilvl w:val="0"/>
          <w:numId w:val="23"/>
        </w:numPr>
        <w:rPr>
          <w:lang w:eastAsia="fr-FR"/>
        </w:rPr>
      </w:pPr>
      <w:r>
        <w:rPr>
          <w:lang w:eastAsia="fr-FR"/>
        </w:rPr>
        <w:t xml:space="preserve">La consommation à domicile </w:t>
      </w:r>
    </w:p>
    <w:p w14:paraId="21C7E8D0" w14:textId="77777777" w:rsidR="00B2522A" w:rsidRDefault="00B2522A" w:rsidP="00B2522A">
      <w:pPr>
        <w:pStyle w:val="Paragraphedeliste"/>
        <w:numPr>
          <w:ilvl w:val="0"/>
          <w:numId w:val="23"/>
        </w:numPr>
        <w:rPr>
          <w:lang w:eastAsia="fr-FR"/>
        </w:rPr>
      </w:pPr>
      <w:r>
        <w:rPr>
          <w:lang w:eastAsia="fr-FR"/>
        </w:rPr>
        <w:t xml:space="preserve">La consommation hors domicile en scindant </w:t>
      </w:r>
    </w:p>
    <w:p w14:paraId="0D3B4384" w14:textId="77777777" w:rsidR="00B2522A" w:rsidRDefault="00B2522A" w:rsidP="00B2522A">
      <w:pPr>
        <w:pStyle w:val="Paragraphedeliste"/>
        <w:numPr>
          <w:ilvl w:val="1"/>
          <w:numId w:val="23"/>
        </w:numPr>
        <w:rPr>
          <w:lang w:eastAsia="fr-FR"/>
        </w:rPr>
      </w:pPr>
      <w:r>
        <w:rPr>
          <w:lang w:eastAsia="fr-FR"/>
        </w:rPr>
        <w:t>La restauration commerciale hors circuit de vente alternatif,</w:t>
      </w:r>
    </w:p>
    <w:p w14:paraId="3599CB29" w14:textId="77777777" w:rsidR="00B2522A" w:rsidRDefault="00B2522A" w:rsidP="00B2522A">
      <w:pPr>
        <w:pStyle w:val="Paragraphedeliste"/>
        <w:numPr>
          <w:ilvl w:val="1"/>
          <w:numId w:val="23"/>
        </w:numPr>
        <w:rPr>
          <w:lang w:eastAsia="fr-FR"/>
        </w:rPr>
      </w:pPr>
      <w:r>
        <w:rPr>
          <w:lang w:eastAsia="fr-FR"/>
        </w:rPr>
        <w:t>Les circuits de vente alternatifs, les contours de ce marché étant précisés ultérieurement.</w:t>
      </w:r>
    </w:p>
    <w:p w14:paraId="2A5292C6" w14:textId="1861C1B6" w:rsidR="00B2522A" w:rsidRPr="00B10156" w:rsidRDefault="00B2522A" w:rsidP="00B10156">
      <w:pPr>
        <w:rPr>
          <w:lang w:eastAsia="fr-FR"/>
        </w:rPr>
      </w:pPr>
      <w:r>
        <w:rPr>
          <w:lang w:eastAsia="fr-FR"/>
        </w:rPr>
        <w:t xml:space="preserve">Sont examinés, les pratiques des opérateurs en ce qui concerne la viande de porc, l’identification et la quantification des produits issus de l’importation et enfin le poids relatif des SIQO. </w:t>
      </w:r>
    </w:p>
    <w:p w14:paraId="19B22197" w14:textId="20618AFD" w:rsidR="00B10156" w:rsidRPr="00921B43" w:rsidRDefault="00B10156" w:rsidP="0002537E">
      <w:pPr>
        <w:pStyle w:val="Titre3"/>
        <w:numPr>
          <w:ilvl w:val="2"/>
          <w:numId w:val="9"/>
        </w:numPr>
      </w:pPr>
      <w:bookmarkStart w:id="293" w:name="_Toc78131649"/>
      <w:r w:rsidRPr="00921B43">
        <w:t>Caractérisation de l’offre</w:t>
      </w:r>
      <w:r w:rsidR="00B2522A" w:rsidRPr="00921B43">
        <w:t xml:space="preserve"> en consommation à dom</w:t>
      </w:r>
      <w:r w:rsidR="00D27BB9" w:rsidRPr="00921B43">
        <w:t>i</w:t>
      </w:r>
      <w:r w:rsidR="00B2522A" w:rsidRPr="00921B43">
        <w:t>cile</w:t>
      </w:r>
      <w:bookmarkEnd w:id="293"/>
    </w:p>
    <w:p w14:paraId="7181FE5E" w14:textId="1157ED5A" w:rsidR="002A2A69" w:rsidRPr="004F310E" w:rsidRDefault="00D62347" w:rsidP="0002537E">
      <w:pPr>
        <w:pStyle w:val="Titre4"/>
        <w:numPr>
          <w:ilvl w:val="3"/>
          <w:numId w:val="9"/>
        </w:numPr>
      </w:pPr>
      <w:bookmarkStart w:id="294" w:name="_Toc78131650"/>
      <w:r>
        <w:t>Structure de l’offre en viande de porc entre UVCI et UVCM</w:t>
      </w:r>
      <w:r w:rsidR="00CE0033">
        <w:t xml:space="preserve"> </w:t>
      </w:r>
      <w:r w:rsidR="006B1859">
        <w:t>en grandes surfaces alimentaires</w:t>
      </w:r>
      <w:bookmarkEnd w:id="294"/>
    </w:p>
    <w:p w14:paraId="53E4C1F8" w14:textId="3A9FC75C" w:rsidR="008B1987" w:rsidRDefault="00447A69" w:rsidP="00113A93">
      <w:r>
        <w:t>La consommation de viande fraîche en volume d’achat</w:t>
      </w:r>
      <w:r w:rsidRPr="00F962B3">
        <w:t xml:space="preserve"> </w:t>
      </w:r>
      <w:r>
        <w:t>s</w:t>
      </w:r>
      <w:r w:rsidR="00081EAF">
        <w:t>ur les</w:t>
      </w:r>
      <w:r w:rsidR="002A2A69" w:rsidRPr="00F962B3">
        <w:t xml:space="preserve"> circuits généralistes des grandes surfaces alimentaires</w:t>
      </w:r>
      <w:r w:rsidR="00081EAF">
        <w:t xml:space="preserve">, </w:t>
      </w:r>
      <w:r w:rsidR="002A2A69" w:rsidRPr="00F962B3">
        <w:t xml:space="preserve">représente </w:t>
      </w:r>
      <w:r w:rsidR="002A2A69">
        <w:t xml:space="preserve">selon le panel Kantar, </w:t>
      </w:r>
      <w:r w:rsidR="0044657F">
        <w:t>83</w:t>
      </w:r>
      <w:r w:rsidR="007339CB">
        <w:t> </w:t>
      </w:r>
      <w:r w:rsidR="002A2A69">
        <w:t>% du marché.</w:t>
      </w:r>
      <w:r w:rsidR="00910741">
        <w:t xml:space="preserve"> </w:t>
      </w:r>
      <w:r w:rsidR="00DC2711">
        <w:t xml:space="preserve">La </w:t>
      </w:r>
      <w:r w:rsidR="00A314B1">
        <w:t>différenciation</w:t>
      </w:r>
      <w:r w:rsidR="00DC2711">
        <w:t xml:space="preserve"> entre UVCM (Unité de Vente </w:t>
      </w:r>
      <w:r w:rsidR="00875AA8">
        <w:t>M</w:t>
      </w:r>
      <w:r w:rsidR="00DC2711">
        <w:t>agasin) et UVCI</w:t>
      </w:r>
      <w:r w:rsidR="00AB1641">
        <w:t xml:space="preserve"> </w:t>
      </w:r>
      <w:r w:rsidR="00DC2711">
        <w:t xml:space="preserve">(Unité de Vente Industrielle) </w:t>
      </w:r>
      <w:r w:rsidR="00A314B1">
        <w:t>s’opère</w:t>
      </w:r>
      <w:r w:rsidR="00072B9F">
        <w:t xml:space="preserve"> </w:t>
      </w:r>
      <w:r w:rsidR="00A314B1">
        <w:t>par</w:t>
      </w:r>
      <w:r w:rsidR="000D4ADC">
        <w:t xml:space="preserve"> format d’enseigne</w:t>
      </w:r>
      <w:r w:rsidR="007A657E">
        <w:t xml:space="preserve">. </w:t>
      </w:r>
      <w:r w:rsidR="00B6325B">
        <w:t xml:space="preserve">Selon </w:t>
      </w:r>
      <w:r w:rsidR="000D4ADC">
        <w:t>le même panéliste</w:t>
      </w:r>
      <w:r w:rsidR="00B6325B">
        <w:t xml:space="preserve">, </w:t>
      </w:r>
      <w:r w:rsidR="007C1205">
        <w:t>la répartition des volumes d’achat</w:t>
      </w:r>
      <w:r w:rsidR="00413D30">
        <w:t xml:space="preserve"> en viande</w:t>
      </w:r>
      <w:r w:rsidR="007C1205">
        <w:t xml:space="preserve"> </w:t>
      </w:r>
      <w:r w:rsidR="00910A3E">
        <w:t xml:space="preserve">de porc </w:t>
      </w:r>
      <w:r w:rsidR="007C1205">
        <w:t xml:space="preserve">entre </w:t>
      </w:r>
      <w:r w:rsidR="0020522F">
        <w:t>h</w:t>
      </w:r>
      <w:r w:rsidR="007C1205">
        <w:t>ypermarchés</w:t>
      </w:r>
      <w:r w:rsidR="00A56530">
        <w:t>,</w:t>
      </w:r>
      <w:r w:rsidR="007C1205">
        <w:t xml:space="preserve"> supermarchés</w:t>
      </w:r>
      <w:r w:rsidR="00E410CF">
        <w:t>,</w:t>
      </w:r>
      <w:r w:rsidR="00A56530">
        <w:t xml:space="preserve"> points de vente de proximité</w:t>
      </w:r>
      <w:r w:rsidR="007C1205">
        <w:t xml:space="preserve"> </w:t>
      </w:r>
      <w:r w:rsidR="00E410CF">
        <w:t>et EDMP</w:t>
      </w:r>
      <w:r w:rsidR="00245978">
        <w:t xml:space="preserve"> </w:t>
      </w:r>
      <w:r w:rsidR="009B06A4">
        <w:t>(Enseigne à Dominante Marque Propre)</w:t>
      </w:r>
      <w:r w:rsidR="00E410CF">
        <w:t xml:space="preserve"> </w:t>
      </w:r>
      <w:r w:rsidR="007C1205">
        <w:t xml:space="preserve">est </w:t>
      </w:r>
      <w:r w:rsidR="00AF1F5D">
        <w:t xml:space="preserve">respectivement </w:t>
      </w:r>
      <w:r w:rsidR="007C1205">
        <w:t xml:space="preserve">de </w:t>
      </w:r>
      <w:r w:rsidR="009B06A4">
        <w:t>56</w:t>
      </w:r>
      <w:r w:rsidR="007339CB">
        <w:t> </w:t>
      </w:r>
      <w:r w:rsidR="0020522F">
        <w:t>%</w:t>
      </w:r>
      <w:r w:rsidR="00AF1F5D">
        <w:t>,</w:t>
      </w:r>
      <w:r w:rsidR="0020522F">
        <w:t xml:space="preserve"> </w:t>
      </w:r>
      <w:r w:rsidR="009B06A4">
        <w:t>27</w:t>
      </w:r>
      <w:r w:rsidR="007339CB">
        <w:t> </w:t>
      </w:r>
      <w:r w:rsidR="0020522F">
        <w:t>%</w:t>
      </w:r>
      <w:r w:rsidR="009B06A4">
        <w:t>,</w:t>
      </w:r>
      <w:r w:rsidR="00AF1F5D">
        <w:t xml:space="preserve"> </w:t>
      </w:r>
      <w:r w:rsidR="009B06A4">
        <w:t>12</w:t>
      </w:r>
      <w:r w:rsidR="007339CB">
        <w:t> </w:t>
      </w:r>
      <w:r w:rsidR="00A5298D">
        <w:t xml:space="preserve">% </w:t>
      </w:r>
      <w:r w:rsidR="009B06A4">
        <w:t>et 4</w:t>
      </w:r>
      <w:r w:rsidR="007339CB">
        <w:t> </w:t>
      </w:r>
      <w:r w:rsidR="009B06A4">
        <w:t xml:space="preserve">% </w:t>
      </w:r>
      <w:r w:rsidR="0020522F">
        <w:t>en 2018.</w:t>
      </w:r>
      <w:r w:rsidR="00413D30">
        <w:t xml:space="preserve"> </w:t>
      </w:r>
    </w:p>
    <w:p w14:paraId="24BFBB6E" w14:textId="77777777" w:rsidR="00CA0D03" w:rsidRDefault="00A53236" w:rsidP="00113A93">
      <w:r>
        <w:t xml:space="preserve">Les supermarchés </w:t>
      </w:r>
      <w:r w:rsidR="00004909">
        <w:t xml:space="preserve">en France </w:t>
      </w:r>
      <w:r>
        <w:t>représentent 5</w:t>
      </w:r>
      <w:r w:rsidR="004F77C2">
        <w:t xml:space="preserve"> </w:t>
      </w:r>
      <w:r>
        <w:t>90</w:t>
      </w:r>
      <w:r w:rsidR="00312F6D">
        <w:t>1</w:t>
      </w:r>
      <w:r>
        <w:t xml:space="preserve"> points de vente avec une surface moyenne de 1</w:t>
      </w:r>
      <w:r w:rsidR="00EE63D0">
        <w:t xml:space="preserve"> </w:t>
      </w:r>
      <w:r>
        <w:t>2</w:t>
      </w:r>
      <w:r w:rsidR="00EE63D0">
        <w:t>73 m</w:t>
      </w:r>
      <w:r w:rsidR="00EE63D0" w:rsidRPr="00EE63D0">
        <w:rPr>
          <w:vertAlign w:val="superscript"/>
        </w:rPr>
        <w:t>2</w:t>
      </w:r>
      <w:r w:rsidR="00EE63D0">
        <w:t xml:space="preserve"> </w:t>
      </w:r>
      <w:r w:rsidR="00E37F92">
        <w:t>contre 2</w:t>
      </w:r>
      <w:r w:rsidR="00312F6D">
        <w:t>316</w:t>
      </w:r>
      <w:r w:rsidR="00E37F92">
        <w:t xml:space="preserve"> points de vente en hypermarchés </w:t>
      </w:r>
      <w:r>
        <w:t>(</w:t>
      </w:r>
      <w:r w:rsidR="00905260">
        <w:t xml:space="preserve">Distribook </w:t>
      </w:r>
      <w:r w:rsidR="00331437">
        <w:t xml:space="preserve">Linéaires </w:t>
      </w:r>
      <w:r w:rsidR="00905260">
        <w:t>d’après Nielsen Trade Dimension</w:t>
      </w:r>
      <w:r>
        <w:t>, 2020)</w:t>
      </w:r>
      <w:r w:rsidR="00952D7D">
        <w:t xml:space="preserve">. Ces derniers </w:t>
      </w:r>
      <w:r w:rsidR="00004909">
        <w:t xml:space="preserve">portent l’essentiel des </w:t>
      </w:r>
      <w:r w:rsidR="00326B70">
        <w:t>rayons coupe</w:t>
      </w:r>
      <w:r w:rsidR="00C75D24">
        <w:t xml:space="preserve"> devant les hypermarchés et sont</w:t>
      </w:r>
      <w:r w:rsidR="00C4217B">
        <w:t xml:space="preserve"> adossés à un laboratoire de transformation de découpe, de piéçage et de conditionnement des produits</w:t>
      </w:r>
      <w:r w:rsidR="00326B70">
        <w:t xml:space="preserve"> </w:t>
      </w:r>
      <w:r w:rsidR="00C4217B">
        <w:t xml:space="preserve">assortis de </w:t>
      </w:r>
      <w:r w:rsidR="00326B70">
        <w:t>vente assistée auprès du consommateur</w:t>
      </w:r>
      <w:r w:rsidR="009712BD">
        <w:t xml:space="preserve">. </w:t>
      </w:r>
      <w:r w:rsidR="00537D36">
        <w:t xml:space="preserve">Les </w:t>
      </w:r>
      <w:r w:rsidR="00537D36">
        <w:lastRenderedPageBreak/>
        <w:t>supermarchés disposent de personnel</w:t>
      </w:r>
      <w:r w:rsidR="00875AA8">
        <w:t>s</w:t>
      </w:r>
      <w:r w:rsidR="00537D36">
        <w:t xml:space="preserve"> </w:t>
      </w:r>
      <w:r w:rsidR="00C309FA">
        <w:t>de formation bouchère, dédié</w:t>
      </w:r>
      <w:r w:rsidR="00875AA8">
        <w:t>s</w:t>
      </w:r>
      <w:r w:rsidR="00C309FA">
        <w:t xml:space="preserve"> au rayon et cherchent à valoriser ce savoir</w:t>
      </w:r>
      <w:r w:rsidR="00FD4587">
        <w:t>-</w:t>
      </w:r>
      <w:r w:rsidR="00C309FA">
        <w:t xml:space="preserve">faire </w:t>
      </w:r>
      <w:r w:rsidR="003D4266">
        <w:t xml:space="preserve">afin de proposer au consommateur une </w:t>
      </w:r>
      <w:r w:rsidR="00C309FA">
        <w:t>alternative à l’artisan boucher charcutier de quartier.</w:t>
      </w:r>
      <w:r w:rsidR="00875AA8">
        <w:t xml:space="preserve"> </w:t>
      </w:r>
      <w:r w:rsidR="008D78CC">
        <w:t>En conséquence, la</w:t>
      </w:r>
      <w:r w:rsidR="00B13870">
        <w:t xml:space="preserve"> </w:t>
      </w:r>
      <w:r w:rsidR="004F77C2">
        <w:t xml:space="preserve">commercialisation </w:t>
      </w:r>
      <w:r w:rsidR="00B13870">
        <w:t xml:space="preserve">de la viande de porc </w:t>
      </w:r>
      <w:r w:rsidR="004F77C2">
        <w:t>s’effectue</w:t>
      </w:r>
      <w:r w:rsidR="009712BD">
        <w:t xml:space="preserve"> </w:t>
      </w:r>
      <w:r w:rsidR="00965A1E">
        <w:t>majoritairement sous la forme d’UVCM</w:t>
      </w:r>
      <w:r w:rsidR="008D78CC">
        <w:t xml:space="preserve"> comparativement aux </w:t>
      </w:r>
      <w:r w:rsidR="009855C0">
        <w:t>UVCI</w:t>
      </w:r>
      <w:r w:rsidR="00DC2711">
        <w:t xml:space="preserve"> </w:t>
      </w:r>
      <w:r w:rsidR="00734180">
        <w:t>en provenance des abatteurs découpeurs</w:t>
      </w:r>
      <w:r w:rsidR="000123B1">
        <w:t>.</w:t>
      </w:r>
      <w:r w:rsidR="00331437">
        <w:t xml:space="preserve"> </w:t>
      </w:r>
    </w:p>
    <w:p w14:paraId="37F2ECB5" w14:textId="02A01257" w:rsidR="006C7B64" w:rsidRDefault="00CA0D03" w:rsidP="00113A93">
      <w:r>
        <w:t>Pour les hypermarchés, les arbitrages relèvent de politiques d’enseignes. Certaines disposent de laboratoires et se positionnent dans la même démarche que celle décrite pour les supermarchés avec des apports de carcasse découpées sur site par un personnel dédié. Cependant, une grande partie</w:t>
      </w:r>
      <w:r w:rsidR="009712BD">
        <w:t xml:space="preserve"> hypermarchés avec un personnel plus polyvalent entre les différent</w:t>
      </w:r>
      <w:r w:rsidR="00BA4158">
        <w:t>es catégories</w:t>
      </w:r>
      <w:r w:rsidR="009712BD">
        <w:t xml:space="preserve"> du pôle traditionnel (</w:t>
      </w:r>
      <w:r w:rsidR="000A4949">
        <w:t xml:space="preserve">boucherie, </w:t>
      </w:r>
      <w:r w:rsidR="009C5B89">
        <w:t>poissonnerie, formage, fruits et légumes</w:t>
      </w:r>
      <w:r w:rsidR="00E562B5">
        <w:t>…</w:t>
      </w:r>
      <w:r w:rsidR="009C5B89">
        <w:t xml:space="preserve">) </w:t>
      </w:r>
      <w:r w:rsidR="000A4949">
        <w:t>tend</w:t>
      </w:r>
      <w:r w:rsidR="00BA4158">
        <w:t>ent</w:t>
      </w:r>
      <w:r w:rsidR="000A4949">
        <w:t xml:space="preserve"> à </w:t>
      </w:r>
      <w:r w:rsidR="009C5B89">
        <w:t>privilégie</w:t>
      </w:r>
      <w:r w:rsidR="000A4949">
        <w:t>r</w:t>
      </w:r>
      <w:r w:rsidR="009C5B89">
        <w:t xml:space="preserve"> </w:t>
      </w:r>
      <w:r w:rsidR="00537D36">
        <w:t>les offres en UVCI</w:t>
      </w:r>
      <w:r w:rsidR="00E37F92">
        <w:t xml:space="preserve"> et une partie d’entre eux ne dispose plus de rayon coupe</w:t>
      </w:r>
      <w:r w:rsidR="000A4949">
        <w:t xml:space="preserve">. </w:t>
      </w:r>
      <w:r w:rsidR="00331437">
        <w:t>En points de vente de</w:t>
      </w:r>
      <w:r w:rsidR="000A4949">
        <w:t xml:space="preserve"> proximité et EDMP, </w:t>
      </w:r>
      <w:r w:rsidR="00771628">
        <w:t>les approvisionnements industriels sont exclusifs</w:t>
      </w:r>
      <w:r w:rsidR="00E749EA">
        <w:t xml:space="preserve"> (</w:t>
      </w:r>
      <w:r w:rsidR="00331437">
        <w:fldChar w:fldCharType="begin"/>
      </w:r>
      <w:r w:rsidR="00331437">
        <w:instrText xml:space="preserve"> REF _Ref70185984 \h </w:instrText>
      </w:r>
      <w:r w:rsidR="00113A93">
        <w:instrText xml:space="preserve"> \* MERGEFORMAT </w:instrText>
      </w:r>
      <w:r w:rsidR="00331437">
        <w:fldChar w:fldCharType="separate"/>
      </w:r>
      <w:r w:rsidR="0007597F" w:rsidRPr="0007597F">
        <w:t xml:space="preserve">Tableau </w:t>
      </w:r>
      <w:r w:rsidR="0007597F" w:rsidRPr="0002537E">
        <w:rPr>
          <w:noProof/>
        </w:rPr>
        <w:t>61</w:t>
      </w:r>
      <w:r w:rsidR="00331437">
        <w:fldChar w:fldCharType="end"/>
      </w:r>
      <w:r w:rsidR="00331437">
        <w:t>).</w:t>
      </w:r>
    </w:p>
    <w:tbl>
      <w:tblPr>
        <w:tblW w:w="7225" w:type="dxa"/>
        <w:jc w:val="center"/>
        <w:tblCellMar>
          <w:left w:w="70" w:type="dxa"/>
          <w:right w:w="70" w:type="dxa"/>
        </w:tblCellMar>
        <w:tblLook w:val="04A0" w:firstRow="1" w:lastRow="0" w:firstColumn="1" w:lastColumn="0" w:noHBand="0" w:noVBand="1"/>
      </w:tblPr>
      <w:tblGrid>
        <w:gridCol w:w="1838"/>
        <w:gridCol w:w="2552"/>
        <w:gridCol w:w="1417"/>
        <w:gridCol w:w="1418"/>
      </w:tblGrid>
      <w:tr w:rsidR="00B0743C" w:rsidRPr="00C244D1" w14:paraId="7978EB35" w14:textId="77777777" w:rsidTr="007339CB">
        <w:trPr>
          <w:trHeight w:val="282"/>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F65E36E" w14:textId="77777777" w:rsidR="00093E62" w:rsidRPr="00C244D1" w:rsidRDefault="00093E62" w:rsidP="007339CB">
            <w:pPr>
              <w:spacing w:before="120"/>
              <w:jc w:val="left"/>
              <w:rPr>
                <w:sz w:val="20"/>
                <w:szCs w:val="20"/>
                <w:lang w:eastAsia="fr-FR"/>
              </w:rPr>
            </w:pPr>
          </w:p>
        </w:tc>
        <w:tc>
          <w:tcPr>
            <w:tcW w:w="255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D2FE8E" w14:textId="77777777" w:rsidR="00093E62" w:rsidRPr="00C244D1" w:rsidRDefault="00093E62" w:rsidP="007339CB">
            <w:pPr>
              <w:spacing w:before="120"/>
              <w:jc w:val="left"/>
              <w:rPr>
                <w:b/>
                <w:color w:val="000000"/>
                <w:sz w:val="20"/>
                <w:szCs w:val="20"/>
                <w:lang w:eastAsia="fr-FR"/>
              </w:rPr>
            </w:pPr>
            <w:r w:rsidRPr="00C244D1">
              <w:rPr>
                <w:b/>
                <w:color w:val="000000"/>
                <w:sz w:val="20"/>
                <w:szCs w:val="20"/>
                <w:lang w:eastAsia="fr-FR"/>
              </w:rPr>
              <w:t>Part de marché volume</w:t>
            </w: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37C5058" w14:textId="77777777" w:rsidR="00093E62" w:rsidRPr="00C244D1" w:rsidRDefault="00093E62" w:rsidP="007339CB">
            <w:pPr>
              <w:spacing w:before="120"/>
              <w:jc w:val="left"/>
              <w:rPr>
                <w:b/>
                <w:color w:val="000000"/>
                <w:sz w:val="20"/>
                <w:szCs w:val="20"/>
                <w:lang w:eastAsia="fr-FR"/>
              </w:rPr>
            </w:pPr>
            <w:r w:rsidRPr="00C244D1">
              <w:rPr>
                <w:b/>
                <w:color w:val="000000"/>
                <w:sz w:val="20"/>
                <w:szCs w:val="20"/>
                <w:lang w:eastAsia="fr-FR"/>
              </w:rPr>
              <w:t>UVCI</w:t>
            </w:r>
          </w:p>
        </w:tc>
        <w:tc>
          <w:tcPr>
            <w:tcW w:w="141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3233A1C" w14:textId="69C09FCD" w:rsidR="00093E62" w:rsidRPr="00C244D1" w:rsidRDefault="00093E62" w:rsidP="007339CB">
            <w:pPr>
              <w:spacing w:before="120"/>
              <w:jc w:val="left"/>
              <w:rPr>
                <w:b/>
                <w:color w:val="000000"/>
                <w:sz w:val="20"/>
                <w:szCs w:val="20"/>
                <w:lang w:eastAsia="fr-FR"/>
              </w:rPr>
            </w:pPr>
            <w:r w:rsidRPr="00C244D1">
              <w:rPr>
                <w:b/>
                <w:color w:val="000000"/>
                <w:sz w:val="20"/>
                <w:szCs w:val="20"/>
                <w:lang w:eastAsia="fr-FR"/>
              </w:rPr>
              <w:t>UVCM</w:t>
            </w:r>
          </w:p>
        </w:tc>
      </w:tr>
      <w:tr w:rsidR="006010E4" w:rsidRPr="00C244D1" w14:paraId="268C3DBE" w14:textId="77777777" w:rsidTr="007339CB">
        <w:trPr>
          <w:trHeight w:val="244"/>
          <w:jc w:val="center"/>
        </w:trPr>
        <w:tc>
          <w:tcPr>
            <w:tcW w:w="183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EE44273" w14:textId="1EAFF05C" w:rsidR="00093E62" w:rsidRPr="00C244D1" w:rsidRDefault="00093E62" w:rsidP="007339CB">
            <w:pPr>
              <w:spacing w:before="120"/>
              <w:jc w:val="left"/>
              <w:rPr>
                <w:color w:val="000000"/>
                <w:sz w:val="20"/>
                <w:szCs w:val="20"/>
                <w:lang w:eastAsia="fr-FR"/>
              </w:rPr>
            </w:pPr>
            <w:r w:rsidRPr="00C244D1">
              <w:rPr>
                <w:color w:val="000000"/>
                <w:sz w:val="20"/>
                <w:szCs w:val="20"/>
                <w:lang w:eastAsia="fr-FR"/>
              </w:rPr>
              <w:t>Total</w:t>
            </w:r>
          </w:p>
        </w:tc>
        <w:tc>
          <w:tcPr>
            <w:tcW w:w="255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5D5F971" w14:textId="27CEEECD" w:rsidR="00093E62" w:rsidRPr="00C244D1" w:rsidRDefault="00B0743C" w:rsidP="007339CB">
            <w:pPr>
              <w:spacing w:before="120"/>
              <w:jc w:val="left"/>
              <w:rPr>
                <w:color w:val="000000"/>
                <w:sz w:val="20"/>
                <w:szCs w:val="20"/>
                <w:lang w:eastAsia="fr-FR"/>
              </w:rPr>
            </w:pPr>
            <w:r w:rsidRPr="00C244D1">
              <w:rPr>
                <w:color w:val="000000"/>
                <w:sz w:val="20"/>
                <w:szCs w:val="20"/>
                <w:lang w:eastAsia="fr-FR"/>
              </w:rPr>
              <w:t>100%</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CCF1859"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20%</w:t>
            </w:r>
          </w:p>
        </w:tc>
        <w:tc>
          <w:tcPr>
            <w:tcW w:w="141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FE6064B"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80%</w:t>
            </w:r>
          </w:p>
        </w:tc>
      </w:tr>
      <w:tr w:rsidR="00B0743C" w:rsidRPr="00C244D1" w14:paraId="520BBF4D" w14:textId="77777777" w:rsidTr="007339CB">
        <w:trPr>
          <w:trHeight w:val="190"/>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D297B56" w14:textId="36DDD36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Hypermarché</w:t>
            </w:r>
          </w:p>
        </w:tc>
        <w:tc>
          <w:tcPr>
            <w:tcW w:w="255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B6D7FDC"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56%</w:t>
            </w: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2CF113B"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15 à 25%</w:t>
            </w:r>
          </w:p>
        </w:tc>
        <w:tc>
          <w:tcPr>
            <w:tcW w:w="141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CD4FD71"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75 à 85%</w:t>
            </w:r>
          </w:p>
        </w:tc>
      </w:tr>
      <w:tr w:rsidR="006010E4" w:rsidRPr="00C244D1" w14:paraId="554BDD56" w14:textId="77777777" w:rsidTr="007339CB">
        <w:trPr>
          <w:trHeight w:val="193"/>
          <w:jc w:val="center"/>
        </w:trPr>
        <w:tc>
          <w:tcPr>
            <w:tcW w:w="183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B6D25A" w14:textId="7703EC95" w:rsidR="00093E62" w:rsidRPr="00C244D1" w:rsidRDefault="00093E62" w:rsidP="007339CB">
            <w:pPr>
              <w:spacing w:before="120"/>
              <w:jc w:val="left"/>
              <w:rPr>
                <w:color w:val="000000"/>
                <w:sz w:val="20"/>
                <w:szCs w:val="20"/>
                <w:lang w:eastAsia="fr-FR"/>
              </w:rPr>
            </w:pPr>
            <w:r w:rsidRPr="00C244D1">
              <w:rPr>
                <w:color w:val="000000"/>
                <w:sz w:val="20"/>
                <w:szCs w:val="20"/>
                <w:lang w:eastAsia="fr-FR"/>
              </w:rPr>
              <w:t>Supermarché</w:t>
            </w:r>
          </w:p>
        </w:tc>
        <w:tc>
          <w:tcPr>
            <w:tcW w:w="255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BB09752"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27%</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0A9E95A"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10 à 15%</w:t>
            </w:r>
          </w:p>
        </w:tc>
        <w:tc>
          <w:tcPr>
            <w:tcW w:w="141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169DCE5"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85 à 90%</w:t>
            </w:r>
          </w:p>
        </w:tc>
      </w:tr>
      <w:tr w:rsidR="00B0743C" w:rsidRPr="00C244D1" w14:paraId="1A2DD87A" w14:textId="77777777" w:rsidTr="007339CB">
        <w:trPr>
          <w:trHeight w:val="255"/>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A770329"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EDMP</w:t>
            </w:r>
          </w:p>
        </w:tc>
        <w:tc>
          <w:tcPr>
            <w:tcW w:w="2552"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2C115D0"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12%</w:t>
            </w: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6E7ED6"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&gt;80%</w:t>
            </w:r>
          </w:p>
        </w:tc>
        <w:tc>
          <w:tcPr>
            <w:tcW w:w="1418"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E04D35F"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&lt;20%</w:t>
            </w:r>
          </w:p>
        </w:tc>
      </w:tr>
      <w:tr w:rsidR="006010E4" w:rsidRPr="00C244D1" w14:paraId="2529CCFA" w14:textId="77777777" w:rsidTr="007339CB">
        <w:trPr>
          <w:trHeight w:val="290"/>
          <w:jc w:val="center"/>
        </w:trPr>
        <w:tc>
          <w:tcPr>
            <w:tcW w:w="183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BD688A0" w14:textId="6C980BFC" w:rsidR="00093E62" w:rsidRPr="00C244D1" w:rsidRDefault="00093E62" w:rsidP="007339CB">
            <w:pPr>
              <w:spacing w:before="120"/>
              <w:jc w:val="left"/>
              <w:rPr>
                <w:color w:val="000000"/>
                <w:sz w:val="20"/>
                <w:szCs w:val="20"/>
                <w:lang w:eastAsia="fr-FR"/>
              </w:rPr>
            </w:pPr>
            <w:r w:rsidRPr="00C244D1">
              <w:rPr>
                <w:color w:val="000000"/>
                <w:sz w:val="20"/>
                <w:szCs w:val="20"/>
                <w:lang w:eastAsia="fr-FR"/>
              </w:rPr>
              <w:t>Proxi</w:t>
            </w:r>
          </w:p>
        </w:tc>
        <w:tc>
          <w:tcPr>
            <w:tcW w:w="2552"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04446D5"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4%</w:t>
            </w:r>
          </w:p>
        </w:tc>
        <w:tc>
          <w:tcPr>
            <w:tcW w:w="1417"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65E11A6" w14:textId="77777777" w:rsidR="00093E62" w:rsidRPr="00C244D1" w:rsidRDefault="00093E62" w:rsidP="007339CB">
            <w:pPr>
              <w:spacing w:before="120"/>
              <w:jc w:val="left"/>
              <w:rPr>
                <w:color w:val="000000"/>
                <w:sz w:val="20"/>
                <w:szCs w:val="20"/>
                <w:lang w:eastAsia="fr-FR"/>
              </w:rPr>
            </w:pPr>
            <w:r w:rsidRPr="00C244D1">
              <w:rPr>
                <w:color w:val="000000"/>
                <w:sz w:val="20"/>
                <w:szCs w:val="20"/>
                <w:lang w:eastAsia="fr-FR"/>
              </w:rPr>
              <w:t>100%</w:t>
            </w:r>
          </w:p>
        </w:tc>
        <w:tc>
          <w:tcPr>
            <w:tcW w:w="1418"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1D7F6F5" w14:textId="792A37E1" w:rsidR="00093E62" w:rsidRPr="00C244D1" w:rsidRDefault="0086583D" w:rsidP="007339CB">
            <w:pPr>
              <w:spacing w:before="120"/>
              <w:jc w:val="left"/>
              <w:rPr>
                <w:color w:val="000000"/>
                <w:sz w:val="20"/>
                <w:szCs w:val="20"/>
                <w:lang w:eastAsia="fr-FR"/>
              </w:rPr>
            </w:pPr>
            <w:r w:rsidRPr="00C244D1">
              <w:rPr>
                <w:color w:val="000000"/>
                <w:sz w:val="20"/>
                <w:szCs w:val="20"/>
                <w:lang w:eastAsia="fr-FR"/>
              </w:rPr>
              <w:t>_</w:t>
            </w:r>
          </w:p>
        </w:tc>
      </w:tr>
    </w:tbl>
    <w:p w14:paraId="16234F68" w14:textId="72D4A4BA" w:rsidR="00065E9A" w:rsidRPr="0002537E" w:rsidRDefault="006010E4" w:rsidP="007339CB">
      <w:pPr>
        <w:pStyle w:val="figure"/>
        <w:rPr>
          <w:i/>
        </w:rPr>
      </w:pPr>
      <w:bookmarkStart w:id="295" w:name="_Ref70185984"/>
      <w:bookmarkStart w:id="296" w:name="_Toc72143409"/>
      <w:r w:rsidRPr="00926407">
        <w:t xml:space="preserve">Tableau </w:t>
      </w:r>
      <w:r w:rsidR="00E27D6E">
        <w:fldChar w:fldCharType="begin"/>
      </w:r>
      <w:r w:rsidR="00E27D6E">
        <w:instrText xml:space="preserve"> SEQ Tableau \* ARABIC </w:instrText>
      </w:r>
      <w:r w:rsidR="00E27D6E">
        <w:fldChar w:fldCharType="separate"/>
      </w:r>
      <w:r w:rsidR="0007597F">
        <w:rPr>
          <w:i/>
          <w:noProof/>
        </w:rPr>
        <w:t>61</w:t>
      </w:r>
      <w:r w:rsidR="00E27D6E">
        <w:rPr>
          <w:i/>
          <w:noProof/>
        </w:rPr>
        <w:fldChar w:fldCharType="end"/>
      </w:r>
      <w:bookmarkEnd w:id="295"/>
      <w:r w:rsidR="00D84E4D">
        <w:rPr>
          <w:i/>
        </w:rPr>
        <w:t xml:space="preserve"> : </w:t>
      </w:r>
      <w:r w:rsidR="00DD6312" w:rsidRPr="00926407">
        <w:t xml:space="preserve">Part relative </w:t>
      </w:r>
      <w:r w:rsidR="00331437" w:rsidRPr="00D54EC4">
        <w:t xml:space="preserve">des UVCI et UVCM </w:t>
      </w:r>
      <w:r w:rsidR="00047E74" w:rsidRPr="0002537E">
        <w:t xml:space="preserve">en viande de porc </w:t>
      </w:r>
      <w:r w:rsidR="00331437" w:rsidRPr="0002537E">
        <w:t>par format d’enseigne</w:t>
      </w:r>
      <w:r w:rsidR="00746C7C">
        <w:rPr>
          <w:i/>
        </w:rPr>
        <w:t xml:space="preserve"> </w:t>
      </w:r>
      <w:r w:rsidR="00331437" w:rsidRPr="00926407">
        <w:t>des grandes surfaces alimentaires</w:t>
      </w:r>
      <w:bookmarkEnd w:id="296"/>
    </w:p>
    <w:p w14:paraId="04EAA256" w14:textId="370962B4" w:rsidR="00F63DEE" w:rsidRDefault="00DF79C8" w:rsidP="000F157D">
      <w:pPr>
        <w:spacing w:before="120"/>
      </w:pPr>
      <w:r>
        <w:t xml:space="preserve">Quant à la saucisserie, </w:t>
      </w:r>
      <w:r w:rsidR="0016406B">
        <w:t xml:space="preserve">la part d’UVCI est </w:t>
      </w:r>
      <w:r w:rsidR="00D73AA9">
        <w:t xml:space="preserve">plus significative qu’en viande de porc et représenterait </w:t>
      </w:r>
      <w:r w:rsidR="006A0AB5">
        <w:t xml:space="preserve">entre </w:t>
      </w:r>
      <w:r w:rsidR="00105BAC">
        <w:t>6</w:t>
      </w:r>
      <w:r w:rsidR="006A0AB5">
        <w:t>0</w:t>
      </w:r>
      <w:r w:rsidR="00F56957">
        <w:t> </w:t>
      </w:r>
      <w:r w:rsidR="006A0AB5">
        <w:t>% et</w:t>
      </w:r>
      <w:r w:rsidR="00D73AA9">
        <w:t xml:space="preserve"> </w:t>
      </w:r>
      <w:r w:rsidR="00105BAC">
        <w:t>8</w:t>
      </w:r>
      <w:r w:rsidR="00C9262E">
        <w:t>0</w:t>
      </w:r>
      <w:r w:rsidR="00F56957">
        <w:t> </w:t>
      </w:r>
      <w:r w:rsidR="00C9262E">
        <w:t>%</w:t>
      </w:r>
      <w:r w:rsidR="006A0AB5">
        <w:t xml:space="preserve"> selon les enseignes</w:t>
      </w:r>
      <w:r w:rsidR="00143927">
        <w:t xml:space="preserve"> de la grande distribution et leur politique d’offre</w:t>
      </w:r>
      <w:r w:rsidR="00C9262E">
        <w:t>.</w:t>
      </w:r>
    </w:p>
    <w:p w14:paraId="41875C11" w14:textId="560428E1" w:rsidR="00047E74" w:rsidRDefault="00822543" w:rsidP="00486034">
      <w:r>
        <w:t xml:space="preserve">De même que le parage joue un rôle important dans </w:t>
      </w:r>
      <w:r w:rsidR="000C3A76">
        <w:t>l’estimation quantitative de la consommation</w:t>
      </w:r>
      <w:r w:rsidR="003733B8">
        <w:t>, la part d</w:t>
      </w:r>
      <w:r>
        <w:t>’</w:t>
      </w:r>
      <w:r w:rsidR="003733B8">
        <w:t xml:space="preserve">os </w:t>
      </w:r>
      <w:r w:rsidR="000A6FF7">
        <w:t xml:space="preserve">sur muscle </w:t>
      </w:r>
      <w:r>
        <w:t xml:space="preserve">dans les </w:t>
      </w:r>
      <w:r w:rsidR="000C3A76">
        <w:t>unités de vente consommateur</w:t>
      </w:r>
      <w:r w:rsidR="001242A3">
        <w:t xml:space="preserve"> </w:t>
      </w:r>
      <w:r w:rsidR="002B7EEA">
        <w:t xml:space="preserve">influe </w:t>
      </w:r>
      <w:r w:rsidR="004115FF">
        <w:t>sur</w:t>
      </w:r>
      <w:r w:rsidR="002B7EEA">
        <w:t xml:space="preserve"> la comptabilisation. C</w:t>
      </w:r>
      <w:r w:rsidR="003733B8">
        <w:t xml:space="preserve">ontrairement aux pratiques </w:t>
      </w:r>
      <w:r w:rsidR="00BB4147">
        <w:t xml:space="preserve">en vigueur </w:t>
      </w:r>
      <w:r w:rsidR="003715E5">
        <w:t xml:space="preserve">dans les </w:t>
      </w:r>
      <w:r w:rsidR="002B7EEA">
        <w:t xml:space="preserve">pays européens, la France </w:t>
      </w:r>
      <w:r w:rsidR="00B11D4F">
        <w:t xml:space="preserve">continue à proposer bon nombre de produits avec os </w:t>
      </w:r>
      <w:r w:rsidR="002B7EEA">
        <w:t>(côtes, côtelettes, palette, échine, rouelle…)</w:t>
      </w:r>
      <w:r w:rsidR="003733B8">
        <w:t xml:space="preserve">. Les côtes et côtelettes jouent notamment le rôle de produits d’appel </w:t>
      </w:r>
      <w:r w:rsidR="00D9566A">
        <w:t xml:space="preserve">dans un contexte où la part des volumes commercialisés sous promotion en viande de porc, demeure importante et contribuent </w:t>
      </w:r>
      <w:r w:rsidR="004F1849">
        <w:t>à</w:t>
      </w:r>
      <w:r w:rsidR="00D9566A">
        <w:t xml:space="preserve"> </w:t>
      </w:r>
      <w:r w:rsidR="003733B8">
        <w:t>favoris</w:t>
      </w:r>
      <w:r w:rsidR="00D9566A">
        <w:t>er</w:t>
      </w:r>
      <w:r w:rsidR="003733B8">
        <w:t xml:space="preserve"> la génération de </w:t>
      </w:r>
      <w:r w:rsidR="00B03A97">
        <w:t>trafic</w:t>
      </w:r>
      <w:r w:rsidR="003733B8">
        <w:t xml:space="preserve"> </w:t>
      </w:r>
      <w:r w:rsidR="004E0054">
        <w:t>en point de vente</w:t>
      </w:r>
      <w:r w:rsidR="003733B8">
        <w:t>.</w:t>
      </w:r>
    </w:p>
    <w:p w14:paraId="48B125E2" w14:textId="46E87F3B" w:rsidR="00B565FD" w:rsidRDefault="007D7527" w:rsidP="0002537E">
      <w:pPr>
        <w:pStyle w:val="Titre4"/>
        <w:numPr>
          <w:ilvl w:val="3"/>
          <w:numId w:val="9"/>
        </w:numPr>
      </w:pPr>
      <w:bookmarkStart w:id="297" w:name="_Toc78131651"/>
      <w:r w:rsidRPr="00C72AD0">
        <w:t xml:space="preserve">Volume et caractérisation de l’offre importée </w:t>
      </w:r>
      <w:r w:rsidR="00A903E0">
        <w:t>sur les marchés à domicile</w:t>
      </w:r>
      <w:bookmarkEnd w:id="297"/>
      <w:r w:rsidR="00A903E0">
        <w:t xml:space="preserve"> </w:t>
      </w:r>
    </w:p>
    <w:p w14:paraId="0115955D" w14:textId="30C04C80" w:rsidR="00EA618E" w:rsidRDefault="00EA618E" w:rsidP="006B1859">
      <w:pPr>
        <w:pStyle w:val="Paragraphedeliste"/>
        <w:numPr>
          <w:ilvl w:val="0"/>
          <w:numId w:val="16"/>
        </w:numPr>
        <w:spacing w:after="120"/>
        <w:ind w:left="1423" w:hanging="357"/>
      </w:pPr>
      <w:r>
        <w:t>Les importations en charcuterie salaison</w:t>
      </w:r>
    </w:p>
    <w:p w14:paraId="7E3CF79C" w14:textId="5DAF6612" w:rsidR="000F7353" w:rsidRDefault="00EA618E" w:rsidP="000F7353">
      <w:pPr>
        <w:spacing w:after="0"/>
      </w:pPr>
      <w:r>
        <w:t>Deux types d</w:t>
      </w:r>
      <w:r w:rsidR="00C74CE4">
        <w:t xml:space="preserve">e produits </w:t>
      </w:r>
      <w:r>
        <w:t>import</w:t>
      </w:r>
      <w:r w:rsidR="00C74CE4">
        <w:t>és</w:t>
      </w:r>
      <w:r>
        <w:t xml:space="preserve"> </w:t>
      </w:r>
      <w:r w:rsidR="00E70235">
        <w:t>sont</w:t>
      </w:r>
      <w:r w:rsidR="00401114" w:rsidRPr="00BB6DDA">
        <w:t xml:space="preserve"> distingués </w:t>
      </w:r>
    </w:p>
    <w:p w14:paraId="4F183C45" w14:textId="1D2587FD" w:rsidR="000F7353" w:rsidRPr="000F7353" w:rsidRDefault="000F7353" w:rsidP="00925086">
      <w:pPr>
        <w:pStyle w:val="Paragraphedeliste"/>
        <w:numPr>
          <w:ilvl w:val="0"/>
          <w:numId w:val="23"/>
        </w:numPr>
        <w:spacing w:before="0"/>
        <w:ind w:left="714" w:hanging="357"/>
      </w:pPr>
      <w:r>
        <w:rPr>
          <w:rFonts w:eastAsiaTheme="minorHAnsi" w:cstheme="minorBidi"/>
          <w:szCs w:val="22"/>
        </w:rPr>
        <w:t>L</w:t>
      </w:r>
      <w:r w:rsidR="005838C4">
        <w:rPr>
          <w:rFonts w:eastAsiaTheme="minorHAnsi" w:cstheme="minorBidi"/>
          <w:szCs w:val="22"/>
        </w:rPr>
        <w:t>’importation de</w:t>
      </w:r>
      <w:r w:rsidR="00401114" w:rsidRPr="00BB6DDA">
        <w:rPr>
          <w:rFonts w:eastAsiaTheme="minorHAnsi" w:cstheme="minorBidi"/>
          <w:szCs w:val="22"/>
        </w:rPr>
        <w:t xml:space="preserve"> </w:t>
      </w:r>
      <w:r w:rsidR="00401114" w:rsidRPr="009B3799">
        <w:rPr>
          <w:rFonts w:eastAsiaTheme="minorHAnsi" w:cstheme="minorBidi"/>
          <w:szCs w:val="22"/>
          <w:u w:val="single"/>
        </w:rPr>
        <w:t>produits finis</w:t>
      </w:r>
      <w:r w:rsidR="00401114" w:rsidRPr="00BB6DDA">
        <w:rPr>
          <w:rFonts w:eastAsiaTheme="minorHAnsi" w:cstheme="minorBidi"/>
          <w:szCs w:val="22"/>
        </w:rPr>
        <w:t xml:space="preserve"> à destination des consommateurs</w:t>
      </w:r>
      <w:r w:rsidR="000831F2">
        <w:rPr>
          <w:rFonts w:eastAsiaTheme="minorHAnsi" w:cstheme="minorBidi"/>
          <w:szCs w:val="22"/>
        </w:rPr>
        <w:t>,</w:t>
      </w:r>
    </w:p>
    <w:p w14:paraId="6687E877" w14:textId="77777777" w:rsidR="00486034" w:rsidRDefault="000F7353" w:rsidP="00486034">
      <w:pPr>
        <w:pStyle w:val="Paragraphedeliste"/>
        <w:numPr>
          <w:ilvl w:val="0"/>
          <w:numId w:val="23"/>
        </w:numPr>
      </w:pPr>
      <w:r>
        <w:rPr>
          <w:rFonts w:eastAsiaTheme="minorHAnsi" w:cstheme="minorBidi"/>
          <w:szCs w:val="22"/>
        </w:rPr>
        <w:t>E</w:t>
      </w:r>
      <w:r w:rsidR="00401114" w:rsidRPr="00BB6DDA">
        <w:rPr>
          <w:rFonts w:eastAsiaTheme="minorHAnsi" w:cstheme="minorBidi"/>
          <w:szCs w:val="22"/>
        </w:rPr>
        <w:t xml:space="preserve">t les </w:t>
      </w:r>
      <w:r w:rsidR="00401114" w:rsidRPr="009B3799">
        <w:rPr>
          <w:rFonts w:eastAsiaTheme="minorHAnsi" w:cstheme="minorBidi"/>
          <w:szCs w:val="22"/>
          <w:u w:val="single"/>
        </w:rPr>
        <w:t xml:space="preserve">produits </w:t>
      </w:r>
      <w:r w:rsidR="00E94ACF" w:rsidRPr="009B3799">
        <w:rPr>
          <w:u w:val="single"/>
        </w:rPr>
        <w:t>transformés en France</w:t>
      </w:r>
      <w:r w:rsidR="00E94ACF">
        <w:t xml:space="preserve"> </w:t>
      </w:r>
      <w:r w:rsidR="00AC1B17">
        <w:t>à partir de pièces brutes ou de carcasses</w:t>
      </w:r>
      <w:r w:rsidR="00684D5C">
        <w:t xml:space="preserve"> importées</w:t>
      </w:r>
      <w:r w:rsidR="00E94ACF">
        <w:t>.</w:t>
      </w:r>
    </w:p>
    <w:p w14:paraId="235A98C0" w14:textId="504C8126" w:rsidR="005C7921" w:rsidRDefault="00617E63" w:rsidP="005C7921">
      <w:r>
        <w:t>L</w:t>
      </w:r>
      <w:r w:rsidR="00867D2B">
        <w:t>e croisement entre les données d’</w:t>
      </w:r>
      <w:r w:rsidR="00605942">
        <w:t xml:space="preserve">exportation des pays européens vers la France </w:t>
      </w:r>
      <w:r w:rsidR="00FB67C1">
        <w:t xml:space="preserve">selon Eurostat </w:t>
      </w:r>
      <w:r w:rsidR="00867D2B">
        <w:t>et le</w:t>
      </w:r>
      <w:r w:rsidR="003B6242">
        <w:t xml:space="preserve"> recueil de données à</w:t>
      </w:r>
      <w:r>
        <w:t xml:space="preserve"> </w:t>
      </w:r>
      <w:r w:rsidR="00867D2B">
        <w:t>dire d’expert</w:t>
      </w:r>
      <w:r>
        <w:t xml:space="preserve"> </w:t>
      </w:r>
      <w:r w:rsidR="00867D2B">
        <w:t>permet</w:t>
      </w:r>
      <w:r w:rsidR="003B6242">
        <w:t xml:space="preserve"> d’émettre des hypothèses </w:t>
      </w:r>
      <w:r w:rsidR="00523D60">
        <w:t xml:space="preserve">de rapprochement des </w:t>
      </w:r>
      <w:r w:rsidR="00E14C16">
        <w:t xml:space="preserve">par </w:t>
      </w:r>
      <w:r w:rsidR="00033DBF">
        <w:t>coup</w:t>
      </w:r>
      <w:r w:rsidR="0039469C">
        <w:t>le</w:t>
      </w:r>
      <w:r w:rsidR="00033DBF">
        <w:t xml:space="preserve"> </w:t>
      </w:r>
      <w:r w:rsidR="00E14C16">
        <w:t xml:space="preserve">de </w:t>
      </w:r>
      <w:r w:rsidR="00033DBF">
        <w:t xml:space="preserve">produits et </w:t>
      </w:r>
      <w:r w:rsidR="00E14C16">
        <w:t xml:space="preserve">de </w:t>
      </w:r>
      <w:r w:rsidR="0039469C">
        <w:t>marchés</w:t>
      </w:r>
      <w:r w:rsidR="003B6242">
        <w:t xml:space="preserve"> </w:t>
      </w:r>
      <w:r w:rsidR="0039469C">
        <w:t>d’importation</w:t>
      </w:r>
      <w:r w:rsidR="00DB1FF4">
        <w:t xml:space="preserve"> les plus significatifs en volume</w:t>
      </w:r>
      <w:r w:rsidR="00542E31">
        <w:t>.</w:t>
      </w:r>
      <w:r>
        <w:t xml:space="preserve"> </w:t>
      </w:r>
      <w:r w:rsidR="0096491E">
        <w:t>De plus ce</w:t>
      </w:r>
      <w:r w:rsidR="0096491E" w:rsidRPr="00C2707C">
        <w:t xml:space="preserve">s éléments peuvent être </w:t>
      </w:r>
      <w:r w:rsidR="0096491E">
        <w:t xml:space="preserve">éclairés </w:t>
      </w:r>
      <w:r w:rsidR="0096491E" w:rsidRPr="00C2707C">
        <w:t xml:space="preserve">également </w:t>
      </w:r>
      <w:r w:rsidR="0096491E">
        <w:t xml:space="preserve">à partir des </w:t>
      </w:r>
      <w:r w:rsidR="0096491E" w:rsidRPr="00C2707C">
        <w:t>appariement</w:t>
      </w:r>
      <w:r w:rsidR="007C7339">
        <w:t>s</w:t>
      </w:r>
      <w:r w:rsidR="0096491E" w:rsidRPr="00C2707C">
        <w:t xml:space="preserve"> </w:t>
      </w:r>
      <w:r w:rsidR="007C7339">
        <w:t xml:space="preserve">effectués </w:t>
      </w:r>
      <w:r w:rsidR="0096491E" w:rsidRPr="00C2707C">
        <w:t>avec les équivalence</w:t>
      </w:r>
      <w:r w:rsidR="0096491E">
        <w:t>s</w:t>
      </w:r>
      <w:r w:rsidR="0096491E" w:rsidRPr="00C2707C">
        <w:t xml:space="preserve"> des codes</w:t>
      </w:r>
      <w:r w:rsidR="0096491E">
        <w:rPr>
          <w:rFonts w:eastAsia="Times New Roman"/>
          <w:color w:val="000000"/>
          <w:sz w:val="20"/>
          <w:szCs w:val="20"/>
          <w:lang w:eastAsia="fr-FR"/>
        </w:rPr>
        <w:t xml:space="preserve"> PRODcom (Annexe 5).</w:t>
      </w:r>
      <w:r w:rsidR="007C7339">
        <w:rPr>
          <w:rFonts w:eastAsia="Times New Roman"/>
          <w:color w:val="000000"/>
          <w:sz w:val="20"/>
          <w:szCs w:val="20"/>
          <w:lang w:eastAsia="fr-FR"/>
        </w:rPr>
        <w:t xml:space="preserve"> </w:t>
      </w:r>
      <w:r w:rsidR="004D61B2">
        <w:t>Dans</w:t>
      </w:r>
      <w:r w:rsidR="002E791C">
        <w:t xml:space="preserve"> </w:t>
      </w:r>
      <w:r w:rsidR="004D61B2">
        <w:t xml:space="preserve">la </w:t>
      </w:r>
      <w:r w:rsidR="002E791C">
        <w:t>troisième partie du rapport</w:t>
      </w:r>
      <w:r>
        <w:t>, la qualification des produits importés sera approchée</w:t>
      </w:r>
      <w:r w:rsidR="002E791C">
        <w:t xml:space="preserve"> de manière </w:t>
      </w:r>
      <w:r w:rsidR="00523D60">
        <w:t xml:space="preserve">plus </w:t>
      </w:r>
      <w:r w:rsidR="002E791C">
        <w:t>détaillée</w:t>
      </w:r>
      <w:r w:rsidR="004D61B2">
        <w:t xml:space="preserve"> au cours de l’analyse par type de pièce primaire</w:t>
      </w:r>
      <w:r>
        <w:t>.</w:t>
      </w:r>
      <w:r w:rsidR="007C7339">
        <w:t xml:space="preserve"> </w:t>
      </w:r>
      <w:r w:rsidR="002E791C">
        <w:t>L</w:t>
      </w:r>
      <w:r w:rsidR="00244E58">
        <w:t xml:space="preserve">’approche par </w:t>
      </w:r>
      <w:r w:rsidR="00ED0C91">
        <w:t>croisement de</w:t>
      </w:r>
      <w:r w:rsidR="004F5CE2">
        <w:t>s</w:t>
      </w:r>
      <w:r w:rsidR="00ED0C91">
        <w:t xml:space="preserve"> données</w:t>
      </w:r>
      <w:r w:rsidR="004F5CE2">
        <w:t xml:space="preserve"> Eurostat </w:t>
      </w:r>
      <w:r w:rsidR="004F02FF">
        <w:t>relatives aux produits transformés et aux préparations</w:t>
      </w:r>
      <w:r w:rsidR="00244E58">
        <w:t xml:space="preserve"> donne </w:t>
      </w:r>
      <w:r w:rsidR="005C7921">
        <w:t>de</w:t>
      </w:r>
      <w:r w:rsidR="00244E58">
        <w:t xml:space="preserve"> </w:t>
      </w:r>
      <w:r w:rsidR="002E791C">
        <w:t xml:space="preserve">premières </w:t>
      </w:r>
      <w:r w:rsidR="00244E58">
        <w:t>indications</w:t>
      </w:r>
      <w:r w:rsidR="005C7921">
        <w:t>.</w:t>
      </w:r>
    </w:p>
    <w:p w14:paraId="35DD72FF" w14:textId="61553EA4" w:rsidR="005C7921" w:rsidRPr="00BA55C9" w:rsidRDefault="005C7921" w:rsidP="005C7921">
      <w:r>
        <w:lastRenderedPageBreak/>
        <w:t xml:space="preserve">Parmi les </w:t>
      </w:r>
      <w:r w:rsidRPr="005C7921">
        <w:rPr>
          <w:u w:val="single"/>
        </w:rPr>
        <w:t>produits transformés</w:t>
      </w:r>
      <w:r>
        <w:t xml:space="preserve">, sont identifiés </w:t>
      </w:r>
    </w:p>
    <w:p w14:paraId="1D412E07" w14:textId="1EAF5BEF" w:rsidR="005F6360" w:rsidRDefault="00DF49A0" w:rsidP="000F7353">
      <w:pPr>
        <w:pStyle w:val="Paragraphedeliste"/>
        <w:numPr>
          <w:ilvl w:val="0"/>
          <w:numId w:val="23"/>
        </w:numPr>
      </w:pPr>
      <w:r>
        <w:rPr>
          <w:u w:val="single"/>
        </w:rPr>
        <w:t xml:space="preserve">Les </w:t>
      </w:r>
      <w:r w:rsidR="00A903E0" w:rsidRPr="003B58B6">
        <w:rPr>
          <w:u w:val="single"/>
        </w:rPr>
        <w:t>produits de s</w:t>
      </w:r>
      <w:r w:rsidR="00A903E0" w:rsidRPr="00244E58">
        <w:rPr>
          <w:u w:val="single"/>
        </w:rPr>
        <w:t>alaison</w:t>
      </w:r>
      <w:r w:rsidR="000831F2" w:rsidRPr="00244E58">
        <w:rPr>
          <w:u w:val="single"/>
        </w:rPr>
        <w:t xml:space="preserve"> sèche</w:t>
      </w:r>
      <w:r w:rsidR="00A903E0" w:rsidRPr="00244E58">
        <w:rPr>
          <w:u w:val="single"/>
        </w:rPr>
        <w:t xml:space="preserve"> et de saucisserie sèche</w:t>
      </w:r>
      <w:r w:rsidR="00A903E0">
        <w:t xml:space="preserve"> </w:t>
      </w:r>
      <w:r w:rsidR="00982C1E">
        <w:t>représenterai</w:t>
      </w:r>
      <w:r>
        <w:t>en</w:t>
      </w:r>
      <w:r w:rsidR="00982C1E">
        <w:t xml:space="preserve">t </w:t>
      </w:r>
      <w:r w:rsidR="00305535">
        <w:t xml:space="preserve">dans les grandes surfaces alimentaires, </w:t>
      </w:r>
      <w:r w:rsidR="00982C1E">
        <w:t xml:space="preserve">au global </w:t>
      </w:r>
      <w:r w:rsidR="002A73DF">
        <w:t>environ</w:t>
      </w:r>
      <w:r w:rsidR="0071224C">
        <w:t xml:space="preserve"> </w:t>
      </w:r>
      <w:r w:rsidR="00F96096">
        <w:t>5</w:t>
      </w:r>
      <w:r w:rsidR="00A960B8">
        <w:t> </w:t>
      </w:r>
      <w:r w:rsidR="00BC6CC8">
        <w:t>% d</w:t>
      </w:r>
      <w:r w:rsidR="00323F51">
        <w:t>u total des</w:t>
      </w:r>
      <w:r w:rsidR="00BC6CC8">
        <w:t xml:space="preserve"> volumes de charcuterie salaison </w:t>
      </w:r>
      <w:r w:rsidR="000B1E77">
        <w:t xml:space="preserve">en provenance d’Italie </w:t>
      </w:r>
      <w:r w:rsidR="003B45C8">
        <w:t>et d’Espagne</w:t>
      </w:r>
      <w:r w:rsidR="00A87466">
        <w:t xml:space="preserve"> et at</w:t>
      </w:r>
      <w:r w:rsidR="002A73DF">
        <w:t>teindrai</w:t>
      </w:r>
      <w:r w:rsidR="00F40B85">
        <w:t>en</w:t>
      </w:r>
      <w:r w:rsidR="002A73DF">
        <w:t>t environ</w:t>
      </w:r>
      <w:r w:rsidR="008E39C2">
        <w:t xml:space="preserve"> </w:t>
      </w:r>
      <w:r w:rsidR="00247C6B">
        <w:t>40</w:t>
      </w:r>
      <w:r w:rsidR="0054626F">
        <w:t> </w:t>
      </w:r>
      <w:r w:rsidR="00247C6B">
        <w:t>kt</w:t>
      </w:r>
      <w:r w:rsidR="00E34070">
        <w:t xml:space="preserve">. </w:t>
      </w:r>
    </w:p>
    <w:p w14:paraId="6C496478" w14:textId="354718B8" w:rsidR="009011CB" w:rsidRDefault="005F6360" w:rsidP="00D27BB9">
      <w:pPr>
        <w:pStyle w:val="Paragraphedeliste"/>
        <w:numPr>
          <w:ilvl w:val="0"/>
          <w:numId w:val="0"/>
        </w:numPr>
        <w:ind w:left="720"/>
      </w:pPr>
      <w:r>
        <w:t>Concernant les réseaux spécialisés</w:t>
      </w:r>
      <w:r w:rsidR="008A1D27">
        <w:t xml:space="preserve"> de la consommation à domicile</w:t>
      </w:r>
      <w:r w:rsidR="00155B51">
        <w:t xml:space="preserve"> soit les artisans</w:t>
      </w:r>
      <w:r w:rsidR="006C35C7">
        <w:t xml:space="preserve"> bouchers et charcutiers</w:t>
      </w:r>
      <w:r w:rsidR="006B19AE">
        <w:t>,</w:t>
      </w:r>
      <w:r>
        <w:t xml:space="preserve"> l’importation de cette même catégorie de produits </w:t>
      </w:r>
      <w:r w:rsidR="006B19AE">
        <w:t>pèserait</w:t>
      </w:r>
      <w:r>
        <w:t xml:space="preserve"> </w:t>
      </w:r>
      <w:r w:rsidR="008513FC">
        <w:t>environ 10</w:t>
      </w:r>
      <w:r w:rsidR="00A960B8">
        <w:t> </w:t>
      </w:r>
      <w:r w:rsidR="008513FC">
        <w:t>% soit un volu</w:t>
      </w:r>
      <w:r w:rsidR="000F30F4">
        <w:t xml:space="preserve">me </w:t>
      </w:r>
      <w:r w:rsidR="00155B51">
        <w:t>entre 12 et 15</w:t>
      </w:r>
      <w:r w:rsidR="0054626F">
        <w:t> </w:t>
      </w:r>
      <w:r w:rsidR="00155B51">
        <w:t>kt</w:t>
      </w:r>
      <w:r w:rsidR="008D53F0">
        <w:t>.</w:t>
      </w:r>
      <w:r w:rsidR="00222346">
        <w:t xml:space="preserve"> </w:t>
      </w:r>
      <w:r w:rsidR="008D53F0">
        <w:t>Au global</w:t>
      </w:r>
      <w:r w:rsidR="006B19AE">
        <w:t xml:space="preserve"> pour</w:t>
      </w:r>
      <w:r w:rsidR="008D53F0">
        <w:t xml:space="preserve"> les marchés de la consommation à domicile</w:t>
      </w:r>
      <w:r w:rsidR="001867D7">
        <w:t>,</w:t>
      </w:r>
      <w:r w:rsidR="008D53F0">
        <w:t xml:space="preserve"> les volumes agrégés donnent un total de </w:t>
      </w:r>
      <w:r w:rsidR="00241743">
        <w:t>55</w:t>
      </w:r>
      <w:r w:rsidR="0054626F">
        <w:t> </w:t>
      </w:r>
      <w:r w:rsidR="00241743">
        <w:t>kt</w:t>
      </w:r>
      <w:r w:rsidR="00EC03EA">
        <w:t xml:space="preserve"> sur les 62,7</w:t>
      </w:r>
      <w:r w:rsidR="0054626F">
        <w:t> </w:t>
      </w:r>
      <w:r w:rsidR="00EC03EA">
        <w:t xml:space="preserve">kt </w:t>
      </w:r>
      <w:r w:rsidR="00646C7C">
        <w:t>d’importation de produits transformés tel que communiqué par Eurostat</w:t>
      </w:r>
      <w:r w:rsidR="003D3C16">
        <w:t xml:space="preserve"> (</w:t>
      </w:r>
      <w:r w:rsidR="00833CFF" w:rsidRPr="007339CB">
        <w:fldChar w:fldCharType="begin"/>
      </w:r>
      <w:r w:rsidR="00833CFF">
        <w:instrText xml:space="preserve"> REF _Ref70333899 \h </w:instrText>
      </w:r>
      <w:r w:rsidR="007339CB">
        <w:instrText xml:space="preserve"> \* MERGEFORMAT </w:instrText>
      </w:r>
      <w:r w:rsidR="00833CFF" w:rsidRPr="007339CB">
        <w:fldChar w:fldCharType="separate"/>
      </w:r>
      <w:r w:rsidR="0007597F" w:rsidRPr="007339CB">
        <w:rPr>
          <w:bCs/>
        </w:rPr>
        <w:t xml:space="preserve">Tableau </w:t>
      </w:r>
      <w:r w:rsidR="0007597F" w:rsidRPr="007339CB">
        <w:rPr>
          <w:bCs/>
          <w:iCs/>
          <w:noProof/>
        </w:rPr>
        <w:t>6</w:t>
      </w:r>
      <w:r w:rsidR="0007597F" w:rsidRPr="007339CB">
        <w:rPr>
          <w:bCs/>
          <w:i/>
          <w:noProof/>
        </w:rPr>
        <w:t>2</w:t>
      </w:r>
      <w:r w:rsidR="00833CFF" w:rsidRPr="007339CB">
        <w:rPr>
          <w:bCs/>
        </w:rPr>
        <w:fldChar w:fldCharType="end"/>
      </w:r>
      <w:r w:rsidR="00833CFF">
        <w:t>).</w:t>
      </w:r>
      <w:r w:rsidR="00D27BB9">
        <w:t xml:space="preserve"> </w:t>
      </w:r>
      <w:r w:rsidR="00241B56">
        <w:t>Plusieurs</w:t>
      </w:r>
      <w:r w:rsidR="00E5446A">
        <w:t xml:space="preserve"> </w:t>
      </w:r>
      <w:r w:rsidR="001867D7">
        <w:t>typologies de</w:t>
      </w:r>
      <w:r w:rsidR="00833CFF">
        <w:t xml:space="preserve"> produits </w:t>
      </w:r>
      <w:r w:rsidR="00AE4683">
        <w:t xml:space="preserve">importés en provenance d’Italie et d’Espagne </w:t>
      </w:r>
      <w:r w:rsidR="00833CFF">
        <w:t xml:space="preserve">se </w:t>
      </w:r>
      <w:r w:rsidR="00833CFF" w:rsidRPr="00C2707C">
        <w:t>dégagent</w:t>
      </w:r>
      <w:r w:rsidR="00E5446A" w:rsidRPr="00C2707C">
        <w:t xml:space="preserve"> </w:t>
      </w:r>
      <w:r w:rsidR="001867D7" w:rsidRPr="00C2707C">
        <w:t>à partir</w:t>
      </w:r>
      <w:r w:rsidR="001867D7">
        <w:t xml:space="preserve"> des données d’importation Eurostat </w:t>
      </w:r>
      <w:r w:rsidR="0048771E">
        <w:t>favorisant la reconstitution des flux</w:t>
      </w:r>
      <w:r w:rsidR="00790499">
        <w:t xml:space="preserve"> soient</w:t>
      </w:r>
      <w:r w:rsidR="002A3BFB">
        <w:t xml:space="preserve"> : </w:t>
      </w:r>
    </w:p>
    <w:p w14:paraId="525C1907" w14:textId="32B2DBE2" w:rsidR="009011CB" w:rsidRDefault="009011CB" w:rsidP="009011CB">
      <w:pPr>
        <w:pStyle w:val="Paragraphedeliste"/>
        <w:numPr>
          <w:ilvl w:val="1"/>
          <w:numId w:val="23"/>
        </w:numPr>
        <w:spacing w:after="120"/>
      </w:pPr>
      <w:r>
        <w:t>L</w:t>
      </w:r>
      <w:r w:rsidR="00E5446A">
        <w:t>es viandes désossées</w:t>
      </w:r>
      <w:r w:rsidR="006279CF">
        <w:t xml:space="preserve"> SF</w:t>
      </w:r>
      <w:r w:rsidR="00E5446A">
        <w:t xml:space="preserve"> (</w:t>
      </w:r>
      <w:r w:rsidR="004F3BD7">
        <w:t>02101981 ; 32</w:t>
      </w:r>
      <w:r w:rsidR="0054626F">
        <w:t> </w:t>
      </w:r>
      <w:r w:rsidR="004F3BD7">
        <w:t>kt)</w:t>
      </w:r>
      <w:r w:rsidR="006279CF">
        <w:t>,</w:t>
      </w:r>
    </w:p>
    <w:p w14:paraId="5342F278" w14:textId="2A8FD04B" w:rsidR="009011CB" w:rsidRDefault="009011CB" w:rsidP="009011CB">
      <w:pPr>
        <w:pStyle w:val="Paragraphedeliste"/>
        <w:numPr>
          <w:ilvl w:val="1"/>
          <w:numId w:val="23"/>
        </w:numPr>
        <w:spacing w:after="120"/>
      </w:pPr>
      <w:r>
        <w:t xml:space="preserve">Les jambons SF </w:t>
      </w:r>
      <w:r w:rsidR="006279CF" w:rsidRPr="00BE30A0">
        <w:rPr>
          <w:szCs w:val="22"/>
        </w:rPr>
        <w:t>(</w:t>
      </w:r>
      <w:r w:rsidR="006279CF" w:rsidRPr="00C237BA">
        <w:rPr>
          <w:rFonts w:eastAsia="Times New Roman"/>
          <w:color w:val="000000"/>
          <w:szCs w:val="22"/>
          <w:lang w:eastAsia="fr-FR"/>
        </w:rPr>
        <w:t>02101131</w:t>
      </w:r>
      <w:r w:rsidR="006279CF" w:rsidRPr="00BE30A0">
        <w:rPr>
          <w:rFonts w:eastAsia="Times New Roman"/>
          <w:color w:val="000000"/>
          <w:szCs w:val="22"/>
          <w:lang w:eastAsia="fr-FR"/>
        </w:rPr>
        <w:t> ; 6,2</w:t>
      </w:r>
      <w:r w:rsidR="0054626F">
        <w:rPr>
          <w:rFonts w:eastAsia="Times New Roman"/>
          <w:color w:val="000000"/>
          <w:szCs w:val="22"/>
          <w:lang w:eastAsia="fr-FR"/>
        </w:rPr>
        <w:t> </w:t>
      </w:r>
      <w:r w:rsidR="006279CF" w:rsidRPr="00BE30A0">
        <w:rPr>
          <w:rFonts w:eastAsia="Times New Roman"/>
          <w:color w:val="000000"/>
          <w:szCs w:val="22"/>
          <w:lang w:eastAsia="fr-FR"/>
        </w:rPr>
        <w:t>kt),</w:t>
      </w:r>
    </w:p>
    <w:p w14:paraId="32D73911" w14:textId="516BEA7C" w:rsidR="006C35C7" w:rsidRDefault="009011CB" w:rsidP="006C35C7">
      <w:pPr>
        <w:pStyle w:val="Paragraphedeliste"/>
        <w:numPr>
          <w:ilvl w:val="1"/>
          <w:numId w:val="23"/>
        </w:numPr>
        <w:ind w:left="1434" w:hanging="357"/>
      </w:pPr>
      <w:r>
        <w:t>L</w:t>
      </w:r>
      <w:r w:rsidR="00DC3D77">
        <w:t>es saucisses et saucissons non cuits (</w:t>
      </w:r>
      <w:r w:rsidR="00F448CF">
        <w:t xml:space="preserve">16010091 ; </w:t>
      </w:r>
      <w:r w:rsidR="00DC3D77">
        <w:t>35,7</w:t>
      </w:r>
      <w:r w:rsidR="0054626F">
        <w:t> </w:t>
      </w:r>
      <w:r w:rsidR="00DC3D77">
        <w:t>kt)</w:t>
      </w:r>
    </w:p>
    <w:p w14:paraId="0C7E6A88" w14:textId="61D8C0C3" w:rsidR="00241B56" w:rsidRDefault="00241B56" w:rsidP="006C35C7">
      <w:pPr>
        <w:pStyle w:val="Paragraphedeliste"/>
        <w:numPr>
          <w:ilvl w:val="1"/>
          <w:numId w:val="23"/>
        </w:numPr>
        <w:ind w:left="1434" w:hanging="357"/>
      </w:pPr>
      <w:r>
        <w:t xml:space="preserve">Les épaules SF </w:t>
      </w:r>
      <w:r w:rsidRPr="00241B56">
        <w:rPr>
          <w:szCs w:val="22"/>
        </w:rPr>
        <w:t>(</w:t>
      </w:r>
      <w:r w:rsidRPr="00C237BA">
        <w:rPr>
          <w:rFonts w:eastAsia="Times New Roman"/>
          <w:color w:val="000000"/>
          <w:szCs w:val="22"/>
          <w:lang w:eastAsia="fr-FR"/>
        </w:rPr>
        <w:t>02101139</w:t>
      </w:r>
      <w:r>
        <w:rPr>
          <w:rFonts w:eastAsia="Times New Roman"/>
          <w:color w:val="000000"/>
          <w:szCs w:val="22"/>
          <w:lang w:eastAsia="fr-FR"/>
        </w:rPr>
        <w:t> ; 0,1</w:t>
      </w:r>
      <w:r w:rsidR="0054626F">
        <w:rPr>
          <w:rFonts w:eastAsia="Times New Roman"/>
          <w:color w:val="000000"/>
          <w:szCs w:val="22"/>
          <w:lang w:eastAsia="fr-FR"/>
        </w:rPr>
        <w:t> </w:t>
      </w:r>
      <w:r>
        <w:rPr>
          <w:rFonts w:eastAsia="Times New Roman"/>
          <w:color w:val="000000"/>
          <w:szCs w:val="22"/>
          <w:lang w:eastAsia="fr-FR"/>
        </w:rPr>
        <w:t>kt)</w:t>
      </w:r>
    </w:p>
    <w:p w14:paraId="2D04F575" w14:textId="5158EFE4" w:rsidR="00740CEB" w:rsidRPr="00C2707C" w:rsidRDefault="00C2707C" w:rsidP="0002537E">
      <w:pPr>
        <w:pStyle w:val="Paragraphedeliste"/>
        <w:numPr>
          <w:ilvl w:val="0"/>
          <w:numId w:val="0"/>
        </w:numPr>
        <w:spacing w:after="240"/>
        <w:ind w:left="720"/>
      </w:pPr>
      <w:r>
        <w:t>p</w:t>
      </w:r>
      <w:r w:rsidR="00F448CF">
        <w:t xml:space="preserve">our un </w:t>
      </w:r>
      <w:r w:rsidR="00F448CF" w:rsidRPr="00C2707C">
        <w:t>total de 67,7</w:t>
      </w:r>
      <w:r w:rsidR="0054626F">
        <w:t> </w:t>
      </w:r>
      <w:r w:rsidR="00F448CF" w:rsidRPr="00C2707C">
        <w:t xml:space="preserve">kt. </w:t>
      </w:r>
      <w:r w:rsidR="00B075C0" w:rsidRPr="00C2707C">
        <w:t>Le</w:t>
      </w:r>
      <w:r w:rsidR="00466993" w:rsidRPr="00C2707C">
        <w:t>s</w:t>
      </w:r>
      <w:r w:rsidR="00B075C0" w:rsidRPr="00C2707C">
        <w:t xml:space="preserve"> </w:t>
      </w:r>
      <w:r w:rsidR="00466993" w:rsidRPr="00C2707C">
        <w:t xml:space="preserve">deux </w:t>
      </w:r>
      <w:r w:rsidR="00B075C0" w:rsidRPr="00C2707C">
        <w:t>premi</w:t>
      </w:r>
      <w:r w:rsidR="00790499" w:rsidRPr="00C2707C">
        <w:t>ères catégories</w:t>
      </w:r>
      <w:r w:rsidR="00B075C0" w:rsidRPr="00C2707C">
        <w:t xml:space="preserve"> couvrirai</w:t>
      </w:r>
      <w:r w:rsidR="00466993" w:rsidRPr="00C2707C">
        <w:t>en</w:t>
      </w:r>
      <w:r w:rsidR="00B075C0" w:rsidRPr="00C2707C">
        <w:t>t les jambons secs italiens</w:t>
      </w:r>
      <w:r w:rsidR="00466993" w:rsidRPr="00C2707C">
        <w:t>, les</w:t>
      </w:r>
      <w:r w:rsidR="00AE4683" w:rsidRPr="00C2707C">
        <w:t xml:space="preserve"> jambon</w:t>
      </w:r>
      <w:r w:rsidR="00727860" w:rsidRPr="00C2707C">
        <w:t>s</w:t>
      </w:r>
      <w:r w:rsidR="00AE4683" w:rsidRPr="00C2707C">
        <w:t xml:space="preserve"> de Parme</w:t>
      </w:r>
      <w:r w:rsidR="00466993" w:rsidRPr="00C2707C">
        <w:t xml:space="preserve"> et les jambon</w:t>
      </w:r>
      <w:r w:rsidR="009411C3" w:rsidRPr="00C2707C">
        <w:t xml:space="preserve">s </w:t>
      </w:r>
      <w:r w:rsidR="00644E95" w:rsidRPr="00C2707C">
        <w:t>espagnols de type Serrano</w:t>
      </w:r>
      <w:r w:rsidR="0038609B" w:rsidRPr="00C2707C">
        <w:t xml:space="preserve"> respectivement en présentation tranché et en pièce entière à destination de la coupe et des réseaux traditionnels. L</w:t>
      </w:r>
      <w:r w:rsidR="009D329D" w:rsidRPr="00C2707C">
        <w:t xml:space="preserve">e troisième </w:t>
      </w:r>
      <w:r w:rsidR="0038609B" w:rsidRPr="00C2707C">
        <w:t xml:space="preserve">code </w:t>
      </w:r>
      <w:r w:rsidR="0019186F">
        <w:t>s’appliquerait</w:t>
      </w:r>
      <w:r w:rsidR="009D329D" w:rsidRPr="00C2707C">
        <w:t xml:space="preserve"> en particulier </w:t>
      </w:r>
      <w:r w:rsidR="00ED0C91" w:rsidRPr="00C2707C">
        <w:t>au chorizo espagnol</w:t>
      </w:r>
      <w:r w:rsidR="00DB1FF4" w:rsidRPr="00C2707C">
        <w:t>.</w:t>
      </w:r>
    </w:p>
    <w:p w14:paraId="66CA0130" w14:textId="688D1F10" w:rsidR="000F157D" w:rsidRDefault="00DF49A0" w:rsidP="00C2707C">
      <w:pPr>
        <w:pStyle w:val="Paragraphedeliste"/>
        <w:spacing w:after="120"/>
        <w:ind w:left="714" w:hanging="357"/>
      </w:pPr>
      <w:r w:rsidRPr="005C7921">
        <w:rPr>
          <w:u w:val="single"/>
        </w:rPr>
        <w:t xml:space="preserve">Les </w:t>
      </w:r>
      <w:r w:rsidR="000C24AC" w:rsidRPr="005C7921">
        <w:rPr>
          <w:u w:val="single"/>
        </w:rPr>
        <w:t>autres saucisses et saucissons</w:t>
      </w:r>
      <w:r w:rsidR="000C24AC" w:rsidRPr="00C2707C">
        <w:t xml:space="preserve"> (</w:t>
      </w:r>
      <w:r w:rsidR="000E4FB3" w:rsidRPr="00C2707C">
        <w:t>16010099</w:t>
      </w:r>
      <w:r w:rsidR="000C24AC" w:rsidRPr="00C2707C">
        <w:t> ;</w:t>
      </w:r>
      <w:r w:rsidR="00345847" w:rsidRPr="00C2707C">
        <w:t xml:space="preserve"> 44,9</w:t>
      </w:r>
      <w:r w:rsidR="0054626F">
        <w:t> </w:t>
      </w:r>
      <w:r w:rsidR="00345847" w:rsidRPr="00C2707C">
        <w:t>kt</w:t>
      </w:r>
      <w:r w:rsidR="000C24AC" w:rsidRPr="00C2707C">
        <w:t xml:space="preserve">) </w:t>
      </w:r>
      <w:r w:rsidR="0083698A" w:rsidRPr="00C2707C">
        <w:t xml:space="preserve">en provenance d’Allemagne et de Belgique </w:t>
      </w:r>
      <w:r w:rsidR="00BB074C">
        <w:t>se rapporteraient</w:t>
      </w:r>
      <w:r w:rsidR="0083698A" w:rsidRPr="00C2707C">
        <w:t xml:space="preserve"> </w:t>
      </w:r>
      <w:r w:rsidR="00515FAD" w:rsidRPr="00C2707C">
        <w:t xml:space="preserve">notamment </w:t>
      </w:r>
      <w:r w:rsidR="0083698A" w:rsidRPr="00C2707C">
        <w:t>à des saucisses à pâtes fine</w:t>
      </w:r>
      <w:r w:rsidR="00515FAD" w:rsidRPr="00C2707C">
        <w:t>s</w:t>
      </w:r>
      <w:r w:rsidR="00C233C4" w:rsidRPr="00C2707C">
        <w:t xml:space="preserve"> </w:t>
      </w:r>
      <w:r w:rsidR="001324C7" w:rsidRPr="00C2707C">
        <w:t xml:space="preserve">plus particulièrement </w:t>
      </w:r>
      <w:r w:rsidR="00BB074C">
        <w:t xml:space="preserve">affectées à </w:t>
      </w:r>
      <w:r w:rsidR="001324C7" w:rsidRPr="00C2707C">
        <w:t>la restauration commerciale</w:t>
      </w:r>
      <w:r w:rsidR="00515FAD" w:rsidRPr="00C2707C">
        <w:t>.</w:t>
      </w:r>
      <w:r w:rsidR="001324C7" w:rsidRPr="00C2707C">
        <w:t xml:space="preserve"> Ce point sera développé plus loin.</w:t>
      </w:r>
      <w:r w:rsidR="00C94EF9" w:rsidRPr="00C2707C">
        <w:t xml:space="preserve"> </w:t>
      </w:r>
      <w:r w:rsidR="00AD26D4">
        <w:t xml:space="preserve">Figurent également parmi les produits de cette catégorie, du salami en provenance d’Allemagne. </w:t>
      </w:r>
      <w:r w:rsidR="00BF2D5B" w:rsidRPr="00C2707C">
        <w:t>Quant au</w:t>
      </w:r>
      <w:r w:rsidR="003176B7">
        <w:t>x</w:t>
      </w:r>
      <w:r w:rsidR="00BF2D5B" w:rsidRPr="00C2707C">
        <w:t xml:space="preserve"> 5</w:t>
      </w:r>
      <w:r w:rsidR="0054626F">
        <w:t> </w:t>
      </w:r>
      <w:r w:rsidR="00BF2D5B" w:rsidRPr="00C2707C">
        <w:t xml:space="preserve">kt </w:t>
      </w:r>
      <w:r w:rsidR="003176B7">
        <w:t xml:space="preserve">sous cette même désignation produit et </w:t>
      </w:r>
      <w:r w:rsidR="00BF2D5B" w:rsidRPr="00C2707C">
        <w:t xml:space="preserve">en provenance d’Italie, il </w:t>
      </w:r>
      <w:r w:rsidR="00C233C4" w:rsidRPr="00C2707C">
        <w:t>s’agir</w:t>
      </w:r>
      <w:r w:rsidR="00CE7B71">
        <w:t>ait</w:t>
      </w:r>
      <w:r w:rsidR="00C233C4" w:rsidRPr="00C2707C">
        <w:t xml:space="preserve"> </w:t>
      </w:r>
      <w:r w:rsidR="00CE7B71">
        <w:t xml:space="preserve">en partie </w:t>
      </w:r>
      <w:r w:rsidR="00C2707C" w:rsidRPr="00C2707C">
        <w:t>de mortadelle.</w:t>
      </w:r>
    </w:p>
    <w:tbl>
      <w:tblPr>
        <w:tblW w:w="9634" w:type="dxa"/>
        <w:tblLayout w:type="fixed"/>
        <w:tblCellMar>
          <w:left w:w="70" w:type="dxa"/>
          <w:right w:w="70" w:type="dxa"/>
        </w:tblCellMar>
        <w:tblLook w:val="04A0" w:firstRow="1" w:lastRow="0" w:firstColumn="1" w:lastColumn="0" w:noHBand="0" w:noVBand="1"/>
      </w:tblPr>
      <w:tblGrid>
        <w:gridCol w:w="1271"/>
        <w:gridCol w:w="1559"/>
        <w:gridCol w:w="993"/>
        <w:gridCol w:w="1223"/>
        <w:gridCol w:w="899"/>
        <w:gridCol w:w="1068"/>
        <w:gridCol w:w="779"/>
        <w:gridCol w:w="1134"/>
        <w:gridCol w:w="708"/>
      </w:tblGrid>
      <w:tr w:rsidR="00F077A0" w:rsidRPr="00921B43" w14:paraId="687B41F6" w14:textId="77777777" w:rsidTr="00921B43">
        <w:trPr>
          <w:trHeight w:val="379"/>
        </w:trPr>
        <w:tc>
          <w:tcPr>
            <w:tcW w:w="1271"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55427C0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Nomenclature comb (N.C.)</w:t>
            </w:r>
          </w:p>
        </w:tc>
        <w:tc>
          <w:tcPr>
            <w:tcW w:w="1559" w:type="dxa"/>
            <w:tcBorders>
              <w:top w:val="single" w:sz="4" w:space="0" w:color="auto"/>
              <w:left w:val="nil"/>
              <w:bottom w:val="single" w:sz="4" w:space="0" w:color="auto"/>
              <w:right w:val="single" w:sz="4" w:space="0" w:color="auto"/>
            </w:tcBorders>
            <w:shd w:val="clear" w:color="000000" w:fill="A6A6A6"/>
            <w:vAlign w:val="center"/>
            <w:hideMark/>
          </w:tcPr>
          <w:p w14:paraId="729D0F0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Libellés produits </w:t>
            </w:r>
          </w:p>
        </w:tc>
        <w:tc>
          <w:tcPr>
            <w:tcW w:w="993" w:type="dxa"/>
            <w:tcBorders>
              <w:top w:val="single" w:sz="4" w:space="0" w:color="auto"/>
              <w:left w:val="nil"/>
              <w:bottom w:val="single" w:sz="4" w:space="0" w:color="auto"/>
              <w:right w:val="single" w:sz="4" w:space="0" w:color="auto"/>
            </w:tcBorders>
            <w:shd w:val="clear" w:color="000000" w:fill="A6A6A6"/>
            <w:vAlign w:val="center"/>
            <w:hideMark/>
          </w:tcPr>
          <w:p w14:paraId="0E5579E0" w14:textId="2F58C720" w:rsidR="00C237BA" w:rsidRPr="0054626F" w:rsidRDefault="00EF6A92" w:rsidP="0002537E">
            <w:pPr>
              <w:spacing w:after="0" w:line="240" w:lineRule="auto"/>
              <w:rPr>
                <w:rFonts w:cs="Arial"/>
                <w:sz w:val="18"/>
                <w:szCs w:val="18"/>
                <w:lang w:eastAsia="fr-FR"/>
              </w:rPr>
            </w:pPr>
            <w:r w:rsidRPr="0054626F">
              <w:rPr>
                <w:rFonts w:cs="Arial"/>
                <w:sz w:val="18"/>
                <w:szCs w:val="18"/>
                <w:lang w:eastAsia="fr-FR"/>
              </w:rPr>
              <w:t xml:space="preserve">Total </w:t>
            </w:r>
            <w:r w:rsidR="00C237BA" w:rsidRPr="0054626F">
              <w:rPr>
                <w:rFonts w:cs="Arial"/>
                <w:sz w:val="18"/>
                <w:szCs w:val="18"/>
                <w:lang w:eastAsia="fr-FR"/>
              </w:rPr>
              <w:t xml:space="preserve">Vol </w:t>
            </w:r>
          </w:p>
        </w:tc>
        <w:tc>
          <w:tcPr>
            <w:tcW w:w="1223" w:type="dxa"/>
            <w:tcBorders>
              <w:top w:val="single" w:sz="4" w:space="0" w:color="auto"/>
              <w:left w:val="single" w:sz="4" w:space="0" w:color="auto"/>
              <w:bottom w:val="single" w:sz="4" w:space="0" w:color="auto"/>
              <w:right w:val="nil"/>
            </w:tcBorders>
            <w:shd w:val="clear" w:color="000000" w:fill="A6A6A6"/>
            <w:vAlign w:val="center"/>
            <w:hideMark/>
          </w:tcPr>
          <w:p w14:paraId="0031380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Pays 1</w:t>
            </w:r>
          </w:p>
        </w:tc>
        <w:tc>
          <w:tcPr>
            <w:tcW w:w="899"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B4034F8" w14:textId="7D13DC8B"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Vol</w:t>
            </w:r>
          </w:p>
        </w:tc>
        <w:tc>
          <w:tcPr>
            <w:tcW w:w="1068" w:type="dxa"/>
            <w:tcBorders>
              <w:top w:val="single" w:sz="4" w:space="0" w:color="auto"/>
              <w:left w:val="single" w:sz="4" w:space="0" w:color="auto"/>
              <w:bottom w:val="single" w:sz="4" w:space="0" w:color="auto"/>
              <w:right w:val="nil"/>
            </w:tcBorders>
            <w:shd w:val="clear" w:color="000000" w:fill="A6A6A6"/>
            <w:vAlign w:val="center"/>
            <w:hideMark/>
          </w:tcPr>
          <w:p w14:paraId="693CFDA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Pays 2</w:t>
            </w:r>
          </w:p>
        </w:tc>
        <w:tc>
          <w:tcPr>
            <w:tcW w:w="779"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63DC3673" w14:textId="4A82DEC1"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Vol</w:t>
            </w:r>
          </w:p>
        </w:tc>
        <w:tc>
          <w:tcPr>
            <w:tcW w:w="1134" w:type="dxa"/>
            <w:tcBorders>
              <w:top w:val="single" w:sz="4" w:space="0" w:color="auto"/>
              <w:left w:val="single" w:sz="4" w:space="0" w:color="auto"/>
              <w:bottom w:val="single" w:sz="4" w:space="0" w:color="auto"/>
              <w:right w:val="nil"/>
            </w:tcBorders>
            <w:shd w:val="clear" w:color="000000" w:fill="A6A6A6"/>
            <w:vAlign w:val="center"/>
            <w:hideMark/>
          </w:tcPr>
          <w:p w14:paraId="1221D5DD"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Pays 3</w:t>
            </w:r>
          </w:p>
        </w:tc>
        <w:tc>
          <w:tcPr>
            <w:tcW w:w="708"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7162AF8" w14:textId="683A5776"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Vol</w:t>
            </w:r>
          </w:p>
        </w:tc>
      </w:tr>
      <w:tr w:rsidR="00921B43" w:rsidRPr="00D27BB9" w14:paraId="22D90D2E" w14:textId="77777777" w:rsidTr="0002537E">
        <w:trPr>
          <w:trHeight w:val="300"/>
        </w:trPr>
        <w:tc>
          <w:tcPr>
            <w:tcW w:w="2830" w:type="dxa"/>
            <w:gridSpan w:val="2"/>
            <w:tcBorders>
              <w:top w:val="single" w:sz="4" w:space="0" w:color="auto"/>
              <w:left w:val="single" w:sz="4" w:space="0" w:color="auto"/>
              <w:bottom w:val="single" w:sz="4" w:space="0" w:color="auto"/>
              <w:right w:val="single" w:sz="4" w:space="0" w:color="000000"/>
            </w:tcBorders>
            <w:shd w:val="clear" w:color="000000" w:fill="A6A6A6"/>
            <w:vAlign w:val="center"/>
            <w:hideMark/>
          </w:tcPr>
          <w:p w14:paraId="5B9E5A59" w14:textId="5C00CB21"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Total produits </w:t>
            </w:r>
            <w:r w:rsidR="00E5446A" w:rsidRPr="0054626F">
              <w:rPr>
                <w:rFonts w:cs="Arial"/>
                <w:sz w:val="18"/>
                <w:szCs w:val="18"/>
                <w:lang w:eastAsia="fr-FR"/>
              </w:rPr>
              <w:t>transformés</w:t>
            </w:r>
          </w:p>
        </w:tc>
        <w:tc>
          <w:tcPr>
            <w:tcW w:w="993" w:type="dxa"/>
            <w:tcBorders>
              <w:top w:val="single" w:sz="4" w:space="0" w:color="auto"/>
              <w:left w:val="nil"/>
              <w:bottom w:val="single" w:sz="4" w:space="0" w:color="auto"/>
              <w:right w:val="single" w:sz="4" w:space="0" w:color="auto"/>
            </w:tcBorders>
            <w:shd w:val="clear" w:color="000000" w:fill="A6A6A6"/>
            <w:vAlign w:val="center"/>
            <w:hideMark/>
          </w:tcPr>
          <w:p w14:paraId="64FCFC52"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125</w:t>
            </w:r>
          </w:p>
        </w:tc>
        <w:tc>
          <w:tcPr>
            <w:tcW w:w="1223" w:type="dxa"/>
            <w:tcBorders>
              <w:top w:val="single" w:sz="4" w:space="0" w:color="auto"/>
              <w:left w:val="nil"/>
              <w:bottom w:val="single" w:sz="4" w:space="0" w:color="auto"/>
              <w:right w:val="single" w:sz="4" w:space="0" w:color="auto"/>
            </w:tcBorders>
            <w:shd w:val="clear" w:color="000000" w:fill="A6A6A6"/>
            <w:vAlign w:val="center"/>
            <w:hideMark/>
          </w:tcPr>
          <w:p w14:paraId="5868B68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899" w:type="dxa"/>
            <w:tcBorders>
              <w:top w:val="single" w:sz="4" w:space="0" w:color="auto"/>
              <w:left w:val="nil"/>
              <w:bottom w:val="single" w:sz="4" w:space="0" w:color="auto"/>
              <w:right w:val="single" w:sz="4" w:space="0" w:color="auto"/>
            </w:tcBorders>
            <w:shd w:val="clear" w:color="000000" w:fill="A6A6A6"/>
            <w:vAlign w:val="center"/>
            <w:hideMark/>
          </w:tcPr>
          <w:p w14:paraId="442EF943"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1068" w:type="dxa"/>
            <w:tcBorders>
              <w:top w:val="single" w:sz="4" w:space="0" w:color="auto"/>
              <w:left w:val="nil"/>
              <w:bottom w:val="single" w:sz="4" w:space="0" w:color="auto"/>
              <w:right w:val="single" w:sz="4" w:space="0" w:color="auto"/>
            </w:tcBorders>
            <w:shd w:val="clear" w:color="000000" w:fill="A6A6A6"/>
            <w:vAlign w:val="center"/>
            <w:hideMark/>
          </w:tcPr>
          <w:p w14:paraId="591D5D3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779" w:type="dxa"/>
            <w:tcBorders>
              <w:top w:val="single" w:sz="4" w:space="0" w:color="auto"/>
              <w:left w:val="nil"/>
              <w:bottom w:val="single" w:sz="4" w:space="0" w:color="auto"/>
              <w:right w:val="single" w:sz="4" w:space="0" w:color="auto"/>
            </w:tcBorders>
            <w:shd w:val="clear" w:color="000000" w:fill="A6A6A6"/>
            <w:vAlign w:val="center"/>
            <w:hideMark/>
          </w:tcPr>
          <w:p w14:paraId="568E446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1134" w:type="dxa"/>
            <w:tcBorders>
              <w:top w:val="single" w:sz="4" w:space="0" w:color="auto"/>
              <w:left w:val="nil"/>
              <w:bottom w:val="single" w:sz="4" w:space="0" w:color="auto"/>
              <w:right w:val="single" w:sz="4" w:space="0" w:color="auto"/>
            </w:tcBorders>
            <w:shd w:val="clear" w:color="000000" w:fill="A6A6A6"/>
            <w:vAlign w:val="center"/>
            <w:hideMark/>
          </w:tcPr>
          <w:p w14:paraId="2AE2DE1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c>
          <w:tcPr>
            <w:tcW w:w="708" w:type="dxa"/>
            <w:tcBorders>
              <w:top w:val="single" w:sz="4" w:space="0" w:color="auto"/>
              <w:left w:val="nil"/>
              <w:bottom w:val="single" w:sz="4" w:space="0" w:color="auto"/>
              <w:right w:val="single" w:sz="4" w:space="0" w:color="auto"/>
            </w:tcBorders>
            <w:shd w:val="clear" w:color="000000" w:fill="A6A6A6"/>
            <w:vAlign w:val="center"/>
            <w:hideMark/>
          </w:tcPr>
          <w:p w14:paraId="5C6ED472"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w:t>
            </w:r>
          </w:p>
        </w:tc>
      </w:tr>
      <w:tr w:rsidR="00921B43" w:rsidRPr="00C237BA" w14:paraId="357602D4" w14:textId="77777777" w:rsidTr="0002537E">
        <w:trPr>
          <w:trHeight w:val="281"/>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DB698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02101111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B6CA61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Jambons SS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22C2A1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0,4</w:t>
            </w:r>
          </w:p>
        </w:tc>
        <w:tc>
          <w:tcPr>
            <w:tcW w:w="1223" w:type="dxa"/>
            <w:tcBorders>
              <w:top w:val="single" w:sz="4" w:space="0" w:color="auto"/>
              <w:left w:val="nil"/>
              <w:bottom w:val="single" w:sz="4" w:space="0" w:color="auto"/>
              <w:right w:val="single" w:sz="4" w:space="0" w:color="auto"/>
            </w:tcBorders>
            <w:shd w:val="clear" w:color="auto" w:fill="auto"/>
            <w:noWrap/>
            <w:vAlign w:val="center"/>
            <w:hideMark/>
          </w:tcPr>
          <w:p w14:paraId="7358034E" w14:textId="3E225601"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Italie</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1283BBB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0,3</w:t>
            </w:r>
          </w:p>
        </w:tc>
        <w:tc>
          <w:tcPr>
            <w:tcW w:w="1068" w:type="dxa"/>
            <w:tcBorders>
              <w:top w:val="single" w:sz="4" w:space="0" w:color="auto"/>
              <w:left w:val="nil"/>
              <w:bottom w:val="single" w:sz="4" w:space="0" w:color="auto"/>
              <w:right w:val="single" w:sz="4" w:space="0" w:color="auto"/>
            </w:tcBorders>
            <w:shd w:val="clear" w:color="auto" w:fill="auto"/>
            <w:noWrap/>
            <w:vAlign w:val="center"/>
            <w:hideMark/>
          </w:tcPr>
          <w:p w14:paraId="62C4B63D" w14:textId="5302CB0B"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Espagne</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2F9037CD"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AB96DB1" w14:textId="4BE34E98" w:rsidR="00C237BA" w:rsidRPr="0054626F" w:rsidRDefault="004D61B2" w:rsidP="0002537E">
            <w:pPr>
              <w:spacing w:after="0" w:line="240" w:lineRule="auto"/>
              <w:rPr>
                <w:rFonts w:cs="Arial"/>
                <w:sz w:val="18"/>
                <w:szCs w:val="18"/>
                <w:lang w:eastAsia="fr-FR"/>
              </w:rPr>
            </w:pPr>
            <w:r w:rsidRPr="0054626F">
              <w:rPr>
                <w:rFonts w:cs="Arial"/>
                <w:sz w:val="18"/>
                <w:szCs w:val="18"/>
                <w:lang w:eastAsia="fr-FR"/>
              </w:rPr>
              <w:t>Allemagne</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46B1FE4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0,02</w:t>
            </w:r>
          </w:p>
        </w:tc>
      </w:tr>
      <w:tr w:rsidR="00921B43" w:rsidRPr="00C237BA" w14:paraId="6713FBDF"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57489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02101131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E88D74C"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Jambons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2B83D8C"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6,2</w:t>
            </w:r>
          </w:p>
        </w:tc>
        <w:tc>
          <w:tcPr>
            <w:tcW w:w="1223" w:type="dxa"/>
            <w:tcBorders>
              <w:top w:val="single" w:sz="4" w:space="0" w:color="auto"/>
              <w:left w:val="nil"/>
              <w:bottom w:val="single" w:sz="4" w:space="0" w:color="auto"/>
              <w:right w:val="single" w:sz="4" w:space="0" w:color="auto"/>
            </w:tcBorders>
            <w:shd w:val="clear" w:color="auto" w:fill="auto"/>
            <w:noWrap/>
            <w:vAlign w:val="center"/>
            <w:hideMark/>
          </w:tcPr>
          <w:p w14:paraId="011E13E2" w14:textId="464A4219"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Espagne</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79ED676A"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2,1</w:t>
            </w:r>
          </w:p>
        </w:tc>
        <w:tc>
          <w:tcPr>
            <w:tcW w:w="1068" w:type="dxa"/>
            <w:tcBorders>
              <w:top w:val="single" w:sz="4" w:space="0" w:color="auto"/>
              <w:left w:val="nil"/>
              <w:bottom w:val="single" w:sz="4" w:space="0" w:color="auto"/>
              <w:right w:val="single" w:sz="4" w:space="0" w:color="auto"/>
            </w:tcBorders>
            <w:shd w:val="clear" w:color="auto" w:fill="auto"/>
            <w:noWrap/>
            <w:vAlign w:val="center"/>
            <w:hideMark/>
          </w:tcPr>
          <w:p w14:paraId="23A5550E" w14:textId="069D2A7A" w:rsidR="00C237BA" w:rsidRPr="0054626F" w:rsidRDefault="003D3C16" w:rsidP="0002537E">
            <w:pPr>
              <w:spacing w:after="0" w:line="240" w:lineRule="auto"/>
              <w:rPr>
                <w:rFonts w:cs="Arial"/>
                <w:sz w:val="18"/>
                <w:szCs w:val="18"/>
                <w:lang w:eastAsia="fr-FR"/>
              </w:rPr>
            </w:pPr>
            <w:r w:rsidRPr="0054626F">
              <w:rPr>
                <w:rFonts w:cs="Arial"/>
                <w:sz w:val="18"/>
                <w:szCs w:val="18"/>
                <w:lang w:eastAsia="fr-FR"/>
              </w:rPr>
              <w:t>Italie</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18BCCFB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E7A040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Belgique </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49F8C11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0,86</w:t>
            </w:r>
          </w:p>
        </w:tc>
      </w:tr>
      <w:tr w:rsidR="00921B43" w:rsidRPr="00C237BA" w14:paraId="4DE8A262"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B2918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02101139</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18590A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Epaules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C0B41B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0,1</w:t>
            </w:r>
          </w:p>
        </w:tc>
        <w:tc>
          <w:tcPr>
            <w:tcW w:w="1223" w:type="dxa"/>
            <w:tcBorders>
              <w:top w:val="single" w:sz="4" w:space="0" w:color="auto"/>
              <w:left w:val="nil"/>
              <w:bottom w:val="single" w:sz="4" w:space="0" w:color="auto"/>
              <w:right w:val="single" w:sz="4" w:space="0" w:color="auto"/>
            </w:tcBorders>
            <w:shd w:val="clear" w:color="auto" w:fill="auto"/>
            <w:noWrap/>
            <w:vAlign w:val="center"/>
            <w:hideMark/>
          </w:tcPr>
          <w:p w14:paraId="26E5DF28" w14:textId="29D69BD7"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Espagne</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5BAEBFCC"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0,1</w:t>
            </w:r>
          </w:p>
        </w:tc>
        <w:tc>
          <w:tcPr>
            <w:tcW w:w="1068" w:type="dxa"/>
            <w:tcBorders>
              <w:top w:val="single" w:sz="4" w:space="0" w:color="auto"/>
              <w:left w:val="nil"/>
              <w:bottom w:val="single" w:sz="4" w:space="0" w:color="auto"/>
              <w:right w:val="single" w:sz="4" w:space="0" w:color="auto"/>
            </w:tcBorders>
            <w:shd w:val="clear" w:color="auto" w:fill="auto"/>
            <w:noWrap/>
            <w:vAlign w:val="center"/>
            <w:hideMark/>
          </w:tcPr>
          <w:p w14:paraId="5A00CCC6" w14:textId="49FC36A9"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Portugal</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6BBCB5B3"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0,004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419371D6" w14:textId="571D7855" w:rsidR="00C237BA" w:rsidRPr="0054626F" w:rsidRDefault="004D61B2" w:rsidP="0002537E">
            <w:pPr>
              <w:spacing w:after="0" w:line="240" w:lineRule="auto"/>
              <w:rPr>
                <w:rFonts w:cs="Arial"/>
                <w:sz w:val="18"/>
                <w:szCs w:val="18"/>
                <w:lang w:eastAsia="fr-FR"/>
              </w:rPr>
            </w:pPr>
            <w:r w:rsidRPr="0054626F">
              <w:rPr>
                <w:rFonts w:cs="Arial"/>
                <w:sz w:val="18"/>
                <w:szCs w:val="18"/>
                <w:lang w:eastAsia="fr-FR"/>
              </w:rPr>
              <w:t>Allemagne</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5083087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0,005</w:t>
            </w:r>
          </w:p>
        </w:tc>
      </w:tr>
      <w:tr w:rsidR="00921B43" w:rsidRPr="00C237BA" w14:paraId="4868D726" w14:textId="77777777" w:rsidTr="0002537E">
        <w:trPr>
          <w:trHeight w:val="51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AA6BA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02101981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4F1E97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Viandes désossées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F978D91"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32,0</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541EEB1C" w14:textId="29254A05"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Italie</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412E7F8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15,6</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2FDFC054" w14:textId="39E5132F"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Espagne</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35E21F4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9,81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ED68238" w14:textId="71926212" w:rsidR="00C237BA" w:rsidRPr="0054626F" w:rsidRDefault="004D61B2" w:rsidP="0002537E">
            <w:pPr>
              <w:spacing w:after="0" w:line="240" w:lineRule="auto"/>
              <w:rPr>
                <w:rFonts w:cs="Arial"/>
                <w:sz w:val="18"/>
                <w:szCs w:val="18"/>
                <w:lang w:eastAsia="fr-FR"/>
              </w:rPr>
            </w:pPr>
            <w:r w:rsidRPr="0054626F">
              <w:rPr>
                <w:rFonts w:cs="Arial"/>
                <w:sz w:val="18"/>
                <w:szCs w:val="18"/>
                <w:lang w:eastAsia="fr-FR"/>
              </w:rPr>
              <w:t>Allemagne</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464E644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4,31</w:t>
            </w:r>
          </w:p>
        </w:tc>
      </w:tr>
      <w:tr w:rsidR="00921B43" w:rsidRPr="00C237BA" w14:paraId="7D6FF1F6"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1295D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02101960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90BF69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Parties avant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AFF8E11"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0,1</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78F9F72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Italie </w:t>
            </w:r>
          </w:p>
        </w:tc>
        <w:tc>
          <w:tcPr>
            <w:tcW w:w="899" w:type="dxa"/>
            <w:tcBorders>
              <w:top w:val="single" w:sz="4" w:space="0" w:color="auto"/>
              <w:left w:val="nil"/>
              <w:bottom w:val="single" w:sz="4" w:space="0" w:color="auto"/>
              <w:right w:val="single" w:sz="4" w:space="0" w:color="auto"/>
            </w:tcBorders>
            <w:shd w:val="clear" w:color="auto" w:fill="auto"/>
            <w:noWrap/>
            <w:vAlign w:val="center"/>
            <w:hideMark/>
          </w:tcPr>
          <w:p w14:paraId="288B1F88"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0,08</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7C457D31" w14:textId="22420E6E"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Portugal</w:t>
            </w:r>
          </w:p>
        </w:tc>
        <w:tc>
          <w:tcPr>
            <w:tcW w:w="779" w:type="dxa"/>
            <w:tcBorders>
              <w:top w:val="single" w:sz="4" w:space="0" w:color="auto"/>
              <w:left w:val="nil"/>
              <w:bottom w:val="single" w:sz="4" w:space="0" w:color="auto"/>
              <w:right w:val="single" w:sz="4" w:space="0" w:color="auto"/>
            </w:tcBorders>
            <w:shd w:val="clear" w:color="auto" w:fill="auto"/>
            <w:noWrap/>
            <w:vAlign w:val="center"/>
            <w:hideMark/>
          </w:tcPr>
          <w:p w14:paraId="10E0CA5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0,020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AC064D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Croatie</w:t>
            </w:r>
          </w:p>
        </w:tc>
        <w:tc>
          <w:tcPr>
            <w:tcW w:w="708" w:type="dxa"/>
            <w:tcBorders>
              <w:top w:val="single" w:sz="4" w:space="0" w:color="auto"/>
              <w:left w:val="nil"/>
              <w:bottom w:val="single" w:sz="4" w:space="0" w:color="auto"/>
              <w:right w:val="single" w:sz="4" w:space="0" w:color="auto"/>
            </w:tcBorders>
            <w:shd w:val="clear" w:color="auto" w:fill="auto"/>
            <w:noWrap/>
            <w:vAlign w:val="center"/>
            <w:hideMark/>
          </w:tcPr>
          <w:p w14:paraId="61EA87FD"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0,021</w:t>
            </w:r>
          </w:p>
        </w:tc>
      </w:tr>
      <w:tr w:rsidR="00921B43" w:rsidRPr="00C237BA" w14:paraId="6B04C079"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A270A3"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02101940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4C80A3C"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Longes SS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93D84A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0,6</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6816C0E0" w14:textId="16955D2A"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Belgique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4BF232C8"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0,45</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25930198" w14:textId="78AD02CB" w:rsidR="00C237BA" w:rsidRPr="0054626F" w:rsidRDefault="0014215E" w:rsidP="0002537E">
            <w:pPr>
              <w:spacing w:after="0" w:line="240" w:lineRule="auto"/>
              <w:rPr>
                <w:rFonts w:cs="Arial"/>
                <w:sz w:val="18"/>
                <w:szCs w:val="18"/>
                <w:lang w:eastAsia="fr-FR"/>
              </w:rPr>
            </w:pPr>
            <w:r w:rsidRPr="0054626F">
              <w:rPr>
                <w:rFonts w:cs="Arial"/>
                <w:sz w:val="18"/>
                <w:szCs w:val="18"/>
                <w:lang w:eastAsia="fr-FR"/>
              </w:rPr>
              <w:t>Irlande</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13B0DD0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31BB028"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Suède</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841AFD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0,003</w:t>
            </w:r>
          </w:p>
        </w:tc>
      </w:tr>
      <w:tr w:rsidR="00921B43" w:rsidRPr="00C237BA" w14:paraId="2C526316"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58D73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02101970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5B45638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Longes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007DFE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2,1</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19255AB1" w14:textId="7B23C256"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Belgique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4914ED8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2,03</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42E81FFE" w14:textId="66CAA103"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Portugal</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5E201A9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0,001</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0A98327"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Allemagne</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21936A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0,035</w:t>
            </w:r>
          </w:p>
        </w:tc>
      </w:tr>
      <w:tr w:rsidR="00921B43" w:rsidRPr="00C237BA" w14:paraId="236500D6"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B0023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02101950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E5276F6" w14:textId="7F4F1AB5" w:rsidR="00C237BA" w:rsidRPr="0054626F" w:rsidRDefault="00C237BA" w:rsidP="0002537E">
            <w:pPr>
              <w:spacing w:after="0" w:line="240" w:lineRule="auto"/>
              <w:jc w:val="left"/>
              <w:rPr>
                <w:rFonts w:cs="Arial"/>
                <w:sz w:val="18"/>
                <w:szCs w:val="18"/>
                <w:lang w:eastAsia="fr-FR"/>
              </w:rPr>
            </w:pPr>
            <w:r w:rsidRPr="0054626F">
              <w:rPr>
                <w:rFonts w:cs="Arial"/>
                <w:sz w:val="18"/>
                <w:szCs w:val="18"/>
                <w:lang w:eastAsia="fr-FR"/>
              </w:rPr>
              <w:t>Autres viandes SS</w:t>
            </w:r>
            <w:r w:rsidR="00AD6C21" w:rsidRPr="0054626F">
              <w:rPr>
                <w:rFonts w:cs="Arial"/>
                <w:sz w:val="18"/>
                <w:szCs w:val="18"/>
                <w:lang w:eastAsia="fr-FR"/>
              </w:rPr>
              <w:t xml:space="preserve"> (</w:t>
            </w:r>
            <w:r w:rsidR="00D10106" w:rsidRPr="0054626F">
              <w:rPr>
                <w:rFonts w:cs="Arial"/>
                <w:sz w:val="18"/>
                <w:szCs w:val="18"/>
                <w:lang w:eastAsia="fr-FR"/>
              </w:rPr>
              <w:t>coppas, lard, lomo)</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4CAA9A0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2,6</w:t>
            </w:r>
          </w:p>
        </w:tc>
        <w:tc>
          <w:tcPr>
            <w:tcW w:w="1223" w:type="dxa"/>
            <w:tcBorders>
              <w:top w:val="single" w:sz="4" w:space="0" w:color="auto"/>
              <w:left w:val="nil"/>
              <w:bottom w:val="nil"/>
              <w:right w:val="single" w:sz="4" w:space="0" w:color="auto"/>
            </w:tcBorders>
            <w:shd w:val="clear" w:color="auto" w:fill="auto"/>
            <w:vAlign w:val="center"/>
            <w:hideMark/>
          </w:tcPr>
          <w:p w14:paraId="47E2DBA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Pays Bas</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65114D7D"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0,84</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63D69A9C" w14:textId="57872702"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Espagne</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3AF6499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0,750</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1571BD16"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Danemark</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476FB44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0,44</w:t>
            </w:r>
          </w:p>
        </w:tc>
      </w:tr>
      <w:tr w:rsidR="00921B43" w:rsidRPr="00C237BA" w14:paraId="3212AA12" w14:textId="77777777" w:rsidTr="0002537E">
        <w:trPr>
          <w:trHeight w:val="300"/>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DDC5D1"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02101989</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AFAC5FA"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Autres viandes SF</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18A0D1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0,5</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28261722" w14:textId="25E35248"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Espagne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5852480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0,45</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67A1D6E5" w14:textId="7E1F6634"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Portugal</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46BE071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032255B9"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Belgique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73F4A4F"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0,02</w:t>
            </w:r>
          </w:p>
        </w:tc>
      </w:tr>
      <w:tr w:rsidR="00921B43" w:rsidRPr="00C237BA" w14:paraId="44DBC551" w14:textId="77777777" w:rsidTr="0002537E">
        <w:trPr>
          <w:trHeight w:val="395"/>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33834"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16010099</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295FD731"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Autres saucisses, saucissons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CCF446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44,9</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167FCF7B" w14:textId="1CD86382"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Allemagne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40474DA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20,0</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0A7B6481" w14:textId="573F3942" w:rsidR="00C237BA" w:rsidRPr="0054626F" w:rsidRDefault="00253FD4" w:rsidP="0002537E">
            <w:pPr>
              <w:spacing w:after="0" w:line="240" w:lineRule="auto"/>
              <w:rPr>
                <w:rFonts w:cs="Arial"/>
                <w:sz w:val="18"/>
                <w:szCs w:val="18"/>
                <w:lang w:eastAsia="fr-FR"/>
              </w:rPr>
            </w:pPr>
            <w:r w:rsidRPr="0054626F">
              <w:rPr>
                <w:rFonts w:cs="Arial"/>
                <w:sz w:val="18"/>
                <w:szCs w:val="18"/>
                <w:lang w:eastAsia="fr-FR"/>
              </w:rPr>
              <w:t>Belgique</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3ACB520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9,4</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25159920" w14:textId="4BDA0593" w:rsidR="00C237BA" w:rsidRPr="0054626F" w:rsidRDefault="00F448CF" w:rsidP="0002537E">
            <w:pPr>
              <w:spacing w:after="0" w:line="240" w:lineRule="auto"/>
              <w:rPr>
                <w:rFonts w:cs="Arial"/>
                <w:sz w:val="18"/>
                <w:szCs w:val="18"/>
                <w:lang w:eastAsia="fr-FR"/>
              </w:rPr>
            </w:pPr>
            <w:r w:rsidRPr="0054626F">
              <w:rPr>
                <w:rFonts w:cs="Arial"/>
                <w:sz w:val="18"/>
                <w:szCs w:val="18"/>
                <w:lang w:eastAsia="fr-FR"/>
              </w:rPr>
              <w:t>Italie</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48A03345"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5,1</w:t>
            </w:r>
          </w:p>
        </w:tc>
      </w:tr>
      <w:tr w:rsidR="00921B43" w:rsidRPr="00C237BA" w14:paraId="1B5B3D74" w14:textId="77777777" w:rsidTr="0002537E">
        <w:trPr>
          <w:trHeight w:val="433"/>
        </w:trPr>
        <w:tc>
          <w:tcPr>
            <w:tcW w:w="12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2D99C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16010091</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76724475" w14:textId="77777777" w:rsidR="00C237BA" w:rsidRPr="0054626F" w:rsidRDefault="00C237BA" w:rsidP="0002537E">
            <w:pPr>
              <w:spacing w:after="0" w:line="240" w:lineRule="auto"/>
              <w:jc w:val="left"/>
              <w:rPr>
                <w:rFonts w:cs="Arial"/>
                <w:sz w:val="18"/>
                <w:szCs w:val="18"/>
                <w:lang w:eastAsia="fr-FR"/>
              </w:rPr>
            </w:pPr>
            <w:r w:rsidRPr="0054626F">
              <w:rPr>
                <w:rFonts w:cs="Arial"/>
                <w:sz w:val="18"/>
                <w:szCs w:val="18"/>
                <w:lang w:eastAsia="fr-FR"/>
              </w:rPr>
              <w:t>Saucisses et saucissons non cuits</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8B9276E"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35,7</w:t>
            </w:r>
          </w:p>
        </w:tc>
        <w:tc>
          <w:tcPr>
            <w:tcW w:w="1223" w:type="dxa"/>
            <w:tcBorders>
              <w:top w:val="single" w:sz="4" w:space="0" w:color="auto"/>
              <w:left w:val="nil"/>
              <w:bottom w:val="single" w:sz="4" w:space="0" w:color="auto"/>
              <w:right w:val="single" w:sz="4" w:space="0" w:color="auto"/>
            </w:tcBorders>
            <w:shd w:val="clear" w:color="auto" w:fill="auto"/>
            <w:vAlign w:val="center"/>
            <w:hideMark/>
          </w:tcPr>
          <w:p w14:paraId="122A623B" w14:textId="346E336A" w:rsidR="00C237BA" w:rsidRPr="0054626F" w:rsidRDefault="000E68E5" w:rsidP="0002537E">
            <w:pPr>
              <w:spacing w:after="0" w:line="240" w:lineRule="auto"/>
              <w:rPr>
                <w:rFonts w:cs="Arial"/>
                <w:sz w:val="18"/>
                <w:szCs w:val="18"/>
                <w:lang w:eastAsia="fr-FR"/>
              </w:rPr>
            </w:pPr>
            <w:r w:rsidRPr="0054626F">
              <w:rPr>
                <w:rFonts w:cs="Arial"/>
                <w:sz w:val="18"/>
                <w:szCs w:val="18"/>
                <w:lang w:eastAsia="fr-FR"/>
              </w:rPr>
              <w:t>Espagne</w:t>
            </w:r>
          </w:p>
        </w:tc>
        <w:tc>
          <w:tcPr>
            <w:tcW w:w="899" w:type="dxa"/>
            <w:tcBorders>
              <w:top w:val="single" w:sz="4" w:space="0" w:color="auto"/>
              <w:left w:val="nil"/>
              <w:bottom w:val="single" w:sz="4" w:space="0" w:color="auto"/>
              <w:right w:val="single" w:sz="4" w:space="0" w:color="auto"/>
            </w:tcBorders>
            <w:shd w:val="clear" w:color="auto" w:fill="auto"/>
            <w:vAlign w:val="center"/>
            <w:hideMark/>
          </w:tcPr>
          <w:p w14:paraId="7F073EE8"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23,0</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54054370"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Allemagne</w:t>
            </w:r>
          </w:p>
        </w:tc>
        <w:tc>
          <w:tcPr>
            <w:tcW w:w="779" w:type="dxa"/>
            <w:tcBorders>
              <w:top w:val="single" w:sz="4" w:space="0" w:color="auto"/>
              <w:left w:val="nil"/>
              <w:bottom w:val="single" w:sz="4" w:space="0" w:color="auto"/>
              <w:right w:val="single" w:sz="4" w:space="0" w:color="auto"/>
            </w:tcBorders>
            <w:shd w:val="clear" w:color="auto" w:fill="auto"/>
            <w:vAlign w:val="center"/>
            <w:hideMark/>
          </w:tcPr>
          <w:p w14:paraId="68F914F3"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5,9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36A59262"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 xml:space="preserve">Italie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8ED86DB" w14:textId="77777777" w:rsidR="00C237BA" w:rsidRPr="0054626F" w:rsidRDefault="00C237BA" w:rsidP="0002537E">
            <w:pPr>
              <w:spacing w:after="0" w:line="240" w:lineRule="auto"/>
              <w:rPr>
                <w:rFonts w:cs="Arial"/>
                <w:sz w:val="18"/>
                <w:szCs w:val="18"/>
                <w:lang w:eastAsia="fr-FR"/>
              </w:rPr>
            </w:pPr>
            <w:r w:rsidRPr="0054626F">
              <w:rPr>
                <w:rFonts w:cs="Arial"/>
                <w:sz w:val="18"/>
                <w:szCs w:val="18"/>
                <w:lang w:eastAsia="fr-FR"/>
              </w:rPr>
              <w:t>3,4</w:t>
            </w:r>
          </w:p>
        </w:tc>
      </w:tr>
    </w:tbl>
    <w:p w14:paraId="49158482" w14:textId="6417C91C" w:rsidR="00746C7C" w:rsidRPr="0002537E" w:rsidRDefault="003D3C16" w:rsidP="0002537E">
      <w:pPr>
        <w:pStyle w:val="figure"/>
      </w:pPr>
      <w:bookmarkStart w:id="298" w:name="_Ref70333899"/>
      <w:bookmarkStart w:id="299" w:name="_Toc72143410"/>
      <w:r w:rsidRPr="00926407">
        <w:t xml:space="preserve">Tableau </w:t>
      </w:r>
      <w:r w:rsidR="00E27D6E">
        <w:fldChar w:fldCharType="begin"/>
      </w:r>
      <w:r w:rsidR="00E27D6E">
        <w:instrText xml:space="preserve"> SEQ Tableau \* ARABIC </w:instrText>
      </w:r>
      <w:r w:rsidR="00E27D6E">
        <w:fldChar w:fldCharType="separate"/>
      </w:r>
      <w:r w:rsidR="0007597F" w:rsidRPr="0002537E">
        <w:t>62</w:t>
      </w:r>
      <w:r w:rsidR="00E27D6E">
        <w:fldChar w:fldCharType="end"/>
      </w:r>
      <w:bookmarkEnd w:id="298"/>
      <w:r w:rsidR="00921B43" w:rsidRPr="0002537E">
        <w:t xml:space="preserve"> : </w:t>
      </w:r>
      <w:r w:rsidR="0054626F">
        <w:t>Volumes d’e</w:t>
      </w:r>
      <w:r w:rsidR="00912E70" w:rsidRPr="0002537E">
        <w:t>xportation</w:t>
      </w:r>
      <w:r w:rsidR="00E829B3" w:rsidRPr="0002537E">
        <w:t xml:space="preserve"> des produits transformés par catégorie et par principaux pays d’origine </w:t>
      </w:r>
      <w:r w:rsidR="00F21473" w:rsidRPr="0002537E">
        <w:t xml:space="preserve">de l’UE </w:t>
      </w:r>
      <w:r w:rsidR="00912E70" w:rsidRPr="0002537E">
        <w:t xml:space="preserve">à destination de la France </w:t>
      </w:r>
      <w:r w:rsidR="0054626F">
        <w:t>en kt en</w:t>
      </w:r>
      <w:r w:rsidR="008E2024" w:rsidRPr="0002537E">
        <w:t xml:space="preserve"> 2018</w:t>
      </w:r>
      <w:bookmarkEnd w:id="299"/>
      <w:r w:rsidR="00E829B3" w:rsidRPr="0002537E">
        <w:t xml:space="preserve"> </w:t>
      </w:r>
    </w:p>
    <w:p w14:paraId="07088003" w14:textId="24DCE3A2" w:rsidR="00E8725B" w:rsidRPr="0002537E" w:rsidRDefault="00E829B3" w:rsidP="0002537E">
      <w:pPr>
        <w:pStyle w:val="Lgende"/>
      </w:pPr>
      <w:r w:rsidRPr="0002537E">
        <w:t>(Source : Eu</w:t>
      </w:r>
      <w:r w:rsidR="00D27BB9" w:rsidRPr="0002537E">
        <w:t>r</w:t>
      </w:r>
      <w:r w:rsidRPr="0002537E">
        <w:t>ostat)</w:t>
      </w:r>
    </w:p>
    <w:p w14:paraId="7AF7A9F8" w14:textId="45DA6E48" w:rsidR="009065B5" w:rsidRPr="0054626F" w:rsidRDefault="00B573F7" w:rsidP="0002537E">
      <w:pPr>
        <w:rPr>
          <w:color w:val="000000"/>
        </w:rPr>
      </w:pPr>
      <w:r w:rsidRPr="00B15A8C">
        <w:rPr>
          <w:u w:val="single"/>
        </w:rPr>
        <w:t xml:space="preserve">A propos des </w:t>
      </w:r>
      <w:r w:rsidR="004F5CE2" w:rsidRPr="00B15A8C">
        <w:rPr>
          <w:u w:val="single"/>
        </w:rPr>
        <w:t>préparations</w:t>
      </w:r>
      <w:r w:rsidR="00D27BB9" w:rsidRPr="00B15A8C">
        <w:t xml:space="preserve">, </w:t>
      </w:r>
      <w:r w:rsidR="009B290E" w:rsidRPr="00B15A8C">
        <w:t xml:space="preserve">les données d’importation </w:t>
      </w:r>
      <w:r w:rsidRPr="00B15A8C">
        <w:t>font état</w:t>
      </w:r>
      <w:r w:rsidR="009065B5" w:rsidRPr="00B15A8C">
        <w:t xml:space="preserve"> de volumes relativement faibles et dispersés entre plusieurs origines à l’exception d</w:t>
      </w:r>
      <w:r w:rsidR="0031669D" w:rsidRPr="00B15A8C">
        <w:t>e</w:t>
      </w:r>
      <w:r w:rsidR="00B345A3" w:rsidRPr="00B15A8C">
        <w:t xml:space="preserve">s préparations de </w:t>
      </w:r>
      <w:r w:rsidRPr="00B15A8C">
        <w:t>jambon (</w:t>
      </w:r>
      <w:r w:rsidRPr="00B15A8C">
        <w:rPr>
          <w:color w:val="000000"/>
        </w:rPr>
        <w:t>16024110 ; 24</w:t>
      </w:r>
      <w:r w:rsidR="0054626F">
        <w:rPr>
          <w:color w:val="000000"/>
        </w:rPr>
        <w:t> </w:t>
      </w:r>
      <w:r w:rsidRPr="00B15A8C">
        <w:rPr>
          <w:color w:val="000000"/>
        </w:rPr>
        <w:t>kt).</w:t>
      </w:r>
      <w:r w:rsidR="009E5549" w:rsidRPr="00B15A8C">
        <w:rPr>
          <w:color w:val="000000"/>
        </w:rPr>
        <w:t xml:space="preserve"> </w:t>
      </w:r>
      <w:r w:rsidR="005C7921" w:rsidRPr="00B15A8C">
        <w:rPr>
          <w:color w:val="000000"/>
        </w:rPr>
        <w:t>Dans cette catégorie, les</w:t>
      </w:r>
      <w:r w:rsidR="00FC048F" w:rsidRPr="00B15A8C">
        <w:rPr>
          <w:color w:val="000000"/>
        </w:rPr>
        <w:t xml:space="preserve"> 5,7</w:t>
      </w:r>
      <w:r w:rsidR="0054626F">
        <w:rPr>
          <w:color w:val="000000"/>
        </w:rPr>
        <w:t> </w:t>
      </w:r>
      <w:r w:rsidR="00FC048F" w:rsidRPr="00B15A8C">
        <w:rPr>
          <w:color w:val="000000"/>
        </w:rPr>
        <w:t xml:space="preserve">kt </w:t>
      </w:r>
      <w:r w:rsidR="00BA55C9" w:rsidRPr="00B15A8C">
        <w:rPr>
          <w:color w:val="000000"/>
        </w:rPr>
        <w:t xml:space="preserve">en provenance d’Italie </w:t>
      </w:r>
      <w:r w:rsidR="00FC048F" w:rsidRPr="00B15A8C">
        <w:rPr>
          <w:color w:val="000000"/>
        </w:rPr>
        <w:t xml:space="preserve">seraient </w:t>
      </w:r>
      <w:r w:rsidR="00BA55C9" w:rsidRPr="00B15A8C">
        <w:rPr>
          <w:color w:val="000000"/>
        </w:rPr>
        <w:t>identifiés</w:t>
      </w:r>
      <w:r w:rsidR="00FC048F" w:rsidRPr="00B15A8C">
        <w:rPr>
          <w:color w:val="000000"/>
        </w:rPr>
        <w:t xml:space="preserve"> </w:t>
      </w:r>
      <w:r w:rsidR="005C7921" w:rsidRPr="00B15A8C">
        <w:rPr>
          <w:color w:val="000000"/>
        </w:rPr>
        <w:t xml:space="preserve">comme étant des </w:t>
      </w:r>
      <w:r w:rsidR="002A1A2B" w:rsidRPr="00B15A8C">
        <w:rPr>
          <w:color w:val="000000"/>
        </w:rPr>
        <w:lastRenderedPageBreak/>
        <w:t>jambons cuits</w:t>
      </w:r>
      <w:r w:rsidR="00C665CE" w:rsidRPr="00B15A8C">
        <w:rPr>
          <w:color w:val="000000"/>
        </w:rPr>
        <w:t xml:space="preserve"> à destination des</w:t>
      </w:r>
      <w:r w:rsidR="0079622B" w:rsidRPr="00B15A8C">
        <w:rPr>
          <w:color w:val="000000"/>
        </w:rPr>
        <w:t xml:space="preserve"> différents réseaux de la consommation à domicile. </w:t>
      </w:r>
      <w:r w:rsidR="0079622B" w:rsidRPr="00B15A8C">
        <w:t>En revanche, les 24</w:t>
      </w:r>
      <w:r w:rsidR="0054626F">
        <w:t> </w:t>
      </w:r>
      <w:r w:rsidR="0079622B" w:rsidRPr="00B15A8C">
        <w:t>kt en provenance d’Allemagne pourraient en partie concerner la restauration.</w:t>
      </w:r>
    </w:p>
    <w:tbl>
      <w:tblPr>
        <w:tblW w:w="9280" w:type="dxa"/>
        <w:tblCellMar>
          <w:left w:w="70" w:type="dxa"/>
          <w:right w:w="70" w:type="dxa"/>
        </w:tblCellMar>
        <w:tblLook w:val="04A0" w:firstRow="1" w:lastRow="0" w:firstColumn="1" w:lastColumn="0" w:noHBand="0" w:noVBand="1"/>
      </w:tblPr>
      <w:tblGrid>
        <w:gridCol w:w="1386"/>
        <w:gridCol w:w="1654"/>
        <w:gridCol w:w="840"/>
        <w:gridCol w:w="1086"/>
        <w:gridCol w:w="669"/>
        <w:gridCol w:w="1086"/>
        <w:gridCol w:w="669"/>
        <w:gridCol w:w="1086"/>
        <w:gridCol w:w="804"/>
      </w:tblGrid>
      <w:tr w:rsidR="009D5FC8" w:rsidRPr="009D5FC8" w14:paraId="6CE33D22"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5FD17ED1"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Nomenclature comb (N.C.)</w:t>
            </w:r>
          </w:p>
        </w:tc>
        <w:tc>
          <w:tcPr>
            <w:tcW w:w="1740" w:type="dxa"/>
            <w:tcBorders>
              <w:top w:val="single" w:sz="4" w:space="0" w:color="auto"/>
              <w:left w:val="nil"/>
              <w:bottom w:val="single" w:sz="4" w:space="0" w:color="auto"/>
              <w:right w:val="single" w:sz="4" w:space="0" w:color="auto"/>
            </w:tcBorders>
            <w:shd w:val="clear" w:color="000000" w:fill="A6A6A6"/>
            <w:vAlign w:val="center"/>
            <w:hideMark/>
          </w:tcPr>
          <w:p w14:paraId="02FAF67D"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 xml:space="preserve">Libellés produits </w:t>
            </w:r>
          </w:p>
        </w:tc>
        <w:tc>
          <w:tcPr>
            <w:tcW w:w="840" w:type="dxa"/>
            <w:tcBorders>
              <w:top w:val="single" w:sz="4" w:space="0" w:color="auto"/>
              <w:left w:val="nil"/>
              <w:bottom w:val="single" w:sz="4" w:space="0" w:color="auto"/>
              <w:right w:val="single" w:sz="4" w:space="0" w:color="auto"/>
            </w:tcBorders>
            <w:shd w:val="clear" w:color="000000" w:fill="A6A6A6"/>
            <w:vAlign w:val="center"/>
            <w:hideMark/>
          </w:tcPr>
          <w:p w14:paraId="70CED5BA"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 xml:space="preserve">Vol Exp =&gt; FR </w:t>
            </w:r>
          </w:p>
        </w:tc>
        <w:tc>
          <w:tcPr>
            <w:tcW w:w="1060" w:type="dxa"/>
            <w:tcBorders>
              <w:top w:val="single" w:sz="4" w:space="0" w:color="auto"/>
              <w:left w:val="nil"/>
              <w:bottom w:val="single" w:sz="4" w:space="0" w:color="auto"/>
              <w:right w:val="single" w:sz="4" w:space="0" w:color="auto"/>
            </w:tcBorders>
            <w:shd w:val="clear" w:color="000000" w:fill="A6A6A6"/>
            <w:vAlign w:val="center"/>
            <w:hideMark/>
          </w:tcPr>
          <w:p w14:paraId="49EA22E1"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Pays 1</w:t>
            </w:r>
          </w:p>
        </w:tc>
        <w:tc>
          <w:tcPr>
            <w:tcW w:w="700" w:type="dxa"/>
            <w:tcBorders>
              <w:top w:val="single" w:sz="4" w:space="0" w:color="auto"/>
              <w:left w:val="nil"/>
              <w:bottom w:val="single" w:sz="4" w:space="0" w:color="auto"/>
              <w:right w:val="single" w:sz="4" w:space="0" w:color="auto"/>
            </w:tcBorders>
            <w:shd w:val="clear" w:color="000000" w:fill="A6A6A6"/>
            <w:vAlign w:val="center"/>
            <w:hideMark/>
          </w:tcPr>
          <w:p w14:paraId="3648E848"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Vol P1</w:t>
            </w:r>
          </w:p>
        </w:tc>
        <w:tc>
          <w:tcPr>
            <w:tcW w:w="1060" w:type="dxa"/>
            <w:tcBorders>
              <w:top w:val="single" w:sz="4" w:space="0" w:color="auto"/>
              <w:left w:val="nil"/>
              <w:bottom w:val="single" w:sz="4" w:space="0" w:color="auto"/>
              <w:right w:val="single" w:sz="4" w:space="0" w:color="auto"/>
            </w:tcBorders>
            <w:shd w:val="clear" w:color="000000" w:fill="A6A6A6"/>
            <w:vAlign w:val="center"/>
            <w:hideMark/>
          </w:tcPr>
          <w:p w14:paraId="2603E421"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Pays 2</w:t>
            </w:r>
          </w:p>
        </w:tc>
        <w:tc>
          <w:tcPr>
            <w:tcW w:w="700" w:type="dxa"/>
            <w:tcBorders>
              <w:top w:val="single" w:sz="4" w:space="0" w:color="auto"/>
              <w:left w:val="nil"/>
              <w:bottom w:val="single" w:sz="4" w:space="0" w:color="auto"/>
              <w:right w:val="single" w:sz="4" w:space="0" w:color="auto"/>
            </w:tcBorders>
            <w:shd w:val="clear" w:color="000000" w:fill="A6A6A6"/>
            <w:vAlign w:val="center"/>
            <w:hideMark/>
          </w:tcPr>
          <w:p w14:paraId="7E5394E2"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Vol P2</w:t>
            </w:r>
          </w:p>
        </w:tc>
        <w:tc>
          <w:tcPr>
            <w:tcW w:w="1060" w:type="dxa"/>
            <w:tcBorders>
              <w:top w:val="single" w:sz="4" w:space="0" w:color="auto"/>
              <w:left w:val="nil"/>
              <w:bottom w:val="single" w:sz="4" w:space="0" w:color="auto"/>
              <w:right w:val="single" w:sz="4" w:space="0" w:color="auto"/>
            </w:tcBorders>
            <w:shd w:val="clear" w:color="000000" w:fill="A6A6A6"/>
            <w:vAlign w:val="center"/>
            <w:hideMark/>
          </w:tcPr>
          <w:p w14:paraId="6783AC91"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Pays 3</w:t>
            </w:r>
          </w:p>
        </w:tc>
        <w:tc>
          <w:tcPr>
            <w:tcW w:w="840" w:type="dxa"/>
            <w:tcBorders>
              <w:top w:val="single" w:sz="4" w:space="0" w:color="auto"/>
              <w:left w:val="nil"/>
              <w:bottom w:val="single" w:sz="4" w:space="0" w:color="auto"/>
              <w:right w:val="single" w:sz="4" w:space="0" w:color="auto"/>
            </w:tcBorders>
            <w:shd w:val="clear" w:color="000000" w:fill="A6A6A6"/>
            <w:vAlign w:val="center"/>
            <w:hideMark/>
          </w:tcPr>
          <w:p w14:paraId="41802A4A" w14:textId="77777777" w:rsidR="009D5FC8" w:rsidRPr="009D5FC8" w:rsidRDefault="009D5FC8" w:rsidP="009D5FC8">
            <w:pPr>
              <w:spacing w:after="0" w:line="240" w:lineRule="auto"/>
              <w:jc w:val="left"/>
              <w:rPr>
                <w:rFonts w:eastAsia="Times New Roman" w:cs="Arial"/>
                <w:sz w:val="20"/>
                <w:szCs w:val="20"/>
                <w:lang w:eastAsia="fr-FR"/>
              </w:rPr>
            </w:pPr>
            <w:r w:rsidRPr="009D5FC8">
              <w:rPr>
                <w:rFonts w:eastAsia="Times New Roman" w:cs="Arial"/>
                <w:sz w:val="20"/>
                <w:szCs w:val="20"/>
                <w:lang w:eastAsia="fr-FR"/>
              </w:rPr>
              <w:t>Vol P3</w:t>
            </w:r>
          </w:p>
        </w:tc>
      </w:tr>
      <w:tr w:rsidR="009D5FC8" w:rsidRPr="009D5FC8" w14:paraId="6198DB5B"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AD42E7"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16024110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65EC7401" w14:textId="5417B3FB"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Prép./cons. de jambons </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3B2B2D45"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24,0</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27480EB" w14:textId="0EE905AC"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Allemagne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4A826A79" w14:textId="287A81E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83B7928" w14:textId="443FCE6C" w:rsidR="009D5FC8" w:rsidRPr="009D5FC8" w:rsidRDefault="00F4010E"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Italie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CA3ABCD" w14:textId="38548D34"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5,7</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E02C11F" w14:textId="2C042E6D"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2AB7A099" w14:textId="7F16D106"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1,02</w:t>
            </w:r>
          </w:p>
        </w:tc>
      </w:tr>
      <w:tr w:rsidR="009D5FC8" w:rsidRPr="009D5FC8" w14:paraId="14481D54"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2420BA"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16024210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45086446" w14:textId="2C608C09"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Prép./cons. d'épaules </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6DFBB010"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6B9E3F76" w14:textId="1C8B4724"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Danemark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0F57034" w14:textId="38F3A7C8"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2DE48BE" w14:textId="4504FAA9"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499704C" w14:textId="10D87D6C"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7D75F430" w14:textId="7E59EEB7"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Allemagne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3125DAD0" w14:textId="696F3182"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0,05</w:t>
            </w:r>
          </w:p>
        </w:tc>
      </w:tr>
      <w:tr w:rsidR="009D5FC8" w:rsidRPr="009D5FC8" w14:paraId="6BBDB8EF"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99E919"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16010010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049025CC"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Saucisses et saucissons de foie</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2906C20D"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0,3</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34F3662"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0E5EFEC" w14:textId="6C3EC276"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6031EB8E" w14:textId="7D504DCC"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Italie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7626879D" w14:textId="598145D2"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0,04</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3F2D9ADB" w14:textId="0658E8B6"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39A911C" w14:textId="0FA079B5"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0,070</w:t>
            </w:r>
          </w:p>
        </w:tc>
      </w:tr>
      <w:tr w:rsidR="009D5FC8" w:rsidRPr="009D5FC8" w14:paraId="140392DD"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6C99E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16024913</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29589D6A"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Prép./cons. d'échines</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479BC05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3D2E21AB"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DCE7E14" w14:textId="0C234930"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0,04</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65C7A0C0" w14:textId="5EDEE3A4" w:rsidR="009D5FC8" w:rsidRPr="009D5FC8" w:rsidRDefault="00F4010E"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Italie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66EDDA3" w14:textId="15BA9CE3"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0,01</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63981AB" w14:textId="1EADA328"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305396" w14:textId="02F8FF83"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0,005</w:t>
            </w:r>
          </w:p>
        </w:tc>
      </w:tr>
      <w:tr w:rsidR="009D5FC8" w:rsidRPr="009D5FC8" w14:paraId="1671881B"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825D50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16024911</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0E69E528"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Prép./cons. de longes</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0F88D5D3"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2,3</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F7FAC2A" w14:textId="2634F7A3"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Pays Bas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FFC76B0" w14:textId="634A9E2F"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1,17</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36216F5" w14:textId="778A15EF"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65176063" w14:textId="617662D6"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0,89</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4CD99652" w14:textId="122E8B96"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Espagne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268B841" w14:textId="22DFE3A8"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0,17</w:t>
            </w:r>
          </w:p>
        </w:tc>
      </w:tr>
      <w:tr w:rsidR="009D5FC8" w:rsidRPr="009D5FC8" w14:paraId="37D28070"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7F3C4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16024919</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5837C8FB"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Prép./cons. de viande (&gt;= 80%)</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6F261B93"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5,4</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23FCC0CD" w14:textId="590CED99"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Espagne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327D4F9E" w14:textId="278D3DBA"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1,7</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0C641D65" w14:textId="2A683189"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77C8599F" w14:textId="4432871E"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1,4</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C230FDD" w14:textId="1F0E51E2"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Danemark</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482468BA" w14:textId="760B0D54"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0,5</w:t>
            </w:r>
          </w:p>
        </w:tc>
      </w:tr>
      <w:tr w:rsidR="009D5FC8" w:rsidRPr="009D5FC8" w14:paraId="7A8D84D2"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960C80"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16024930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146A4CBD"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Prép./cons. de viande/abats (&gt;=40%-&lt;80%)</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4D0EB804"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5,5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48B644A0" w14:textId="6003E810"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Belgique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373796E" w14:textId="68D006F6"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2,2</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006397E" w14:textId="1CBE24B4"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Allemagne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9D86A05" w14:textId="09A453DA"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2,8</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1E681417" w14:textId="488C183B"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Espagne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19D77AC5" w14:textId="18427A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w:t>
            </w:r>
          </w:p>
        </w:tc>
      </w:tr>
      <w:tr w:rsidR="009D5FC8" w:rsidRPr="009D5FC8" w14:paraId="49EBCDA3" w14:textId="77777777" w:rsidTr="009D5FC8">
        <w:trPr>
          <w:trHeight w:val="510"/>
        </w:trPr>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2D6167"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16022090</w:t>
            </w:r>
          </w:p>
        </w:tc>
        <w:tc>
          <w:tcPr>
            <w:tcW w:w="1740" w:type="dxa"/>
            <w:tcBorders>
              <w:top w:val="single" w:sz="4" w:space="0" w:color="auto"/>
              <w:left w:val="nil"/>
              <w:bottom w:val="single" w:sz="4" w:space="0" w:color="auto"/>
              <w:right w:val="single" w:sz="4" w:space="0" w:color="auto"/>
            </w:tcBorders>
            <w:shd w:val="clear" w:color="auto" w:fill="auto"/>
            <w:vAlign w:val="center"/>
            <w:hideMark/>
          </w:tcPr>
          <w:p w14:paraId="41FE82A9" w14:textId="77777777"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Prép. à base de foie</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14:paraId="5BE769DB" w14:textId="77777777"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1,0</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57D4D5F1" w14:textId="10EA93B8"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 xml:space="preserve">Espagne </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1B206129" w14:textId="0DAAB1F9"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0,12</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443C16DE" w14:textId="24D84CCF" w:rsidR="009D5FC8" w:rsidRPr="009D5FC8" w:rsidRDefault="00867600" w:rsidP="009D5FC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50462C99" w14:textId="36FACCDD"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0,45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14:paraId="2F29BD47" w14:textId="75E434E0" w:rsidR="009D5FC8" w:rsidRPr="009D5FC8" w:rsidRDefault="009D5FC8" w:rsidP="009D5FC8">
            <w:pPr>
              <w:spacing w:after="0" w:line="240" w:lineRule="auto"/>
              <w:jc w:val="left"/>
              <w:rPr>
                <w:rFonts w:eastAsia="Times New Roman" w:cs="Arial"/>
                <w:color w:val="000000"/>
                <w:sz w:val="20"/>
                <w:szCs w:val="20"/>
                <w:lang w:eastAsia="fr-FR"/>
              </w:rPr>
            </w:pPr>
            <w:r w:rsidRPr="009D5FC8">
              <w:rPr>
                <w:rFonts w:eastAsia="Times New Roman" w:cs="Arial"/>
                <w:color w:val="000000"/>
                <w:sz w:val="20"/>
                <w:szCs w:val="20"/>
                <w:lang w:eastAsia="fr-FR"/>
              </w:rPr>
              <w:t>Roumanie</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6F4F2282" w14:textId="3774E839" w:rsidR="009D5FC8" w:rsidRPr="009D5FC8" w:rsidRDefault="009D5FC8" w:rsidP="009D5FC8">
            <w:pPr>
              <w:spacing w:after="0" w:line="240" w:lineRule="auto"/>
              <w:jc w:val="center"/>
              <w:rPr>
                <w:rFonts w:eastAsia="Times New Roman" w:cs="Arial"/>
                <w:color w:val="000000"/>
                <w:sz w:val="20"/>
                <w:szCs w:val="20"/>
                <w:lang w:eastAsia="fr-FR"/>
              </w:rPr>
            </w:pPr>
            <w:r w:rsidRPr="009D5FC8">
              <w:rPr>
                <w:rFonts w:eastAsia="Times New Roman" w:cs="Arial"/>
                <w:color w:val="000000"/>
                <w:sz w:val="20"/>
                <w:szCs w:val="20"/>
                <w:lang w:eastAsia="fr-FR"/>
              </w:rPr>
              <w:t>0,04</w:t>
            </w:r>
          </w:p>
        </w:tc>
      </w:tr>
    </w:tbl>
    <w:p w14:paraId="06490466" w14:textId="7B1F04EA" w:rsidR="00746C7C" w:rsidRPr="0002537E" w:rsidRDefault="00E36B29" w:rsidP="0002537E">
      <w:pPr>
        <w:pStyle w:val="figure"/>
      </w:pPr>
      <w:bookmarkStart w:id="300" w:name="_Toc72143411"/>
      <w:r w:rsidRPr="00AA0CBF">
        <w:t xml:space="preserve">Tableau </w:t>
      </w:r>
      <w:r w:rsidRPr="0002537E">
        <w:fldChar w:fldCharType="begin"/>
      </w:r>
      <w:r w:rsidRPr="00AA0CBF">
        <w:instrText xml:space="preserve"> SEQ Tableau \* ARABIC </w:instrText>
      </w:r>
      <w:r w:rsidRPr="0002537E">
        <w:fldChar w:fldCharType="separate"/>
      </w:r>
      <w:r w:rsidR="0007597F" w:rsidRPr="0002537E">
        <w:t>63</w:t>
      </w:r>
      <w:r w:rsidRPr="0002537E">
        <w:fldChar w:fldCharType="end"/>
      </w:r>
      <w:r w:rsidR="00921B43" w:rsidRPr="00AA0CBF">
        <w:t> :</w:t>
      </w:r>
      <w:r w:rsidR="00CB5271" w:rsidRPr="0002537E">
        <w:t xml:space="preserve"> </w:t>
      </w:r>
      <w:r w:rsidR="0054626F">
        <w:t>V</w:t>
      </w:r>
      <w:r w:rsidR="00CB5271" w:rsidRPr="0002537E">
        <w:t>olume</w:t>
      </w:r>
      <w:r w:rsidR="0054626F">
        <w:t>s</w:t>
      </w:r>
      <w:r w:rsidR="00CB5271" w:rsidRPr="0002537E">
        <w:t xml:space="preserve"> </w:t>
      </w:r>
      <w:r w:rsidR="0054626F">
        <w:t>d’exportation</w:t>
      </w:r>
      <w:r w:rsidR="00CB5271" w:rsidRPr="0002537E">
        <w:t xml:space="preserve"> des pr</w:t>
      </w:r>
      <w:r w:rsidR="00602787" w:rsidRPr="0002537E">
        <w:t>éparations</w:t>
      </w:r>
      <w:r w:rsidR="00CB5271" w:rsidRPr="0002537E">
        <w:t xml:space="preserve"> par principaux pays d’origine </w:t>
      </w:r>
      <w:r w:rsidR="00F21473" w:rsidRPr="0002537E">
        <w:t xml:space="preserve">de l’UE </w:t>
      </w:r>
      <w:r w:rsidR="00CB5271" w:rsidRPr="0002537E">
        <w:t xml:space="preserve">à destination de la France </w:t>
      </w:r>
      <w:r w:rsidR="0054626F">
        <w:t>en kt en</w:t>
      </w:r>
      <w:r w:rsidR="00CB5271" w:rsidRPr="0002537E">
        <w:t xml:space="preserve"> 2018</w:t>
      </w:r>
      <w:bookmarkEnd w:id="300"/>
      <w:r w:rsidR="00CB5271" w:rsidRPr="0002537E">
        <w:t xml:space="preserve"> </w:t>
      </w:r>
    </w:p>
    <w:p w14:paraId="470D485D" w14:textId="6B3FB67F" w:rsidR="00CB5271" w:rsidRPr="0002537E" w:rsidRDefault="00CB5271">
      <w:pPr>
        <w:pStyle w:val="Lgende"/>
      </w:pPr>
      <w:r w:rsidRPr="0002537E">
        <w:t>(Source : Eurostat)</w:t>
      </w:r>
    </w:p>
    <w:p w14:paraId="7EBDAE6C" w14:textId="65BDED4A" w:rsidR="00D70646" w:rsidRPr="00D70646" w:rsidRDefault="00D70646" w:rsidP="00D70646">
      <w:pPr>
        <w:pStyle w:val="Paragraphedeliste"/>
        <w:rPr>
          <w:u w:val="single"/>
        </w:rPr>
      </w:pPr>
      <w:r w:rsidRPr="00D70646">
        <w:rPr>
          <w:u w:val="single"/>
        </w:rPr>
        <w:t xml:space="preserve">Les importations en pièces à destination des produits transformés </w:t>
      </w:r>
    </w:p>
    <w:p w14:paraId="587E5E05" w14:textId="44A28790" w:rsidR="006067C7" w:rsidRPr="004A538C" w:rsidRDefault="00D70646" w:rsidP="006067C7">
      <w:r w:rsidRPr="00D70646">
        <w:t>Relativement aux produits transformés en France à partir de matière première d’importation, deux cas de figure se présentent dans les grandes surfaces alimentaires</w:t>
      </w:r>
      <w:r w:rsidR="00F21473">
        <w:t xml:space="preserve"> (90</w:t>
      </w:r>
      <w:r w:rsidR="0054626F">
        <w:t> </w:t>
      </w:r>
      <w:r w:rsidR="00F21473">
        <w:t>% des volumes en consommation à domicile</w:t>
      </w:r>
      <w:bookmarkStart w:id="301" w:name="_Hlk72142750"/>
      <w:r w:rsidR="00F21473">
        <w:t>).</w:t>
      </w:r>
      <w:r w:rsidR="00C476A7">
        <w:t xml:space="preserve"> </w:t>
      </w:r>
      <w:r w:rsidR="00736925">
        <w:t xml:space="preserve">Les marques de distributeurs d’une part, sont tenues par leur cahier des charges et dans leur ensemble issues </w:t>
      </w:r>
      <w:r w:rsidR="006067C7">
        <w:t xml:space="preserve">de viande de porc française. En revanche, pour les marques nationales, la situation se présente différemment avec des produits de salaison pour lesquels la part d’importation est importante. L’enquête a mis en évidence que l’importation en provenance d’Espagne sous la forme de jambon désossé pour un total de 141 kt s’effectue principalement à destination de la transformation en jambon cuit pour les circuits de la grande distribution. De manière beaucoup moins significative, des jambons entiers en provenance d’Espagne soit 23 kt (à peine 15 % comparativement au désossé) est à destination de la transformation en jambon sec. Par ailleurs, </w:t>
      </w:r>
      <w:r w:rsidR="004A538C">
        <w:t>une part des produits en</w:t>
      </w:r>
      <w:r w:rsidR="006067C7">
        <w:t xml:space="preserve"> désossé </w:t>
      </w:r>
      <w:r w:rsidR="004A538C">
        <w:t xml:space="preserve">est à destination </w:t>
      </w:r>
      <w:r w:rsidR="006067C7" w:rsidRPr="004A538C">
        <w:t>des marché</w:t>
      </w:r>
      <w:r w:rsidR="004A538C">
        <w:t>s</w:t>
      </w:r>
      <w:r w:rsidR="006067C7" w:rsidRPr="004A538C">
        <w:t xml:space="preserve"> de la restauration hors domicile, ce point étant développé plus loin</w:t>
      </w:r>
      <w:r w:rsidR="006067C7">
        <w:t>.</w:t>
      </w:r>
      <w:bookmarkEnd w:id="301"/>
    </w:p>
    <w:p w14:paraId="3EE57E5E" w14:textId="6DB51F4A" w:rsidR="00D00612" w:rsidRPr="0002537E" w:rsidRDefault="00D00612" w:rsidP="0002537E">
      <w:pPr>
        <w:pStyle w:val="Paragraphedeliste"/>
        <w:rPr>
          <w:u w:val="single"/>
        </w:rPr>
      </w:pPr>
      <w:r w:rsidRPr="0002537E">
        <w:rPr>
          <w:u w:val="single"/>
        </w:rPr>
        <w:t>Les importations en viande de porc</w:t>
      </w:r>
      <w:r w:rsidR="001B2DC2" w:rsidRPr="0002537E">
        <w:rPr>
          <w:u w:val="single"/>
        </w:rPr>
        <w:t xml:space="preserve"> pièces</w:t>
      </w:r>
    </w:p>
    <w:p w14:paraId="7104B061" w14:textId="27FE015E" w:rsidR="007059FD" w:rsidRPr="00AF44D6" w:rsidRDefault="001B2DC2" w:rsidP="00AA0CBF">
      <w:r>
        <w:t xml:space="preserve">Sur les marchés à domicile, l’approvisionnement en pièces est majoritairement issu de la </w:t>
      </w:r>
      <w:r w:rsidR="007059FD">
        <w:t xml:space="preserve">découpe </w:t>
      </w:r>
      <w:r>
        <w:t xml:space="preserve">française. Cependant, certains morceaux comme le filet mignon et la poitrine peuvent faire l’objet d’approvisionnement issus de l’importation. </w:t>
      </w:r>
      <w:r w:rsidR="007059FD">
        <w:t>En effet</w:t>
      </w:r>
      <w:r w:rsidR="00312E33">
        <w:t>,</w:t>
      </w:r>
      <w:r w:rsidR="007059FD">
        <w:t xml:space="preserve"> l’Espagne est sous consommatrice </w:t>
      </w:r>
      <w:r w:rsidR="00312E33">
        <w:t>et excédentaire en</w:t>
      </w:r>
      <w:r w:rsidR="007059FD">
        <w:t xml:space="preserve"> filet mignon contrairement à la France déficitaire au regard d’une demande est forte</w:t>
      </w:r>
      <w:r w:rsidR="00B445B8">
        <w:t>, le filet mignon étant l’une des pièces les plus maigres du porc</w:t>
      </w:r>
      <w:r w:rsidR="007059FD">
        <w:t xml:space="preserve">. </w:t>
      </w:r>
      <w:r w:rsidR="00312E33">
        <w:t>Il n’est pas possible de rapprocher le volume disponible en filet mignon à partir de la constitution anatomique de la carcasse avec les volumes d’achat dans la mesure où la longe entière peut être livrée. Le filet importé d’Espagne est à rapprocher des codes douaniers de la longe (</w:t>
      </w:r>
      <w:r w:rsidR="00312E33" w:rsidRPr="00A50150">
        <w:t>02031913</w:t>
      </w:r>
      <w:r w:rsidR="00312E33">
        <w:t xml:space="preserve"> </w:t>
      </w:r>
      <w:r w:rsidR="00312E33" w:rsidRPr="00A50150">
        <w:t>et 02032913; Longe FR et Longe C)</w:t>
      </w:r>
      <w:r w:rsidR="00312E33">
        <w:t xml:space="preserve"> dont les volumes </w:t>
      </w:r>
      <w:r w:rsidR="00F4010E">
        <w:t xml:space="preserve">en provenance de ce pays, </w:t>
      </w:r>
      <w:r w:rsidR="00312E33">
        <w:t>sont de 6,9</w:t>
      </w:r>
      <w:r w:rsidR="0054626F">
        <w:t> </w:t>
      </w:r>
      <w:r w:rsidR="00312E33">
        <w:t xml:space="preserve">kt. </w:t>
      </w:r>
      <w:r w:rsidR="007059FD">
        <w:t xml:space="preserve">De même, </w:t>
      </w:r>
      <w:r w:rsidR="00B445B8">
        <w:t>l’offre française satisfait difficilement à la demande en poitrine lors de périodes promotionnelles, les distributeurs ayant recours à l’importation</w:t>
      </w:r>
      <w:r w:rsidR="00F4010E">
        <w:t xml:space="preserve"> ayant également pour origine, l’Espagne principalement</w:t>
      </w:r>
      <w:r w:rsidR="00B445B8">
        <w:t>.</w:t>
      </w:r>
    </w:p>
    <w:tbl>
      <w:tblPr>
        <w:tblW w:w="9493" w:type="dxa"/>
        <w:tblCellMar>
          <w:left w:w="70" w:type="dxa"/>
          <w:right w:w="70" w:type="dxa"/>
        </w:tblCellMar>
        <w:tblLook w:val="04A0" w:firstRow="1" w:lastRow="0" w:firstColumn="1" w:lastColumn="0" w:noHBand="0" w:noVBand="1"/>
      </w:tblPr>
      <w:tblGrid>
        <w:gridCol w:w="1386"/>
        <w:gridCol w:w="1720"/>
        <w:gridCol w:w="858"/>
        <w:gridCol w:w="993"/>
        <w:gridCol w:w="641"/>
        <w:gridCol w:w="1201"/>
        <w:gridCol w:w="851"/>
        <w:gridCol w:w="1086"/>
        <w:gridCol w:w="757"/>
      </w:tblGrid>
      <w:tr w:rsidR="005105DC" w:rsidRPr="008742A8" w14:paraId="70C56823" w14:textId="77777777" w:rsidTr="0002537E">
        <w:trPr>
          <w:trHeight w:val="525"/>
        </w:trPr>
        <w:tc>
          <w:tcPr>
            <w:tcW w:w="1386"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648C3B01"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lastRenderedPageBreak/>
              <w:t>Nomenclature comb (N.C.)</w:t>
            </w:r>
          </w:p>
        </w:tc>
        <w:tc>
          <w:tcPr>
            <w:tcW w:w="1720" w:type="dxa"/>
            <w:tcBorders>
              <w:top w:val="single" w:sz="4" w:space="0" w:color="auto"/>
              <w:left w:val="nil"/>
              <w:bottom w:val="single" w:sz="4" w:space="0" w:color="auto"/>
              <w:right w:val="single" w:sz="4" w:space="0" w:color="auto"/>
            </w:tcBorders>
            <w:shd w:val="clear" w:color="000000" w:fill="A6A6A6"/>
            <w:vAlign w:val="center"/>
            <w:hideMark/>
          </w:tcPr>
          <w:p w14:paraId="72C08381" w14:textId="6F914AE9"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Libellés produits</w:t>
            </w:r>
          </w:p>
        </w:tc>
        <w:tc>
          <w:tcPr>
            <w:tcW w:w="858" w:type="dxa"/>
            <w:tcBorders>
              <w:top w:val="single" w:sz="4" w:space="0" w:color="auto"/>
              <w:left w:val="nil"/>
              <w:bottom w:val="single" w:sz="4" w:space="0" w:color="auto"/>
              <w:right w:val="single" w:sz="4" w:space="0" w:color="auto"/>
            </w:tcBorders>
            <w:shd w:val="clear" w:color="000000" w:fill="A6A6A6"/>
            <w:vAlign w:val="center"/>
            <w:hideMark/>
          </w:tcPr>
          <w:p w14:paraId="5E81EC83"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 xml:space="preserve">Vol Exp =&gt; FR </w:t>
            </w:r>
          </w:p>
        </w:tc>
        <w:tc>
          <w:tcPr>
            <w:tcW w:w="993" w:type="dxa"/>
            <w:tcBorders>
              <w:top w:val="single" w:sz="4" w:space="0" w:color="auto"/>
              <w:left w:val="nil"/>
              <w:bottom w:val="single" w:sz="4" w:space="0" w:color="auto"/>
              <w:right w:val="single" w:sz="4" w:space="0" w:color="auto"/>
            </w:tcBorders>
            <w:shd w:val="clear" w:color="000000" w:fill="A6A6A6"/>
            <w:vAlign w:val="center"/>
            <w:hideMark/>
          </w:tcPr>
          <w:p w14:paraId="395B5926"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Pays 1</w:t>
            </w:r>
          </w:p>
        </w:tc>
        <w:tc>
          <w:tcPr>
            <w:tcW w:w="641" w:type="dxa"/>
            <w:tcBorders>
              <w:top w:val="single" w:sz="4" w:space="0" w:color="auto"/>
              <w:left w:val="nil"/>
              <w:bottom w:val="single" w:sz="4" w:space="0" w:color="auto"/>
              <w:right w:val="single" w:sz="4" w:space="0" w:color="auto"/>
            </w:tcBorders>
            <w:shd w:val="clear" w:color="000000" w:fill="A6A6A6"/>
            <w:vAlign w:val="center"/>
            <w:hideMark/>
          </w:tcPr>
          <w:p w14:paraId="0077CE71"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Vol P1</w:t>
            </w:r>
          </w:p>
        </w:tc>
        <w:tc>
          <w:tcPr>
            <w:tcW w:w="1201" w:type="dxa"/>
            <w:tcBorders>
              <w:top w:val="single" w:sz="4" w:space="0" w:color="auto"/>
              <w:left w:val="nil"/>
              <w:bottom w:val="single" w:sz="4" w:space="0" w:color="auto"/>
              <w:right w:val="single" w:sz="4" w:space="0" w:color="auto"/>
            </w:tcBorders>
            <w:shd w:val="clear" w:color="000000" w:fill="A6A6A6"/>
            <w:vAlign w:val="center"/>
            <w:hideMark/>
          </w:tcPr>
          <w:p w14:paraId="0F376B0B"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Pays 2</w:t>
            </w:r>
          </w:p>
        </w:tc>
        <w:tc>
          <w:tcPr>
            <w:tcW w:w="851" w:type="dxa"/>
            <w:tcBorders>
              <w:top w:val="single" w:sz="4" w:space="0" w:color="auto"/>
              <w:left w:val="nil"/>
              <w:bottom w:val="single" w:sz="4" w:space="0" w:color="auto"/>
              <w:right w:val="single" w:sz="4" w:space="0" w:color="auto"/>
            </w:tcBorders>
            <w:shd w:val="clear" w:color="000000" w:fill="A6A6A6"/>
            <w:vAlign w:val="center"/>
            <w:hideMark/>
          </w:tcPr>
          <w:p w14:paraId="5C123BFE"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Vol P2</w:t>
            </w:r>
          </w:p>
        </w:tc>
        <w:tc>
          <w:tcPr>
            <w:tcW w:w="1086" w:type="dxa"/>
            <w:tcBorders>
              <w:top w:val="single" w:sz="4" w:space="0" w:color="auto"/>
              <w:left w:val="nil"/>
              <w:bottom w:val="single" w:sz="4" w:space="0" w:color="auto"/>
              <w:right w:val="single" w:sz="4" w:space="0" w:color="auto"/>
            </w:tcBorders>
            <w:shd w:val="clear" w:color="000000" w:fill="A6A6A6"/>
            <w:vAlign w:val="center"/>
            <w:hideMark/>
          </w:tcPr>
          <w:p w14:paraId="4294710D"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Pays 3</w:t>
            </w:r>
          </w:p>
        </w:tc>
        <w:tc>
          <w:tcPr>
            <w:tcW w:w="757" w:type="dxa"/>
            <w:tcBorders>
              <w:top w:val="single" w:sz="4" w:space="0" w:color="auto"/>
              <w:left w:val="nil"/>
              <w:bottom w:val="single" w:sz="4" w:space="0" w:color="auto"/>
              <w:right w:val="single" w:sz="4" w:space="0" w:color="auto"/>
            </w:tcBorders>
            <w:shd w:val="clear" w:color="000000" w:fill="A6A6A6"/>
            <w:vAlign w:val="center"/>
            <w:hideMark/>
          </w:tcPr>
          <w:p w14:paraId="53C1E5ED"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Vol P3</w:t>
            </w:r>
          </w:p>
        </w:tc>
      </w:tr>
      <w:tr w:rsidR="005105DC" w:rsidRPr="008742A8" w14:paraId="2C0A4B70"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6C79EEE5"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02031211</w:t>
            </w:r>
          </w:p>
        </w:tc>
        <w:tc>
          <w:tcPr>
            <w:tcW w:w="1720" w:type="dxa"/>
            <w:tcBorders>
              <w:top w:val="nil"/>
              <w:left w:val="nil"/>
              <w:bottom w:val="single" w:sz="4" w:space="0" w:color="auto"/>
              <w:right w:val="single" w:sz="4" w:space="0" w:color="auto"/>
            </w:tcBorders>
            <w:shd w:val="clear" w:color="auto" w:fill="auto"/>
            <w:noWrap/>
            <w:vAlign w:val="center"/>
            <w:hideMark/>
          </w:tcPr>
          <w:p w14:paraId="1CCEACDF"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Jambons FR</w:t>
            </w:r>
          </w:p>
        </w:tc>
        <w:tc>
          <w:tcPr>
            <w:tcW w:w="858" w:type="dxa"/>
            <w:tcBorders>
              <w:top w:val="nil"/>
              <w:left w:val="nil"/>
              <w:bottom w:val="single" w:sz="4" w:space="0" w:color="auto"/>
              <w:right w:val="single" w:sz="4" w:space="0" w:color="auto"/>
            </w:tcBorders>
            <w:shd w:val="clear" w:color="auto" w:fill="auto"/>
            <w:noWrap/>
            <w:vAlign w:val="center"/>
            <w:hideMark/>
          </w:tcPr>
          <w:p w14:paraId="3FCAAD38"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34</w:t>
            </w:r>
          </w:p>
        </w:tc>
        <w:tc>
          <w:tcPr>
            <w:tcW w:w="993" w:type="dxa"/>
            <w:tcBorders>
              <w:top w:val="nil"/>
              <w:left w:val="nil"/>
              <w:bottom w:val="single" w:sz="4" w:space="0" w:color="auto"/>
              <w:right w:val="single" w:sz="4" w:space="0" w:color="auto"/>
            </w:tcBorders>
            <w:shd w:val="clear" w:color="auto" w:fill="auto"/>
            <w:noWrap/>
            <w:vAlign w:val="bottom"/>
            <w:hideMark/>
          </w:tcPr>
          <w:p w14:paraId="5D641EC0" w14:textId="189B0468"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64FC8AAF"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21,9</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47613AB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Danemark</w:t>
            </w:r>
          </w:p>
        </w:tc>
        <w:tc>
          <w:tcPr>
            <w:tcW w:w="851" w:type="dxa"/>
            <w:tcBorders>
              <w:top w:val="nil"/>
              <w:left w:val="nil"/>
              <w:bottom w:val="single" w:sz="4" w:space="0" w:color="auto"/>
              <w:right w:val="single" w:sz="4" w:space="0" w:color="auto"/>
            </w:tcBorders>
            <w:shd w:val="clear" w:color="000000" w:fill="FFFFFF"/>
            <w:noWrap/>
            <w:vAlign w:val="bottom"/>
            <w:hideMark/>
          </w:tcPr>
          <w:p w14:paraId="78170BFF"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4,3</w:t>
            </w:r>
          </w:p>
        </w:tc>
        <w:tc>
          <w:tcPr>
            <w:tcW w:w="1086" w:type="dxa"/>
            <w:tcBorders>
              <w:top w:val="nil"/>
              <w:left w:val="nil"/>
              <w:bottom w:val="single" w:sz="4" w:space="0" w:color="auto"/>
              <w:right w:val="single" w:sz="4" w:space="0" w:color="auto"/>
            </w:tcBorders>
            <w:shd w:val="clear" w:color="auto" w:fill="auto"/>
            <w:noWrap/>
            <w:vAlign w:val="bottom"/>
            <w:hideMark/>
          </w:tcPr>
          <w:p w14:paraId="27341D57"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 xml:space="preserve">Italie </w:t>
            </w:r>
          </w:p>
        </w:tc>
        <w:tc>
          <w:tcPr>
            <w:tcW w:w="757" w:type="dxa"/>
            <w:tcBorders>
              <w:top w:val="nil"/>
              <w:left w:val="nil"/>
              <w:bottom w:val="single" w:sz="4" w:space="0" w:color="auto"/>
              <w:right w:val="single" w:sz="4" w:space="0" w:color="auto"/>
            </w:tcBorders>
            <w:shd w:val="clear" w:color="000000" w:fill="FFFFFF"/>
            <w:noWrap/>
            <w:vAlign w:val="bottom"/>
            <w:hideMark/>
          </w:tcPr>
          <w:p w14:paraId="15565512"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2,0</w:t>
            </w:r>
          </w:p>
        </w:tc>
      </w:tr>
      <w:tr w:rsidR="005105DC" w:rsidRPr="008742A8" w14:paraId="72CF921E"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1FCCE7F"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02031219</w:t>
            </w:r>
          </w:p>
        </w:tc>
        <w:tc>
          <w:tcPr>
            <w:tcW w:w="1720" w:type="dxa"/>
            <w:tcBorders>
              <w:top w:val="nil"/>
              <w:left w:val="nil"/>
              <w:bottom w:val="single" w:sz="4" w:space="0" w:color="auto"/>
              <w:right w:val="single" w:sz="4" w:space="0" w:color="auto"/>
            </w:tcBorders>
            <w:shd w:val="clear" w:color="auto" w:fill="auto"/>
            <w:noWrap/>
            <w:vAlign w:val="center"/>
            <w:hideMark/>
          </w:tcPr>
          <w:p w14:paraId="7A8AAA8F"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Epaules FR</w:t>
            </w:r>
          </w:p>
        </w:tc>
        <w:tc>
          <w:tcPr>
            <w:tcW w:w="858" w:type="dxa"/>
            <w:tcBorders>
              <w:top w:val="nil"/>
              <w:left w:val="nil"/>
              <w:bottom w:val="single" w:sz="4" w:space="0" w:color="auto"/>
              <w:right w:val="single" w:sz="4" w:space="0" w:color="auto"/>
            </w:tcBorders>
            <w:shd w:val="clear" w:color="auto" w:fill="auto"/>
            <w:noWrap/>
            <w:vAlign w:val="center"/>
            <w:hideMark/>
          </w:tcPr>
          <w:p w14:paraId="34BE3AA4"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11</w:t>
            </w:r>
          </w:p>
        </w:tc>
        <w:tc>
          <w:tcPr>
            <w:tcW w:w="993" w:type="dxa"/>
            <w:tcBorders>
              <w:top w:val="nil"/>
              <w:left w:val="nil"/>
              <w:bottom w:val="single" w:sz="4" w:space="0" w:color="auto"/>
              <w:right w:val="single" w:sz="4" w:space="0" w:color="auto"/>
            </w:tcBorders>
            <w:shd w:val="clear" w:color="auto" w:fill="auto"/>
            <w:noWrap/>
            <w:vAlign w:val="bottom"/>
            <w:hideMark/>
          </w:tcPr>
          <w:p w14:paraId="00DC87D0" w14:textId="59C26233"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2752EF0F"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8,5</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33A9EAA4" w14:textId="052FFF65" w:rsidR="008742A8" w:rsidRPr="008742A8" w:rsidRDefault="00F4010E"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Allemagne</w:t>
            </w:r>
          </w:p>
        </w:tc>
        <w:tc>
          <w:tcPr>
            <w:tcW w:w="851" w:type="dxa"/>
            <w:tcBorders>
              <w:top w:val="nil"/>
              <w:left w:val="nil"/>
              <w:bottom w:val="single" w:sz="4" w:space="0" w:color="auto"/>
              <w:right w:val="single" w:sz="4" w:space="0" w:color="auto"/>
            </w:tcBorders>
            <w:shd w:val="clear" w:color="000000" w:fill="FFFFFF"/>
            <w:noWrap/>
            <w:vAlign w:val="bottom"/>
            <w:hideMark/>
          </w:tcPr>
          <w:p w14:paraId="189B72E7"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0,9</w:t>
            </w:r>
          </w:p>
        </w:tc>
        <w:tc>
          <w:tcPr>
            <w:tcW w:w="1086" w:type="dxa"/>
            <w:tcBorders>
              <w:top w:val="nil"/>
              <w:left w:val="nil"/>
              <w:bottom w:val="single" w:sz="4" w:space="0" w:color="auto"/>
              <w:right w:val="single" w:sz="4" w:space="0" w:color="auto"/>
            </w:tcBorders>
            <w:shd w:val="clear" w:color="auto" w:fill="auto"/>
            <w:noWrap/>
            <w:vAlign w:val="bottom"/>
            <w:hideMark/>
          </w:tcPr>
          <w:p w14:paraId="1E93D788"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000000" w:fill="FFFFFF"/>
            <w:noWrap/>
            <w:vAlign w:val="bottom"/>
            <w:hideMark/>
          </w:tcPr>
          <w:p w14:paraId="28C042CE"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0,9</w:t>
            </w:r>
          </w:p>
        </w:tc>
      </w:tr>
      <w:tr w:rsidR="005105DC" w:rsidRPr="008742A8" w14:paraId="5140669E"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02570B7"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02031911</w:t>
            </w:r>
          </w:p>
        </w:tc>
        <w:tc>
          <w:tcPr>
            <w:tcW w:w="1720" w:type="dxa"/>
            <w:tcBorders>
              <w:top w:val="nil"/>
              <w:left w:val="nil"/>
              <w:bottom w:val="single" w:sz="4" w:space="0" w:color="auto"/>
              <w:right w:val="single" w:sz="4" w:space="0" w:color="auto"/>
            </w:tcBorders>
            <w:shd w:val="clear" w:color="auto" w:fill="auto"/>
            <w:noWrap/>
            <w:vAlign w:val="center"/>
            <w:hideMark/>
          </w:tcPr>
          <w:p w14:paraId="5761D640"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Parties avant FR</w:t>
            </w:r>
          </w:p>
        </w:tc>
        <w:tc>
          <w:tcPr>
            <w:tcW w:w="858" w:type="dxa"/>
            <w:tcBorders>
              <w:top w:val="nil"/>
              <w:left w:val="nil"/>
              <w:bottom w:val="single" w:sz="4" w:space="0" w:color="auto"/>
              <w:right w:val="single" w:sz="4" w:space="0" w:color="auto"/>
            </w:tcBorders>
            <w:shd w:val="clear" w:color="auto" w:fill="auto"/>
            <w:noWrap/>
            <w:vAlign w:val="center"/>
            <w:hideMark/>
          </w:tcPr>
          <w:p w14:paraId="5F6530D0"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11</w:t>
            </w:r>
          </w:p>
        </w:tc>
        <w:tc>
          <w:tcPr>
            <w:tcW w:w="993" w:type="dxa"/>
            <w:tcBorders>
              <w:top w:val="nil"/>
              <w:left w:val="nil"/>
              <w:bottom w:val="single" w:sz="4" w:space="0" w:color="auto"/>
              <w:right w:val="single" w:sz="4" w:space="0" w:color="auto"/>
            </w:tcBorders>
            <w:shd w:val="clear" w:color="000000" w:fill="FFFFFF"/>
            <w:noWrap/>
            <w:vAlign w:val="bottom"/>
            <w:hideMark/>
          </w:tcPr>
          <w:p w14:paraId="480E740D" w14:textId="02D57FF2"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6D87046A"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7,3</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6FC153B6"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Pologne</w:t>
            </w:r>
          </w:p>
        </w:tc>
        <w:tc>
          <w:tcPr>
            <w:tcW w:w="851" w:type="dxa"/>
            <w:tcBorders>
              <w:top w:val="nil"/>
              <w:left w:val="nil"/>
              <w:bottom w:val="single" w:sz="4" w:space="0" w:color="auto"/>
              <w:right w:val="single" w:sz="4" w:space="0" w:color="auto"/>
            </w:tcBorders>
            <w:shd w:val="clear" w:color="000000" w:fill="FFFFFF"/>
            <w:noWrap/>
            <w:vAlign w:val="bottom"/>
            <w:hideMark/>
          </w:tcPr>
          <w:p w14:paraId="66B55B09"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0,3</w:t>
            </w:r>
          </w:p>
        </w:tc>
        <w:tc>
          <w:tcPr>
            <w:tcW w:w="1086" w:type="dxa"/>
            <w:tcBorders>
              <w:top w:val="nil"/>
              <w:left w:val="nil"/>
              <w:bottom w:val="single" w:sz="4" w:space="0" w:color="auto"/>
              <w:right w:val="single" w:sz="4" w:space="0" w:color="auto"/>
            </w:tcBorders>
            <w:shd w:val="clear" w:color="auto" w:fill="auto"/>
            <w:noWrap/>
            <w:vAlign w:val="bottom"/>
            <w:hideMark/>
          </w:tcPr>
          <w:p w14:paraId="56725417"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Danemark</w:t>
            </w:r>
          </w:p>
        </w:tc>
        <w:tc>
          <w:tcPr>
            <w:tcW w:w="757" w:type="dxa"/>
            <w:tcBorders>
              <w:top w:val="nil"/>
              <w:left w:val="nil"/>
              <w:bottom w:val="single" w:sz="4" w:space="0" w:color="auto"/>
              <w:right w:val="single" w:sz="4" w:space="0" w:color="auto"/>
            </w:tcBorders>
            <w:shd w:val="clear" w:color="000000" w:fill="FFFFFF"/>
            <w:noWrap/>
            <w:vAlign w:val="bottom"/>
            <w:hideMark/>
          </w:tcPr>
          <w:p w14:paraId="7B10DECD"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2,3</w:t>
            </w:r>
          </w:p>
        </w:tc>
      </w:tr>
      <w:tr w:rsidR="005105DC" w:rsidRPr="008742A8" w14:paraId="7F460C09"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EAD96E3"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02031913</w:t>
            </w:r>
          </w:p>
        </w:tc>
        <w:tc>
          <w:tcPr>
            <w:tcW w:w="1720" w:type="dxa"/>
            <w:tcBorders>
              <w:top w:val="nil"/>
              <w:left w:val="nil"/>
              <w:bottom w:val="single" w:sz="4" w:space="0" w:color="auto"/>
              <w:right w:val="single" w:sz="4" w:space="0" w:color="auto"/>
            </w:tcBorders>
            <w:shd w:val="clear" w:color="auto" w:fill="auto"/>
            <w:noWrap/>
            <w:vAlign w:val="center"/>
            <w:hideMark/>
          </w:tcPr>
          <w:p w14:paraId="548253F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Longes FR</w:t>
            </w:r>
          </w:p>
        </w:tc>
        <w:tc>
          <w:tcPr>
            <w:tcW w:w="858" w:type="dxa"/>
            <w:tcBorders>
              <w:top w:val="nil"/>
              <w:left w:val="nil"/>
              <w:bottom w:val="single" w:sz="4" w:space="0" w:color="auto"/>
              <w:right w:val="single" w:sz="4" w:space="0" w:color="auto"/>
            </w:tcBorders>
            <w:shd w:val="clear" w:color="auto" w:fill="auto"/>
            <w:noWrap/>
            <w:vAlign w:val="center"/>
            <w:hideMark/>
          </w:tcPr>
          <w:p w14:paraId="26DCDC5D"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7</w:t>
            </w:r>
          </w:p>
        </w:tc>
        <w:tc>
          <w:tcPr>
            <w:tcW w:w="993" w:type="dxa"/>
            <w:tcBorders>
              <w:top w:val="nil"/>
              <w:left w:val="nil"/>
              <w:bottom w:val="single" w:sz="4" w:space="0" w:color="auto"/>
              <w:right w:val="single" w:sz="4" w:space="0" w:color="auto"/>
            </w:tcBorders>
            <w:shd w:val="clear" w:color="000000" w:fill="FFFFFF"/>
            <w:noWrap/>
            <w:vAlign w:val="bottom"/>
            <w:hideMark/>
          </w:tcPr>
          <w:p w14:paraId="01FEB242" w14:textId="31EAD0C6"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2309329E"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5,3</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32E7AA6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single" w:sz="4" w:space="0" w:color="auto"/>
              <w:left w:val="nil"/>
              <w:bottom w:val="single" w:sz="4" w:space="0" w:color="auto"/>
              <w:right w:val="nil"/>
            </w:tcBorders>
            <w:shd w:val="clear" w:color="000000" w:fill="FFFFFF"/>
            <w:noWrap/>
            <w:vAlign w:val="bottom"/>
            <w:hideMark/>
          </w:tcPr>
          <w:p w14:paraId="7C81C59A"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0,5</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19869305"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000000" w:fill="FFFFFF"/>
            <w:noWrap/>
            <w:vAlign w:val="bottom"/>
            <w:hideMark/>
          </w:tcPr>
          <w:p w14:paraId="5AC2D3D9"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0,3</w:t>
            </w:r>
          </w:p>
        </w:tc>
      </w:tr>
      <w:tr w:rsidR="005105DC" w:rsidRPr="008742A8" w14:paraId="6ACB8406"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3D48BE2A"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02031915</w:t>
            </w:r>
          </w:p>
        </w:tc>
        <w:tc>
          <w:tcPr>
            <w:tcW w:w="1720" w:type="dxa"/>
            <w:tcBorders>
              <w:top w:val="nil"/>
              <w:left w:val="nil"/>
              <w:bottom w:val="single" w:sz="4" w:space="0" w:color="auto"/>
              <w:right w:val="single" w:sz="4" w:space="0" w:color="auto"/>
            </w:tcBorders>
            <w:shd w:val="clear" w:color="auto" w:fill="auto"/>
            <w:noWrap/>
            <w:vAlign w:val="center"/>
            <w:hideMark/>
          </w:tcPr>
          <w:p w14:paraId="2AB425B4"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Poitrines FR</w:t>
            </w:r>
          </w:p>
        </w:tc>
        <w:tc>
          <w:tcPr>
            <w:tcW w:w="858" w:type="dxa"/>
            <w:tcBorders>
              <w:top w:val="nil"/>
              <w:left w:val="nil"/>
              <w:bottom w:val="single" w:sz="4" w:space="0" w:color="auto"/>
              <w:right w:val="single" w:sz="4" w:space="0" w:color="auto"/>
            </w:tcBorders>
            <w:shd w:val="clear" w:color="auto" w:fill="auto"/>
            <w:noWrap/>
            <w:vAlign w:val="center"/>
            <w:hideMark/>
          </w:tcPr>
          <w:p w14:paraId="5C173910"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20</w:t>
            </w:r>
          </w:p>
        </w:tc>
        <w:tc>
          <w:tcPr>
            <w:tcW w:w="993" w:type="dxa"/>
            <w:tcBorders>
              <w:top w:val="nil"/>
              <w:left w:val="nil"/>
              <w:bottom w:val="single" w:sz="4" w:space="0" w:color="auto"/>
              <w:right w:val="single" w:sz="4" w:space="0" w:color="auto"/>
            </w:tcBorders>
            <w:shd w:val="clear" w:color="000000" w:fill="FFFFFF"/>
            <w:noWrap/>
            <w:vAlign w:val="bottom"/>
            <w:hideMark/>
          </w:tcPr>
          <w:p w14:paraId="01F51061" w14:textId="415E2182"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31820C7E"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14,8</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6525FA8A"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single" w:sz="4" w:space="0" w:color="auto"/>
              <w:left w:val="nil"/>
              <w:bottom w:val="single" w:sz="4" w:space="0" w:color="auto"/>
              <w:right w:val="nil"/>
            </w:tcBorders>
            <w:shd w:val="clear" w:color="000000" w:fill="FFFFFF"/>
            <w:noWrap/>
            <w:vAlign w:val="bottom"/>
            <w:hideMark/>
          </w:tcPr>
          <w:p w14:paraId="7D097CE3"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3,0</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7008FAD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000000" w:fill="FFFFFF"/>
            <w:noWrap/>
            <w:vAlign w:val="bottom"/>
            <w:hideMark/>
          </w:tcPr>
          <w:p w14:paraId="238CC76E"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1,6</w:t>
            </w:r>
          </w:p>
        </w:tc>
      </w:tr>
      <w:tr w:rsidR="005105DC" w:rsidRPr="008742A8" w14:paraId="5C371F28"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1C94DBCF"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02031955</w:t>
            </w:r>
          </w:p>
        </w:tc>
        <w:tc>
          <w:tcPr>
            <w:tcW w:w="1720" w:type="dxa"/>
            <w:tcBorders>
              <w:top w:val="nil"/>
              <w:left w:val="nil"/>
              <w:bottom w:val="single" w:sz="4" w:space="0" w:color="auto"/>
              <w:right w:val="single" w:sz="4" w:space="0" w:color="auto"/>
            </w:tcBorders>
            <w:shd w:val="clear" w:color="auto" w:fill="auto"/>
            <w:noWrap/>
            <w:vAlign w:val="center"/>
            <w:hideMark/>
          </w:tcPr>
          <w:p w14:paraId="15C150F8" w14:textId="6468AE03"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Désossé</w:t>
            </w:r>
            <w:r w:rsidR="005105DC">
              <w:rPr>
                <w:rFonts w:eastAsia="Times New Roman" w:cs="Arial"/>
                <w:color w:val="000000"/>
                <w:sz w:val="20"/>
                <w:szCs w:val="20"/>
                <w:lang w:eastAsia="fr-FR"/>
              </w:rPr>
              <w:t>e</w:t>
            </w:r>
            <w:r w:rsidRPr="008742A8">
              <w:rPr>
                <w:rFonts w:eastAsia="Times New Roman" w:cs="Arial"/>
                <w:color w:val="000000"/>
                <w:sz w:val="20"/>
                <w:szCs w:val="20"/>
                <w:lang w:eastAsia="fr-FR"/>
              </w:rPr>
              <w:t>s FR</w:t>
            </w:r>
          </w:p>
        </w:tc>
        <w:tc>
          <w:tcPr>
            <w:tcW w:w="858" w:type="dxa"/>
            <w:tcBorders>
              <w:top w:val="nil"/>
              <w:left w:val="nil"/>
              <w:bottom w:val="single" w:sz="4" w:space="0" w:color="auto"/>
              <w:right w:val="single" w:sz="4" w:space="0" w:color="auto"/>
            </w:tcBorders>
            <w:shd w:val="clear" w:color="auto" w:fill="auto"/>
            <w:noWrap/>
            <w:vAlign w:val="center"/>
            <w:hideMark/>
          </w:tcPr>
          <w:p w14:paraId="344BF97C"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150</w:t>
            </w:r>
          </w:p>
        </w:tc>
        <w:tc>
          <w:tcPr>
            <w:tcW w:w="993" w:type="dxa"/>
            <w:tcBorders>
              <w:top w:val="nil"/>
              <w:left w:val="nil"/>
              <w:bottom w:val="single" w:sz="4" w:space="0" w:color="auto"/>
              <w:right w:val="single" w:sz="4" w:space="0" w:color="auto"/>
            </w:tcBorders>
            <w:shd w:val="clear" w:color="000000" w:fill="FFFFFF"/>
            <w:noWrap/>
            <w:vAlign w:val="bottom"/>
            <w:hideMark/>
          </w:tcPr>
          <w:p w14:paraId="61AED725" w14:textId="60F21E4A"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000000" w:fill="FFFFFF"/>
            <w:noWrap/>
            <w:vAlign w:val="bottom"/>
            <w:hideMark/>
          </w:tcPr>
          <w:p w14:paraId="0B80A320"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113,1</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60FEBFB1"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single" w:sz="4" w:space="0" w:color="auto"/>
              <w:left w:val="nil"/>
              <w:bottom w:val="single" w:sz="4" w:space="0" w:color="auto"/>
              <w:right w:val="nil"/>
            </w:tcBorders>
            <w:shd w:val="clear" w:color="000000" w:fill="FFFFFF"/>
            <w:noWrap/>
            <w:vAlign w:val="bottom"/>
            <w:hideMark/>
          </w:tcPr>
          <w:p w14:paraId="280CC491"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15,4</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0CDDAB4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000000" w:fill="FFFFFF"/>
            <w:noWrap/>
            <w:vAlign w:val="bottom"/>
            <w:hideMark/>
          </w:tcPr>
          <w:p w14:paraId="2F013410"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6,1</w:t>
            </w:r>
          </w:p>
        </w:tc>
      </w:tr>
      <w:tr w:rsidR="005105DC" w:rsidRPr="008742A8" w14:paraId="6F7941B3"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49B31719"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02031959</w:t>
            </w:r>
          </w:p>
        </w:tc>
        <w:tc>
          <w:tcPr>
            <w:tcW w:w="1720" w:type="dxa"/>
            <w:tcBorders>
              <w:top w:val="nil"/>
              <w:left w:val="nil"/>
              <w:bottom w:val="single" w:sz="4" w:space="0" w:color="auto"/>
              <w:right w:val="single" w:sz="4" w:space="0" w:color="auto"/>
            </w:tcBorders>
            <w:shd w:val="clear" w:color="auto" w:fill="auto"/>
            <w:noWrap/>
            <w:vAlign w:val="center"/>
            <w:hideMark/>
          </w:tcPr>
          <w:p w14:paraId="768A048D"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Autre nd FR</w:t>
            </w:r>
          </w:p>
        </w:tc>
        <w:tc>
          <w:tcPr>
            <w:tcW w:w="858" w:type="dxa"/>
            <w:tcBorders>
              <w:top w:val="nil"/>
              <w:left w:val="nil"/>
              <w:bottom w:val="single" w:sz="4" w:space="0" w:color="auto"/>
              <w:right w:val="single" w:sz="4" w:space="0" w:color="auto"/>
            </w:tcBorders>
            <w:shd w:val="clear" w:color="auto" w:fill="auto"/>
            <w:noWrap/>
            <w:vAlign w:val="center"/>
            <w:hideMark/>
          </w:tcPr>
          <w:p w14:paraId="27DD99B3"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7</w:t>
            </w:r>
          </w:p>
        </w:tc>
        <w:tc>
          <w:tcPr>
            <w:tcW w:w="993" w:type="dxa"/>
            <w:tcBorders>
              <w:top w:val="nil"/>
              <w:left w:val="nil"/>
              <w:bottom w:val="single" w:sz="4" w:space="0" w:color="auto"/>
              <w:right w:val="single" w:sz="4" w:space="0" w:color="auto"/>
            </w:tcBorders>
            <w:shd w:val="clear" w:color="auto" w:fill="auto"/>
            <w:noWrap/>
            <w:vAlign w:val="bottom"/>
            <w:hideMark/>
          </w:tcPr>
          <w:p w14:paraId="7B5E20E5" w14:textId="603C9903"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6520EC39"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5,3</w:t>
            </w:r>
          </w:p>
        </w:tc>
        <w:tc>
          <w:tcPr>
            <w:tcW w:w="1201" w:type="dxa"/>
            <w:tcBorders>
              <w:top w:val="nil"/>
              <w:left w:val="nil"/>
              <w:bottom w:val="single" w:sz="4" w:space="0" w:color="auto"/>
              <w:right w:val="single" w:sz="4" w:space="0" w:color="auto"/>
            </w:tcBorders>
            <w:shd w:val="clear" w:color="auto" w:fill="auto"/>
            <w:noWrap/>
            <w:vAlign w:val="bottom"/>
            <w:hideMark/>
          </w:tcPr>
          <w:p w14:paraId="3B132A70" w14:textId="01EA8B17" w:rsidR="008742A8" w:rsidRPr="008742A8" w:rsidRDefault="00F21473"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Italie</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694FDB75"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0,03</w:t>
            </w:r>
          </w:p>
        </w:tc>
        <w:tc>
          <w:tcPr>
            <w:tcW w:w="1086" w:type="dxa"/>
            <w:tcBorders>
              <w:top w:val="nil"/>
              <w:left w:val="nil"/>
              <w:bottom w:val="single" w:sz="4" w:space="0" w:color="auto"/>
              <w:right w:val="single" w:sz="4" w:space="0" w:color="auto"/>
            </w:tcBorders>
            <w:shd w:val="clear" w:color="auto" w:fill="auto"/>
            <w:noWrap/>
            <w:vAlign w:val="bottom"/>
            <w:hideMark/>
          </w:tcPr>
          <w:p w14:paraId="37A3105D"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auto" w:fill="auto"/>
            <w:noWrap/>
            <w:vAlign w:val="bottom"/>
            <w:hideMark/>
          </w:tcPr>
          <w:p w14:paraId="05B7991B"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0,4</w:t>
            </w:r>
          </w:p>
        </w:tc>
      </w:tr>
      <w:tr w:rsidR="005105DC" w:rsidRPr="008742A8" w14:paraId="7A21FCD4"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19DA6644"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02032211</w:t>
            </w:r>
          </w:p>
        </w:tc>
        <w:tc>
          <w:tcPr>
            <w:tcW w:w="1720" w:type="dxa"/>
            <w:tcBorders>
              <w:top w:val="nil"/>
              <w:left w:val="nil"/>
              <w:bottom w:val="single" w:sz="4" w:space="0" w:color="auto"/>
              <w:right w:val="single" w:sz="4" w:space="0" w:color="auto"/>
            </w:tcBorders>
            <w:shd w:val="clear" w:color="auto" w:fill="auto"/>
            <w:noWrap/>
            <w:vAlign w:val="center"/>
            <w:hideMark/>
          </w:tcPr>
          <w:p w14:paraId="6A920A74"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Jambons C</w:t>
            </w:r>
          </w:p>
        </w:tc>
        <w:tc>
          <w:tcPr>
            <w:tcW w:w="858" w:type="dxa"/>
            <w:tcBorders>
              <w:top w:val="nil"/>
              <w:left w:val="nil"/>
              <w:bottom w:val="single" w:sz="4" w:space="0" w:color="auto"/>
              <w:right w:val="single" w:sz="4" w:space="0" w:color="auto"/>
            </w:tcBorders>
            <w:shd w:val="clear" w:color="auto" w:fill="auto"/>
            <w:noWrap/>
            <w:vAlign w:val="center"/>
            <w:hideMark/>
          </w:tcPr>
          <w:p w14:paraId="7FA7F67A"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2</w:t>
            </w:r>
          </w:p>
        </w:tc>
        <w:tc>
          <w:tcPr>
            <w:tcW w:w="993" w:type="dxa"/>
            <w:tcBorders>
              <w:top w:val="nil"/>
              <w:left w:val="nil"/>
              <w:bottom w:val="single" w:sz="4" w:space="0" w:color="auto"/>
              <w:right w:val="single" w:sz="4" w:space="0" w:color="auto"/>
            </w:tcBorders>
            <w:shd w:val="clear" w:color="auto" w:fill="auto"/>
            <w:noWrap/>
            <w:vAlign w:val="bottom"/>
            <w:hideMark/>
          </w:tcPr>
          <w:p w14:paraId="69A7AD90" w14:textId="64231446"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nil"/>
              <w:left w:val="nil"/>
              <w:bottom w:val="single" w:sz="4" w:space="0" w:color="auto"/>
              <w:right w:val="single" w:sz="4" w:space="0" w:color="auto"/>
            </w:tcBorders>
            <w:shd w:val="clear" w:color="auto" w:fill="auto"/>
            <w:noWrap/>
            <w:vAlign w:val="bottom"/>
            <w:hideMark/>
          </w:tcPr>
          <w:p w14:paraId="60BA6845"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1,3</w:t>
            </w:r>
          </w:p>
        </w:tc>
        <w:tc>
          <w:tcPr>
            <w:tcW w:w="1201" w:type="dxa"/>
            <w:tcBorders>
              <w:top w:val="nil"/>
              <w:left w:val="nil"/>
              <w:bottom w:val="single" w:sz="4" w:space="0" w:color="auto"/>
              <w:right w:val="single" w:sz="4" w:space="0" w:color="auto"/>
            </w:tcBorders>
            <w:shd w:val="clear" w:color="auto" w:fill="auto"/>
            <w:noWrap/>
            <w:vAlign w:val="bottom"/>
            <w:hideMark/>
          </w:tcPr>
          <w:p w14:paraId="6A3EFBAD"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Pays Bas</w:t>
            </w:r>
          </w:p>
        </w:tc>
        <w:tc>
          <w:tcPr>
            <w:tcW w:w="851" w:type="dxa"/>
            <w:tcBorders>
              <w:top w:val="nil"/>
              <w:left w:val="nil"/>
              <w:bottom w:val="single" w:sz="4" w:space="0" w:color="auto"/>
              <w:right w:val="single" w:sz="4" w:space="0" w:color="auto"/>
            </w:tcBorders>
            <w:shd w:val="clear" w:color="auto" w:fill="auto"/>
            <w:noWrap/>
            <w:vAlign w:val="bottom"/>
            <w:hideMark/>
          </w:tcPr>
          <w:p w14:paraId="0D4A092C"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0,04</w:t>
            </w:r>
          </w:p>
        </w:tc>
        <w:tc>
          <w:tcPr>
            <w:tcW w:w="1086" w:type="dxa"/>
            <w:tcBorders>
              <w:top w:val="nil"/>
              <w:left w:val="nil"/>
              <w:bottom w:val="single" w:sz="4" w:space="0" w:color="auto"/>
              <w:right w:val="single" w:sz="4" w:space="0" w:color="auto"/>
            </w:tcBorders>
            <w:shd w:val="clear" w:color="auto" w:fill="auto"/>
            <w:noWrap/>
            <w:vAlign w:val="bottom"/>
            <w:hideMark/>
          </w:tcPr>
          <w:p w14:paraId="6C4E90FB"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757" w:type="dxa"/>
            <w:tcBorders>
              <w:top w:val="nil"/>
              <w:left w:val="nil"/>
              <w:bottom w:val="single" w:sz="4" w:space="0" w:color="auto"/>
              <w:right w:val="single" w:sz="4" w:space="0" w:color="auto"/>
            </w:tcBorders>
            <w:shd w:val="clear" w:color="auto" w:fill="auto"/>
            <w:noWrap/>
            <w:vAlign w:val="bottom"/>
            <w:hideMark/>
          </w:tcPr>
          <w:p w14:paraId="1D1CEFA3"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0,03</w:t>
            </w:r>
          </w:p>
        </w:tc>
      </w:tr>
      <w:tr w:rsidR="005105DC" w:rsidRPr="008742A8" w14:paraId="4C1E58FB"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04ED4F33"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02032219</w:t>
            </w:r>
          </w:p>
        </w:tc>
        <w:tc>
          <w:tcPr>
            <w:tcW w:w="1720" w:type="dxa"/>
            <w:tcBorders>
              <w:top w:val="nil"/>
              <w:left w:val="nil"/>
              <w:bottom w:val="single" w:sz="4" w:space="0" w:color="auto"/>
              <w:right w:val="single" w:sz="4" w:space="0" w:color="auto"/>
            </w:tcBorders>
            <w:shd w:val="clear" w:color="auto" w:fill="auto"/>
            <w:noWrap/>
            <w:vAlign w:val="center"/>
            <w:hideMark/>
          </w:tcPr>
          <w:p w14:paraId="1F040682"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Epaules C</w:t>
            </w:r>
          </w:p>
        </w:tc>
        <w:tc>
          <w:tcPr>
            <w:tcW w:w="858" w:type="dxa"/>
            <w:tcBorders>
              <w:top w:val="nil"/>
              <w:left w:val="nil"/>
              <w:bottom w:val="single" w:sz="4" w:space="0" w:color="auto"/>
              <w:right w:val="single" w:sz="4" w:space="0" w:color="auto"/>
            </w:tcBorders>
            <w:shd w:val="clear" w:color="auto" w:fill="auto"/>
            <w:noWrap/>
            <w:vAlign w:val="center"/>
            <w:hideMark/>
          </w:tcPr>
          <w:p w14:paraId="787A7ECB"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w:t>
            </w:r>
          </w:p>
        </w:tc>
        <w:tc>
          <w:tcPr>
            <w:tcW w:w="993" w:type="dxa"/>
            <w:tcBorders>
              <w:top w:val="nil"/>
              <w:left w:val="nil"/>
              <w:bottom w:val="single" w:sz="4" w:space="0" w:color="auto"/>
              <w:right w:val="single" w:sz="4" w:space="0" w:color="auto"/>
            </w:tcBorders>
            <w:shd w:val="clear" w:color="000000" w:fill="FFFFFF"/>
            <w:noWrap/>
            <w:vAlign w:val="bottom"/>
            <w:hideMark/>
          </w:tcPr>
          <w:p w14:paraId="0E5F1C39" w14:textId="2B2DAECD"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nil"/>
              <w:left w:val="nil"/>
              <w:bottom w:val="single" w:sz="4" w:space="0" w:color="auto"/>
              <w:right w:val="single" w:sz="4" w:space="0" w:color="auto"/>
            </w:tcBorders>
            <w:shd w:val="clear" w:color="auto" w:fill="auto"/>
            <w:noWrap/>
            <w:vAlign w:val="bottom"/>
            <w:hideMark/>
          </w:tcPr>
          <w:p w14:paraId="71CA6E87"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1,2</w:t>
            </w:r>
          </w:p>
        </w:tc>
        <w:tc>
          <w:tcPr>
            <w:tcW w:w="1201" w:type="dxa"/>
            <w:tcBorders>
              <w:top w:val="nil"/>
              <w:left w:val="nil"/>
              <w:bottom w:val="single" w:sz="4" w:space="0" w:color="auto"/>
              <w:right w:val="single" w:sz="4" w:space="0" w:color="auto"/>
            </w:tcBorders>
            <w:shd w:val="clear" w:color="auto" w:fill="auto"/>
            <w:noWrap/>
            <w:vAlign w:val="bottom"/>
            <w:hideMark/>
          </w:tcPr>
          <w:p w14:paraId="7DFF173E"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nil"/>
              <w:left w:val="nil"/>
              <w:bottom w:val="single" w:sz="4" w:space="0" w:color="auto"/>
              <w:right w:val="single" w:sz="4" w:space="0" w:color="auto"/>
            </w:tcBorders>
            <w:shd w:val="clear" w:color="auto" w:fill="auto"/>
            <w:noWrap/>
            <w:vAlign w:val="bottom"/>
            <w:hideMark/>
          </w:tcPr>
          <w:p w14:paraId="3E2B9C6F"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0,1</w:t>
            </w:r>
          </w:p>
        </w:tc>
        <w:tc>
          <w:tcPr>
            <w:tcW w:w="1086" w:type="dxa"/>
            <w:tcBorders>
              <w:top w:val="nil"/>
              <w:left w:val="nil"/>
              <w:bottom w:val="single" w:sz="4" w:space="0" w:color="auto"/>
              <w:right w:val="single" w:sz="4" w:space="0" w:color="auto"/>
            </w:tcBorders>
            <w:shd w:val="clear" w:color="auto" w:fill="auto"/>
            <w:noWrap/>
            <w:vAlign w:val="bottom"/>
            <w:hideMark/>
          </w:tcPr>
          <w:p w14:paraId="2A1D325B"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auto" w:fill="auto"/>
            <w:noWrap/>
            <w:vAlign w:val="bottom"/>
            <w:hideMark/>
          </w:tcPr>
          <w:p w14:paraId="3D219358"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0,04</w:t>
            </w:r>
          </w:p>
        </w:tc>
      </w:tr>
      <w:tr w:rsidR="005105DC" w:rsidRPr="008742A8" w14:paraId="4312454A"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43486FFF"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02032959</w:t>
            </w:r>
          </w:p>
        </w:tc>
        <w:tc>
          <w:tcPr>
            <w:tcW w:w="1720" w:type="dxa"/>
            <w:tcBorders>
              <w:top w:val="nil"/>
              <w:left w:val="nil"/>
              <w:bottom w:val="single" w:sz="4" w:space="0" w:color="auto"/>
              <w:right w:val="single" w:sz="4" w:space="0" w:color="auto"/>
            </w:tcBorders>
            <w:shd w:val="clear" w:color="auto" w:fill="auto"/>
            <w:noWrap/>
            <w:vAlign w:val="center"/>
            <w:hideMark/>
          </w:tcPr>
          <w:p w14:paraId="4CFD692B"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Autre nd C</w:t>
            </w:r>
          </w:p>
        </w:tc>
        <w:tc>
          <w:tcPr>
            <w:tcW w:w="858" w:type="dxa"/>
            <w:tcBorders>
              <w:top w:val="nil"/>
              <w:left w:val="nil"/>
              <w:bottom w:val="single" w:sz="4" w:space="0" w:color="auto"/>
              <w:right w:val="single" w:sz="4" w:space="0" w:color="auto"/>
            </w:tcBorders>
            <w:shd w:val="clear" w:color="auto" w:fill="auto"/>
            <w:noWrap/>
            <w:vAlign w:val="center"/>
            <w:hideMark/>
          </w:tcPr>
          <w:p w14:paraId="30B8872A"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10</w:t>
            </w:r>
          </w:p>
        </w:tc>
        <w:tc>
          <w:tcPr>
            <w:tcW w:w="993" w:type="dxa"/>
            <w:tcBorders>
              <w:top w:val="nil"/>
              <w:left w:val="nil"/>
              <w:bottom w:val="single" w:sz="4" w:space="0" w:color="auto"/>
              <w:right w:val="single" w:sz="4" w:space="0" w:color="auto"/>
            </w:tcBorders>
            <w:shd w:val="clear" w:color="000000" w:fill="FFFFFF"/>
            <w:noWrap/>
            <w:vAlign w:val="bottom"/>
            <w:hideMark/>
          </w:tcPr>
          <w:p w14:paraId="3226295B" w14:textId="7CCFC983"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nil"/>
              <w:left w:val="nil"/>
              <w:bottom w:val="single" w:sz="4" w:space="0" w:color="auto"/>
              <w:right w:val="single" w:sz="4" w:space="0" w:color="auto"/>
            </w:tcBorders>
            <w:shd w:val="clear" w:color="auto" w:fill="auto"/>
            <w:noWrap/>
            <w:vAlign w:val="bottom"/>
            <w:hideMark/>
          </w:tcPr>
          <w:p w14:paraId="7D0D4C64"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6,0</w:t>
            </w:r>
          </w:p>
        </w:tc>
        <w:tc>
          <w:tcPr>
            <w:tcW w:w="1201" w:type="dxa"/>
            <w:tcBorders>
              <w:top w:val="nil"/>
              <w:left w:val="nil"/>
              <w:bottom w:val="single" w:sz="4" w:space="0" w:color="auto"/>
              <w:right w:val="single" w:sz="4" w:space="0" w:color="auto"/>
            </w:tcBorders>
            <w:shd w:val="clear" w:color="auto" w:fill="auto"/>
            <w:noWrap/>
            <w:vAlign w:val="bottom"/>
            <w:hideMark/>
          </w:tcPr>
          <w:p w14:paraId="02388B59" w14:textId="57342BD2" w:rsidR="008742A8" w:rsidRPr="008742A8" w:rsidRDefault="00F4010E"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Belgique</w:t>
            </w:r>
          </w:p>
        </w:tc>
        <w:tc>
          <w:tcPr>
            <w:tcW w:w="851" w:type="dxa"/>
            <w:tcBorders>
              <w:top w:val="nil"/>
              <w:left w:val="nil"/>
              <w:bottom w:val="single" w:sz="4" w:space="0" w:color="auto"/>
              <w:right w:val="single" w:sz="4" w:space="0" w:color="auto"/>
            </w:tcBorders>
            <w:shd w:val="clear" w:color="auto" w:fill="auto"/>
            <w:noWrap/>
            <w:vAlign w:val="bottom"/>
            <w:hideMark/>
          </w:tcPr>
          <w:p w14:paraId="4E4681EA"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0,6</w:t>
            </w:r>
          </w:p>
        </w:tc>
        <w:tc>
          <w:tcPr>
            <w:tcW w:w="1086" w:type="dxa"/>
            <w:tcBorders>
              <w:top w:val="nil"/>
              <w:left w:val="nil"/>
              <w:bottom w:val="single" w:sz="4" w:space="0" w:color="auto"/>
              <w:right w:val="single" w:sz="4" w:space="0" w:color="auto"/>
            </w:tcBorders>
            <w:shd w:val="clear" w:color="auto" w:fill="auto"/>
            <w:noWrap/>
            <w:vAlign w:val="bottom"/>
            <w:hideMark/>
          </w:tcPr>
          <w:p w14:paraId="01F2CAC7"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Italie</w:t>
            </w:r>
          </w:p>
        </w:tc>
        <w:tc>
          <w:tcPr>
            <w:tcW w:w="757" w:type="dxa"/>
            <w:tcBorders>
              <w:top w:val="nil"/>
              <w:left w:val="nil"/>
              <w:bottom w:val="single" w:sz="4" w:space="0" w:color="auto"/>
              <w:right w:val="single" w:sz="4" w:space="0" w:color="auto"/>
            </w:tcBorders>
            <w:shd w:val="clear" w:color="auto" w:fill="auto"/>
            <w:noWrap/>
            <w:vAlign w:val="bottom"/>
            <w:hideMark/>
          </w:tcPr>
          <w:p w14:paraId="5A59D376"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0,3</w:t>
            </w:r>
          </w:p>
        </w:tc>
      </w:tr>
      <w:tr w:rsidR="005105DC" w:rsidRPr="008742A8" w14:paraId="733402CB"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EF8F62F"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02032911</w:t>
            </w:r>
          </w:p>
        </w:tc>
        <w:tc>
          <w:tcPr>
            <w:tcW w:w="1720" w:type="dxa"/>
            <w:tcBorders>
              <w:top w:val="nil"/>
              <w:left w:val="nil"/>
              <w:bottom w:val="single" w:sz="4" w:space="0" w:color="auto"/>
              <w:right w:val="single" w:sz="4" w:space="0" w:color="auto"/>
            </w:tcBorders>
            <w:shd w:val="clear" w:color="auto" w:fill="auto"/>
            <w:noWrap/>
            <w:vAlign w:val="center"/>
            <w:hideMark/>
          </w:tcPr>
          <w:p w14:paraId="20093BC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Parties avant C</w:t>
            </w:r>
          </w:p>
        </w:tc>
        <w:tc>
          <w:tcPr>
            <w:tcW w:w="858" w:type="dxa"/>
            <w:tcBorders>
              <w:top w:val="nil"/>
              <w:left w:val="nil"/>
              <w:bottom w:val="single" w:sz="4" w:space="0" w:color="auto"/>
              <w:right w:val="single" w:sz="4" w:space="0" w:color="auto"/>
            </w:tcBorders>
            <w:shd w:val="clear" w:color="auto" w:fill="auto"/>
            <w:noWrap/>
            <w:vAlign w:val="center"/>
            <w:hideMark/>
          </w:tcPr>
          <w:p w14:paraId="1D47C8F8"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1</w:t>
            </w:r>
          </w:p>
        </w:tc>
        <w:tc>
          <w:tcPr>
            <w:tcW w:w="993" w:type="dxa"/>
            <w:tcBorders>
              <w:top w:val="nil"/>
              <w:left w:val="nil"/>
              <w:bottom w:val="single" w:sz="4" w:space="0" w:color="auto"/>
              <w:right w:val="single" w:sz="4" w:space="0" w:color="auto"/>
            </w:tcBorders>
            <w:shd w:val="clear" w:color="auto" w:fill="auto"/>
            <w:noWrap/>
            <w:vAlign w:val="bottom"/>
            <w:hideMark/>
          </w:tcPr>
          <w:p w14:paraId="65F58CFC" w14:textId="0FDCAF8F"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nil"/>
              <w:left w:val="nil"/>
              <w:bottom w:val="single" w:sz="4" w:space="0" w:color="auto"/>
              <w:right w:val="single" w:sz="4" w:space="0" w:color="auto"/>
            </w:tcBorders>
            <w:shd w:val="clear" w:color="auto" w:fill="auto"/>
            <w:noWrap/>
            <w:vAlign w:val="bottom"/>
            <w:hideMark/>
          </w:tcPr>
          <w:p w14:paraId="182E96E9"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1,0</w:t>
            </w:r>
          </w:p>
        </w:tc>
        <w:tc>
          <w:tcPr>
            <w:tcW w:w="1201" w:type="dxa"/>
            <w:tcBorders>
              <w:top w:val="nil"/>
              <w:left w:val="nil"/>
              <w:bottom w:val="single" w:sz="4" w:space="0" w:color="auto"/>
              <w:right w:val="single" w:sz="4" w:space="0" w:color="auto"/>
            </w:tcBorders>
            <w:shd w:val="clear" w:color="auto" w:fill="auto"/>
            <w:noWrap/>
            <w:vAlign w:val="bottom"/>
            <w:hideMark/>
          </w:tcPr>
          <w:p w14:paraId="4E6029AF" w14:textId="34C42BC0" w:rsidR="008742A8" w:rsidRPr="008742A8" w:rsidRDefault="00F21473"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Italie</w:t>
            </w:r>
          </w:p>
        </w:tc>
        <w:tc>
          <w:tcPr>
            <w:tcW w:w="851" w:type="dxa"/>
            <w:tcBorders>
              <w:top w:val="nil"/>
              <w:left w:val="nil"/>
              <w:bottom w:val="single" w:sz="4" w:space="0" w:color="auto"/>
              <w:right w:val="single" w:sz="4" w:space="0" w:color="auto"/>
            </w:tcBorders>
            <w:shd w:val="clear" w:color="auto" w:fill="auto"/>
            <w:noWrap/>
            <w:vAlign w:val="bottom"/>
            <w:hideMark/>
          </w:tcPr>
          <w:p w14:paraId="5A2BEB86"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0,05</w:t>
            </w:r>
          </w:p>
        </w:tc>
        <w:tc>
          <w:tcPr>
            <w:tcW w:w="1086" w:type="dxa"/>
            <w:tcBorders>
              <w:top w:val="nil"/>
              <w:left w:val="nil"/>
              <w:bottom w:val="single" w:sz="4" w:space="0" w:color="auto"/>
              <w:right w:val="single" w:sz="4" w:space="0" w:color="auto"/>
            </w:tcBorders>
            <w:shd w:val="clear" w:color="auto" w:fill="auto"/>
            <w:noWrap/>
            <w:vAlign w:val="bottom"/>
            <w:hideMark/>
          </w:tcPr>
          <w:p w14:paraId="61F7626C"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 xml:space="preserve">Belgique </w:t>
            </w:r>
          </w:p>
        </w:tc>
        <w:tc>
          <w:tcPr>
            <w:tcW w:w="757" w:type="dxa"/>
            <w:tcBorders>
              <w:top w:val="nil"/>
              <w:left w:val="nil"/>
              <w:bottom w:val="single" w:sz="4" w:space="0" w:color="auto"/>
              <w:right w:val="single" w:sz="4" w:space="0" w:color="auto"/>
            </w:tcBorders>
            <w:shd w:val="clear" w:color="auto" w:fill="auto"/>
            <w:noWrap/>
            <w:vAlign w:val="bottom"/>
            <w:hideMark/>
          </w:tcPr>
          <w:p w14:paraId="6A87B4E7" w14:textId="77777777" w:rsidR="008742A8" w:rsidRPr="008742A8" w:rsidRDefault="008742A8" w:rsidP="008742A8">
            <w:pPr>
              <w:spacing w:after="0" w:line="240" w:lineRule="auto"/>
              <w:jc w:val="right"/>
              <w:rPr>
                <w:rFonts w:eastAsia="Times New Roman" w:cs="Arial"/>
                <w:color w:val="000000"/>
                <w:sz w:val="20"/>
                <w:szCs w:val="20"/>
                <w:lang w:eastAsia="fr-FR"/>
              </w:rPr>
            </w:pPr>
            <w:r w:rsidRPr="008742A8">
              <w:rPr>
                <w:rFonts w:eastAsia="Times New Roman" w:cs="Arial"/>
                <w:color w:val="000000"/>
                <w:sz w:val="20"/>
                <w:szCs w:val="20"/>
                <w:lang w:eastAsia="fr-FR"/>
              </w:rPr>
              <w:t>0,3</w:t>
            </w:r>
          </w:p>
        </w:tc>
      </w:tr>
      <w:tr w:rsidR="005105DC" w:rsidRPr="008742A8" w14:paraId="5F8E9D67"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2D5C0FC5"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02032955</w:t>
            </w:r>
          </w:p>
        </w:tc>
        <w:tc>
          <w:tcPr>
            <w:tcW w:w="1720" w:type="dxa"/>
            <w:tcBorders>
              <w:top w:val="nil"/>
              <w:left w:val="nil"/>
              <w:bottom w:val="single" w:sz="4" w:space="0" w:color="auto"/>
              <w:right w:val="single" w:sz="4" w:space="0" w:color="auto"/>
            </w:tcBorders>
            <w:shd w:val="clear" w:color="auto" w:fill="auto"/>
            <w:noWrap/>
            <w:vAlign w:val="center"/>
            <w:hideMark/>
          </w:tcPr>
          <w:p w14:paraId="3FD5D34E"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Désossées C</w:t>
            </w:r>
          </w:p>
        </w:tc>
        <w:tc>
          <w:tcPr>
            <w:tcW w:w="858" w:type="dxa"/>
            <w:tcBorders>
              <w:top w:val="nil"/>
              <w:left w:val="nil"/>
              <w:bottom w:val="single" w:sz="4" w:space="0" w:color="auto"/>
              <w:right w:val="single" w:sz="4" w:space="0" w:color="auto"/>
            </w:tcBorders>
            <w:shd w:val="clear" w:color="auto" w:fill="auto"/>
            <w:noWrap/>
            <w:vAlign w:val="center"/>
            <w:hideMark/>
          </w:tcPr>
          <w:p w14:paraId="09182FE8"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42</w:t>
            </w:r>
          </w:p>
        </w:tc>
        <w:tc>
          <w:tcPr>
            <w:tcW w:w="993" w:type="dxa"/>
            <w:tcBorders>
              <w:top w:val="nil"/>
              <w:left w:val="nil"/>
              <w:bottom w:val="single" w:sz="4" w:space="0" w:color="auto"/>
              <w:right w:val="single" w:sz="4" w:space="0" w:color="auto"/>
            </w:tcBorders>
            <w:shd w:val="clear" w:color="auto" w:fill="auto"/>
            <w:noWrap/>
            <w:vAlign w:val="bottom"/>
            <w:hideMark/>
          </w:tcPr>
          <w:p w14:paraId="7FF27F37" w14:textId="5742AC60"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auto" w:fill="auto"/>
            <w:noWrap/>
            <w:vAlign w:val="bottom"/>
            <w:hideMark/>
          </w:tcPr>
          <w:p w14:paraId="15075A11"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27,7</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56170608"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Allemagne</w:t>
            </w:r>
          </w:p>
        </w:tc>
        <w:tc>
          <w:tcPr>
            <w:tcW w:w="851" w:type="dxa"/>
            <w:tcBorders>
              <w:top w:val="nil"/>
              <w:left w:val="nil"/>
              <w:bottom w:val="single" w:sz="4" w:space="0" w:color="auto"/>
              <w:right w:val="single" w:sz="4" w:space="0" w:color="auto"/>
            </w:tcBorders>
            <w:shd w:val="clear" w:color="auto" w:fill="auto"/>
            <w:noWrap/>
            <w:vAlign w:val="bottom"/>
            <w:hideMark/>
          </w:tcPr>
          <w:p w14:paraId="4C4F422A"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6,5</w:t>
            </w:r>
          </w:p>
        </w:tc>
        <w:tc>
          <w:tcPr>
            <w:tcW w:w="1086" w:type="dxa"/>
            <w:tcBorders>
              <w:top w:val="nil"/>
              <w:left w:val="nil"/>
              <w:bottom w:val="single" w:sz="4" w:space="0" w:color="auto"/>
              <w:right w:val="single" w:sz="4" w:space="0" w:color="auto"/>
            </w:tcBorders>
            <w:shd w:val="clear" w:color="auto" w:fill="auto"/>
            <w:noWrap/>
            <w:vAlign w:val="bottom"/>
            <w:hideMark/>
          </w:tcPr>
          <w:p w14:paraId="17AA1642"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757" w:type="dxa"/>
            <w:tcBorders>
              <w:top w:val="nil"/>
              <w:left w:val="nil"/>
              <w:bottom w:val="single" w:sz="4" w:space="0" w:color="auto"/>
              <w:right w:val="single" w:sz="4" w:space="0" w:color="auto"/>
            </w:tcBorders>
            <w:shd w:val="clear" w:color="auto" w:fill="auto"/>
            <w:noWrap/>
            <w:vAlign w:val="bottom"/>
            <w:hideMark/>
          </w:tcPr>
          <w:p w14:paraId="7324A303"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4,3</w:t>
            </w:r>
          </w:p>
        </w:tc>
      </w:tr>
      <w:tr w:rsidR="005105DC" w:rsidRPr="008742A8" w14:paraId="16D56D9C"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7D39673C"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02032915</w:t>
            </w:r>
          </w:p>
        </w:tc>
        <w:tc>
          <w:tcPr>
            <w:tcW w:w="1720" w:type="dxa"/>
            <w:tcBorders>
              <w:top w:val="nil"/>
              <w:left w:val="nil"/>
              <w:bottom w:val="single" w:sz="4" w:space="0" w:color="auto"/>
              <w:right w:val="single" w:sz="4" w:space="0" w:color="auto"/>
            </w:tcBorders>
            <w:shd w:val="clear" w:color="auto" w:fill="auto"/>
            <w:noWrap/>
            <w:vAlign w:val="center"/>
            <w:hideMark/>
          </w:tcPr>
          <w:p w14:paraId="1E3A5B71"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Poitrines C</w:t>
            </w:r>
          </w:p>
        </w:tc>
        <w:tc>
          <w:tcPr>
            <w:tcW w:w="858" w:type="dxa"/>
            <w:tcBorders>
              <w:top w:val="nil"/>
              <w:left w:val="nil"/>
              <w:bottom w:val="single" w:sz="4" w:space="0" w:color="auto"/>
              <w:right w:val="single" w:sz="4" w:space="0" w:color="auto"/>
            </w:tcBorders>
            <w:shd w:val="clear" w:color="auto" w:fill="auto"/>
            <w:noWrap/>
            <w:vAlign w:val="center"/>
            <w:hideMark/>
          </w:tcPr>
          <w:p w14:paraId="3FD2AE3B"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3</w:t>
            </w:r>
          </w:p>
        </w:tc>
        <w:tc>
          <w:tcPr>
            <w:tcW w:w="993" w:type="dxa"/>
            <w:tcBorders>
              <w:top w:val="nil"/>
              <w:left w:val="nil"/>
              <w:bottom w:val="single" w:sz="4" w:space="0" w:color="auto"/>
              <w:right w:val="single" w:sz="4" w:space="0" w:color="auto"/>
            </w:tcBorders>
            <w:shd w:val="clear" w:color="000000" w:fill="FFFFFF"/>
            <w:noWrap/>
            <w:vAlign w:val="bottom"/>
            <w:hideMark/>
          </w:tcPr>
          <w:p w14:paraId="1072DF69" w14:textId="0532B8A5"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nil"/>
            </w:tcBorders>
            <w:shd w:val="clear" w:color="auto" w:fill="auto"/>
            <w:noWrap/>
            <w:vAlign w:val="bottom"/>
            <w:hideMark/>
          </w:tcPr>
          <w:p w14:paraId="21F167AF"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2,3</w:t>
            </w:r>
          </w:p>
        </w:tc>
        <w:tc>
          <w:tcPr>
            <w:tcW w:w="1201" w:type="dxa"/>
            <w:tcBorders>
              <w:top w:val="nil"/>
              <w:left w:val="single" w:sz="4" w:space="0" w:color="auto"/>
              <w:bottom w:val="single" w:sz="4" w:space="0" w:color="auto"/>
              <w:right w:val="single" w:sz="4" w:space="0" w:color="auto"/>
            </w:tcBorders>
            <w:shd w:val="clear" w:color="auto" w:fill="auto"/>
            <w:noWrap/>
            <w:vAlign w:val="bottom"/>
            <w:hideMark/>
          </w:tcPr>
          <w:p w14:paraId="45236251"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Belgique</w:t>
            </w:r>
          </w:p>
        </w:tc>
        <w:tc>
          <w:tcPr>
            <w:tcW w:w="851" w:type="dxa"/>
            <w:tcBorders>
              <w:top w:val="nil"/>
              <w:left w:val="nil"/>
              <w:bottom w:val="single" w:sz="4" w:space="0" w:color="auto"/>
              <w:right w:val="nil"/>
            </w:tcBorders>
            <w:shd w:val="clear" w:color="auto" w:fill="auto"/>
            <w:noWrap/>
            <w:vAlign w:val="bottom"/>
            <w:hideMark/>
          </w:tcPr>
          <w:p w14:paraId="797F8AAC"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0,1</w:t>
            </w:r>
          </w:p>
        </w:tc>
        <w:tc>
          <w:tcPr>
            <w:tcW w:w="1086" w:type="dxa"/>
            <w:tcBorders>
              <w:top w:val="nil"/>
              <w:left w:val="single" w:sz="4" w:space="0" w:color="auto"/>
              <w:bottom w:val="single" w:sz="4" w:space="0" w:color="auto"/>
              <w:right w:val="single" w:sz="4" w:space="0" w:color="auto"/>
            </w:tcBorders>
            <w:shd w:val="clear" w:color="auto" w:fill="auto"/>
            <w:noWrap/>
            <w:vAlign w:val="bottom"/>
            <w:hideMark/>
          </w:tcPr>
          <w:p w14:paraId="2CF7F31A"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 xml:space="preserve">Allemagne </w:t>
            </w:r>
          </w:p>
        </w:tc>
        <w:tc>
          <w:tcPr>
            <w:tcW w:w="757" w:type="dxa"/>
            <w:tcBorders>
              <w:top w:val="nil"/>
              <w:left w:val="nil"/>
              <w:bottom w:val="single" w:sz="4" w:space="0" w:color="auto"/>
              <w:right w:val="single" w:sz="4" w:space="0" w:color="auto"/>
            </w:tcBorders>
            <w:shd w:val="clear" w:color="auto" w:fill="auto"/>
            <w:noWrap/>
            <w:vAlign w:val="bottom"/>
            <w:hideMark/>
          </w:tcPr>
          <w:p w14:paraId="3F3607C9"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0,7</w:t>
            </w:r>
          </w:p>
        </w:tc>
      </w:tr>
      <w:tr w:rsidR="005105DC" w:rsidRPr="008742A8" w14:paraId="7A6DF13E" w14:textId="77777777" w:rsidTr="0002537E">
        <w:trPr>
          <w:trHeight w:val="300"/>
        </w:trPr>
        <w:tc>
          <w:tcPr>
            <w:tcW w:w="1386" w:type="dxa"/>
            <w:tcBorders>
              <w:top w:val="nil"/>
              <w:left w:val="single" w:sz="4" w:space="0" w:color="auto"/>
              <w:bottom w:val="single" w:sz="4" w:space="0" w:color="auto"/>
              <w:right w:val="single" w:sz="4" w:space="0" w:color="auto"/>
            </w:tcBorders>
            <w:shd w:val="clear" w:color="auto" w:fill="auto"/>
            <w:noWrap/>
            <w:vAlign w:val="center"/>
            <w:hideMark/>
          </w:tcPr>
          <w:p w14:paraId="14DAA702" w14:textId="77777777" w:rsidR="008742A8" w:rsidRPr="008742A8" w:rsidRDefault="008742A8" w:rsidP="008742A8">
            <w:pPr>
              <w:spacing w:after="0" w:line="240" w:lineRule="auto"/>
              <w:jc w:val="left"/>
              <w:rPr>
                <w:rFonts w:eastAsia="Times New Roman" w:cs="Arial"/>
                <w:sz w:val="20"/>
                <w:szCs w:val="20"/>
                <w:lang w:eastAsia="fr-FR"/>
              </w:rPr>
            </w:pPr>
            <w:r w:rsidRPr="008742A8">
              <w:rPr>
                <w:rFonts w:eastAsia="Times New Roman" w:cs="Arial"/>
                <w:sz w:val="20"/>
                <w:szCs w:val="20"/>
                <w:lang w:eastAsia="fr-FR"/>
              </w:rPr>
              <w:t>02032913</w:t>
            </w:r>
          </w:p>
        </w:tc>
        <w:tc>
          <w:tcPr>
            <w:tcW w:w="1720" w:type="dxa"/>
            <w:tcBorders>
              <w:top w:val="nil"/>
              <w:left w:val="nil"/>
              <w:bottom w:val="single" w:sz="4" w:space="0" w:color="auto"/>
              <w:right w:val="single" w:sz="4" w:space="0" w:color="auto"/>
            </w:tcBorders>
            <w:shd w:val="clear" w:color="auto" w:fill="auto"/>
            <w:noWrap/>
            <w:vAlign w:val="center"/>
            <w:hideMark/>
          </w:tcPr>
          <w:p w14:paraId="2345A715"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Longes C</w:t>
            </w:r>
          </w:p>
        </w:tc>
        <w:tc>
          <w:tcPr>
            <w:tcW w:w="858" w:type="dxa"/>
            <w:tcBorders>
              <w:top w:val="nil"/>
              <w:left w:val="nil"/>
              <w:bottom w:val="single" w:sz="4" w:space="0" w:color="auto"/>
              <w:right w:val="single" w:sz="4" w:space="0" w:color="auto"/>
            </w:tcBorders>
            <w:shd w:val="clear" w:color="auto" w:fill="auto"/>
            <w:noWrap/>
            <w:vAlign w:val="center"/>
            <w:hideMark/>
          </w:tcPr>
          <w:p w14:paraId="4227A2AD" w14:textId="77777777" w:rsidR="008742A8" w:rsidRPr="008742A8" w:rsidRDefault="008742A8" w:rsidP="008742A8">
            <w:pPr>
              <w:spacing w:after="0" w:line="240" w:lineRule="auto"/>
              <w:jc w:val="right"/>
              <w:rPr>
                <w:rFonts w:eastAsia="Times New Roman" w:cs="Arial"/>
                <w:sz w:val="20"/>
                <w:szCs w:val="20"/>
                <w:lang w:eastAsia="fr-FR"/>
              </w:rPr>
            </w:pPr>
            <w:r w:rsidRPr="008742A8">
              <w:rPr>
                <w:rFonts w:eastAsia="Times New Roman" w:cs="Arial"/>
                <w:sz w:val="20"/>
                <w:szCs w:val="20"/>
                <w:lang w:eastAsia="fr-FR"/>
              </w:rPr>
              <w:t>2</w:t>
            </w:r>
          </w:p>
        </w:tc>
        <w:tc>
          <w:tcPr>
            <w:tcW w:w="993" w:type="dxa"/>
            <w:tcBorders>
              <w:top w:val="nil"/>
              <w:left w:val="nil"/>
              <w:bottom w:val="single" w:sz="4" w:space="0" w:color="auto"/>
              <w:right w:val="single" w:sz="4" w:space="0" w:color="auto"/>
            </w:tcBorders>
            <w:shd w:val="clear" w:color="auto" w:fill="auto"/>
            <w:noWrap/>
            <w:vAlign w:val="bottom"/>
            <w:hideMark/>
          </w:tcPr>
          <w:p w14:paraId="05989CB8" w14:textId="07F3F945" w:rsidR="008742A8" w:rsidRPr="008742A8" w:rsidRDefault="00C476A7" w:rsidP="008742A8">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Espagne</w:t>
            </w:r>
          </w:p>
        </w:tc>
        <w:tc>
          <w:tcPr>
            <w:tcW w:w="641" w:type="dxa"/>
            <w:tcBorders>
              <w:top w:val="single" w:sz="4" w:space="0" w:color="auto"/>
              <w:left w:val="nil"/>
              <w:bottom w:val="single" w:sz="4" w:space="0" w:color="auto"/>
              <w:right w:val="single" w:sz="4" w:space="0" w:color="auto"/>
            </w:tcBorders>
            <w:shd w:val="clear" w:color="auto" w:fill="auto"/>
            <w:noWrap/>
            <w:vAlign w:val="bottom"/>
            <w:hideMark/>
          </w:tcPr>
          <w:p w14:paraId="4AC0F877"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1,6</w:t>
            </w:r>
          </w:p>
        </w:tc>
        <w:tc>
          <w:tcPr>
            <w:tcW w:w="1201" w:type="dxa"/>
            <w:tcBorders>
              <w:top w:val="nil"/>
              <w:left w:val="nil"/>
              <w:bottom w:val="single" w:sz="4" w:space="0" w:color="auto"/>
              <w:right w:val="single" w:sz="4" w:space="0" w:color="auto"/>
            </w:tcBorders>
            <w:shd w:val="clear" w:color="auto" w:fill="auto"/>
            <w:noWrap/>
            <w:vAlign w:val="bottom"/>
            <w:hideMark/>
          </w:tcPr>
          <w:p w14:paraId="6808BADB"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Pologne</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31F5444B"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0,0</w:t>
            </w:r>
          </w:p>
        </w:tc>
        <w:tc>
          <w:tcPr>
            <w:tcW w:w="1086" w:type="dxa"/>
            <w:tcBorders>
              <w:top w:val="nil"/>
              <w:left w:val="nil"/>
              <w:bottom w:val="single" w:sz="4" w:space="0" w:color="auto"/>
              <w:right w:val="single" w:sz="4" w:space="0" w:color="auto"/>
            </w:tcBorders>
            <w:shd w:val="clear" w:color="auto" w:fill="auto"/>
            <w:noWrap/>
            <w:vAlign w:val="bottom"/>
            <w:hideMark/>
          </w:tcPr>
          <w:p w14:paraId="2949B7D5" w14:textId="77777777" w:rsidR="008742A8" w:rsidRPr="008742A8" w:rsidRDefault="008742A8" w:rsidP="008742A8">
            <w:pPr>
              <w:spacing w:after="0" w:line="240" w:lineRule="auto"/>
              <w:jc w:val="left"/>
              <w:rPr>
                <w:rFonts w:eastAsia="Times New Roman" w:cs="Arial"/>
                <w:color w:val="000000"/>
                <w:sz w:val="20"/>
                <w:szCs w:val="20"/>
                <w:lang w:eastAsia="fr-FR"/>
              </w:rPr>
            </w:pPr>
            <w:r w:rsidRPr="008742A8">
              <w:rPr>
                <w:rFonts w:eastAsia="Times New Roman" w:cs="Arial"/>
                <w:color w:val="000000"/>
                <w:sz w:val="20"/>
                <w:szCs w:val="20"/>
                <w:lang w:eastAsia="fr-FR"/>
              </w:rPr>
              <w:t xml:space="preserve">Italie </w:t>
            </w:r>
          </w:p>
        </w:tc>
        <w:tc>
          <w:tcPr>
            <w:tcW w:w="757" w:type="dxa"/>
            <w:tcBorders>
              <w:top w:val="nil"/>
              <w:left w:val="nil"/>
              <w:bottom w:val="single" w:sz="4" w:space="0" w:color="auto"/>
              <w:right w:val="single" w:sz="4" w:space="0" w:color="auto"/>
            </w:tcBorders>
            <w:shd w:val="clear" w:color="auto" w:fill="auto"/>
            <w:noWrap/>
            <w:vAlign w:val="bottom"/>
            <w:hideMark/>
          </w:tcPr>
          <w:p w14:paraId="0C1E1DE7" w14:textId="77777777" w:rsidR="008742A8" w:rsidRPr="008742A8" w:rsidRDefault="008742A8" w:rsidP="008742A8">
            <w:pPr>
              <w:spacing w:after="0" w:line="240" w:lineRule="auto"/>
              <w:jc w:val="right"/>
              <w:rPr>
                <w:rFonts w:ascii="Calibri" w:eastAsia="Times New Roman" w:hAnsi="Calibri" w:cs="Times New Roman"/>
                <w:color w:val="000000"/>
                <w:lang w:eastAsia="fr-FR"/>
              </w:rPr>
            </w:pPr>
            <w:r w:rsidRPr="008742A8">
              <w:rPr>
                <w:rFonts w:ascii="Calibri" w:eastAsia="Times New Roman" w:hAnsi="Calibri" w:cs="Times New Roman"/>
                <w:color w:val="000000"/>
                <w:lang w:eastAsia="fr-FR"/>
              </w:rPr>
              <w:t>0,2</w:t>
            </w:r>
          </w:p>
        </w:tc>
      </w:tr>
    </w:tbl>
    <w:p w14:paraId="3B575DC8" w14:textId="2DAD9916" w:rsidR="00921B43" w:rsidRDefault="00C476A7" w:rsidP="0002537E">
      <w:pPr>
        <w:pStyle w:val="figure"/>
      </w:pPr>
      <w:bookmarkStart w:id="302" w:name="_Toc72143412"/>
      <w:r w:rsidRPr="003A5CDC">
        <w:t xml:space="preserve">Tableau </w:t>
      </w:r>
      <w:r w:rsidRPr="00D54EC4">
        <w:fldChar w:fldCharType="begin"/>
      </w:r>
      <w:r w:rsidRPr="003A5CDC">
        <w:instrText xml:space="preserve"> SEQ Tableau \* ARABIC </w:instrText>
      </w:r>
      <w:r w:rsidRPr="00D54EC4">
        <w:fldChar w:fldCharType="separate"/>
      </w:r>
      <w:r w:rsidR="00AA0CBF">
        <w:rPr>
          <w:noProof/>
        </w:rPr>
        <w:t>65</w:t>
      </w:r>
      <w:r w:rsidRPr="00D54EC4">
        <w:fldChar w:fldCharType="end"/>
      </w:r>
      <w:r w:rsidR="00921B43">
        <w:t xml:space="preserve"> : </w:t>
      </w:r>
      <w:r w:rsidR="005105DC" w:rsidRPr="003A5CDC">
        <w:t xml:space="preserve">Exportation </w:t>
      </w:r>
      <w:r w:rsidRPr="003A5CDC">
        <w:t xml:space="preserve">des pièces </w:t>
      </w:r>
      <w:r w:rsidR="005105DC" w:rsidRPr="003A5CDC">
        <w:t xml:space="preserve">en volume par catégorie et par principaux pays d’origine </w:t>
      </w:r>
      <w:r w:rsidR="00F21473" w:rsidRPr="003A5CDC">
        <w:t xml:space="preserve">de l’UE </w:t>
      </w:r>
      <w:r w:rsidR="005105DC" w:rsidRPr="003A5CDC">
        <w:t xml:space="preserve">à destination de la France </w:t>
      </w:r>
      <w:r w:rsidR="0054626F">
        <w:t>en kt en</w:t>
      </w:r>
      <w:r w:rsidR="005105DC" w:rsidRPr="003A5CDC">
        <w:t xml:space="preserve"> 2018</w:t>
      </w:r>
      <w:bookmarkEnd w:id="302"/>
      <w:r w:rsidR="005105DC">
        <w:rPr>
          <w:i/>
        </w:rPr>
        <w:t xml:space="preserve"> </w:t>
      </w:r>
    </w:p>
    <w:p w14:paraId="3B46A6EB" w14:textId="0B81BC21" w:rsidR="00D70646" w:rsidRPr="00644679" w:rsidRDefault="005105DC" w:rsidP="0002537E">
      <w:pPr>
        <w:pStyle w:val="Lgende"/>
      </w:pPr>
      <w:r w:rsidRPr="003A5CDC">
        <w:t>(Source : Eurostat)</w:t>
      </w:r>
    </w:p>
    <w:p w14:paraId="197A9900" w14:textId="5CA6A0E3" w:rsidR="0034590B" w:rsidRPr="00E8725B" w:rsidRDefault="00C4607F" w:rsidP="0002537E">
      <w:pPr>
        <w:pStyle w:val="Titre3"/>
        <w:numPr>
          <w:ilvl w:val="2"/>
          <w:numId w:val="9"/>
        </w:numPr>
        <w:rPr>
          <w:color w:val="000000" w:themeColor="text1"/>
        </w:rPr>
      </w:pPr>
      <w:bookmarkStart w:id="303" w:name="_Toc78131652"/>
      <w:r w:rsidRPr="00E8725B">
        <w:rPr>
          <w:color w:val="000000" w:themeColor="text1"/>
        </w:rPr>
        <w:t>Approche de la part relative des signes de qualité</w:t>
      </w:r>
      <w:bookmarkEnd w:id="303"/>
    </w:p>
    <w:p w14:paraId="3DA393F7" w14:textId="22F86621" w:rsidR="00A0589F" w:rsidRDefault="00A0589F" w:rsidP="0002537E">
      <w:pPr>
        <w:pStyle w:val="Corpsdetexte"/>
        <w:numPr>
          <w:ilvl w:val="0"/>
          <w:numId w:val="23"/>
        </w:numPr>
      </w:pPr>
      <w:r>
        <w:t xml:space="preserve">Charcuterie salaison </w:t>
      </w:r>
    </w:p>
    <w:p w14:paraId="2E72B99C" w14:textId="09A573BA" w:rsidR="00A0589F" w:rsidRPr="004E4274" w:rsidRDefault="0054626F" w:rsidP="0002537E">
      <w:r>
        <w:rPr>
          <w:lang w:eastAsia="fr-FR"/>
        </w:rPr>
        <w:t xml:space="preserve">Selon </w:t>
      </w:r>
      <w:r w:rsidR="00AD26D4">
        <w:rPr>
          <w:lang w:eastAsia="fr-FR"/>
        </w:rPr>
        <w:t xml:space="preserve">les données issues de Fil Rouge, les volumes en Label Rouge représentent selon </w:t>
      </w:r>
      <w:r w:rsidR="00AD26D4" w:rsidRPr="00C076B2">
        <w:t>les o entre 3 à 5</w:t>
      </w:r>
      <w:r w:rsidR="004A538C">
        <w:t> </w:t>
      </w:r>
      <w:r w:rsidR="00AD26D4" w:rsidRPr="00C076B2">
        <w:t>% des ventes de charcuterie salaison. Les catégories de produits suivantes</w:t>
      </w:r>
      <w:r>
        <w:t xml:space="preserve"> </w:t>
      </w:r>
      <w:r w:rsidR="00AD26D4" w:rsidRPr="00C076B2">
        <w:t>par ordre décroissant sont représentées soient jambon cuit, rosette, rôti cuit, saucisse sèche, saucisson sec sur la base du recueil des données d’enquête. Les produits Bio d’origine France représentent moins</w:t>
      </w:r>
      <w:r w:rsidR="00AD26D4">
        <w:rPr>
          <w:lang w:eastAsia="fr-FR"/>
        </w:rPr>
        <w:t xml:space="preserve"> de 5</w:t>
      </w:r>
      <w:r w:rsidR="004A538C">
        <w:rPr>
          <w:lang w:eastAsia="fr-FR"/>
        </w:rPr>
        <w:t> </w:t>
      </w:r>
      <w:r w:rsidR="00AD26D4">
        <w:rPr>
          <w:lang w:eastAsia="fr-FR"/>
        </w:rPr>
        <w:t>% des ventes avec cependant des croissances à plus de 5</w:t>
      </w:r>
      <w:r w:rsidR="004A538C">
        <w:rPr>
          <w:lang w:eastAsia="fr-FR"/>
        </w:rPr>
        <w:t> </w:t>
      </w:r>
      <w:r w:rsidR="00AD26D4">
        <w:rPr>
          <w:lang w:eastAsia="fr-FR"/>
        </w:rPr>
        <w:t>% par an.</w:t>
      </w:r>
      <w:r w:rsidR="00466E44">
        <w:rPr>
          <w:lang w:eastAsia="fr-FR"/>
        </w:rPr>
        <w:t xml:space="preserve"> </w:t>
      </w:r>
    </w:p>
    <w:p w14:paraId="1C4417A8" w14:textId="70F576C9" w:rsidR="00B445B8" w:rsidRDefault="00B445B8" w:rsidP="0002537E">
      <w:pPr>
        <w:pStyle w:val="Corpsdetexte"/>
        <w:numPr>
          <w:ilvl w:val="0"/>
          <w:numId w:val="23"/>
        </w:numPr>
      </w:pPr>
      <w:r>
        <w:t xml:space="preserve">Viande de porc </w:t>
      </w:r>
    </w:p>
    <w:p w14:paraId="10A3A6C8" w14:textId="0917B2F6" w:rsidR="00FC07D6" w:rsidRDefault="00411065" w:rsidP="00C076B2">
      <w:pPr>
        <w:rPr>
          <w:highlight w:val="yellow"/>
        </w:rPr>
      </w:pPr>
      <w:r w:rsidRPr="00784A16">
        <w:t>Dans un contexte concurrentiel</w:t>
      </w:r>
      <w:r w:rsidR="0054626F">
        <w:t xml:space="preserve"> de la distribution</w:t>
      </w:r>
      <w:r w:rsidRPr="00784A16">
        <w:t xml:space="preserve"> relativement marqué, les signes de qualité contribuent à l</w:t>
      </w:r>
      <w:r w:rsidR="00562CB6">
        <w:t>a</w:t>
      </w:r>
      <w:r w:rsidRPr="00784A16">
        <w:t xml:space="preserve"> différentiation</w:t>
      </w:r>
      <w:r w:rsidR="00562CB6">
        <w:t xml:space="preserve"> de ces acteurs</w:t>
      </w:r>
      <w:r w:rsidRPr="00784A16">
        <w:t xml:space="preserve"> sur une même zone de chalandise</w:t>
      </w:r>
      <w:r w:rsidR="00C076B2">
        <w:t xml:space="preserve"> et favorisent la création de valeur. </w:t>
      </w:r>
      <w:r w:rsidR="006F520F" w:rsidRPr="00C076B2">
        <w:t>Comme en charcuterie, la viande Label Rouge représente une part de marché en volume de moins de 5</w:t>
      </w:r>
      <w:r w:rsidR="0054626F">
        <w:t> </w:t>
      </w:r>
      <w:r w:rsidR="006F520F" w:rsidRPr="00C076B2">
        <w:t>% au travers d</w:t>
      </w:r>
      <w:r w:rsidR="00662723">
        <w:t>’a</w:t>
      </w:r>
      <w:r w:rsidR="006F520F" w:rsidRPr="00C076B2">
        <w:t>pproche</w:t>
      </w:r>
      <w:r w:rsidR="00662723">
        <w:t>s</w:t>
      </w:r>
      <w:r w:rsidR="006F520F" w:rsidRPr="00C076B2">
        <w:t xml:space="preserve"> souvent </w:t>
      </w:r>
      <w:r w:rsidR="00662723">
        <w:t>contractuelles et tripartites</w:t>
      </w:r>
      <w:r w:rsidR="00F8286F">
        <w:t xml:space="preserve"> </w:t>
      </w:r>
      <w:r w:rsidR="00B179BA">
        <w:t>avec les éleveurs et les abatteurs découpeurs</w:t>
      </w:r>
      <w:r w:rsidR="006F520F" w:rsidRPr="00C076B2">
        <w:t xml:space="preserve">. </w:t>
      </w:r>
      <w:r w:rsidR="00C076B2">
        <w:t xml:space="preserve">Au sein de certaines enseignes, le Label Rouge peut représenter plus de 5%. </w:t>
      </w:r>
      <w:r w:rsidRPr="00C076B2">
        <w:t xml:space="preserve">Le Bio en viande de porc est moins présent et </w:t>
      </w:r>
      <w:r w:rsidR="00F8286F">
        <w:t xml:space="preserve">pèserait </w:t>
      </w:r>
      <w:r w:rsidRPr="00C076B2">
        <w:t>moins de 2</w:t>
      </w:r>
      <w:r w:rsidR="004A538C">
        <w:t> </w:t>
      </w:r>
      <w:r w:rsidRPr="00C076B2">
        <w:t xml:space="preserve">% </w:t>
      </w:r>
      <w:r w:rsidR="00C076B2">
        <w:t xml:space="preserve">des volumes </w:t>
      </w:r>
      <w:r w:rsidRPr="00C076B2">
        <w:t xml:space="preserve">en 2018. </w:t>
      </w:r>
      <w:r w:rsidRPr="00C076B2">
        <w:rPr>
          <w:lang w:eastAsia="fr-FR"/>
        </w:rPr>
        <w:t xml:space="preserve">En dehors des signes de qualité officiels, certaines enseignes ont développé des </w:t>
      </w:r>
      <w:r>
        <w:t xml:space="preserve">démarches </w:t>
      </w:r>
      <w:r w:rsidR="00C076B2">
        <w:t xml:space="preserve">de filière </w:t>
      </w:r>
      <w:r w:rsidR="00C076B2" w:rsidRPr="00A50150">
        <w:rPr>
          <w:rFonts w:cs="Arial"/>
          <w:szCs w:val="26"/>
        </w:rPr>
        <w:t>agricole et commerciale d'intérêt nutritionnel</w:t>
      </w:r>
      <w:r w:rsidR="00C076B2">
        <w:t xml:space="preserve"> </w:t>
      </w:r>
      <w:r w:rsidR="00C076B2" w:rsidRPr="00A50150">
        <w:rPr>
          <w:rFonts w:cs="Arial"/>
          <w:szCs w:val="26"/>
        </w:rPr>
        <w:t>et environnemental</w:t>
      </w:r>
      <w:r w:rsidR="00C076B2">
        <w:t xml:space="preserve"> </w:t>
      </w:r>
      <w:r w:rsidR="000A451A">
        <w:t>autour</w:t>
      </w:r>
      <w:r>
        <w:t xml:space="preserve"> d</w:t>
      </w:r>
      <w:r w:rsidR="00B179BA">
        <w:t>e la filière graine de lin</w:t>
      </w:r>
      <w:r>
        <w:t xml:space="preserve"> </w:t>
      </w:r>
      <w:r w:rsidR="00C076B2">
        <w:t>(</w:t>
      </w:r>
      <w:r>
        <w:t>Bleu Blanc Cœur</w:t>
      </w:r>
      <w:r w:rsidR="00C076B2">
        <w:t xml:space="preserve">) </w:t>
      </w:r>
      <w:r>
        <w:t>ou de filières régionales et locales</w:t>
      </w:r>
      <w:r w:rsidR="000271AA">
        <w:t xml:space="preserve"> qui représentent au global moins de 1</w:t>
      </w:r>
      <w:r w:rsidR="004A538C">
        <w:t> </w:t>
      </w:r>
      <w:r w:rsidR="000271AA">
        <w:t>%</w:t>
      </w:r>
      <w:r w:rsidR="00562CB6">
        <w:t xml:space="preserve"> des volumes en 2018</w:t>
      </w:r>
      <w:r w:rsidR="000A451A">
        <w:t xml:space="preserve">. Ces dernières </w:t>
      </w:r>
      <w:r w:rsidR="00662723">
        <w:t xml:space="preserve">cherchent à construire </w:t>
      </w:r>
      <w:r w:rsidR="00134B96">
        <w:t xml:space="preserve">des démarches tripartites </w:t>
      </w:r>
      <w:r w:rsidR="00C076B2">
        <w:t xml:space="preserve">au travers de cahiers des charges complets </w:t>
      </w:r>
      <w:r w:rsidR="00134B96">
        <w:t>associant</w:t>
      </w:r>
      <w:r w:rsidR="00662723">
        <w:t xml:space="preserve"> la maitrise de l’aliment de l’animal</w:t>
      </w:r>
      <w:r w:rsidR="000271AA">
        <w:t>,</w:t>
      </w:r>
      <w:r w:rsidR="00662723">
        <w:t xml:space="preserve"> </w:t>
      </w:r>
      <w:r w:rsidR="00134B96">
        <w:t>les</w:t>
      </w:r>
      <w:r w:rsidR="00662723">
        <w:t xml:space="preserve"> pratiques d’élevage</w:t>
      </w:r>
      <w:r w:rsidR="000271AA">
        <w:t xml:space="preserve"> </w:t>
      </w:r>
      <w:r w:rsidR="00134B96">
        <w:t>sa</w:t>
      </w:r>
      <w:r w:rsidR="00B179BA">
        <w:t xml:space="preserve">tisfaisant </w:t>
      </w:r>
      <w:r w:rsidR="00C076B2">
        <w:t xml:space="preserve">au </w:t>
      </w:r>
      <w:r w:rsidR="00134B96">
        <w:t>bien-être animal assorti</w:t>
      </w:r>
      <w:r w:rsidR="000271AA">
        <w:t xml:space="preserve"> </w:t>
      </w:r>
      <w:r w:rsidR="00134B96">
        <w:t>d</w:t>
      </w:r>
      <w:r w:rsidR="00C076B2">
        <w:t xml:space="preserve">e </w:t>
      </w:r>
      <w:r w:rsidR="00134B96">
        <w:t xml:space="preserve">démarche éthique garantissant </w:t>
      </w:r>
      <w:r w:rsidR="00466E44">
        <w:t xml:space="preserve">une « juste » rémunération de </w:t>
      </w:r>
      <w:r w:rsidR="00C076B2">
        <w:t>l’éleveur tout en étant accessible au consommateur.</w:t>
      </w:r>
    </w:p>
    <w:p w14:paraId="72F0B48D" w14:textId="1C239D87" w:rsidR="008905E0" w:rsidRDefault="000F157D" w:rsidP="00921B43">
      <w:pPr>
        <w:pStyle w:val="Titre3"/>
        <w:numPr>
          <w:ilvl w:val="2"/>
          <w:numId w:val="9"/>
        </w:numPr>
      </w:pPr>
      <w:bookmarkStart w:id="304" w:name="_Toc78131653"/>
      <w:r>
        <w:lastRenderedPageBreak/>
        <w:t>Caractérisation de l’offre</w:t>
      </w:r>
      <w:r w:rsidR="008905E0">
        <w:t xml:space="preserve"> des produits du porc</w:t>
      </w:r>
      <w:r>
        <w:t xml:space="preserve"> </w:t>
      </w:r>
      <w:r w:rsidR="00275016">
        <w:t>sur les circuits de la restauration commerciale</w:t>
      </w:r>
      <w:bookmarkEnd w:id="304"/>
      <w:r w:rsidR="00275016">
        <w:t xml:space="preserve"> </w:t>
      </w:r>
    </w:p>
    <w:p w14:paraId="72A72DE2" w14:textId="360B867B" w:rsidR="00466E44" w:rsidRPr="008905E0" w:rsidRDefault="00466E44" w:rsidP="0002537E">
      <w:r>
        <w:t xml:space="preserve">La restauration commerciale selon Gira Food Service </w:t>
      </w:r>
      <w:r w:rsidR="00275016">
        <w:t xml:space="preserve">représente </w:t>
      </w:r>
      <w:r w:rsidR="008905E0">
        <w:t>en nombre de prestations de repas</w:t>
      </w:r>
      <w:r w:rsidR="00275016">
        <w:t xml:space="preserve"> confondus </w:t>
      </w:r>
      <w:r w:rsidR="008905E0">
        <w:t>51,5</w:t>
      </w:r>
      <w:r w:rsidR="004A538C">
        <w:t> </w:t>
      </w:r>
      <w:r w:rsidR="00275016">
        <w:t xml:space="preserve">% </w:t>
      </w:r>
      <w:r w:rsidR="008905E0">
        <w:t>avec 3,9</w:t>
      </w:r>
      <w:r w:rsidR="007E5A5C">
        <w:t xml:space="preserve"> Mrds</w:t>
      </w:r>
      <w:r w:rsidR="008905E0">
        <w:t xml:space="preserve"> de prestations en 2018 sur le total de</w:t>
      </w:r>
      <w:r w:rsidR="00275016">
        <w:t xml:space="preserve"> la restauration hors domicile</w:t>
      </w:r>
      <w:r w:rsidR="008905E0">
        <w:t>.</w:t>
      </w:r>
    </w:p>
    <w:p w14:paraId="08AE9534" w14:textId="7C29F729" w:rsidR="00C076B2" w:rsidRDefault="00C076B2" w:rsidP="0002537E">
      <w:pPr>
        <w:pStyle w:val="Titre4"/>
      </w:pPr>
      <w:bookmarkStart w:id="305" w:name="_Toc78131654"/>
      <w:r>
        <w:t>3.2.</w:t>
      </w:r>
      <w:r w:rsidR="00921B43">
        <w:t>4</w:t>
      </w:r>
      <w:r>
        <w:t xml:space="preserve">.1. </w:t>
      </w:r>
      <w:r w:rsidR="008905E0">
        <w:t>Approche de quantification</w:t>
      </w:r>
      <w:r>
        <w:t xml:space="preserve"> des segments de la restauration commerciale :</w:t>
      </w:r>
      <w:bookmarkEnd w:id="305"/>
      <w:r>
        <w:t xml:space="preserve"> </w:t>
      </w:r>
    </w:p>
    <w:p w14:paraId="4A986933" w14:textId="1C9C0F4B" w:rsidR="008B72EE" w:rsidRDefault="00275016" w:rsidP="00A66318">
      <w:r>
        <w:t>En ce qui concerne la restauration commerciale et s</w:t>
      </w:r>
      <w:r w:rsidR="0042490C">
        <w:t>elon le</w:t>
      </w:r>
      <w:r>
        <w:t xml:space="preserve">s données </w:t>
      </w:r>
      <w:r w:rsidR="0042490C">
        <w:t>Gira Food Service, l</w:t>
      </w:r>
      <w:r>
        <w:t>’approvisionnement des opérateurs s’effectue au travers de distributeurs qui représenteraient le premier circuit de distribution devant le Cash &amp; Carry</w:t>
      </w:r>
      <w:r w:rsidR="008905E0">
        <w:t xml:space="preserve"> et</w:t>
      </w:r>
      <w:r>
        <w:t xml:space="preserve"> les achats au travers de prestataires logistiques ou en direc</w:t>
      </w:r>
      <w:r w:rsidR="008905E0">
        <w:t>t auprès des transformateurs. Ce dernier cas ne concerne que les chaînes de restauration compte</w:t>
      </w:r>
      <w:r w:rsidR="00BA0D57">
        <w:t>-</w:t>
      </w:r>
      <w:r w:rsidR="008905E0">
        <w:t>tenu des coûts d’approche logistiques et qui représenteraient toujours selon le cabinet Gira Food Service 37</w:t>
      </w:r>
      <w:r w:rsidR="004A538C">
        <w:t> </w:t>
      </w:r>
      <w:r w:rsidR="008905E0">
        <w:t>% du total chiffre d’affaires réalisé sur le segment de la restauration</w:t>
      </w:r>
      <w:r w:rsidR="008B72EE">
        <w:t xml:space="preserve"> commerciale</w:t>
      </w:r>
      <w:r w:rsidR="008905E0">
        <w:t>. Ce segment de marché est donc majoritairement détenu</w:t>
      </w:r>
      <w:r w:rsidR="00BA0D57">
        <w:t xml:space="preserve"> en 2018</w:t>
      </w:r>
      <w:r w:rsidR="008905E0">
        <w:t xml:space="preserve"> par des </w:t>
      </w:r>
      <w:r w:rsidR="00BA0D57">
        <w:t xml:space="preserve">établissement </w:t>
      </w:r>
      <w:r w:rsidR="008905E0">
        <w:t>indépendants</w:t>
      </w:r>
      <w:r w:rsidR="008B72EE">
        <w:t xml:space="preserve"> même si la part des chaînés s’est fortement développée au cours des dernières années.</w:t>
      </w:r>
    </w:p>
    <w:p w14:paraId="0FE9A5D2" w14:textId="2A03763B" w:rsidR="00BA0D57" w:rsidRDefault="00BA0D57" w:rsidP="00A66318">
      <w:r>
        <w:t>Dans le cadre de l’enquête ont été interrogés des opérateurs chaînés et des acteurs de la distribution s’adressant à l’ensemble du marché</w:t>
      </w:r>
      <w:r w:rsidR="00821FDC">
        <w:t xml:space="preserve">. </w:t>
      </w:r>
      <w:r w:rsidR="00821FDC">
        <w:rPr>
          <w:lang w:eastAsia="fr-FR"/>
        </w:rPr>
        <w:t>Ce segment de marché qui a longtemps eu un rôle de circuit d’écoulement matière contribuant à une forme de régulation de l’offre au regard des fluctations de la demande.</w:t>
      </w:r>
    </w:p>
    <w:p w14:paraId="7B2E0785" w14:textId="2A104666" w:rsidR="00821FDC" w:rsidRDefault="00821FDC" w:rsidP="00821FDC">
      <w:pPr>
        <w:pStyle w:val="Paragraphedeliste"/>
        <w:numPr>
          <w:ilvl w:val="0"/>
          <w:numId w:val="83"/>
        </w:numPr>
        <w:rPr>
          <w:lang w:eastAsia="fr-FR"/>
        </w:rPr>
      </w:pPr>
      <w:r>
        <w:rPr>
          <w:lang w:eastAsia="fr-FR"/>
        </w:rPr>
        <w:t>Les volumes de charcuterie</w:t>
      </w:r>
    </w:p>
    <w:p w14:paraId="5494502F" w14:textId="5A43184C" w:rsidR="000D10A6" w:rsidRDefault="000D10A6" w:rsidP="0002537E">
      <w:pPr>
        <w:spacing w:before="240"/>
        <w:rPr>
          <w:lang w:eastAsia="fr-FR"/>
        </w:rPr>
      </w:pPr>
      <w:r>
        <w:rPr>
          <w:lang w:eastAsia="fr-FR"/>
        </w:rPr>
        <w:t xml:space="preserve">Les segments de la restauration traditionnelle et des pizzérias absorbent </w:t>
      </w:r>
      <w:r w:rsidR="008B72EE">
        <w:rPr>
          <w:lang w:eastAsia="fr-FR"/>
        </w:rPr>
        <w:t>entre 25</w:t>
      </w:r>
      <w:r w:rsidR="004A538C">
        <w:rPr>
          <w:lang w:eastAsia="fr-FR"/>
        </w:rPr>
        <w:t> </w:t>
      </w:r>
      <w:r w:rsidR="008B72EE">
        <w:rPr>
          <w:lang w:eastAsia="fr-FR"/>
        </w:rPr>
        <w:t>% et 40</w:t>
      </w:r>
      <w:r w:rsidR="004A538C">
        <w:rPr>
          <w:lang w:eastAsia="fr-FR"/>
        </w:rPr>
        <w:t> </w:t>
      </w:r>
      <w:r w:rsidR="008B72EE">
        <w:rPr>
          <w:lang w:eastAsia="fr-FR"/>
        </w:rPr>
        <w:t xml:space="preserve">% </w:t>
      </w:r>
      <w:r w:rsidR="00861413">
        <w:rPr>
          <w:lang w:eastAsia="fr-FR"/>
        </w:rPr>
        <w:t>des produits de charcuterie en ligne avec la lecture tous produits confondus pour lesquels ces circuits pèsent à eux deux précisément 50</w:t>
      </w:r>
      <w:r w:rsidR="004A538C">
        <w:rPr>
          <w:lang w:eastAsia="fr-FR"/>
        </w:rPr>
        <w:t> </w:t>
      </w:r>
      <w:r w:rsidR="00861413">
        <w:rPr>
          <w:lang w:eastAsia="fr-FR"/>
        </w:rPr>
        <w:t xml:space="preserve">% selon Gira Food Service (partie 1, paragraphe 3.5.2.). </w:t>
      </w:r>
    </w:p>
    <w:p w14:paraId="4C559311" w14:textId="33560368" w:rsidR="00210ADC" w:rsidRDefault="00821FDC" w:rsidP="00A66318">
      <w:pPr>
        <w:rPr>
          <w:lang w:eastAsia="fr-FR"/>
        </w:rPr>
      </w:pPr>
      <w:r>
        <w:rPr>
          <w:lang w:eastAsia="fr-FR"/>
        </w:rPr>
        <w:t>En projection à partir des données de volume croisées avec la part de marché d</w:t>
      </w:r>
      <w:r w:rsidR="00210ADC">
        <w:rPr>
          <w:lang w:eastAsia="fr-FR"/>
        </w:rPr>
        <w:t>es acteurs à dire d’expert</w:t>
      </w:r>
      <w:r>
        <w:rPr>
          <w:lang w:eastAsia="fr-FR"/>
        </w:rPr>
        <w:t xml:space="preserve">, le total charcuterie </w:t>
      </w:r>
      <w:r w:rsidR="00210ADC">
        <w:rPr>
          <w:lang w:eastAsia="fr-FR"/>
        </w:rPr>
        <w:t>serait</w:t>
      </w:r>
      <w:r>
        <w:rPr>
          <w:lang w:eastAsia="fr-FR"/>
        </w:rPr>
        <w:t xml:space="preserve"> estimé à 160</w:t>
      </w:r>
      <w:r w:rsidR="004A538C">
        <w:rPr>
          <w:lang w:eastAsia="fr-FR"/>
        </w:rPr>
        <w:t> </w:t>
      </w:r>
      <w:r>
        <w:rPr>
          <w:lang w:eastAsia="fr-FR"/>
        </w:rPr>
        <w:t>kt</w:t>
      </w:r>
      <w:r w:rsidR="008B72EE">
        <w:rPr>
          <w:lang w:eastAsia="fr-FR"/>
        </w:rPr>
        <w:t xml:space="preserve"> avec une incertitude de </w:t>
      </w:r>
      <w:r w:rsidR="00210ADC">
        <w:rPr>
          <w:lang w:eastAsia="fr-FR"/>
        </w:rPr>
        <w:t>3</w:t>
      </w:r>
      <w:r w:rsidR="008B72EE">
        <w:rPr>
          <w:lang w:eastAsia="fr-FR"/>
        </w:rPr>
        <w:t>0</w:t>
      </w:r>
      <w:r w:rsidR="000D2697">
        <w:rPr>
          <w:lang w:eastAsia="fr-FR"/>
        </w:rPr>
        <w:t> </w:t>
      </w:r>
      <w:r w:rsidR="008B72EE">
        <w:rPr>
          <w:lang w:eastAsia="fr-FR"/>
        </w:rPr>
        <w:t>%</w:t>
      </w:r>
      <w:r>
        <w:rPr>
          <w:lang w:eastAsia="fr-FR"/>
        </w:rPr>
        <w:t xml:space="preserve">. </w:t>
      </w:r>
      <w:r w:rsidR="00210ADC">
        <w:rPr>
          <w:lang w:eastAsia="fr-FR"/>
        </w:rPr>
        <w:t>Cette donnée présente un biais à l’évaluation compte tenu de l’affectation de</w:t>
      </w:r>
      <w:r w:rsidR="00861413">
        <w:rPr>
          <w:lang w:eastAsia="fr-FR"/>
        </w:rPr>
        <w:t>s produits de</w:t>
      </w:r>
      <w:r w:rsidR="00210ADC">
        <w:rPr>
          <w:lang w:eastAsia="fr-FR"/>
        </w:rPr>
        <w:t xml:space="preserve"> saucisserie </w:t>
      </w:r>
      <w:r w:rsidR="00861413">
        <w:rPr>
          <w:lang w:eastAsia="fr-FR"/>
        </w:rPr>
        <w:t>(viande fraîche ou charcuterie).</w:t>
      </w:r>
    </w:p>
    <w:p w14:paraId="6C021E21" w14:textId="4DB43176" w:rsidR="00210ADC" w:rsidRDefault="00821FDC" w:rsidP="00A66318">
      <w:pPr>
        <w:rPr>
          <w:lang w:eastAsia="fr-FR"/>
        </w:rPr>
      </w:pPr>
      <w:r>
        <w:rPr>
          <w:lang w:eastAsia="fr-FR"/>
        </w:rPr>
        <w:t>La salaison cuite et les lardons poit</w:t>
      </w:r>
      <w:r w:rsidR="000D2697">
        <w:rPr>
          <w:lang w:eastAsia="fr-FR"/>
        </w:rPr>
        <w:t>r</w:t>
      </w:r>
      <w:r>
        <w:rPr>
          <w:lang w:eastAsia="fr-FR"/>
        </w:rPr>
        <w:t>ine bacon représente</w:t>
      </w:r>
      <w:r w:rsidR="00210ADC">
        <w:rPr>
          <w:lang w:eastAsia="fr-FR"/>
        </w:rPr>
        <w:t>raie</w:t>
      </w:r>
      <w:r>
        <w:rPr>
          <w:lang w:eastAsia="fr-FR"/>
        </w:rPr>
        <w:t xml:space="preserve">nt à eux deux près de la moitié de la charcuterie commercialisée. </w:t>
      </w:r>
      <w:r w:rsidR="000D10A6">
        <w:rPr>
          <w:lang w:eastAsia="fr-FR"/>
        </w:rPr>
        <w:t>Les produits de salaison cuite entrent dans les offres de cœur de repas et une part importan</w:t>
      </w:r>
      <w:r w:rsidR="00210ADC">
        <w:rPr>
          <w:lang w:eastAsia="fr-FR"/>
        </w:rPr>
        <w:t>t</w:t>
      </w:r>
      <w:r w:rsidR="000D10A6">
        <w:rPr>
          <w:lang w:eastAsia="fr-FR"/>
        </w:rPr>
        <w:t xml:space="preserve">e de jambon cuit est commercialisé à la découpe. </w:t>
      </w:r>
      <w:r w:rsidR="0045316E">
        <w:rPr>
          <w:lang w:eastAsia="fr-FR"/>
        </w:rPr>
        <w:t>En lien avec l’en</w:t>
      </w:r>
      <w:r w:rsidR="000D2697">
        <w:rPr>
          <w:lang w:eastAsia="fr-FR"/>
        </w:rPr>
        <w:t>g</w:t>
      </w:r>
      <w:r w:rsidR="0045316E">
        <w:rPr>
          <w:lang w:eastAsia="fr-FR"/>
        </w:rPr>
        <w:t>ouement d</w:t>
      </w:r>
      <w:r w:rsidR="000D2697">
        <w:rPr>
          <w:lang w:eastAsia="fr-FR"/>
        </w:rPr>
        <w:t>es consommateurs pour le</w:t>
      </w:r>
      <w:r w:rsidR="0045316E">
        <w:rPr>
          <w:lang w:eastAsia="fr-FR"/>
        </w:rPr>
        <w:t xml:space="preserve"> hamburger, les volumes de bacon cependant loin derrière les lardons viennent expliquer le poids de la famille « lardons poitrine, bacon ». </w:t>
      </w:r>
      <w:r>
        <w:rPr>
          <w:lang w:eastAsia="fr-FR"/>
        </w:rPr>
        <w:t>La part des produits tranchés tant en salaison cuite que sèc</w:t>
      </w:r>
      <w:r w:rsidR="00210ADC">
        <w:rPr>
          <w:lang w:eastAsia="fr-FR"/>
        </w:rPr>
        <w:t>he représenterait entre 40</w:t>
      </w:r>
      <w:r w:rsidR="00D54BD4">
        <w:rPr>
          <w:lang w:eastAsia="fr-FR"/>
        </w:rPr>
        <w:t> </w:t>
      </w:r>
      <w:r w:rsidR="00210ADC">
        <w:rPr>
          <w:lang w:eastAsia="fr-FR"/>
        </w:rPr>
        <w:t>% et 55</w:t>
      </w:r>
      <w:r w:rsidR="00D54BD4">
        <w:rPr>
          <w:lang w:eastAsia="fr-FR"/>
        </w:rPr>
        <w:t> </w:t>
      </w:r>
      <w:r w:rsidR="00210ADC">
        <w:rPr>
          <w:lang w:eastAsia="fr-FR"/>
        </w:rPr>
        <w:t>% du total des volumes de la catégorie</w:t>
      </w:r>
      <w:r>
        <w:rPr>
          <w:lang w:eastAsia="fr-FR"/>
        </w:rPr>
        <w:t xml:space="preserve"> au regard de la dimension service apportée.</w:t>
      </w:r>
      <w:r w:rsidR="00210ADC">
        <w:rPr>
          <w:lang w:eastAsia="fr-FR"/>
        </w:rPr>
        <w:t xml:space="preserve"> </w:t>
      </w:r>
    </w:p>
    <w:p w14:paraId="4DB08288" w14:textId="360B7466" w:rsidR="00210ADC" w:rsidRDefault="00210ADC" w:rsidP="00A66318">
      <w:pPr>
        <w:rPr>
          <w:lang w:eastAsia="fr-FR"/>
        </w:rPr>
      </w:pPr>
      <w:r>
        <w:rPr>
          <w:lang w:eastAsia="fr-FR"/>
        </w:rPr>
        <w:t>Les abats sont représentés par les andouillettes et les boudins.</w:t>
      </w:r>
    </w:p>
    <w:tbl>
      <w:tblPr>
        <w:tblW w:w="5524" w:type="dxa"/>
        <w:jc w:val="center"/>
        <w:tblCellMar>
          <w:left w:w="70" w:type="dxa"/>
          <w:right w:w="70" w:type="dxa"/>
        </w:tblCellMar>
        <w:tblLook w:val="04A0" w:firstRow="1" w:lastRow="0" w:firstColumn="1" w:lastColumn="0" w:noHBand="0" w:noVBand="1"/>
      </w:tblPr>
      <w:tblGrid>
        <w:gridCol w:w="3681"/>
        <w:gridCol w:w="1843"/>
      </w:tblGrid>
      <w:tr w:rsidR="00A66318" w:rsidRPr="00821FDC" w14:paraId="3405C90D"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1EDE8AC" w14:textId="77777777"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lastRenderedPageBreak/>
              <w:t>Salaison cuite et autres cuits</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F03E8C5"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30%</w:t>
            </w:r>
          </w:p>
        </w:tc>
      </w:tr>
      <w:tr w:rsidR="00A66318" w:rsidRPr="00821FDC" w14:paraId="68A36BAC"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CFEB862" w14:textId="45C0A782"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Lardons poitrine bacon</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2F47E70"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18%</w:t>
            </w:r>
          </w:p>
        </w:tc>
      </w:tr>
      <w:tr w:rsidR="00A66318" w:rsidRPr="00821FDC" w14:paraId="10D1E6C2"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0668F48" w14:textId="77777777"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Salaison sèche et autres secs</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993A947"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17%</w:t>
            </w:r>
          </w:p>
        </w:tc>
      </w:tr>
      <w:tr w:rsidR="00A66318" w:rsidRPr="00821FDC" w14:paraId="3C4073EB"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8E4B69" w14:textId="0AE6F9DA"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Saucisses gros hachage</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0EFD80E"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12%</w:t>
            </w:r>
          </w:p>
        </w:tc>
      </w:tr>
      <w:tr w:rsidR="00A66318" w:rsidRPr="00821FDC" w14:paraId="0E5B7C74"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FABC854" w14:textId="5A0BC895"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Pâtés et terrines</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C30FCB5"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7%</w:t>
            </w:r>
          </w:p>
        </w:tc>
      </w:tr>
      <w:tr w:rsidR="00A66318" w:rsidRPr="00821FDC" w14:paraId="483F5ED5"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6C239AB" w14:textId="77777777"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Abats</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42B328F"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7%</w:t>
            </w:r>
          </w:p>
        </w:tc>
      </w:tr>
      <w:tr w:rsidR="00A66318" w:rsidRPr="00821FDC" w14:paraId="4F63013F"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225E4C6" w14:textId="6BA585B1"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Saucissons cuits</w:t>
            </w:r>
            <w:r w:rsidR="00821FDC">
              <w:rPr>
                <w:rFonts w:eastAsia="Times New Roman" w:cs="Arial"/>
                <w:color w:val="000000"/>
                <w:sz w:val="20"/>
                <w:szCs w:val="20"/>
                <w:lang w:eastAsia="fr-FR"/>
              </w:rPr>
              <w:t>,</w:t>
            </w:r>
            <w:r w:rsidRPr="0002537E">
              <w:rPr>
                <w:rFonts w:eastAsia="Times New Roman" w:cs="Arial"/>
                <w:color w:val="000000"/>
                <w:sz w:val="20"/>
                <w:szCs w:val="20"/>
                <w:lang w:eastAsia="fr-FR"/>
              </w:rPr>
              <w:t xml:space="preserve"> à cuire</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2C66023"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3%</w:t>
            </w:r>
          </w:p>
        </w:tc>
      </w:tr>
      <w:tr w:rsidR="00A66318" w:rsidRPr="00821FDC" w14:paraId="38E95DE5"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433A242" w14:textId="77777777"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Galantines, mortadelle, pâtés croûte</w:t>
            </w:r>
          </w:p>
        </w:tc>
        <w:tc>
          <w:tcPr>
            <w:tcW w:w="184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BE485AE"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3%</w:t>
            </w:r>
          </w:p>
        </w:tc>
      </w:tr>
      <w:tr w:rsidR="00A66318" w:rsidRPr="00821FDC" w14:paraId="659DC02D" w14:textId="77777777" w:rsidTr="0002537E">
        <w:trPr>
          <w:trHeight w:val="300"/>
          <w:jc w:val="center"/>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BC3F36E" w14:textId="4D02831A" w:rsidR="00A66318" w:rsidRPr="0002537E" w:rsidRDefault="00A66318" w:rsidP="0002537E">
            <w:pPr>
              <w:keepNext/>
              <w:spacing w:after="0" w:line="240" w:lineRule="auto"/>
              <w:jc w:val="left"/>
              <w:rPr>
                <w:rFonts w:eastAsia="Times New Roman" w:cs="Arial"/>
                <w:color w:val="000000"/>
                <w:sz w:val="20"/>
                <w:szCs w:val="20"/>
                <w:lang w:eastAsia="fr-FR"/>
              </w:rPr>
            </w:pPr>
            <w:r w:rsidRPr="0002537E">
              <w:rPr>
                <w:rFonts w:eastAsia="Times New Roman" w:cs="Arial"/>
                <w:color w:val="000000"/>
                <w:sz w:val="20"/>
                <w:szCs w:val="20"/>
                <w:lang w:eastAsia="fr-FR"/>
              </w:rPr>
              <w:t>Saucisses pâtes fines</w:t>
            </w:r>
          </w:p>
        </w:tc>
        <w:tc>
          <w:tcPr>
            <w:tcW w:w="184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75EA99D" w14:textId="77777777" w:rsidR="00A66318" w:rsidRPr="0002537E" w:rsidRDefault="00A66318" w:rsidP="0002537E">
            <w:pPr>
              <w:keepNext/>
              <w:spacing w:after="0" w:line="240" w:lineRule="auto"/>
              <w:jc w:val="center"/>
              <w:rPr>
                <w:rFonts w:eastAsia="Times New Roman" w:cs="Arial"/>
                <w:color w:val="000000"/>
                <w:sz w:val="20"/>
                <w:szCs w:val="20"/>
                <w:lang w:eastAsia="fr-FR"/>
              </w:rPr>
            </w:pPr>
            <w:r w:rsidRPr="0002537E">
              <w:rPr>
                <w:rFonts w:eastAsia="Times New Roman" w:cs="Arial"/>
                <w:color w:val="000000"/>
                <w:sz w:val="20"/>
                <w:szCs w:val="20"/>
                <w:lang w:eastAsia="fr-FR"/>
              </w:rPr>
              <w:t>3%</w:t>
            </w:r>
          </w:p>
        </w:tc>
      </w:tr>
    </w:tbl>
    <w:p w14:paraId="3C0424CF" w14:textId="68CCAD50" w:rsidR="00A66318" w:rsidRPr="00926407" w:rsidRDefault="00821FDC" w:rsidP="0002537E">
      <w:pPr>
        <w:pStyle w:val="figure"/>
      </w:pPr>
      <w:bookmarkStart w:id="306" w:name="_Toc72143413"/>
      <w:r w:rsidRPr="0002537E">
        <w:t xml:space="preserve">Tableau </w:t>
      </w:r>
      <w:r w:rsidR="00E27D6E">
        <w:fldChar w:fldCharType="begin"/>
      </w:r>
      <w:r w:rsidR="00E27D6E">
        <w:instrText xml:space="preserve"> SEQ Tableau \* ARABIC </w:instrText>
      </w:r>
      <w:r w:rsidR="00E27D6E">
        <w:fldChar w:fldCharType="separate"/>
      </w:r>
      <w:r w:rsidR="0007597F">
        <w:rPr>
          <w:i/>
          <w:noProof/>
        </w:rPr>
        <w:t>66</w:t>
      </w:r>
      <w:r w:rsidR="00E27D6E">
        <w:rPr>
          <w:i/>
          <w:noProof/>
        </w:rPr>
        <w:fldChar w:fldCharType="end"/>
      </w:r>
      <w:r w:rsidR="00921B43">
        <w:rPr>
          <w:i/>
        </w:rPr>
        <w:t xml:space="preserve"> : </w:t>
      </w:r>
      <w:r w:rsidRPr="0002537E">
        <w:t>Ventilation des catégories de charcuteries abats inclus sur les marchés de la restauration hors domicile</w:t>
      </w:r>
      <w:r w:rsidR="0025225C">
        <w:rPr>
          <w:i/>
        </w:rPr>
        <w:t xml:space="preserve"> à partir de l’échantillon enquêté.</w:t>
      </w:r>
      <w:bookmarkEnd w:id="306"/>
    </w:p>
    <w:p w14:paraId="29A6C00A" w14:textId="7719E6F3" w:rsidR="0025225C" w:rsidRDefault="00821FDC" w:rsidP="00861413">
      <w:pPr>
        <w:pStyle w:val="Paragraphedeliste"/>
        <w:numPr>
          <w:ilvl w:val="0"/>
          <w:numId w:val="83"/>
        </w:numPr>
        <w:rPr>
          <w:lang w:eastAsia="fr-FR"/>
        </w:rPr>
      </w:pPr>
      <w:r>
        <w:rPr>
          <w:lang w:eastAsia="fr-FR"/>
        </w:rPr>
        <w:t xml:space="preserve">Les volumes de viande </w:t>
      </w:r>
      <w:r w:rsidR="00861413">
        <w:rPr>
          <w:lang w:eastAsia="fr-FR"/>
        </w:rPr>
        <w:t>de porc</w:t>
      </w:r>
    </w:p>
    <w:p w14:paraId="315AF1E2" w14:textId="2BC039BD" w:rsidR="00861413" w:rsidRDefault="00861413" w:rsidP="0002537E">
      <w:pPr>
        <w:spacing w:after="0"/>
        <w:rPr>
          <w:lang w:eastAsia="fr-FR"/>
        </w:rPr>
      </w:pPr>
      <w:r>
        <w:rPr>
          <w:lang w:eastAsia="fr-FR"/>
        </w:rPr>
        <w:t xml:space="preserve">En restauration commerciale dans son ensemble, la viande de porc est portée essentiellement par des produits frais et se ventilerait entre les catégories suivantes </w:t>
      </w:r>
    </w:p>
    <w:p w14:paraId="61F64EC5" w14:textId="731D5F6B" w:rsidR="00861413" w:rsidRDefault="00861413" w:rsidP="00861413">
      <w:pPr>
        <w:pStyle w:val="Paragraphedeliste"/>
      </w:pPr>
      <w:r>
        <w:t>Les muscles</w:t>
      </w:r>
      <w:r w:rsidR="00D54BD4">
        <w:t xml:space="preserve"> </w:t>
      </w:r>
      <w:r>
        <w:t>(50</w:t>
      </w:r>
      <w:r w:rsidR="003A4F5E">
        <w:t> %</w:t>
      </w:r>
      <w:r>
        <w:t xml:space="preserve"> à 60</w:t>
      </w:r>
      <w:r w:rsidR="003A4F5E">
        <w:t> </w:t>
      </w:r>
      <w:r>
        <w:t>%) : jambonneau, côté échine et longe,</w:t>
      </w:r>
    </w:p>
    <w:p w14:paraId="7FD968A4" w14:textId="35E2698D" w:rsidR="00861413" w:rsidRDefault="00861413" w:rsidP="00861413">
      <w:pPr>
        <w:pStyle w:val="Paragraphedeliste"/>
      </w:pPr>
      <w:r>
        <w:t>Les piécés</w:t>
      </w:r>
      <w:r w:rsidR="00D54BD4">
        <w:t xml:space="preserve"> </w:t>
      </w:r>
      <w:r>
        <w:t>(30</w:t>
      </w:r>
      <w:r w:rsidR="003A4F5E">
        <w:t> %</w:t>
      </w:r>
      <w:r>
        <w:t xml:space="preserve"> à 40</w:t>
      </w:r>
      <w:r w:rsidR="00D54BD4">
        <w:t> </w:t>
      </w:r>
      <w:r>
        <w:t>%) : filet mignon, rôti échine, rôti de jambon,</w:t>
      </w:r>
    </w:p>
    <w:p w14:paraId="240D7828" w14:textId="2D43A06C" w:rsidR="00861413" w:rsidRDefault="00861413" w:rsidP="00861413">
      <w:pPr>
        <w:pStyle w:val="Paragraphedeliste"/>
      </w:pPr>
      <w:r>
        <w:t>Les abats</w:t>
      </w:r>
      <w:r w:rsidR="00D54BD4">
        <w:t xml:space="preserve"> </w:t>
      </w:r>
      <w:r>
        <w:t>(moins de 10</w:t>
      </w:r>
      <w:r w:rsidR="00D54BD4">
        <w:t> </w:t>
      </w:r>
      <w:r>
        <w:t>%) : joue de porc</w:t>
      </w:r>
      <w:r w:rsidR="000D2697">
        <w:t>.</w:t>
      </w:r>
    </w:p>
    <w:p w14:paraId="7DAF665E" w14:textId="67CD1307" w:rsidR="00BA0D57" w:rsidRDefault="00540A99" w:rsidP="0002537E">
      <w:pPr>
        <w:pStyle w:val="Titre4"/>
      </w:pPr>
      <w:bookmarkStart w:id="307" w:name="_Toc78131655"/>
      <w:r>
        <w:t>3.2.</w:t>
      </w:r>
      <w:r w:rsidR="00921B43">
        <w:t>4</w:t>
      </w:r>
      <w:r>
        <w:t xml:space="preserve">.2. </w:t>
      </w:r>
      <w:r w:rsidR="00BA0D57">
        <w:t>Origine des produits</w:t>
      </w:r>
      <w:r w:rsidR="00821FDC">
        <w:t xml:space="preserve"> et signes de qualité</w:t>
      </w:r>
      <w:bookmarkEnd w:id="307"/>
    </w:p>
    <w:p w14:paraId="4F2526A1" w14:textId="30B0602B" w:rsidR="00BB4147" w:rsidRPr="00B944C4" w:rsidRDefault="00210ADC" w:rsidP="00303B90">
      <w:pPr>
        <w:rPr>
          <w:highlight w:val="yellow"/>
        </w:rPr>
      </w:pPr>
      <w:r>
        <w:t>La restauration commercial</w:t>
      </w:r>
      <w:r w:rsidR="00861413">
        <w:t>e</w:t>
      </w:r>
      <w:r>
        <w:t xml:space="preserve"> </w:t>
      </w:r>
      <w:r w:rsidR="00861413">
        <w:t xml:space="preserve">importe </w:t>
      </w:r>
      <w:r>
        <w:t xml:space="preserve">en viande fraîche une part </w:t>
      </w:r>
      <w:r w:rsidR="00861413">
        <w:t>imp</w:t>
      </w:r>
      <w:r w:rsidR="0045316E">
        <w:t>o</w:t>
      </w:r>
      <w:r w:rsidR="00861413">
        <w:t>rtante de ses volumes soit entre 35</w:t>
      </w:r>
      <w:r w:rsidR="003A4F5E">
        <w:t> </w:t>
      </w:r>
      <w:r w:rsidR="00861413">
        <w:t>% et 60</w:t>
      </w:r>
      <w:r w:rsidR="003A4F5E">
        <w:t> </w:t>
      </w:r>
      <w:r w:rsidR="00861413">
        <w:t>%</w:t>
      </w:r>
      <w:r>
        <w:t xml:space="preserve"> en provenance de l’Union Européenne</w:t>
      </w:r>
      <w:r w:rsidR="00861413">
        <w:t xml:space="preserve">. Sont concernés </w:t>
      </w:r>
      <w:r w:rsidR="007E5A5C">
        <w:t>notamment,</w:t>
      </w:r>
      <w:r w:rsidR="00861413">
        <w:t xml:space="preserve"> </w:t>
      </w:r>
      <w:r w:rsidR="0045316E">
        <w:t>les filets mignons et joues de porc</w:t>
      </w:r>
      <w:r w:rsidR="00861413">
        <w:t>. Pour les cha</w:t>
      </w:r>
      <w:r w:rsidR="006B7D92">
        <w:t>î</w:t>
      </w:r>
      <w:r w:rsidR="00861413">
        <w:t>nés, cet</w:t>
      </w:r>
      <w:r w:rsidR="0045316E">
        <w:t>te</w:t>
      </w:r>
      <w:r w:rsidR="00861413">
        <w:t xml:space="preserve"> part d’approvisionnement peut atteindre plus de 80</w:t>
      </w:r>
      <w:r w:rsidR="003A4F5E">
        <w:t> </w:t>
      </w:r>
      <w:r w:rsidR="00861413">
        <w:t xml:space="preserve">%. En revanche, en charcuterie, </w:t>
      </w:r>
      <w:r w:rsidR="0045316E">
        <w:t xml:space="preserve">les </w:t>
      </w:r>
      <w:r w:rsidR="00861413">
        <w:t>approvisionnement</w:t>
      </w:r>
      <w:r w:rsidR="0045316E">
        <w:t xml:space="preserve">s issus de l’importation couvrent </w:t>
      </w:r>
      <w:r w:rsidR="007E5A5C">
        <w:t>l</w:t>
      </w:r>
      <w:r w:rsidR="0045316E">
        <w:t>es catégor</w:t>
      </w:r>
      <w:r w:rsidR="00921B43">
        <w:t>i</w:t>
      </w:r>
      <w:r w:rsidR="0045316E">
        <w:t xml:space="preserve">es spécifiques des salaisons sèches et autres produits au regard de leur spécificité avec pour provenance l’Espagne (jambon Serrano, chorizo…) et l’Italie. Une partie des produits est par ailleurs tranchée en France par des spécialistes du tranchage qui se positionnent en </w:t>
      </w:r>
      <w:r w:rsidR="007E5A5C">
        <w:t xml:space="preserve">tant que </w:t>
      </w:r>
      <w:r w:rsidR="0045316E">
        <w:t>prestataires de service</w:t>
      </w:r>
      <w:r w:rsidR="007E5A5C">
        <w:t xml:space="preserve"> permettant de proposer des produits transformés en France.</w:t>
      </w:r>
    </w:p>
    <w:p w14:paraId="2ED723E9" w14:textId="45B3A5F4" w:rsidR="00986ED8" w:rsidRDefault="000F157D" w:rsidP="0002537E">
      <w:pPr>
        <w:pStyle w:val="Titre3"/>
        <w:numPr>
          <w:ilvl w:val="2"/>
          <w:numId w:val="9"/>
        </w:numPr>
      </w:pPr>
      <w:bookmarkStart w:id="308" w:name="_Toc78131656"/>
      <w:r>
        <w:t>Caractérisation de l’offre des produits du porc sur les</w:t>
      </w:r>
      <w:r w:rsidR="00986ED8">
        <w:t xml:space="preserve"> </w:t>
      </w:r>
      <w:r>
        <w:t>c</w:t>
      </w:r>
      <w:r w:rsidR="00A903E0">
        <w:t>ircuits de vente alternatifs</w:t>
      </w:r>
      <w:bookmarkEnd w:id="308"/>
      <w:r w:rsidR="00986ED8">
        <w:t xml:space="preserve"> </w:t>
      </w:r>
    </w:p>
    <w:p w14:paraId="2190DC09" w14:textId="644F20C9" w:rsidR="00B72781" w:rsidRDefault="00D03ED1" w:rsidP="00113A93">
      <w:r>
        <w:t>L</w:t>
      </w:r>
      <w:r w:rsidR="006A5A1A">
        <w:t xml:space="preserve">es circuits de vente alternatifs </w:t>
      </w:r>
      <w:r w:rsidR="00A903E0">
        <w:t xml:space="preserve">(C.V.A.) </w:t>
      </w:r>
      <w:r>
        <w:t>constituent</w:t>
      </w:r>
      <w:r w:rsidR="00067DC1">
        <w:t xml:space="preserve"> </w:t>
      </w:r>
      <w:r w:rsidR="00680FE8">
        <w:t xml:space="preserve">au sein du marché de la restauration hors domicile </w:t>
      </w:r>
      <w:r w:rsidR="00067DC1">
        <w:t>un marché aux contours peu défini</w:t>
      </w:r>
      <w:r>
        <w:t xml:space="preserve"> qui couvre </w:t>
      </w:r>
      <w:r w:rsidR="003B7F52">
        <w:t xml:space="preserve">notamment </w:t>
      </w:r>
      <w:r>
        <w:t>les segment</w:t>
      </w:r>
      <w:r w:rsidR="008250B0">
        <w:t>s suivants soient</w:t>
      </w:r>
      <w:r w:rsidR="00CD2697">
        <w:t xml:space="preserve"> : </w:t>
      </w:r>
    </w:p>
    <w:p w14:paraId="5F8DC834" w14:textId="5C25E780" w:rsidR="00B72781" w:rsidRDefault="00CD2697" w:rsidP="004F5126">
      <w:pPr>
        <w:pStyle w:val="Paragraphedeliste"/>
        <w:numPr>
          <w:ilvl w:val="0"/>
          <w:numId w:val="23"/>
        </w:numPr>
        <w:spacing w:before="0"/>
        <w:ind w:left="714" w:hanging="357"/>
      </w:pPr>
      <w:r>
        <w:t>L</w:t>
      </w:r>
      <w:r w:rsidR="008953CD">
        <w:t xml:space="preserve">a boulangerie </w:t>
      </w:r>
      <w:r w:rsidR="00C32C75">
        <w:t>pâtisser</w:t>
      </w:r>
      <w:r w:rsidR="008953CD">
        <w:t>ie</w:t>
      </w:r>
      <w:r w:rsidR="007E5A5C">
        <w:t xml:space="preserve"> </w:t>
      </w:r>
      <w:r w:rsidR="008250B0">
        <w:t>comprenant</w:t>
      </w:r>
      <w:r w:rsidR="00DC74B0">
        <w:t xml:space="preserve"> </w:t>
      </w:r>
      <w:r w:rsidR="00800912">
        <w:t>d</w:t>
      </w:r>
      <w:r w:rsidR="004F5126">
        <w:t xml:space="preserve">es </w:t>
      </w:r>
      <w:r w:rsidR="00DC74B0">
        <w:t>artisans</w:t>
      </w:r>
      <w:r w:rsidR="00C32C75">
        <w:t xml:space="preserve"> </w:t>
      </w:r>
      <w:r w:rsidR="00186EBA">
        <w:t>indépendants</w:t>
      </w:r>
      <w:r w:rsidR="00FF2F20">
        <w:t xml:space="preserve"> (3</w:t>
      </w:r>
      <w:r w:rsidR="00187BB7">
        <w:t>3</w:t>
      </w:r>
      <w:r w:rsidR="00800912">
        <w:t> </w:t>
      </w:r>
      <w:r w:rsidR="00FF2F20">
        <w:t>000</w:t>
      </w:r>
      <w:r w:rsidR="00800912">
        <w:t xml:space="preserve"> points de vente</w:t>
      </w:r>
      <w:r w:rsidR="00FF2F20">
        <w:t>)</w:t>
      </w:r>
      <w:r w:rsidR="00186EBA">
        <w:t xml:space="preserve"> </w:t>
      </w:r>
      <w:r w:rsidR="00FF2F20">
        <w:t xml:space="preserve">et </w:t>
      </w:r>
      <w:r w:rsidR="00800912">
        <w:t>d</w:t>
      </w:r>
      <w:r w:rsidR="00FF2F20">
        <w:t>es</w:t>
      </w:r>
      <w:r w:rsidR="00186EBA">
        <w:t xml:space="preserve"> </w:t>
      </w:r>
      <w:r w:rsidR="00DC74B0">
        <w:t>chaînes</w:t>
      </w:r>
      <w:r w:rsidR="00BD5E1F">
        <w:t xml:space="preserve"> de boulangerie pâtisserie</w:t>
      </w:r>
      <w:r w:rsidR="00680FE8">
        <w:t xml:space="preserve"> autrement dénommées des chaînes de restauration rapide à la française</w:t>
      </w:r>
      <w:r w:rsidR="00186271">
        <w:t>,</w:t>
      </w:r>
    </w:p>
    <w:p w14:paraId="160EE5D6" w14:textId="7B273F87" w:rsidR="00627BC8" w:rsidRPr="00186EBA" w:rsidRDefault="00627BC8" w:rsidP="004F5126">
      <w:pPr>
        <w:pStyle w:val="Paragraphedeliste"/>
        <w:numPr>
          <w:ilvl w:val="0"/>
          <w:numId w:val="23"/>
        </w:numPr>
        <w:spacing w:before="0"/>
        <w:ind w:left="714" w:hanging="357"/>
      </w:pPr>
      <w:r>
        <w:t>Les chaînes de restauration rapide</w:t>
      </w:r>
      <w:r w:rsidR="00680FE8">
        <w:t xml:space="preserve"> à l’américaine par opposition sont portées par le concept du hamburger qui intègre en partie des produits issus du porc (bacon, lard.</w:t>
      </w:r>
      <w:r w:rsidR="000D4CB6">
        <w:t>.</w:t>
      </w:r>
      <w:r w:rsidR="00680FE8">
        <w:t xml:space="preserve">.) même si le bacon </w:t>
      </w:r>
      <w:r w:rsidR="003A4F5E">
        <w:t xml:space="preserve">de porc </w:t>
      </w:r>
      <w:r w:rsidR="00680FE8">
        <w:t>est de plus en plus substitué par du bacon de dinde</w:t>
      </w:r>
      <w:r w:rsidR="005350B7">
        <w:t>,</w:t>
      </w:r>
    </w:p>
    <w:p w14:paraId="4AA371F3" w14:textId="04EDDFDF" w:rsidR="00B72781" w:rsidRDefault="00CD2697" w:rsidP="004F5126">
      <w:pPr>
        <w:pStyle w:val="Paragraphedeliste"/>
        <w:numPr>
          <w:ilvl w:val="0"/>
          <w:numId w:val="23"/>
        </w:numPr>
      </w:pPr>
      <w:r>
        <w:t>A</w:t>
      </w:r>
      <w:r w:rsidR="00FF2F20">
        <w:t>insi que</w:t>
      </w:r>
      <w:r w:rsidR="004F5126">
        <w:t xml:space="preserve"> </w:t>
      </w:r>
      <w:r w:rsidR="004C0A61">
        <w:t>d</w:t>
      </w:r>
      <w:r w:rsidR="00B72781">
        <w:t>es commerces de snacking ambulants.</w:t>
      </w:r>
    </w:p>
    <w:p w14:paraId="573C00BC" w14:textId="07A0162E" w:rsidR="00053619" w:rsidRDefault="00F2039E" w:rsidP="00113A93">
      <w:r>
        <w:t xml:space="preserve">Ne sont pas comptabilisés les enseignes de la distribution </w:t>
      </w:r>
      <w:r w:rsidR="00E24BFF">
        <w:t xml:space="preserve">qui disposent d’espaces snacking </w:t>
      </w:r>
      <w:r w:rsidR="00443B74">
        <w:t xml:space="preserve">en entrée </w:t>
      </w:r>
      <w:r w:rsidR="00DD023D">
        <w:t xml:space="preserve">ou en zone commerciale à l’extérieur </w:t>
      </w:r>
      <w:r w:rsidR="00443B74">
        <w:t>de leurs points de vent</w:t>
      </w:r>
      <w:r w:rsidR="009F5C08">
        <w:t>e</w:t>
      </w:r>
      <w:r w:rsidR="00443B74">
        <w:t xml:space="preserve"> </w:t>
      </w:r>
      <w:r w:rsidR="00E24BFF">
        <w:t xml:space="preserve">et qui effectuent </w:t>
      </w:r>
      <w:r w:rsidR="003A4F5E">
        <w:t xml:space="preserve">le plus souvent </w:t>
      </w:r>
      <w:r w:rsidR="00E24BFF">
        <w:t>de l’auto-fabrication</w:t>
      </w:r>
      <w:r w:rsidR="00F866B8">
        <w:t>.</w:t>
      </w:r>
      <w:r w:rsidR="00E24BFF">
        <w:t xml:space="preserve"> </w:t>
      </w:r>
      <w:r w:rsidR="00443B74">
        <w:t xml:space="preserve">Les données à dire d’expert sont très </w:t>
      </w:r>
      <w:r w:rsidR="003C16D4">
        <w:t>variables et ne peuvent être exploitées.</w:t>
      </w:r>
      <w:r w:rsidR="009F5C08">
        <w:t xml:space="preserve"> Quant aux </w:t>
      </w:r>
      <w:r w:rsidR="00563E35">
        <w:t>stations</w:t>
      </w:r>
      <w:r w:rsidR="001244E6">
        <w:t>-</w:t>
      </w:r>
      <w:r w:rsidR="00563E35">
        <w:t>service</w:t>
      </w:r>
      <w:r w:rsidR="009F5C08">
        <w:t>, elles</w:t>
      </w:r>
      <w:r w:rsidR="00563E35">
        <w:t xml:space="preserve"> </w:t>
      </w:r>
      <w:r w:rsidR="009F5C08">
        <w:t>sont d’ores et déjà</w:t>
      </w:r>
      <w:r w:rsidR="00563E35">
        <w:t xml:space="preserve"> </w:t>
      </w:r>
      <w:r w:rsidR="009F5C08">
        <w:t xml:space="preserve">prises </w:t>
      </w:r>
      <w:r w:rsidR="00563E35">
        <w:t>en compte dans la mesure o</w:t>
      </w:r>
      <w:r w:rsidR="00410807">
        <w:t>ù leur espace libre</w:t>
      </w:r>
      <w:r w:rsidR="001244E6">
        <w:t>-</w:t>
      </w:r>
      <w:r w:rsidR="00410807">
        <w:t>service commercialise des sandwiches industriels</w:t>
      </w:r>
      <w:r w:rsidR="00592924">
        <w:t xml:space="preserve"> </w:t>
      </w:r>
      <w:r w:rsidR="009F5C08">
        <w:t xml:space="preserve">qui sont </w:t>
      </w:r>
      <w:r w:rsidR="00592924">
        <w:t>à rapprocher des</w:t>
      </w:r>
      <w:r w:rsidR="007E6CB2">
        <w:t xml:space="preserve"> PAI </w:t>
      </w:r>
      <w:r w:rsidR="0068203C">
        <w:t>qui ont été</w:t>
      </w:r>
      <w:r w:rsidR="009F5C08">
        <w:t xml:space="preserve"> </w:t>
      </w:r>
      <w:r w:rsidR="007E6CB2">
        <w:t>étudiés</w:t>
      </w:r>
      <w:r w:rsidR="0068203C">
        <w:t xml:space="preserve"> plus haut</w:t>
      </w:r>
      <w:r w:rsidR="007E6CB2">
        <w:t xml:space="preserve"> (partie 2,</w:t>
      </w:r>
      <w:r w:rsidR="005968DD">
        <w:t xml:space="preserve"> paragraphe 2.2.2</w:t>
      </w:r>
      <w:r w:rsidR="006709F3">
        <w:t>.5.)</w:t>
      </w:r>
      <w:r w:rsidR="00592924">
        <w:t>.</w:t>
      </w:r>
      <w:r w:rsidR="00BD5E1F">
        <w:t xml:space="preserve"> </w:t>
      </w:r>
    </w:p>
    <w:p w14:paraId="07688FCD" w14:textId="03FAF556" w:rsidR="00F079FD" w:rsidRPr="005350B7" w:rsidRDefault="00281465" w:rsidP="00540A99">
      <w:r>
        <w:t>Selon l</w:t>
      </w:r>
      <w:r w:rsidR="004422EA">
        <w:t>e cabinet Conso CHD</w:t>
      </w:r>
      <w:r>
        <w:t xml:space="preserve">, le marché de la boulangerie </w:t>
      </w:r>
      <w:r w:rsidR="00243A2F">
        <w:t xml:space="preserve">pâtisserie </w:t>
      </w:r>
      <w:r w:rsidR="00F319B4">
        <w:t xml:space="preserve">pour l’année 2018 </w:t>
      </w:r>
      <w:r>
        <w:t>se réparti</w:t>
      </w:r>
      <w:r w:rsidR="00680FE8">
        <w:t>rai</w:t>
      </w:r>
      <w:r>
        <w:t xml:space="preserve">t </w:t>
      </w:r>
      <w:r w:rsidR="00F319B4">
        <w:t>en</w:t>
      </w:r>
      <w:r w:rsidR="00301EB1">
        <w:t xml:space="preserve"> </w:t>
      </w:r>
      <w:r w:rsidR="00B37CE7">
        <w:t>chiffre d’affaires</w:t>
      </w:r>
      <w:r w:rsidR="00243A2F">
        <w:t xml:space="preserve"> tous produits confondus</w:t>
      </w:r>
      <w:r w:rsidR="00B37CE7">
        <w:t xml:space="preserve"> </w:t>
      </w:r>
      <w:r>
        <w:t xml:space="preserve">entre </w:t>
      </w:r>
      <w:r w:rsidR="00301EB1">
        <w:t xml:space="preserve">d’une part </w:t>
      </w:r>
      <w:r w:rsidR="00294161">
        <w:t>8,8</w:t>
      </w:r>
      <w:r w:rsidR="003A4F5E">
        <w:t> </w:t>
      </w:r>
      <w:r w:rsidR="00E40A1A">
        <w:t>% de réseau</w:t>
      </w:r>
      <w:r w:rsidR="00053619">
        <w:t>x</w:t>
      </w:r>
      <w:r w:rsidR="00E40A1A">
        <w:t xml:space="preserve"> </w:t>
      </w:r>
      <w:r w:rsidR="00053619">
        <w:t xml:space="preserve">de </w:t>
      </w:r>
      <w:r w:rsidR="00E40A1A">
        <w:t xml:space="preserve">franchisés et </w:t>
      </w:r>
      <w:r w:rsidR="00301EB1">
        <w:t xml:space="preserve">d’autre part </w:t>
      </w:r>
      <w:r w:rsidR="00294161">
        <w:t>9</w:t>
      </w:r>
      <w:r w:rsidR="00C60B47">
        <w:t>1</w:t>
      </w:r>
      <w:r w:rsidR="003A4F5E">
        <w:t> </w:t>
      </w:r>
      <w:r w:rsidR="00E40A1A">
        <w:t>% de bou</w:t>
      </w:r>
      <w:r w:rsidR="001534A2">
        <w:t>l</w:t>
      </w:r>
      <w:r w:rsidR="00E40A1A">
        <w:t xml:space="preserve">angeries </w:t>
      </w:r>
      <w:r w:rsidR="001534A2">
        <w:t>artisanales et traditionnelles</w:t>
      </w:r>
      <w:r w:rsidR="00492DC7">
        <w:t xml:space="preserve"> indépendantes</w:t>
      </w:r>
      <w:r w:rsidR="001534A2">
        <w:t xml:space="preserve">. </w:t>
      </w:r>
      <w:r w:rsidR="005563C2">
        <w:t xml:space="preserve">Environ </w:t>
      </w:r>
      <w:r w:rsidR="002A1536">
        <w:t>8</w:t>
      </w:r>
      <w:r w:rsidR="0068203C">
        <w:t>5</w:t>
      </w:r>
      <w:r w:rsidR="003A4F5E">
        <w:t> </w:t>
      </w:r>
      <w:r w:rsidR="002A1536">
        <w:t>% des établissements indépendants auraient une activité snacking.</w:t>
      </w:r>
      <w:r w:rsidR="0092367D">
        <w:t xml:space="preserve"> </w:t>
      </w:r>
      <w:r w:rsidR="006C1B60">
        <w:t xml:space="preserve">Afin de quantifier </w:t>
      </w:r>
      <w:r w:rsidR="006C1B60">
        <w:lastRenderedPageBreak/>
        <w:t>le marché, les données</w:t>
      </w:r>
      <w:r w:rsidR="004C5FA5">
        <w:t xml:space="preserve"> en volume </w:t>
      </w:r>
      <w:r w:rsidR="00315C98">
        <w:t xml:space="preserve">en produits de charcuterie </w:t>
      </w:r>
      <w:r w:rsidR="00243A2F">
        <w:t xml:space="preserve">recueillies auprès d’enseignes </w:t>
      </w:r>
      <w:r w:rsidR="00492DC7">
        <w:t>leaders du marché</w:t>
      </w:r>
      <w:r w:rsidR="002A1536">
        <w:t xml:space="preserve"> </w:t>
      </w:r>
      <w:r w:rsidR="003D7CEA">
        <w:t xml:space="preserve">de la boulangerie pâtisserie </w:t>
      </w:r>
      <w:r w:rsidR="00492DC7">
        <w:t>ont été extrapolées</w:t>
      </w:r>
      <w:r w:rsidR="004C5FA5">
        <w:t xml:space="preserve"> à partir de la part de marché en chiffre d’affaires de l’acteur concerné</w:t>
      </w:r>
      <w:r w:rsidR="003D7CEA">
        <w:t xml:space="preserve"> et du poids relatifs des cha</w:t>
      </w:r>
      <w:r w:rsidR="00F73030">
        <w:t>î</w:t>
      </w:r>
      <w:r w:rsidR="003D7CEA">
        <w:t>nes sur ce segment de marché.</w:t>
      </w:r>
      <w:bookmarkStart w:id="309" w:name="_Ref70202297"/>
    </w:p>
    <w:tbl>
      <w:tblPr>
        <w:tblW w:w="5850" w:type="dxa"/>
        <w:jc w:val="center"/>
        <w:tblCellMar>
          <w:left w:w="70" w:type="dxa"/>
          <w:right w:w="70" w:type="dxa"/>
        </w:tblCellMar>
        <w:tblLook w:val="04A0" w:firstRow="1" w:lastRow="0" w:firstColumn="1" w:lastColumn="0" w:noHBand="0" w:noVBand="1"/>
      </w:tblPr>
      <w:tblGrid>
        <w:gridCol w:w="4430"/>
        <w:gridCol w:w="1420"/>
      </w:tblGrid>
      <w:tr w:rsidR="00F079FD" w:rsidRPr="00F079FD" w14:paraId="14BEEF7D"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D40FD5F" w14:textId="77777777" w:rsidR="00F079FD" w:rsidRPr="00F079FD" w:rsidRDefault="00F079FD" w:rsidP="005350B7">
            <w:pPr>
              <w:spacing w:after="0" w:line="240" w:lineRule="auto"/>
              <w:jc w:val="left"/>
              <w:rPr>
                <w:rFonts w:ascii="Times New Roman" w:eastAsia="Times New Roman" w:hAnsi="Times New Roman" w:cs="Times New Roman"/>
                <w:sz w:val="20"/>
                <w:szCs w:val="20"/>
                <w:lang w:eastAsia="fr-FR"/>
              </w:rPr>
            </w:pP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1452590" w14:textId="77777777" w:rsidR="00F079FD" w:rsidRPr="00F079FD" w:rsidRDefault="00F079FD" w:rsidP="005350B7">
            <w:pPr>
              <w:spacing w:after="0" w:line="240" w:lineRule="auto"/>
              <w:jc w:val="center"/>
              <w:rPr>
                <w:rFonts w:eastAsia="Times New Roman" w:cs="Arial"/>
                <w:b/>
                <w:bCs/>
                <w:color w:val="000000"/>
                <w:sz w:val="20"/>
                <w:szCs w:val="20"/>
                <w:lang w:eastAsia="fr-FR"/>
              </w:rPr>
            </w:pPr>
            <w:r w:rsidRPr="00F079FD">
              <w:rPr>
                <w:rFonts w:eastAsia="Times New Roman" w:cs="Arial"/>
                <w:b/>
                <w:bCs/>
                <w:color w:val="000000"/>
                <w:sz w:val="20"/>
                <w:szCs w:val="20"/>
                <w:lang w:eastAsia="fr-FR"/>
              </w:rPr>
              <w:t>CA HT</w:t>
            </w:r>
          </w:p>
        </w:tc>
      </w:tr>
      <w:tr w:rsidR="00F079FD" w:rsidRPr="00F079FD" w14:paraId="6C5F5BA3"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BF650A5" w14:textId="368B5DB4"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Mc Donald</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380B9A9" w14:textId="4D4856FC"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5 10</w:t>
            </w:r>
            <w:r w:rsidR="00F24497">
              <w:rPr>
                <w:rFonts w:eastAsia="Times New Roman" w:cs="Arial"/>
                <w:color w:val="000000"/>
                <w:sz w:val="20"/>
                <w:szCs w:val="20"/>
                <w:lang w:eastAsia="fr-FR"/>
              </w:rPr>
              <w:t>0</w:t>
            </w:r>
          </w:p>
        </w:tc>
      </w:tr>
      <w:tr w:rsidR="00F079FD" w:rsidRPr="00F079FD" w14:paraId="1E0734AC"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14B74DA" w14:textId="77777777" w:rsidR="00F079FD" w:rsidRPr="00F079FD" w:rsidRDefault="00F079FD" w:rsidP="005350B7">
            <w:pPr>
              <w:spacing w:after="0" w:line="240" w:lineRule="auto"/>
              <w:jc w:val="left"/>
              <w:rPr>
                <w:rFonts w:eastAsia="Times New Roman" w:cs="Arial"/>
                <w:color w:val="000000"/>
                <w:sz w:val="20"/>
                <w:szCs w:val="20"/>
                <w:lang w:val="en-US" w:eastAsia="fr-FR"/>
              </w:rPr>
            </w:pPr>
            <w:r w:rsidRPr="00F079FD">
              <w:rPr>
                <w:rFonts w:eastAsia="Times New Roman" w:cs="Arial"/>
                <w:color w:val="000000"/>
                <w:sz w:val="20"/>
                <w:szCs w:val="20"/>
                <w:lang w:val="en-US" w:eastAsia="fr-FR"/>
              </w:rPr>
              <w:t>Burger King / Quick (groupe Bertrand)</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6CE93C1" w14:textId="79D93058"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1 216</w:t>
            </w:r>
          </w:p>
        </w:tc>
      </w:tr>
      <w:tr w:rsidR="00F079FD" w:rsidRPr="00F079FD" w14:paraId="58400140"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57C70FF" w14:textId="1B968B99" w:rsidR="00F079FD" w:rsidRPr="00F079FD" w:rsidRDefault="00F079FD" w:rsidP="005350B7">
            <w:pPr>
              <w:spacing w:after="0" w:line="240" w:lineRule="auto"/>
              <w:jc w:val="left"/>
              <w:rPr>
                <w:rFonts w:eastAsia="Times New Roman" w:cs="Arial"/>
                <w:b/>
                <w:bCs/>
                <w:color w:val="000000"/>
                <w:sz w:val="20"/>
                <w:szCs w:val="20"/>
                <w:lang w:eastAsia="fr-FR"/>
              </w:rPr>
            </w:pPr>
            <w:r w:rsidRPr="00F079FD">
              <w:rPr>
                <w:rFonts w:eastAsia="Times New Roman" w:cs="Arial"/>
                <w:b/>
                <w:bCs/>
                <w:color w:val="000000"/>
                <w:sz w:val="20"/>
                <w:szCs w:val="20"/>
                <w:lang w:eastAsia="fr-FR"/>
              </w:rPr>
              <w:t>Chaînes leaders de restauration rapide</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2079730" w14:textId="7C64688D" w:rsidR="00F079FD" w:rsidRPr="00F079FD" w:rsidRDefault="00F079FD" w:rsidP="005350B7">
            <w:pPr>
              <w:spacing w:after="0" w:line="240" w:lineRule="auto"/>
              <w:jc w:val="center"/>
              <w:rPr>
                <w:rFonts w:eastAsia="Times New Roman" w:cs="Arial"/>
                <w:b/>
                <w:bCs/>
                <w:color w:val="000000"/>
                <w:sz w:val="20"/>
                <w:szCs w:val="20"/>
                <w:lang w:eastAsia="fr-FR"/>
              </w:rPr>
            </w:pPr>
            <w:r w:rsidRPr="00F079FD">
              <w:rPr>
                <w:rFonts w:eastAsia="Times New Roman" w:cs="Arial"/>
                <w:b/>
                <w:bCs/>
                <w:color w:val="000000"/>
                <w:sz w:val="20"/>
                <w:szCs w:val="20"/>
                <w:lang w:eastAsia="fr-FR"/>
              </w:rPr>
              <w:t>6 316</w:t>
            </w:r>
          </w:p>
        </w:tc>
      </w:tr>
      <w:tr w:rsidR="00F079FD" w:rsidRPr="00F079FD" w14:paraId="3F29FBFC"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A7CD4E9"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Marie Blachère</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200AE43" w14:textId="6933B0FB"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435</w:t>
            </w:r>
          </w:p>
        </w:tc>
      </w:tr>
      <w:tr w:rsidR="00F079FD" w:rsidRPr="00F079FD" w14:paraId="013B6CCA"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8B4BC80" w14:textId="797631D0"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Holder /Paul</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8B05F0D" w14:textId="3EF7DB56"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332</w:t>
            </w:r>
          </w:p>
        </w:tc>
      </w:tr>
      <w:tr w:rsidR="00F079FD" w:rsidRPr="00F079FD" w14:paraId="0C7083F6"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C9268C"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Groupe Le Duff</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2D8A64C" w14:textId="0A346A72"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300</w:t>
            </w:r>
          </w:p>
        </w:tc>
      </w:tr>
      <w:tr w:rsidR="00F079FD" w:rsidRPr="00F079FD" w14:paraId="0B4B7893"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3831962" w14:textId="2FE9B37D"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La M</w:t>
            </w:r>
            <w:r w:rsidR="006C35C7">
              <w:rPr>
                <w:rFonts w:eastAsia="Times New Roman" w:cs="Arial"/>
                <w:color w:val="000000"/>
                <w:sz w:val="20"/>
                <w:szCs w:val="20"/>
                <w:lang w:eastAsia="fr-FR"/>
              </w:rPr>
              <w:t>i</w:t>
            </w:r>
            <w:r w:rsidRPr="00F079FD">
              <w:rPr>
                <w:rFonts w:eastAsia="Times New Roman" w:cs="Arial"/>
                <w:color w:val="000000"/>
                <w:sz w:val="20"/>
                <w:szCs w:val="20"/>
                <w:lang w:eastAsia="fr-FR"/>
              </w:rPr>
              <w:t>e C</w:t>
            </w:r>
            <w:r w:rsidR="006C35C7">
              <w:rPr>
                <w:rFonts w:eastAsia="Times New Roman" w:cs="Arial"/>
                <w:color w:val="000000"/>
                <w:sz w:val="20"/>
                <w:szCs w:val="20"/>
                <w:lang w:eastAsia="fr-FR"/>
              </w:rPr>
              <w:t>â</w:t>
            </w:r>
            <w:r w:rsidRPr="00F079FD">
              <w:rPr>
                <w:rFonts w:eastAsia="Times New Roman" w:cs="Arial"/>
                <w:color w:val="000000"/>
                <w:sz w:val="20"/>
                <w:szCs w:val="20"/>
                <w:lang w:eastAsia="fr-FR"/>
              </w:rPr>
              <w:t>line</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7719419" w14:textId="612ABEC5"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166</w:t>
            </w:r>
          </w:p>
        </w:tc>
      </w:tr>
      <w:tr w:rsidR="00F079FD" w:rsidRPr="00F079FD" w14:paraId="56C20707"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95D4BAF" w14:textId="369FD3D0"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La Croissanterie, Maison Pradier</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B2D5FD3" w14:textId="04BF7137"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135</w:t>
            </w:r>
          </w:p>
        </w:tc>
      </w:tr>
      <w:tr w:rsidR="00F079FD" w:rsidRPr="00F079FD" w14:paraId="4133D45D"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C948E87"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Subway</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A2CBBF8" w14:textId="5057A4DE"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165</w:t>
            </w:r>
          </w:p>
        </w:tc>
      </w:tr>
      <w:tr w:rsidR="00F079FD" w:rsidRPr="00F079FD" w14:paraId="5F58DF9D"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C66C142"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Boulangerie Ange</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D10FA24" w14:textId="39CFF998"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126</w:t>
            </w:r>
          </w:p>
        </w:tc>
      </w:tr>
      <w:tr w:rsidR="00F079FD" w:rsidRPr="00F079FD" w14:paraId="43AD02D8"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F876E23" w14:textId="77777777" w:rsidR="00F079FD" w:rsidRPr="00F079FD" w:rsidRDefault="00F079FD" w:rsidP="005350B7">
            <w:pPr>
              <w:spacing w:after="0" w:line="240" w:lineRule="auto"/>
              <w:jc w:val="left"/>
              <w:rPr>
                <w:rFonts w:eastAsia="Times New Roman" w:cs="Arial"/>
                <w:color w:val="000000"/>
                <w:sz w:val="20"/>
                <w:szCs w:val="20"/>
                <w:lang w:eastAsia="fr-FR"/>
              </w:rPr>
            </w:pPr>
            <w:r w:rsidRPr="00F079FD">
              <w:rPr>
                <w:rFonts w:eastAsia="Times New Roman" w:cs="Arial"/>
                <w:color w:val="000000"/>
                <w:sz w:val="20"/>
                <w:szCs w:val="20"/>
                <w:lang w:eastAsia="fr-FR"/>
              </w:rPr>
              <w:t>Louise</w:t>
            </w:r>
          </w:p>
        </w:tc>
        <w:tc>
          <w:tcPr>
            <w:tcW w:w="142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9992854" w14:textId="15D7663C" w:rsidR="00F079FD" w:rsidRPr="00F079FD" w:rsidRDefault="00F079FD" w:rsidP="005350B7">
            <w:pPr>
              <w:spacing w:after="0" w:line="240" w:lineRule="auto"/>
              <w:jc w:val="center"/>
              <w:rPr>
                <w:rFonts w:eastAsia="Times New Roman" w:cs="Arial"/>
                <w:color w:val="000000"/>
                <w:sz w:val="20"/>
                <w:szCs w:val="20"/>
                <w:lang w:eastAsia="fr-FR"/>
              </w:rPr>
            </w:pPr>
            <w:r w:rsidRPr="00F079FD">
              <w:rPr>
                <w:rFonts w:eastAsia="Times New Roman" w:cs="Arial"/>
                <w:color w:val="000000"/>
                <w:sz w:val="20"/>
                <w:szCs w:val="20"/>
                <w:lang w:eastAsia="fr-FR"/>
              </w:rPr>
              <w:t>104</w:t>
            </w:r>
          </w:p>
        </w:tc>
      </w:tr>
      <w:tr w:rsidR="00F079FD" w:rsidRPr="00F079FD" w14:paraId="0F5209C5" w14:textId="77777777" w:rsidTr="005350B7">
        <w:trPr>
          <w:trHeight w:val="300"/>
          <w:jc w:val="center"/>
        </w:trPr>
        <w:tc>
          <w:tcPr>
            <w:tcW w:w="443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F52FAA0" w14:textId="2C8DB3D2" w:rsidR="00F079FD" w:rsidRPr="00F079FD" w:rsidRDefault="00F079FD" w:rsidP="005350B7">
            <w:pPr>
              <w:spacing w:after="0" w:line="240" w:lineRule="auto"/>
              <w:jc w:val="left"/>
              <w:rPr>
                <w:rFonts w:eastAsia="Times New Roman" w:cs="Arial"/>
                <w:b/>
                <w:bCs/>
                <w:color w:val="000000"/>
                <w:sz w:val="20"/>
                <w:szCs w:val="20"/>
                <w:lang w:eastAsia="fr-FR"/>
              </w:rPr>
            </w:pPr>
            <w:r w:rsidRPr="00F079FD">
              <w:rPr>
                <w:rFonts w:eastAsia="Times New Roman" w:cs="Arial"/>
                <w:b/>
                <w:bCs/>
                <w:color w:val="000000"/>
                <w:sz w:val="20"/>
                <w:szCs w:val="20"/>
                <w:lang w:eastAsia="fr-FR"/>
              </w:rPr>
              <w:t>Chaînes leaders en boulangerie pâtisserie</w:t>
            </w:r>
          </w:p>
        </w:tc>
        <w:tc>
          <w:tcPr>
            <w:tcW w:w="142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D65A405" w14:textId="2BB972D3" w:rsidR="00F079FD" w:rsidRPr="00F079FD" w:rsidRDefault="00F079FD" w:rsidP="005350B7">
            <w:pPr>
              <w:spacing w:after="0" w:line="240" w:lineRule="auto"/>
              <w:jc w:val="center"/>
              <w:rPr>
                <w:rFonts w:eastAsia="Times New Roman" w:cs="Arial"/>
                <w:b/>
                <w:bCs/>
                <w:color w:val="000000"/>
                <w:sz w:val="20"/>
                <w:szCs w:val="20"/>
                <w:lang w:eastAsia="fr-FR"/>
              </w:rPr>
            </w:pPr>
            <w:r w:rsidRPr="00F079FD">
              <w:rPr>
                <w:rFonts w:eastAsia="Times New Roman" w:cs="Arial"/>
                <w:b/>
                <w:bCs/>
                <w:color w:val="000000"/>
                <w:sz w:val="20"/>
                <w:szCs w:val="20"/>
                <w:lang w:eastAsia="fr-FR"/>
              </w:rPr>
              <w:t>1 763</w:t>
            </w:r>
          </w:p>
        </w:tc>
      </w:tr>
    </w:tbl>
    <w:p w14:paraId="3CECC31F" w14:textId="2D6F5DCF" w:rsidR="00746C7C" w:rsidRDefault="00C31DD2" w:rsidP="0002537E">
      <w:pPr>
        <w:pStyle w:val="figure"/>
      </w:pPr>
      <w:bookmarkStart w:id="310" w:name="_Toc72143414"/>
      <w:r w:rsidRPr="00926407">
        <w:t xml:space="preserve">Tableau </w:t>
      </w:r>
      <w:r w:rsidR="00E27D6E">
        <w:fldChar w:fldCharType="begin"/>
      </w:r>
      <w:r w:rsidR="00E27D6E">
        <w:instrText xml:space="preserve"> SEQ Tableau \* ARABIC </w:instrText>
      </w:r>
      <w:r w:rsidR="00E27D6E">
        <w:fldChar w:fldCharType="separate"/>
      </w:r>
      <w:r w:rsidR="0007597F">
        <w:rPr>
          <w:i/>
          <w:noProof/>
        </w:rPr>
        <w:t>67</w:t>
      </w:r>
      <w:r w:rsidR="00E27D6E">
        <w:rPr>
          <w:i/>
          <w:noProof/>
        </w:rPr>
        <w:fldChar w:fldCharType="end"/>
      </w:r>
      <w:bookmarkEnd w:id="309"/>
      <w:r w:rsidR="00921B43">
        <w:rPr>
          <w:i/>
        </w:rPr>
        <w:t> :</w:t>
      </w:r>
      <w:r w:rsidRPr="00926407">
        <w:t xml:space="preserve"> </w:t>
      </w:r>
      <w:r w:rsidR="00721E8F" w:rsidRPr="0002537E">
        <w:t xml:space="preserve">Part de marché </w:t>
      </w:r>
      <w:r w:rsidR="007F1F13" w:rsidRPr="0002537E">
        <w:t xml:space="preserve">en chiffre d’affaires HT </w:t>
      </w:r>
      <w:r w:rsidR="00721E8F" w:rsidRPr="0002537E">
        <w:t>des c</w:t>
      </w:r>
      <w:r w:rsidR="00D45CC7" w:rsidRPr="0002537E">
        <w:t xml:space="preserve">haînes </w:t>
      </w:r>
      <w:r w:rsidR="007F1F13" w:rsidRPr="0002537E">
        <w:t xml:space="preserve">majeures </w:t>
      </w:r>
      <w:r w:rsidR="00D45CC7" w:rsidRPr="0002537E">
        <w:t xml:space="preserve">de </w:t>
      </w:r>
      <w:r w:rsidR="00B70F61" w:rsidRPr="0002537E">
        <w:t xml:space="preserve">restauration rapide et de </w:t>
      </w:r>
      <w:r w:rsidR="00D45CC7" w:rsidRPr="0002537E">
        <w:t>boulangerie pâtisserie</w:t>
      </w:r>
      <w:r w:rsidR="00721E8F" w:rsidRPr="0002537E">
        <w:t xml:space="preserve"> en 2018</w:t>
      </w:r>
      <w:bookmarkEnd w:id="310"/>
      <w:r w:rsidR="007F1F13">
        <w:rPr>
          <w:i/>
        </w:rPr>
        <w:t xml:space="preserve"> </w:t>
      </w:r>
    </w:p>
    <w:p w14:paraId="61F8F116" w14:textId="680C5A30" w:rsidR="006C1B60" w:rsidRPr="0002537E" w:rsidRDefault="007F1F13" w:rsidP="0002537E">
      <w:pPr>
        <w:pStyle w:val="Lgende"/>
      </w:pPr>
      <w:r w:rsidRPr="0002537E">
        <w:t>(</w:t>
      </w:r>
      <w:r w:rsidR="00B70F61" w:rsidRPr="0002537E">
        <w:t>Source : France Snacking Entreprise</w:t>
      </w:r>
      <w:r w:rsidRPr="0002537E">
        <w:t>)</w:t>
      </w:r>
    </w:p>
    <w:p w14:paraId="156E8806" w14:textId="352EFA62" w:rsidR="00A92D71" w:rsidRDefault="00A92D71" w:rsidP="007E5A5C">
      <w:r w:rsidRPr="00A92D71">
        <w:t xml:space="preserve">En 2018, </w:t>
      </w:r>
      <w:r>
        <w:t xml:space="preserve">sur les </w:t>
      </w:r>
      <w:r w:rsidRPr="00A92D71">
        <w:t>2,6 milliards d’unités</w:t>
      </w:r>
      <w:r w:rsidR="004042B7">
        <w:t xml:space="preserve"> </w:t>
      </w:r>
      <w:r w:rsidR="00E06E42">
        <w:t>de san</w:t>
      </w:r>
      <w:r w:rsidR="00275DB5">
        <w:t xml:space="preserve">dwiches </w:t>
      </w:r>
      <w:r w:rsidR="004042B7">
        <w:t>commercialisées selon Gira Food Service</w:t>
      </w:r>
      <w:r w:rsidRPr="00A92D71">
        <w:t xml:space="preserve">, le jambon-beurre </w:t>
      </w:r>
      <w:r w:rsidR="00053619">
        <w:t>serait</w:t>
      </w:r>
      <w:r w:rsidRPr="00A92D71">
        <w:t xml:space="preserve"> leader devant le</w:t>
      </w:r>
      <w:r w:rsidR="004042B7">
        <w:t>s</w:t>
      </w:r>
      <w:r w:rsidRPr="00A92D71">
        <w:t xml:space="preserve"> </w:t>
      </w:r>
      <w:r w:rsidR="004042B7">
        <w:t xml:space="preserve">sandwiches </w:t>
      </w:r>
      <w:r w:rsidRPr="00A92D71">
        <w:t>mixte</w:t>
      </w:r>
      <w:r w:rsidR="004042B7">
        <w:t>s</w:t>
      </w:r>
      <w:r w:rsidRPr="00A92D71">
        <w:t xml:space="preserve"> et crudités.</w:t>
      </w:r>
      <w:r w:rsidR="00477A87">
        <w:t xml:space="preserve"> </w:t>
      </w:r>
      <w:r w:rsidR="00E32A9C">
        <w:t xml:space="preserve">La part des </w:t>
      </w:r>
      <w:r w:rsidR="00E06E42">
        <w:t>san</w:t>
      </w:r>
      <w:r w:rsidR="00275DB5">
        <w:t>d</w:t>
      </w:r>
      <w:r w:rsidR="00E06E42">
        <w:t xml:space="preserve">wiches </w:t>
      </w:r>
      <w:r w:rsidR="00275DB5">
        <w:t xml:space="preserve">intégrant des produits du porc </w:t>
      </w:r>
      <w:r w:rsidR="00053619">
        <w:t xml:space="preserve">selon les dire d’expert, </w:t>
      </w:r>
      <w:r w:rsidR="00275DB5">
        <w:t xml:space="preserve">représenterait </w:t>
      </w:r>
      <w:r w:rsidR="001D111C">
        <w:t>e</w:t>
      </w:r>
      <w:r w:rsidR="004A2DF9">
        <w:t>nviron 45</w:t>
      </w:r>
      <w:r w:rsidR="003A4F5E">
        <w:t> </w:t>
      </w:r>
      <w:r w:rsidR="004A2DF9">
        <w:t xml:space="preserve">% </w:t>
      </w:r>
      <w:r w:rsidR="00E46504">
        <w:t xml:space="preserve">pour un potentiel total de produit d’environ 1,2 </w:t>
      </w:r>
      <w:r w:rsidR="00500B43">
        <w:t>milliards d’unités</w:t>
      </w:r>
      <w:r w:rsidR="00275DB5">
        <w:t xml:space="preserve">. </w:t>
      </w:r>
      <w:r w:rsidR="00271D30">
        <w:t xml:space="preserve">Sur la base des données communiquées, </w:t>
      </w:r>
      <w:r w:rsidR="00680FE8">
        <w:t>la taille du marché consolidé pour les produits de charcuterie de porc serait estimé</w:t>
      </w:r>
      <w:r w:rsidR="00BB6DDA">
        <w:t>e</w:t>
      </w:r>
      <w:r w:rsidR="00680FE8">
        <w:t xml:space="preserve"> à environ 15</w:t>
      </w:r>
      <w:r w:rsidR="003A4F5E">
        <w:t> </w:t>
      </w:r>
      <w:r w:rsidR="00680FE8">
        <w:t xml:space="preserve">kt </w:t>
      </w:r>
      <w:r w:rsidR="00271D30">
        <w:t xml:space="preserve">largement </w:t>
      </w:r>
      <w:r w:rsidR="00680FE8">
        <w:t>dominé par le jambon, le bacon et la poitrine</w:t>
      </w:r>
      <w:r w:rsidR="00271D30" w:rsidRPr="00680FE8">
        <w:t>.</w:t>
      </w:r>
    </w:p>
    <w:p w14:paraId="65C581B8" w14:textId="579106EC" w:rsidR="00533F4A" w:rsidRDefault="000B2C66" w:rsidP="00BB6DDA">
      <w:r>
        <w:t>Il faut par ailleurs noter que les o</w:t>
      </w:r>
      <w:r w:rsidR="009C4197" w:rsidRPr="00E948A3">
        <w:t xml:space="preserve">ffres classiques comme le croque-monsieur, les quiches, mais également </w:t>
      </w:r>
      <w:r w:rsidR="00271D30">
        <w:t>les</w:t>
      </w:r>
      <w:r w:rsidR="009C4197" w:rsidRPr="00E948A3">
        <w:t xml:space="preserve"> nouvelles proposition</w:t>
      </w:r>
      <w:r>
        <w:t xml:space="preserve">s de produits tels que </w:t>
      </w:r>
      <w:r w:rsidR="009C4197" w:rsidRPr="00E948A3">
        <w:t>les bagels, les wraps</w:t>
      </w:r>
      <w:r w:rsidR="007E5A5C">
        <w:t xml:space="preserve">, </w:t>
      </w:r>
      <w:r w:rsidR="009C4197" w:rsidRPr="00E948A3">
        <w:t xml:space="preserve">les salades ou </w:t>
      </w:r>
      <w:r w:rsidR="007E5A5C">
        <w:t xml:space="preserve">encore </w:t>
      </w:r>
      <w:r w:rsidR="009C4197" w:rsidRPr="00E948A3">
        <w:t xml:space="preserve">les pâtes introduites au déjeuner </w:t>
      </w:r>
      <w:r>
        <w:t xml:space="preserve">viennent éroder </w:t>
      </w:r>
      <w:r w:rsidR="009C4197" w:rsidRPr="00E948A3">
        <w:t>peu à peu la part de marché du sandwich</w:t>
      </w:r>
      <w:r w:rsidR="00271D30">
        <w:t>e</w:t>
      </w:r>
      <w:r w:rsidR="00BA3BBB">
        <w:t xml:space="preserve"> </w:t>
      </w:r>
      <w:r w:rsidR="007E5A5C">
        <w:t xml:space="preserve">baguette traditionnel </w:t>
      </w:r>
      <w:r w:rsidR="00BA3BBB">
        <w:t xml:space="preserve">et par conséquent potentiellement la part de </w:t>
      </w:r>
      <w:r w:rsidR="007E5A5C">
        <w:t xml:space="preserve">produits du </w:t>
      </w:r>
      <w:r w:rsidR="00BA3BBB">
        <w:t>porc intégrée dans ce marché</w:t>
      </w:r>
      <w:r w:rsidR="009C4197" w:rsidRPr="00E948A3">
        <w:t>.</w:t>
      </w:r>
    </w:p>
    <w:p w14:paraId="73CA0C1E" w14:textId="6878626F" w:rsidR="005E7E5B" w:rsidRDefault="00303B90" w:rsidP="0002537E">
      <w:pPr>
        <w:pStyle w:val="Titre1"/>
        <w:numPr>
          <w:ilvl w:val="0"/>
          <w:numId w:val="9"/>
        </w:numPr>
      </w:pPr>
      <w:bookmarkStart w:id="311" w:name="_Toc78131657"/>
      <w:r>
        <w:t>Enquête qualitative d</w:t>
      </w:r>
      <w:r w:rsidR="00986ED8">
        <w:t>édiée à</w:t>
      </w:r>
      <w:r>
        <w:t xml:space="preserve"> la restauration collective</w:t>
      </w:r>
      <w:bookmarkEnd w:id="311"/>
    </w:p>
    <w:p w14:paraId="32D564C6" w14:textId="6661B11F" w:rsidR="005E7E5B" w:rsidRPr="00A63F35" w:rsidRDefault="005E7E5B" w:rsidP="00A63F35">
      <w:pPr>
        <w:pStyle w:val="Titre2"/>
        <w:rPr>
          <w:rStyle w:val="Titre3Car"/>
          <w:rFonts w:eastAsia="MS PGothic" w:cstheme="minorBidi"/>
          <w:b w:val="0"/>
          <w:bCs/>
          <w:sz w:val="24"/>
          <w:szCs w:val="22"/>
          <w:u w:val="none"/>
        </w:rPr>
      </w:pPr>
      <w:bookmarkStart w:id="312" w:name="_Toc78131658"/>
      <w:r w:rsidRPr="00A63F35">
        <w:rPr>
          <w:rStyle w:val="Titre3Car"/>
          <w:rFonts w:eastAsia="MS PGothic" w:cstheme="minorBidi"/>
          <w:b w:val="0"/>
          <w:bCs/>
          <w:szCs w:val="22"/>
          <w:u w:val="none"/>
        </w:rPr>
        <w:t>Méthode et limites</w:t>
      </w:r>
      <w:bookmarkEnd w:id="312"/>
    </w:p>
    <w:p w14:paraId="57790E53" w14:textId="2049C58F" w:rsidR="00303B90" w:rsidRPr="00BA3BBB" w:rsidRDefault="00303B90" w:rsidP="00955860">
      <w:pPr>
        <w:pStyle w:val="Titre3"/>
        <w:numPr>
          <w:ilvl w:val="2"/>
          <w:numId w:val="9"/>
        </w:numPr>
      </w:pPr>
      <w:bookmarkStart w:id="313" w:name="_Toc78131659"/>
      <w:r w:rsidRPr="00955860">
        <w:t>Ciblage et structure de l’échantillo</w:t>
      </w:r>
      <w:r w:rsidRPr="00BA3BBB">
        <w:t>n</w:t>
      </w:r>
      <w:bookmarkEnd w:id="313"/>
    </w:p>
    <w:p w14:paraId="44C225C5" w14:textId="4D6E63AB" w:rsidR="005A5C42" w:rsidRDefault="00EA22A3" w:rsidP="00791D1D">
      <w:r>
        <w:t xml:space="preserve">Au travers de cette étude, il s’est agi de constituer un échantillon représentatif </w:t>
      </w:r>
      <w:r w:rsidR="00267AAF">
        <w:t xml:space="preserve">du marché de la restauration collective </w:t>
      </w:r>
      <w:r w:rsidR="0086532D">
        <w:t xml:space="preserve">soit environ </w:t>
      </w:r>
      <w:r w:rsidR="0086532D" w:rsidRPr="0086532D">
        <w:rPr>
          <w:rFonts w:eastAsia="Arial Unicode MS" w:cs="Arial"/>
          <w:kern w:val="1"/>
          <w:szCs w:val="24"/>
          <w:lang w:eastAsia="ar-SA"/>
        </w:rPr>
        <w:t>7</w:t>
      </w:r>
      <w:r w:rsidR="003A4F5E">
        <w:rPr>
          <w:rFonts w:eastAsia="Arial Unicode MS" w:cs="Arial"/>
          <w:kern w:val="1"/>
          <w:szCs w:val="24"/>
          <w:lang w:eastAsia="ar-SA"/>
        </w:rPr>
        <w:t> </w:t>
      </w:r>
      <w:r w:rsidR="0086532D" w:rsidRPr="0086532D">
        <w:rPr>
          <w:rFonts w:eastAsia="Arial Unicode MS" w:cs="Arial"/>
          <w:kern w:val="1"/>
          <w:szCs w:val="24"/>
          <w:lang w:eastAsia="ar-SA"/>
        </w:rPr>
        <w:t>% du</w:t>
      </w:r>
      <w:r w:rsidR="0086532D" w:rsidRPr="00EA22A3">
        <w:t xml:space="preserve"> total des prestations du marché </w:t>
      </w:r>
      <w:r w:rsidR="0086532D" w:rsidRPr="00632160">
        <w:t>(</w:t>
      </w:r>
      <w:r w:rsidR="00632160">
        <w:t xml:space="preserve">soit environ 260 millions </w:t>
      </w:r>
      <w:r w:rsidR="0086532D" w:rsidRPr="00EA22A3">
        <w:t>de prestations annuelles</w:t>
      </w:r>
      <w:r w:rsidR="0086532D">
        <w:t xml:space="preserve"> </w:t>
      </w:r>
      <w:r w:rsidR="00632160">
        <w:t>rapporté au total des prestations</w:t>
      </w:r>
      <w:r w:rsidR="001D1FF2">
        <w:t xml:space="preserve"> annuelles du marché</w:t>
      </w:r>
      <w:r w:rsidR="00632160">
        <w:t xml:space="preserve"> soit 3 691 </w:t>
      </w:r>
      <w:r w:rsidR="001D1FF2">
        <w:t>millions en 2018</w:t>
      </w:r>
      <w:r w:rsidR="0086532D">
        <w:t>)</w:t>
      </w:r>
      <w:r w:rsidR="0086532D" w:rsidRPr="00EA22A3">
        <w:t xml:space="preserve"> </w:t>
      </w:r>
      <w:r>
        <w:t xml:space="preserve">en tenant compte de différents paramètres constitutifs du marché </w:t>
      </w:r>
      <w:r w:rsidR="00B43A89">
        <w:t>tel</w:t>
      </w:r>
      <w:r w:rsidR="00632160">
        <w:t>s</w:t>
      </w:r>
      <w:r w:rsidR="00B43A89">
        <w:t xml:space="preserve"> que présenté en première partie du rapport (paragraphe 3.5.2.1.) </w:t>
      </w:r>
      <w:r>
        <w:t>soi</w:t>
      </w:r>
      <w:r w:rsidR="00B43A89">
        <w:t>en</w:t>
      </w:r>
      <w:r>
        <w:t>t</w:t>
      </w:r>
      <w:r w:rsidR="003D28ED">
        <w:t xml:space="preserve"> la prise en compte </w:t>
      </w:r>
    </w:p>
    <w:p w14:paraId="5A3C2243" w14:textId="70439A40" w:rsidR="005A5C42" w:rsidRPr="0081787B" w:rsidRDefault="003D28ED" w:rsidP="00A305CD">
      <w:pPr>
        <w:pStyle w:val="Paragraphedeliste"/>
        <w:numPr>
          <w:ilvl w:val="0"/>
          <w:numId w:val="23"/>
        </w:numPr>
      </w:pPr>
      <w:r>
        <w:t>D</w:t>
      </w:r>
      <w:r w:rsidR="00791D1D">
        <w:t>es</w:t>
      </w:r>
      <w:r w:rsidR="00EA22A3">
        <w:t xml:space="preserve"> diffé</w:t>
      </w:r>
      <w:r w:rsidR="005A5C42">
        <w:t>r</w:t>
      </w:r>
      <w:r w:rsidR="00EA22A3">
        <w:t>ents se</w:t>
      </w:r>
      <w:r>
        <w:t>cteurs d’activité</w:t>
      </w:r>
      <w:r w:rsidR="00EA22A3">
        <w:t xml:space="preserve"> </w:t>
      </w:r>
      <w:r w:rsidR="005A5C42">
        <w:t>que sont l’e</w:t>
      </w:r>
      <w:r w:rsidR="005A5C42" w:rsidRPr="0081787B">
        <w:t>nseignement</w:t>
      </w:r>
      <w:r w:rsidR="005A5C42">
        <w:t>, la santé, le médico-social, le travail et les circuits captifs (armée, police notamment)</w:t>
      </w:r>
      <w:r>
        <w:t>,</w:t>
      </w:r>
    </w:p>
    <w:p w14:paraId="55E9FA8F" w14:textId="1DB9C032" w:rsidR="003D28ED" w:rsidRDefault="003D28ED" w:rsidP="00A305CD">
      <w:pPr>
        <w:pStyle w:val="Paragraphedeliste"/>
        <w:numPr>
          <w:ilvl w:val="0"/>
          <w:numId w:val="23"/>
        </w:numPr>
      </w:pPr>
      <w:r>
        <w:t>De l</w:t>
      </w:r>
      <w:r w:rsidR="00791D1D">
        <w:t>a structure</w:t>
      </w:r>
      <w:r w:rsidR="005A5C42">
        <w:t xml:space="preserve"> du marché </w:t>
      </w:r>
      <w:r w:rsidR="00791D1D">
        <w:t xml:space="preserve">avec </w:t>
      </w:r>
      <w:r w:rsidR="005A5C42">
        <w:t xml:space="preserve">des </w:t>
      </w:r>
      <w:r>
        <w:t>établissements</w:t>
      </w:r>
      <w:r w:rsidR="005A5C42">
        <w:t xml:space="preserve"> finaux </w:t>
      </w:r>
      <w:r w:rsidR="004E43B6">
        <w:t xml:space="preserve">qui opèrent pour leurs approvisionnements de produits alimentaires soit </w:t>
      </w:r>
    </w:p>
    <w:p w14:paraId="41CE25B8" w14:textId="726D99A5" w:rsidR="003D28ED" w:rsidRDefault="003D28ED" w:rsidP="00A305CD">
      <w:pPr>
        <w:pStyle w:val="Paragraphedeliste"/>
        <w:numPr>
          <w:ilvl w:val="1"/>
          <w:numId w:val="23"/>
        </w:numPr>
      </w:pPr>
      <w:r>
        <w:lastRenderedPageBreak/>
        <w:t xml:space="preserve">En concession </w:t>
      </w:r>
      <w:r w:rsidR="00B43A89">
        <w:t>auprès d’opérateurs structurés</w:t>
      </w:r>
      <w:r w:rsidR="005A5C42">
        <w:t xml:space="preserve"> </w:t>
      </w:r>
      <w:r>
        <w:t xml:space="preserve">que sont les </w:t>
      </w:r>
      <w:r w:rsidR="00791D1D">
        <w:t xml:space="preserve">SRC </w:t>
      </w:r>
      <w:r w:rsidR="00B43A89">
        <w:t>(</w:t>
      </w:r>
      <w:r w:rsidR="00791D1D">
        <w:t>sociétés de restauration collective</w:t>
      </w:r>
      <w:r>
        <w:t>)</w:t>
      </w:r>
      <w:r w:rsidR="004E43B6">
        <w:t xml:space="preserve"> </w:t>
      </w:r>
      <w:r w:rsidR="00490BE3">
        <w:t>qui représentent 40</w:t>
      </w:r>
      <w:r w:rsidR="003A4F5E">
        <w:t> </w:t>
      </w:r>
      <w:r w:rsidR="00490BE3">
        <w:t>% de</w:t>
      </w:r>
      <w:r w:rsidR="009E1750">
        <w:t>s volumes d’achat</w:t>
      </w:r>
      <w:r w:rsidR="00490BE3">
        <w:t xml:space="preserve"> tous circuits</w:t>
      </w:r>
      <w:r>
        <w:t>,</w:t>
      </w:r>
    </w:p>
    <w:p w14:paraId="00ACC465" w14:textId="1403175A" w:rsidR="005A5C42" w:rsidRDefault="003D28ED" w:rsidP="00A305CD">
      <w:pPr>
        <w:pStyle w:val="Paragraphedeliste"/>
        <w:numPr>
          <w:ilvl w:val="1"/>
          <w:numId w:val="23"/>
        </w:numPr>
      </w:pPr>
      <w:r>
        <w:t xml:space="preserve">En autogestion au travers de </w:t>
      </w:r>
      <w:r w:rsidR="00B43A89">
        <w:t>groupements de commandes ou de centrales de référencement</w:t>
      </w:r>
      <w:r>
        <w:t xml:space="preserve"> </w:t>
      </w:r>
      <w:r w:rsidR="001D1FF2">
        <w:t>qui</w:t>
      </w:r>
      <w:r>
        <w:t xml:space="preserve"> disposent d’</w:t>
      </w:r>
      <w:r w:rsidR="00B43A89">
        <w:t>un pouvoir de décision supérieur dans leur</w:t>
      </w:r>
      <w:r>
        <w:t xml:space="preserve"> approvisionnement,</w:t>
      </w:r>
    </w:p>
    <w:p w14:paraId="0371099A" w14:textId="1BD032AB" w:rsidR="00B43A89" w:rsidRDefault="003D28ED" w:rsidP="00A305CD">
      <w:pPr>
        <w:pStyle w:val="Paragraphedeliste"/>
        <w:numPr>
          <w:ilvl w:val="0"/>
          <w:numId w:val="23"/>
        </w:numPr>
      </w:pPr>
      <w:r>
        <w:t>D’un</w:t>
      </w:r>
      <w:r w:rsidR="00B43A89">
        <w:t xml:space="preserve"> canal de distribution long impliquant plusieurs intermédiaires et supposant </w:t>
      </w:r>
      <w:r>
        <w:t xml:space="preserve">d’enrichir </w:t>
      </w:r>
      <w:r w:rsidR="00B43A89">
        <w:t>les données en interrogeant différents niveaux d’acteurs tout au long de la filière (</w:t>
      </w:r>
      <w:r w:rsidR="00267AAF">
        <w:t xml:space="preserve">abatteurs, </w:t>
      </w:r>
      <w:r w:rsidR="00B43A89">
        <w:t>distributeurs, centrales d’achat</w:t>
      </w:r>
      <w:r>
        <w:t>, de référencement, SRC</w:t>
      </w:r>
      <w:r w:rsidR="00B43A89">
        <w:t xml:space="preserve"> …)</w:t>
      </w:r>
      <w:r>
        <w:t xml:space="preserve"> mais également auprès de structures positionnées dans l’écosystème des opérateurs de la restauration collective auprès des éditeurs d’ERP dédiés à ce marché.</w:t>
      </w:r>
    </w:p>
    <w:p w14:paraId="12D4377C" w14:textId="3557048B" w:rsidR="0077783F" w:rsidRDefault="00267AAF" w:rsidP="0077783F">
      <w:r>
        <w:t>A partir de</w:t>
      </w:r>
      <w:r w:rsidR="008B09EA">
        <w:t xml:space="preserve">s volumes produits </w:t>
      </w:r>
      <w:r w:rsidR="00EB14D1">
        <w:t>issus de</w:t>
      </w:r>
      <w:r>
        <w:t xml:space="preserve"> cet échantillon, la démarche </w:t>
      </w:r>
      <w:r w:rsidR="001D1FF2">
        <w:t xml:space="preserve">a </w:t>
      </w:r>
      <w:r>
        <w:t>cons</w:t>
      </w:r>
      <w:r w:rsidR="001D1FF2">
        <w:t>isté</w:t>
      </w:r>
      <w:r>
        <w:t xml:space="preserve"> à en extrapoler</w:t>
      </w:r>
      <w:r w:rsidR="001D1FF2">
        <w:t xml:space="preserve"> les données</w:t>
      </w:r>
      <w:r>
        <w:t xml:space="preserve"> </w:t>
      </w:r>
      <w:r w:rsidR="009A008E">
        <w:t>en croisant</w:t>
      </w:r>
      <w:r w:rsidR="005F2226">
        <w:t xml:space="preserve"> </w:t>
      </w:r>
      <w:r w:rsidR="009A008E">
        <w:t>le</w:t>
      </w:r>
      <w:r w:rsidR="005F2226">
        <w:t xml:space="preserve"> nombre de prestations réalisées par l’opérateur, l</w:t>
      </w:r>
      <w:r>
        <w:t>e</w:t>
      </w:r>
      <w:r w:rsidR="00EB14D1">
        <w:t>s</w:t>
      </w:r>
      <w:r w:rsidR="00AD480B">
        <w:t xml:space="preserve"> volumes totaux par segment et catégorie de produits</w:t>
      </w:r>
      <w:r>
        <w:t xml:space="preserve"> afin de reconstituer </w:t>
      </w:r>
      <w:r w:rsidR="00AD480B">
        <w:t xml:space="preserve">de proche en proche, </w:t>
      </w:r>
      <w:r>
        <w:t xml:space="preserve">le marché de la restauration collective dans son ensemble. </w:t>
      </w:r>
      <w:r w:rsidR="00DE2F02">
        <w:t>Les acteurs enquêtés et leur poids relatif figure en Annexe 10.</w:t>
      </w:r>
      <w:r w:rsidR="00A908A8">
        <w:t xml:space="preserve"> </w:t>
      </w:r>
      <w:r w:rsidR="001D1FF2">
        <w:t xml:space="preserve">La segmentation des produits de charcuterie salaison par catégorie est basée sur la segmentation du Code des Usages de la charcuterie salaison. Concernant la viande de porc, la segmentation a été définie avec le financeur de l’étude. </w:t>
      </w:r>
    </w:p>
    <w:p w14:paraId="6A4E594D" w14:textId="78B66DF1" w:rsidR="00FD0CA3" w:rsidRPr="00FD0CA3" w:rsidRDefault="00667DBE" w:rsidP="00955860">
      <w:pPr>
        <w:pStyle w:val="Titre3"/>
        <w:numPr>
          <w:ilvl w:val="2"/>
          <w:numId w:val="9"/>
        </w:numPr>
      </w:pPr>
      <w:bookmarkStart w:id="314" w:name="_Toc78131660"/>
      <w:r>
        <w:t>Objectifs</w:t>
      </w:r>
      <w:bookmarkEnd w:id="314"/>
    </w:p>
    <w:p w14:paraId="50C7AE8E" w14:textId="6449122F" w:rsidR="00197515" w:rsidRDefault="00945079" w:rsidP="00303B90">
      <w:pPr>
        <w:spacing w:after="0"/>
      </w:pPr>
      <w:r>
        <w:t>L</w:t>
      </w:r>
      <w:r w:rsidR="00197515">
        <w:t>’</w:t>
      </w:r>
      <w:r>
        <w:t xml:space="preserve">étude du marché de la restauration collective </w:t>
      </w:r>
      <w:r w:rsidR="000012FA">
        <w:t>indépendamment d’objectifs qualitatifs</w:t>
      </w:r>
      <w:r w:rsidR="00A162FB">
        <w:t xml:space="preserve">, a cherché à collecter des données quantitatives afin : </w:t>
      </w:r>
    </w:p>
    <w:p w14:paraId="21072910" w14:textId="3DB67D05" w:rsidR="00303B90" w:rsidRPr="00374296" w:rsidRDefault="00303B90" w:rsidP="00303B90">
      <w:pPr>
        <w:spacing w:after="0"/>
      </w:pPr>
      <w:r>
        <w:rPr>
          <w:bCs/>
        </w:rPr>
        <w:t xml:space="preserve">- </w:t>
      </w:r>
      <w:r w:rsidR="00A162FB">
        <w:rPr>
          <w:bCs/>
        </w:rPr>
        <w:t>d’</w:t>
      </w:r>
      <w:r w:rsidR="00945079">
        <w:rPr>
          <w:bCs/>
        </w:rPr>
        <w:t>estimer</w:t>
      </w:r>
      <w:r w:rsidR="00AD69A7">
        <w:rPr>
          <w:bCs/>
        </w:rPr>
        <w:t xml:space="preserve"> en première approche</w:t>
      </w:r>
      <w:r w:rsidR="00945079">
        <w:rPr>
          <w:bCs/>
        </w:rPr>
        <w:t xml:space="preserve"> les volumes consommés par ce marché sur </w:t>
      </w:r>
      <w:r w:rsidRPr="00374296">
        <w:rPr>
          <w:bCs/>
        </w:rPr>
        <w:t xml:space="preserve">les catégories de produits du porc </w:t>
      </w:r>
      <w:r w:rsidR="00945079">
        <w:rPr>
          <w:bCs/>
        </w:rPr>
        <w:t>soient</w:t>
      </w:r>
      <w:r w:rsidRPr="00374296">
        <w:rPr>
          <w:bCs/>
        </w:rPr>
        <w:t xml:space="preserve"> </w:t>
      </w:r>
      <w:r w:rsidRPr="00374296">
        <w:t>viande</w:t>
      </w:r>
      <w:r w:rsidR="000012FA">
        <w:t xml:space="preserve"> et</w:t>
      </w:r>
      <w:r w:rsidRPr="00374296">
        <w:t xml:space="preserve"> charcuterie</w:t>
      </w:r>
      <w:r w:rsidR="00943C74">
        <w:t xml:space="preserve"> en frais et en surgelé</w:t>
      </w:r>
      <w:r w:rsidRPr="00374296">
        <w:t xml:space="preserve"> par segment </w:t>
      </w:r>
      <w:r w:rsidR="00943C74">
        <w:t>d’activité</w:t>
      </w:r>
      <w:r w:rsidRPr="00374296">
        <w:t>,</w:t>
      </w:r>
    </w:p>
    <w:p w14:paraId="326FFD71" w14:textId="344EB8C7" w:rsidR="0009504F" w:rsidRDefault="00303B90" w:rsidP="00303B90">
      <w:pPr>
        <w:spacing w:after="0"/>
      </w:pPr>
      <w:r w:rsidRPr="00374296">
        <w:rPr>
          <w:bCs/>
        </w:rPr>
        <w:t xml:space="preserve"> - </w:t>
      </w:r>
      <w:r w:rsidR="00AD69A7">
        <w:rPr>
          <w:bCs/>
        </w:rPr>
        <w:t xml:space="preserve">de </w:t>
      </w:r>
      <w:r w:rsidRPr="00374296">
        <w:rPr>
          <w:bCs/>
        </w:rPr>
        <w:t xml:space="preserve">donner un premier aperçu des produits consommés </w:t>
      </w:r>
      <w:r w:rsidR="00C85167">
        <w:rPr>
          <w:bCs/>
        </w:rPr>
        <w:t>en mettant en avant la part des volumes d’importation</w:t>
      </w:r>
      <w:r w:rsidR="00943C74">
        <w:rPr>
          <w:bCs/>
        </w:rPr>
        <w:t xml:space="preserve"> vis-à-vis des produits issus de production française</w:t>
      </w:r>
      <w:r w:rsidR="0009504F">
        <w:rPr>
          <w:bCs/>
        </w:rPr>
        <w:t>,</w:t>
      </w:r>
      <w:r w:rsidR="00943C74">
        <w:rPr>
          <w:bCs/>
        </w:rPr>
        <w:t xml:space="preserve"> </w:t>
      </w:r>
      <w:r w:rsidR="00C85167">
        <w:rPr>
          <w:bCs/>
        </w:rPr>
        <w:t>d’approvisionnement local</w:t>
      </w:r>
      <w:r w:rsidR="0009504F">
        <w:t xml:space="preserve">, </w:t>
      </w:r>
    </w:p>
    <w:p w14:paraId="7C92CA06" w14:textId="079BEBF6" w:rsidR="00303B90" w:rsidRPr="00374296" w:rsidRDefault="00AD27C1" w:rsidP="00303B90">
      <w:pPr>
        <w:spacing w:after="0"/>
      </w:pPr>
      <w:r>
        <w:t xml:space="preserve"> </w:t>
      </w:r>
      <w:r w:rsidR="0009504F">
        <w:t xml:space="preserve">- </w:t>
      </w:r>
      <w:r>
        <w:t>d’</w:t>
      </w:r>
      <w:r w:rsidR="00AD69A7">
        <w:t>effectuer une première évaluation de</w:t>
      </w:r>
      <w:r>
        <w:t xml:space="preserve"> la part des produits sous signe de qualité officiels ou « en démarche »</w:t>
      </w:r>
      <w:r w:rsidR="00AD69A7">
        <w:t xml:space="preserve"> </w:t>
      </w:r>
      <w:r w:rsidR="00BD4A3A">
        <w:t>et sur un plan p</w:t>
      </w:r>
      <w:r w:rsidR="00A636D3">
        <w:t>l</w:t>
      </w:r>
      <w:r w:rsidR="00BD4A3A">
        <w:t>us qualitatif</w:t>
      </w:r>
      <w:r w:rsidR="00BD4A3A">
        <w:rPr>
          <w:bCs/>
        </w:rPr>
        <w:t xml:space="preserve"> </w:t>
      </w:r>
      <w:r>
        <w:rPr>
          <w:bCs/>
        </w:rPr>
        <w:t>d’</w:t>
      </w:r>
      <w:r w:rsidR="00303B90" w:rsidRPr="00374296">
        <w:rPr>
          <w:bCs/>
        </w:rPr>
        <w:t xml:space="preserve">observer les pratiques des établissements </w:t>
      </w:r>
      <w:r w:rsidR="00303B90">
        <w:rPr>
          <w:bCs/>
        </w:rPr>
        <w:t xml:space="preserve">en termes de </w:t>
      </w:r>
      <w:r w:rsidR="00303B90" w:rsidRPr="00374296">
        <w:rPr>
          <w:bCs/>
        </w:rPr>
        <w:t xml:space="preserve">prévalence des produits dans les menus et </w:t>
      </w:r>
      <w:r w:rsidR="00303B90">
        <w:rPr>
          <w:bCs/>
        </w:rPr>
        <w:t xml:space="preserve">de </w:t>
      </w:r>
      <w:r w:rsidR="00303B90" w:rsidRPr="00374296">
        <w:rPr>
          <w:bCs/>
        </w:rPr>
        <w:t>quantités mises en œuvre.</w:t>
      </w:r>
    </w:p>
    <w:p w14:paraId="1205E02F" w14:textId="716D108B" w:rsidR="00F12F95" w:rsidRDefault="00C85167" w:rsidP="00303B90">
      <w:pPr>
        <w:rPr>
          <w:bCs/>
        </w:rPr>
      </w:pPr>
      <w:r>
        <w:rPr>
          <w:bCs/>
        </w:rPr>
        <w:t>Plus généralement, il s’agit dans un contexte de transition alimentaire, de</w:t>
      </w:r>
      <w:r w:rsidR="00AD69A7">
        <w:rPr>
          <w:bCs/>
        </w:rPr>
        <w:t xml:space="preserve"> disposer d’une première photographie</w:t>
      </w:r>
      <w:r>
        <w:rPr>
          <w:bCs/>
        </w:rPr>
        <w:t xml:space="preserve"> </w:t>
      </w:r>
      <w:r w:rsidR="00303B90" w:rsidRPr="00374296">
        <w:rPr>
          <w:bCs/>
        </w:rPr>
        <w:t xml:space="preserve">de </w:t>
      </w:r>
      <w:r w:rsidR="00AD69A7">
        <w:rPr>
          <w:bCs/>
        </w:rPr>
        <w:t xml:space="preserve">la </w:t>
      </w:r>
      <w:r w:rsidR="00303B90" w:rsidRPr="00374296">
        <w:rPr>
          <w:bCs/>
        </w:rPr>
        <w:t xml:space="preserve">consommation </w:t>
      </w:r>
      <w:r>
        <w:rPr>
          <w:bCs/>
        </w:rPr>
        <w:t xml:space="preserve">tant sur le périmètre de la viande </w:t>
      </w:r>
      <w:r w:rsidR="00AD69A7">
        <w:rPr>
          <w:bCs/>
        </w:rPr>
        <w:t xml:space="preserve">de porc </w:t>
      </w:r>
      <w:r>
        <w:rPr>
          <w:bCs/>
        </w:rPr>
        <w:t xml:space="preserve">que sur celui des charcuteries </w:t>
      </w:r>
      <w:r w:rsidR="003A4F5E">
        <w:rPr>
          <w:bCs/>
        </w:rPr>
        <w:t xml:space="preserve">En effet, la </w:t>
      </w:r>
      <w:r w:rsidR="003A4F5E" w:rsidRPr="00374296">
        <w:rPr>
          <w:bCs/>
        </w:rPr>
        <w:t xml:space="preserve">restauration collective </w:t>
      </w:r>
      <w:r w:rsidR="003A4F5E">
        <w:rPr>
          <w:bCs/>
        </w:rPr>
        <w:t xml:space="preserve">en particulier au travers des segments de l’enseignement et du travail, constitue un réel </w:t>
      </w:r>
      <w:r w:rsidR="003A4F5E" w:rsidRPr="00374296">
        <w:rPr>
          <w:bCs/>
        </w:rPr>
        <w:t>laboratoire</w:t>
      </w:r>
      <w:r w:rsidR="003A4F5E">
        <w:rPr>
          <w:bCs/>
        </w:rPr>
        <w:t xml:space="preserve"> d’étude</w:t>
      </w:r>
      <w:r w:rsidR="003A4F5E" w:rsidRPr="00374296">
        <w:rPr>
          <w:bCs/>
        </w:rPr>
        <w:t xml:space="preserve"> qui préfigure aux évolutions de l’ensemble des marchés </w:t>
      </w:r>
      <w:r w:rsidR="003A4F5E">
        <w:rPr>
          <w:bCs/>
        </w:rPr>
        <w:t xml:space="preserve">et ce </w:t>
      </w:r>
      <w:r w:rsidR="003A4F5E" w:rsidRPr="00374296">
        <w:rPr>
          <w:bCs/>
        </w:rPr>
        <w:t>dans un contexte de</w:t>
      </w:r>
      <w:r w:rsidR="003A4F5E">
        <w:rPr>
          <w:bCs/>
        </w:rPr>
        <w:t xml:space="preserve"> mise en place de la Loi Egalim (</w:t>
      </w:r>
      <w:r w:rsidR="003A4F5E" w:rsidRPr="00AF6620">
        <w:rPr>
          <w:bCs/>
        </w:rPr>
        <w:t>Annexe 11).</w:t>
      </w:r>
    </w:p>
    <w:p w14:paraId="566AE403" w14:textId="7900A039" w:rsidR="00A33E8A" w:rsidRPr="00374296" w:rsidRDefault="00A33E8A" w:rsidP="00955860">
      <w:pPr>
        <w:pStyle w:val="Titre3"/>
        <w:numPr>
          <w:ilvl w:val="2"/>
          <w:numId w:val="9"/>
        </w:numPr>
      </w:pPr>
      <w:bookmarkStart w:id="315" w:name="_Toc78131661"/>
      <w:r>
        <w:t>Limites</w:t>
      </w:r>
      <w:bookmarkEnd w:id="315"/>
    </w:p>
    <w:p w14:paraId="5C95753D" w14:textId="21B40FB3" w:rsidR="00E205DC" w:rsidRDefault="00700F1F" w:rsidP="00EB14D1">
      <w:r>
        <w:t>C</w:t>
      </w:r>
      <w:r w:rsidR="00130FDB">
        <w:t>ontrairement au segment de la restauration commerciale</w:t>
      </w:r>
      <w:r>
        <w:t>, le secteur de la restauration collective</w:t>
      </w:r>
      <w:r w:rsidR="00130FDB">
        <w:t xml:space="preserve"> est structuré autour d’un nombre d’opérateurs bien identifiés </w:t>
      </w:r>
      <w:r>
        <w:t>et très encadré dans ses approvisionnements alimentaires</w:t>
      </w:r>
      <w:r w:rsidR="00D647B5">
        <w:t>. L</w:t>
      </w:r>
      <w:r w:rsidR="00E205DC">
        <w:t xml:space="preserve">’essentiel des volumes </w:t>
      </w:r>
      <w:r w:rsidR="00123C8A">
        <w:t xml:space="preserve">d’achat </w:t>
      </w:r>
      <w:r w:rsidR="00E205DC">
        <w:t>est régi par</w:t>
      </w:r>
      <w:r>
        <w:t xml:space="preserve"> appel d’offre</w:t>
      </w:r>
      <w:r w:rsidR="00BB6DDA">
        <w:t xml:space="preserve"> ou au travers de marchés en gré à gré d’une durée de 1 à 2 ans.</w:t>
      </w:r>
    </w:p>
    <w:p w14:paraId="24499B8A" w14:textId="79313887" w:rsidR="00EB14D1" w:rsidRDefault="00E205DC" w:rsidP="00EB14D1">
      <w:r>
        <w:t xml:space="preserve">Cependant, </w:t>
      </w:r>
      <w:r w:rsidR="003757AD">
        <w:t xml:space="preserve">quelques limites </w:t>
      </w:r>
      <w:r w:rsidR="003D6CD6">
        <w:t xml:space="preserve">à l’exploitation des données collectées </w:t>
      </w:r>
      <w:r w:rsidR="00536CF2">
        <w:t xml:space="preserve">sont apparues </w:t>
      </w:r>
      <w:r w:rsidR="003D6CD6">
        <w:t xml:space="preserve">au travers des échanges avec les professionnels </w:t>
      </w:r>
      <w:r w:rsidR="0052443B">
        <w:t xml:space="preserve">à plusieurs niveaux </w:t>
      </w:r>
      <w:r w:rsidR="003D6CD6">
        <w:t xml:space="preserve">soient </w:t>
      </w:r>
    </w:p>
    <w:p w14:paraId="50D978CC" w14:textId="77777777" w:rsidR="009F3025" w:rsidRDefault="003D6CD6" w:rsidP="00C447BC">
      <w:pPr>
        <w:spacing w:after="0"/>
      </w:pPr>
      <w:r>
        <w:t xml:space="preserve">a/ </w:t>
      </w:r>
      <w:r w:rsidR="005F2226">
        <w:t>L</w:t>
      </w:r>
      <w:r w:rsidR="009A008E">
        <w:t>’é</w:t>
      </w:r>
      <w:r w:rsidR="00303B90" w:rsidRPr="009775EB">
        <w:t>valuation du nombre de prestations</w:t>
      </w:r>
      <w:r w:rsidR="009A008E">
        <w:t xml:space="preserve"> </w:t>
      </w:r>
    </w:p>
    <w:p w14:paraId="4AB728DC" w14:textId="002087B5" w:rsidR="009F3025" w:rsidRDefault="009F3025" w:rsidP="00A305CD">
      <w:pPr>
        <w:pStyle w:val="Paragraphedeliste"/>
        <w:numPr>
          <w:ilvl w:val="0"/>
          <w:numId w:val="23"/>
        </w:numPr>
      </w:pPr>
      <w:r>
        <w:t xml:space="preserve">En </w:t>
      </w:r>
      <w:r w:rsidR="001E6790">
        <w:t>enseignement secondaire et supérieur</w:t>
      </w:r>
      <w:r w:rsidR="008859E1">
        <w:t xml:space="preserve"> ainsi que</w:t>
      </w:r>
      <w:r w:rsidR="00123C8A">
        <w:t xml:space="preserve"> sur</w:t>
      </w:r>
      <w:r w:rsidR="008859E1">
        <w:t xml:space="preserve"> le</w:t>
      </w:r>
      <w:r>
        <w:t xml:space="preserve"> segment du</w:t>
      </w:r>
      <w:r w:rsidR="008859E1">
        <w:t xml:space="preserve"> travail</w:t>
      </w:r>
      <w:r w:rsidR="00C32348">
        <w:t xml:space="preserve"> (28</w:t>
      </w:r>
      <w:r w:rsidR="00AD69A7">
        <w:t> </w:t>
      </w:r>
      <w:r w:rsidR="00C32348">
        <w:t xml:space="preserve">% du total des prestations de restauration collective </w:t>
      </w:r>
      <w:r w:rsidR="00D647B5">
        <w:t xml:space="preserve">en 2018 </w:t>
      </w:r>
      <w:r w:rsidR="00C32348">
        <w:t>selon Gira Food Service)</w:t>
      </w:r>
      <w:r w:rsidR="008859E1">
        <w:t xml:space="preserve"> peut être faussé compte tenu </w:t>
      </w:r>
      <w:r w:rsidR="00924E02">
        <w:t xml:space="preserve">la fragmentation de la </w:t>
      </w:r>
      <w:r w:rsidR="00595686">
        <w:t xml:space="preserve">prise de repas tout au long de la journée </w:t>
      </w:r>
      <w:r w:rsidR="00D647B5">
        <w:t xml:space="preserve">sous la forme d’en cas </w:t>
      </w:r>
      <w:r w:rsidR="00595686">
        <w:t xml:space="preserve">(jusqu’à 7 </w:t>
      </w:r>
      <w:r w:rsidR="00D647B5">
        <w:t xml:space="preserve">prises de repas </w:t>
      </w:r>
      <w:r w:rsidR="00595686">
        <w:t>par jour chez les étudiants</w:t>
      </w:r>
      <w:r w:rsidR="00EE28FB">
        <w:t xml:space="preserve"> selon NPD Crest</w:t>
      </w:r>
      <w:r w:rsidR="00595686">
        <w:t>)</w:t>
      </w:r>
      <w:r w:rsidR="00D647B5">
        <w:t>,</w:t>
      </w:r>
    </w:p>
    <w:p w14:paraId="1EA726BC" w14:textId="263E74D6" w:rsidR="00D11947" w:rsidRDefault="00C57045" w:rsidP="00D647B5">
      <w:pPr>
        <w:pStyle w:val="Paragraphedeliste"/>
        <w:numPr>
          <w:ilvl w:val="0"/>
          <w:numId w:val="23"/>
        </w:numPr>
      </w:pPr>
      <w:r>
        <w:t xml:space="preserve">Plus largement, </w:t>
      </w:r>
      <w:r w:rsidR="00E72B90">
        <w:t xml:space="preserve">alors que </w:t>
      </w:r>
      <w:r w:rsidR="00212CD3">
        <w:t xml:space="preserve">la restauration collective est considérée comme captive dans son ensemble, </w:t>
      </w:r>
      <w:r>
        <w:t xml:space="preserve">certains segments font </w:t>
      </w:r>
      <w:r w:rsidR="00E72B90">
        <w:t>face à</w:t>
      </w:r>
      <w:r w:rsidR="00212CD3">
        <w:t xml:space="preserve"> une évasion croissante des convives </w:t>
      </w:r>
      <w:r w:rsidR="00C06931">
        <w:t xml:space="preserve">à la faveur du développement progressif de la restauration </w:t>
      </w:r>
      <w:r w:rsidR="00942569">
        <w:t xml:space="preserve">rapide ou </w:t>
      </w:r>
      <w:r w:rsidR="00C06931">
        <w:t>snacking</w:t>
      </w:r>
      <w:r w:rsidR="00942569">
        <w:t>.</w:t>
      </w:r>
      <w:r w:rsidR="00D647B5">
        <w:t xml:space="preserve"> En restauration </w:t>
      </w:r>
      <w:r w:rsidR="00D647B5">
        <w:lastRenderedPageBreak/>
        <w:t>scolaire, l</w:t>
      </w:r>
      <w:r w:rsidR="00942569">
        <w:t xml:space="preserve">’observation des comportements montre que cette tendance affecte les scolaires à un </w:t>
      </w:r>
      <w:r w:rsidR="000B091F">
        <w:t>âge de plus en plus bas</w:t>
      </w:r>
      <w:r w:rsidR="00D647B5">
        <w:t>,</w:t>
      </w:r>
    </w:p>
    <w:p w14:paraId="2CC938FD" w14:textId="212A1B49" w:rsidR="00082E73" w:rsidRDefault="00082E73" w:rsidP="00955860">
      <w:pPr>
        <w:pStyle w:val="Paragraphedeliste"/>
        <w:numPr>
          <w:ilvl w:val="0"/>
          <w:numId w:val="23"/>
        </w:numPr>
        <w:spacing w:after="120"/>
        <w:ind w:left="714" w:hanging="357"/>
      </w:pPr>
      <w:r>
        <w:t>De même dans le domaine de la santé</w:t>
      </w:r>
      <w:r w:rsidR="00D11947">
        <w:t>, le taux d’occupation des lits n’est pas une donnée accessible, les extrapolations ont par conséquent été réalisées sur la base d</w:t>
      </w:r>
      <w:r w:rsidR="00D647B5">
        <w:t>u nombre de lits total</w:t>
      </w:r>
      <w:r w:rsidR="00D11947">
        <w:t>.</w:t>
      </w:r>
    </w:p>
    <w:p w14:paraId="43514B2E" w14:textId="7861D137" w:rsidR="000F11D2" w:rsidRDefault="00433E60" w:rsidP="000F11D2">
      <w:pPr>
        <w:spacing w:after="0"/>
      </w:pPr>
      <w:r>
        <w:t>b</w:t>
      </w:r>
      <w:r w:rsidR="00AB1DBF">
        <w:t xml:space="preserve">/ </w:t>
      </w:r>
      <w:r w:rsidR="00A365EE">
        <w:t>De manière similaire</w:t>
      </w:r>
      <w:r w:rsidR="000B091F">
        <w:t xml:space="preserve"> aux observations conduites sur le marché de la consommation à domicile</w:t>
      </w:r>
      <w:r w:rsidR="00A365EE">
        <w:t xml:space="preserve">, les volumes collectés auprès des centrales d’achat ou de référencement </w:t>
      </w:r>
      <w:r w:rsidR="00512D1E">
        <w:t xml:space="preserve">et </w:t>
      </w:r>
      <w:r w:rsidR="00D647B5">
        <w:t xml:space="preserve">des </w:t>
      </w:r>
      <w:r w:rsidR="00512D1E">
        <w:t xml:space="preserve">sociétés de restauration collective </w:t>
      </w:r>
      <w:r w:rsidR="00A365EE">
        <w:t>ne couvre</w:t>
      </w:r>
      <w:r w:rsidR="000B091F">
        <w:t>nt</w:t>
      </w:r>
      <w:r w:rsidR="00A365EE">
        <w:t xml:space="preserve"> pas la part de volumes d’achat effectué en direct après </w:t>
      </w:r>
      <w:r w:rsidR="00E9428C">
        <w:t>des établissements</w:t>
      </w:r>
      <w:r w:rsidR="00D608B7">
        <w:t>. Plusieurs acteurs sont concern</w:t>
      </w:r>
      <w:r w:rsidR="005A25A4">
        <w:t>és par la vente en direct auprès des établissements de la restauration collective (maison de retraite, cantine scolaire…)</w:t>
      </w:r>
      <w:r w:rsidR="00E9428C">
        <w:t xml:space="preserve"> </w:t>
      </w:r>
      <w:r w:rsidR="005A25A4">
        <w:t>soient</w:t>
      </w:r>
      <w:r w:rsidR="006550CA">
        <w:t xml:space="preserve"> : </w:t>
      </w:r>
    </w:p>
    <w:p w14:paraId="27D80096" w14:textId="1B6A28F0" w:rsidR="00D70910" w:rsidRDefault="00D70910" w:rsidP="00A305CD">
      <w:pPr>
        <w:pStyle w:val="Paragraphedeliste"/>
        <w:numPr>
          <w:ilvl w:val="0"/>
          <w:numId w:val="23"/>
        </w:numPr>
      </w:pPr>
      <w:r>
        <w:t>Les abatteurs découpeurs régionaux au travers de viande</w:t>
      </w:r>
      <w:r w:rsidR="00BC762E">
        <w:t>s</w:t>
      </w:r>
      <w:r>
        <w:t xml:space="preserve"> </w:t>
      </w:r>
      <w:r w:rsidR="005D5A2F">
        <w:t>pièces</w:t>
      </w:r>
      <w:r w:rsidR="00A20C24">
        <w:t>, d’élaborés de viande (émincés, sauté d’épaule) et de saucisserie qu</w:t>
      </w:r>
      <w:r w:rsidR="00BC762E">
        <w:t xml:space="preserve">i </w:t>
      </w:r>
      <w:r w:rsidR="00A20C24">
        <w:t xml:space="preserve">voient dans la restauration collective un circuit d’écoulement matière </w:t>
      </w:r>
      <w:r w:rsidR="005938BC">
        <w:t>permettant de compenser le déséquilibre matière des marchés des grandes surfaces alimentaires</w:t>
      </w:r>
      <w:r w:rsidR="000F11D2">
        <w:t>. En</w:t>
      </w:r>
      <w:r w:rsidR="00507A19">
        <w:t xml:space="preserve"> conséquence</w:t>
      </w:r>
      <w:r w:rsidR="000F11D2">
        <w:t>,</w:t>
      </w:r>
      <w:r w:rsidR="00D110E3">
        <w:t xml:space="preserve"> et au</w:t>
      </w:r>
      <w:r w:rsidR="00C86A00">
        <w:t>-delà de quelques spécialistes du marché de la restauration hors domicile,</w:t>
      </w:r>
      <w:r w:rsidR="000F11D2">
        <w:t xml:space="preserve"> la </w:t>
      </w:r>
      <w:r w:rsidR="003D36AE">
        <w:t>plupart</w:t>
      </w:r>
      <w:r w:rsidR="000F11D2">
        <w:t xml:space="preserve"> des opérateurs de l’abattage découpe</w:t>
      </w:r>
      <w:r w:rsidR="00507A19">
        <w:t xml:space="preserve"> </w:t>
      </w:r>
      <w:r w:rsidR="00A82C95">
        <w:t>effectuent une part de leur chiffre d’affaires sur ce marché</w:t>
      </w:r>
      <w:r w:rsidR="00DF66C6">
        <w:t>.</w:t>
      </w:r>
      <w:r w:rsidR="00A82C95">
        <w:t xml:space="preserve"> </w:t>
      </w:r>
    </w:p>
    <w:p w14:paraId="4DEC2470" w14:textId="4DA129EB" w:rsidR="00320C40" w:rsidRDefault="006550CA" w:rsidP="00A305CD">
      <w:pPr>
        <w:pStyle w:val="Paragraphedeliste"/>
        <w:numPr>
          <w:ilvl w:val="0"/>
          <w:numId w:val="23"/>
        </w:numPr>
      </w:pPr>
      <w:r>
        <w:t>L</w:t>
      </w:r>
      <w:r w:rsidR="00E9428C">
        <w:t>es transformateurs</w:t>
      </w:r>
      <w:r w:rsidR="000B091F">
        <w:t xml:space="preserve"> en charcuterie</w:t>
      </w:r>
      <w:r w:rsidR="00BE3E06">
        <w:t xml:space="preserve"> </w:t>
      </w:r>
      <w:r w:rsidR="000B091F">
        <w:t>salaison</w:t>
      </w:r>
      <w:r w:rsidR="003862E9">
        <w:t xml:space="preserve"> qui s’affranchissent des conditions tarifaires restrictives liés aux appels d’offre</w:t>
      </w:r>
      <w:r w:rsidR="00765F20">
        <w:t xml:space="preserve"> ou aux marchés </w:t>
      </w:r>
      <w:r w:rsidR="00DF66C6">
        <w:t>contractés en gré à gré</w:t>
      </w:r>
      <w:r w:rsidR="00512D1E">
        <w:t>,</w:t>
      </w:r>
    </w:p>
    <w:p w14:paraId="4DBFFF7B" w14:textId="05987ACB" w:rsidR="00D70910" w:rsidRDefault="006550CA" w:rsidP="00A305CD">
      <w:pPr>
        <w:pStyle w:val="Paragraphedeliste"/>
        <w:numPr>
          <w:ilvl w:val="0"/>
          <w:numId w:val="23"/>
        </w:numPr>
        <w:spacing w:after="120"/>
        <w:ind w:left="714" w:hanging="357"/>
      </w:pPr>
      <w:r>
        <w:t>L</w:t>
      </w:r>
      <w:r w:rsidR="007F0A79">
        <w:t xml:space="preserve">es artisans bouchers charcutiers traiteurs </w:t>
      </w:r>
      <w:r w:rsidR="00626757">
        <w:t xml:space="preserve">pour lesquels, la restauration collective offre un débouché supplémentaire </w:t>
      </w:r>
      <w:r w:rsidR="000C7DC8">
        <w:t>permettant d’asseoir leurs coûts de fonctionnement.</w:t>
      </w:r>
    </w:p>
    <w:p w14:paraId="517A4DF8" w14:textId="42D1CA90" w:rsidR="006117E1" w:rsidRDefault="00004541" w:rsidP="00303B90">
      <w:r>
        <w:t xml:space="preserve">Contrairement </w:t>
      </w:r>
      <w:r w:rsidR="00E55336">
        <w:t xml:space="preserve">au marché des grandes surfaces alimentaires, </w:t>
      </w:r>
      <w:r w:rsidR="00E9428C">
        <w:t>la part du direct n’a pu être estimée</w:t>
      </w:r>
      <w:r w:rsidR="00946254">
        <w:t xml:space="preserve"> par typologie de produits</w:t>
      </w:r>
      <w:r w:rsidR="00E9428C">
        <w:t>.</w:t>
      </w:r>
      <w:r w:rsidR="00946254">
        <w:t xml:space="preserve"> E</w:t>
      </w:r>
      <w:r w:rsidR="006550CA">
        <w:t>n charcuterie, elle</w:t>
      </w:r>
      <w:r w:rsidR="00946254">
        <w:t xml:space="preserve"> </w:t>
      </w:r>
      <w:r w:rsidR="00B247A8">
        <w:t xml:space="preserve">représenterait </w:t>
      </w:r>
      <w:r w:rsidR="005C68CF">
        <w:t>10 à 15</w:t>
      </w:r>
      <w:r w:rsidR="00D647B5">
        <w:t> </w:t>
      </w:r>
      <w:r w:rsidR="005C68CF">
        <w:t xml:space="preserve">% </w:t>
      </w:r>
      <w:r w:rsidR="00946254">
        <w:t>des volumes d’achat du marché.</w:t>
      </w:r>
      <w:r w:rsidR="000915B2">
        <w:t xml:space="preserve"> De même les approvisionnements </w:t>
      </w:r>
      <w:r w:rsidR="000E023A">
        <w:t xml:space="preserve">des acteurs de la restauration collective </w:t>
      </w:r>
      <w:r w:rsidR="000915B2">
        <w:t xml:space="preserve">auprès des cash </w:t>
      </w:r>
      <w:r w:rsidR="006117E1">
        <w:t>&amp; carry sont marginaux</w:t>
      </w:r>
      <w:r w:rsidR="00680FE8">
        <w:t xml:space="preserve"> (soit inférieurs à 2</w:t>
      </w:r>
      <w:r w:rsidR="00D647B5">
        <w:t> </w:t>
      </w:r>
      <w:r w:rsidR="00680FE8">
        <w:t>%).</w:t>
      </w:r>
    </w:p>
    <w:p w14:paraId="65A16D1A" w14:textId="3F4D734F" w:rsidR="001773DF" w:rsidRDefault="00AD27C1" w:rsidP="00A63F35">
      <w:pPr>
        <w:pStyle w:val="Titre2"/>
        <w:numPr>
          <w:ilvl w:val="1"/>
          <w:numId w:val="28"/>
        </w:numPr>
      </w:pPr>
      <w:bookmarkStart w:id="316" w:name="_Toc78131662"/>
      <w:r>
        <w:t>Résultats</w:t>
      </w:r>
      <w:bookmarkEnd w:id="316"/>
    </w:p>
    <w:p w14:paraId="667F61B4" w14:textId="79AED790" w:rsidR="00C253F0" w:rsidRDefault="00DA2892" w:rsidP="00A305CD">
      <w:pPr>
        <w:pStyle w:val="Titre3"/>
        <w:numPr>
          <w:ilvl w:val="2"/>
          <w:numId w:val="28"/>
        </w:numPr>
      </w:pPr>
      <w:bookmarkStart w:id="317" w:name="_Toc78131663"/>
      <w:r>
        <w:t>Quantification des</w:t>
      </w:r>
      <w:r w:rsidR="003E153E">
        <w:t xml:space="preserve"> </w:t>
      </w:r>
      <w:r>
        <w:t>segments</w:t>
      </w:r>
      <w:r w:rsidR="003E153E">
        <w:t xml:space="preserve"> de la restauration collective</w:t>
      </w:r>
      <w:r>
        <w:t> :</w:t>
      </w:r>
      <w:bookmarkEnd w:id="317"/>
      <w:r>
        <w:t xml:space="preserve"> </w:t>
      </w:r>
    </w:p>
    <w:p w14:paraId="4E953349" w14:textId="63C8EE2D" w:rsidR="00A908A8" w:rsidRDefault="00800470" w:rsidP="00A9526C">
      <w:r w:rsidRPr="00806829">
        <w:t>L</w:t>
      </w:r>
      <w:r w:rsidR="00DA2892">
        <w:t>a</w:t>
      </w:r>
      <w:r w:rsidR="00FF1FE7" w:rsidRPr="00806829">
        <w:t xml:space="preserve"> consolidation des </w:t>
      </w:r>
      <w:r w:rsidRPr="00806829">
        <w:t xml:space="preserve">données de l’ensemble du marché </w:t>
      </w:r>
      <w:r w:rsidR="00DA2892">
        <w:t xml:space="preserve">de la restauration collective a été établie à partir du croisement entre les volumes d’achats des opérateurs et la part de marché des différents segments </w:t>
      </w:r>
      <w:r w:rsidR="00A908A8">
        <w:t xml:space="preserve">tel qu’établie par Gira Food Service </w:t>
      </w:r>
      <w:r w:rsidR="00DA2892">
        <w:t>et donne</w:t>
      </w:r>
      <w:r w:rsidR="00371FC7">
        <w:t>rait</w:t>
      </w:r>
      <w:r w:rsidR="00DA2892">
        <w:t xml:space="preserve"> </w:t>
      </w:r>
      <w:r w:rsidRPr="00806829">
        <w:t xml:space="preserve">un total de </w:t>
      </w:r>
      <w:r w:rsidR="00703C34">
        <w:t>102</w:t>
      </w:r>
      <w:r w:rsidR="00371FC7">
        <w:t> </w:t>
      </w:r>
      <w:r w:rsidRPr="00806829">
        <w:t>kt</w:t>
      </w:r>
      <w:r w:rsidR="004E43DB">
        <w:t xml:space="preserve"> </w:t>
      </w:r>
      <w:r w:rsidR="00680FE8">
        <w:t xml:space="preserve">en </w:t>
      </w:r>
      <w:r w:rsidR="00DA2892">
        <w:t xml:space="preserve">produits du porc </w:t>
      </w:r>
      <w:r w:rsidR="004E43DB">
        <w:t>soit environ 6</w:t>
      </w:r>
      <w:r w:rsidR="00371FC7">
        <w:t> </w:t>
      </w:r>
      <w:r w:rsidR="004E43DB">
        <w:t>% du disponible à la consommation</w:t>
      </w:r>
      <w:r w:rsidR="008E537D">
        <w:t xml:space="preserve"> </w:t>
      </w:r>
      <w:r w:rsidR="00680FE8">
        <w:t>humaine</w:t>
      </w:r>
      <w:r w:rsidR="00DA2892">
        <w:t xml:space="preserve">. La ventilation entre charcuterie salaison, viande de porc et saucisserie </w:t>
      </w:r>
      <w:r w:rsidR="00371FC7">
        <w:t>serai</w:t>
      </w:r>
      <w:r w:rsidR="00DA2892">
        <w:t>t de 55</w:t>
      </w:r>
      <w:r w:rsidR="00371FC7">
        <w:t> </w:t>
      </w:r>
      <w:r w:rsidR="00DA2892">
        <w:t>%, 39</w:t>
      </w:r>
      <w:r w:rsidR="00371FC7">
        <w:t> </w:t>
      </w:r>
      <w:r w:rsidR="00DA2892">
        <w:t>% et 6</w:t>
      </w:r>
      <w:r w:rsidR="00371FC7">
        <w:t> </w:t>
      </w:r>
      <w:r w:rsidR="00DA2892">
        <w:t>%</w:t>
      </w:r>
      <w:r w:rsidR="00A908A8">
        <w:t xml:space="preserve"> (</w:t>
      </w:r>
      <w:r w:rsidR="00A908A8" w:rsidRPr="00A908A8">
        <w:fldChar w:fldCharType="begin"/>
      </w:r>
      <w:r w:rsidR="00A908A8" w:rsidRPr="00A908A8">
        <w:instrText xml:space="preserve"> REF _Ref70245158 \h  \* MERGEFORMAT </w:instrText>
      </w:r>
      <w:r w:rsidR="00A908A8" w:rsidRPr="00A908A8">
        <w:fldChar w:fldCharType="separate"/>
      </w:r>
      <w:r w:rsidR="0007597F" w:rsidRPr="0007597F">
        <w:t xml:space="preserve">Tableau </w:t>
      </w:r>
      <w:r w:rsidR="0007597F" w:rsidRPr="0002537E">
        <w:rPr>
          <w:noProof/>
        </w:rPr>
        <w:t>68</w:t>
      </w:r>
      <w:r w:rsidR="00A908A8" w:rsidRPr="00A908A8">
        <w:fldChar w:fldCharType="end"/>
      </w:r>
      <w:r w:rsidR="00A908A8" w:rsidRPr="00A908A8">
        <w:t>)</w:t>
      </w:r>
      <w:r w:rsidR="00371FC7">
        <w:t>.</w:t>
      </w:r>
      <w:r w:rsidR="00A908A8" w:rsidRPr="00A908A8">
        <w:t xml:space="preserve"> </w:t>
      </w:r>
      <w:r w:rsidR="00A908A8">
        <w:t>Comparativement à la répartition des volumes en consommation à domicile, la viande de porc occupe en restauration collective une position plus importante (</w:t>
      </w:r>
      <w:r w:rsidR="00AD69A7">
        <w:t xml:space="preserve">évaluée à </w:t>
      </w:r>
      <w:r w:rsidR="00A908A8">
        <w:t>+6 points).</w:t>
      </w:r>
    </w:p>
    <w:p w14:paraId="78A07515" w14:textId="600F2C9E" w:rsidR="00A908A8" w:rsidRDefault="00A908A8" w:rsidP="00A9526C">
      <w:r>
        <w:t xml:space="preserve">La charcuterie salaison dans la structure des menus en restauration collective s’inscrit le plus souvent comme entrée. Par ailleurs, elle a également </w:t>
      </w:r>
      <w:r w:rsidR="00371FC7">
        <w:t xml:space="preserve">en ce qui concerne certains produits, </w:t>
      </w:r>
      <w:r>
        <w:t>une</w:t>
      </w:r>
      <w:r w:rsidR="00371FC7">
        <w:t xml:space="preserve"> destination en</w:t>
      </w:r>
      <w:r>
        <w:t xml:space="preserve"> consommation de type snacking compte tenu de la part d’auto-fabrication des établissements notamment sur les segments du travail et de l’enseignement.</w:t>
      </w:r>
    </w:p>
    <w:p w14:paraId="3868421F" w14:textId="7FE66236" w:rsidR="00FD0CA3" w:rsidRDefault="00A908A8" w:rsidP="00A9526C">
      <w:r>
        <w:t xml:space="preserve">A noter, la part des produits traiteurs industriels présents en restauration collective est très mineure avec une estimation de </w:t>
      </w:r>
      <w:r w:rsidRPr="00DA2892">
        <w:t>5 à 6</w:t>
      </w:r>
      <w:r w:rsidR="009B03C0">
        <w:t> </w:t>
      </w:r>
      <w:r w:rsidRPr="00DA2892">
        <w:t>kt (+/-30</w:t>
      </w:r>
      <w:r w:rsidR="009B03C0">
        <w:t> </w:t>
      </w:r>
      <w:r w:rsidRPr="00DA2892">
        <w:t>%) tous circuits</w:t>
      </w:r>
      <w:r>
        <w:t xml:space="preserve"> et constitue une offre complémentaire à l’attention des convives. Il s’agit majoritairement de croque-monsieur et de quiches.</w:t>
      </w:r>
    </w:p>
    <w:p w14:paraId="0B4FC392" w14:textId="0E0E6F0A" w:rsidR="00371FC7" w:rsidRDefault="00371FC7" w:rsidP="00A9526C"/>
    <w:p w14:paraId="5AC6928C" w14:textId="0EF0DC61" w:rsidR="00371FC7" w:rsidRDefault="00371FC7" w:rsidP="00A9526C"/>
    <w:p w14:paraId="49432EB5" w14:textId="3163BBCF" w:rsidR="00371FC7" w:rsidRDefault="00371FC7" w:rsidP="00A9526C"/>
    <w:p w14:paraId="222D7A9F" w14:textId="77777777" w:rsidR="00371FC7" w:rsidRDefault="00371FC7" w:rsidP="00A9526C"/>
    <w:tbl>
      <w:tblPr>
        <w:tblW w:w="7740" w:type="dxa"/>
        <w:jc w:val="center"/>
        <w:tblCellMar>
          <w:left w:w="70" w:type="dxa"/>
          <w:right w:w="70" w:type="dxa"/>
        </w:tblCellMar>
        <w:tblLook w:val="04A0" w:firstRow="1" w:lastRow="0" w:firstColumn="1" w:lastColumn="0" w:noHBand="0" w:noVBand="1"/>
      </w:tblPr>
      <w:tblGrid>
        <w:gridCol w:w="1480"/>
        <w:gridCol w:w="1380"/>
        <w:gridCol w:w="1388"/>
        <w:gridCol w:w="972"/>
        <w:gridCol w:w="1438"/>
        <w:gridCol w:w="1082"/>
      </w:tblGrid>
      <w:tr w:rsidR="00DA2892" w:rsidRPr="00DA2892" w14:paraId="7FAAB4B8" w14:textId="77777777" w:rsidTr="00DA2892">
        <w:trPr>
          <w:trHeight w:val="300"/>
          <w:jc w:val="center"/>
        </w:trPr>
        <w:tc>
          <w:tcPr>
            <w:tcW w:w="1480"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786809E9" w14:textId="7CF2FD5E" w:rsidR="00DA2892" w:rsidRPr="00DA2892" w:rsidRDefault="00DA2892" w:rsidP="00DA2892">
            <w:pPr>
              <w:spacing w:after="0" w:line="240" w:lineRule="auto"/>
              <w:jc w:val="center"/>
              <w:rPr>
                <w:rFonts w:eastAsia="Times New Roman" w:cs="Arial"/>
                <w:color w:val="000000" w:themeColor="text1"/>
                <w:sz w:val="20"/>
                <w:szCs w:val="20"/>
                <w:lang w:eastAsia="fr-FR"/>
              </w:rPr>
            </w:pPr>
          </w:p>
        </w:tc>
        <w:tc>
          <w:tcPr>
            <w:tcW w:w="1380" w:type="dxa"/>
            <w:tcBorders>
              <w:top w:val="single" w:sz="4" w:space="0" w:color="auto"/>
              <w:left w:val="nil"/>
              <w:bottom w:val="single" w:sz="4" w:space="0" w:color="auto"/>
              <w:right w:val="single" w:sz="4" w:space="0" w:color="auto"/>
            </w:tcBorders>
            <w:shd w:val="clear" w:color="000000" w:fill="D9D9D9"/>
            <w:noWrap/>
            <w:vAlign w:val="bottom"/>
            <w:hideMark/>
          </w:tcPr>
          <w:p w14:paraId="4A51177F" w14:textId="3B28D87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Total produits</w:t>
            </w:r>
          </w:p>
        </w:tc>
        <w:tc>
          <w:tcPr>
            <w:tcW w:w="2360" w:type="dxa"/>
            <w:gridSpan w:val="2"/>
            <w:tcBorders>
              <w:top w:val="single" w:sz="4" w:space="0" w:color="auto"/>
              <w:left w:val="nil"/>
              <w:bottom w:val="single" w:sz="4" w:space="0" w:color="auto"/>
              <w:right w:val="single" w:sz="4" w:space="0" w:color="auto"/>
            </w:tcBorders>
            <w:shd w:val="clear" w:color="000000" w:fill="D9D9D9"/>
            <w:noWrap/>
            <w:vAlign w:val="bottom"/>
            <w:hideMark/>
          </w:tcPr>
          <w:p w14:paraId="23FF33B0" w14:textId="1433E7C0"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Charcuterie salaison</w:t>
            </w:r>
            <w:r>
              <w:rPr>
                <w:rFonts w:eastAsia="Times New Roman" w:cs="Arial"/>
                <w:color w:val="000000" w:themeColor="text1"/>
                <w:sz w:val="20"/>
                <w:szCs w:val="20"/>
                <w:lang w:eastAsia="fr-FR"/>
              </w:rPr>
              <w:t xml:space="preserve"> (*)</w:t>
            </w:r>
          </w:p>
        </w:tc>
        <w:tc>
          <w:tcPr>
            <w:tcW w:w="2520" w:type="dxa"/>
            <w:gridSpan w:val="2"/>
            <w:tcBorders>
              <w:top w:val="single" w:sz="4" w:space="0" w:color="auto"/>
              <w:left w:val="nil"/>
              <w:bottom w:val="single" w:sz="4" w:space="0" w:color="auto"/>
              <w:right w:val="single" w:sz="4" w:space="0" w:color="auto"/>
            </w:tcBorders>
            <w:shd w:val="clear" w:color="000000" w:fill="D9D9D9"/>
            <w:noWrap/>
            <w:vAlign w:val="bottom"/>
            <w:hideMark/>
          </w:tcPr>
          <w:p w14:paraId="106EA488" w14:textId="69581378"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Viande de porc</w:t>
            </w:r>
          </w:p>
        </w:tc>
      </w:tr>
      <w:tr w:rsidR="00DA2892" w:rsidRPr="00DA2892" w14:paraId="6200E9AF" w14:textId="77777777" w:rsidTr="00DA2892">
        <w:trPr>
          <w:trHeight w:val="242"/>
          <w:jc w:val="center"/>
        </w:trPr>
        <w:tc>
          <w:tcPr>
            <w:tcW w:w="1480" w:type="dxa"/>
            <w:tcBorders>
              <w:top w:val="nil"/>
              <w:left w:val="single" w:sz="4" w:space="0" w:color="auto"/>
              <w:bottom w:val="single" w:sz="4" w:space="0" w:color="auto"/>
              <w:right w:val="single" w:sz="4" w:space="0" w:color="auto"/>
            </w:tcBorders>
            <w:shd w:val="clear" w:color="000000" w:fill="D9D9D9"/>
            <w:noWrap/>
            <w:vAlign w:val="bottom"/>
            <w:hideMark/>
          </w:tcPr>
          <w:p w14:paraId="52E3E357" w14:textId="72EFCF89" w:rsidR="00DA2892" w:rsidRPr="00DA2892" w:rsidRDefault="00DA2892" w:rsidP="00DA2892">
            <w:pPr>
              <w:spacing w:after="0" w:line="240" w:lineRule="auto"/>
              <w:jc w:val="center"/>
              <w:rPr>
                <w:rFonts w:eastAsia="Times New Roman" w:cs="Arial"/>
                <w:color w:val="000000" w:themeColor="text1"/>
                <w:sz w:val="20"/>
                <w:szCs w:val="20"/>
                <w:lang w:eastAsia="fr-FR"/>
              </w:rPr>
            </w:pPr>
          </w:p>
        </w:tc>
        <w:tc>
          <w:tcPr>
            <w:tcW w:w="1380" w:type="dxa"/>
            <w:tcBorders>
              <w:top w:val="nil"/>
              <w:left w:val="nil"/>
              <w:bottom w:val="single" w:sz="4" w:space="0" w:color="auto"/>
              <w:right w:val="single" w:sz="4" w:space="0" w:color="auto"/>
            </w:tcBorders>
            <w:shd w:val="clear" w:color="000000" w:fill="D9D9D9"/>
            <w:noWrap/>
            <w:vAlign w:val="bottom"/>
            <w:hideMark/>
          </w:tcPr>
          <w:p w14:paraId="0B955B0C" w14:textId="74F9BF04" w:rsidR="00DA2892" w:rsidRPr="00DA2892" w:rsidRDefault="00DA2892" w:rsidP="00DA2892">
            <w:pPr>
              <w:spacing w:after="0" w:line="240" w:lineRule="auto"/>
              <w:jc w:val="center"/>
              <w:rPr>
                <w:rFonts w:eastAsia="Times New Roman" w:cs="Arial"/>
                <w:color w:val="000000" w:themeColor="text1"/>
                <w:sz w:val="20"/>
                <w:szCs w:val="20"/>
                <w:lang w:eastAsia="fr-FR"/>
              </w:rPr>
            </w:pPr>
          </w:p>
        </w:tc>
        <w:tc>
          <w:tcPr>
            <w:tcW w:w="1388" w:type="dxa"/>
            <w:tcBorders>
              <w:top w:val="nil"/>
              <w:left w:val="nil"/>
              <w:bottom w:val="single" w:sz="4" w:space="0" w:color="auto"/>
              <w:right w:val="single" w:sz="4" w:space="0" w:color="auto"/>
            </w:tcBorders>
            <w:shd w:val="clear" w:color="000000" w:fill="D9D9D9"/>
            <w:noWrap/>
            <w:vAlign w:val="bottom"/>
            <w:hideMark/>
          </w:tcPr>
          <w:p w14:paraId="7BD2980C" w14:textId="3ED0922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en volume</w:t>
            </w:r>
          </w:p>
        </w:tc>
        <w:tc>
          <w:tcPr>
            <w:tcW w:w="972" w:type="dxa"/>
            <w:tcBorders>
              <w:top w:val="nil"/>
              <w:left w:val="nil"/>
              <w:bottom w:val="single" w:sz="4" w:space="0" w:color="auto"/>
              <w:right w:val="single" w:sz="4" w:space="0" w:color="auto"/>
            </w:tcBorders>
            <w:shd w:val="clear" w:color="000000" w:fill="D9D9D9"/>
            <w:noWrap/>
            <w:vAlign w:val="bottom"/>
            <w:hideMark/>
          </w:tcPr>
          <w:p w14:paraId="59200981" w14:textId="25904B01"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en %</w:t>
            </w:r>
          </w:p>
        </w:tc>
        <w:tc>
          <w:tcPr>
            <w:tcW w:w="1438" w:type="dxa"/>
            <w:tcBorders>
              <w:top w:val="nil"/>
              <w:left w:val="nil"/>
              <w:bottom w:val="single" w:sz="4" w:space="0" w:color="auto"/>
              <w:right w:val="single" w:sz="4" w:space="0" w:color="auto"/>
            </w:tcBorders>
            <w:shd w:val="clear" w:color="000000" w:fill="D9D9D9"/>
            <w:noWrap/>
            <w:vAlign w:val="bottom"/>
            <w:hideMark/>
          </w:tcPr>
          <w:p w14:paraId="3D199186" w14:textId="2DC3B852"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en volume</w:t>
            </w:r>
          </w:p>
        </w:tc>
        <w:tc>
          <w:tcPr>
            <w:tcW w:w="1082" w:type="dxa"/>
            <w:tcBorders>
              <w:top w:val="nil"/>
              <w:left w:val="nil"/>
              <w:bottom w:val="single" w:sz="4" w:space="0" w:color="auto"/>
              <w:right w:val="single" w:sz="4" w:space="0" w:color="auto"/>
            </w:tcBorders>
            <w:shd w:val="clear" w:color="000000" w:fill="D9D9D9"/>
            <w:noWrap/>
            <w:vAlign w:val="bottom"/>
            <w:hideMark/>
          </w:tcPr>
          <w:p w14:paraId="18F09E98" w14:textId="4629592F"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en %</w:t>
            </w:r>
          </w:p>
        </w:tc>
      </w:tr>
      <w:tr w:rsidR="00DA2892" w:rsidRPr="00DA2892" w14:paraId="33B298C8"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5811CED1" w14:textId="435BFD8D"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Total marchés</w:t>
            </w:r>
          </w:p>
        </w:tc>
        <w:tc>
          <w:tcPr>
            <w:tcW w:w="1380" w:type="dxa"/>
            <w:tcBorders>
              <w:top w:val="nil"/>
              <w:left w:val="nil"/>
              <w:bottom w:val="single" w:sz="4" w:space="0" w:color="auto"/>
              <w:right w:val="single" w:sz="4" w:space="0" w:color="auto"/>
            </w:tcBorders>
            <w:shd w:val="clear" w:color="auto" w:fill="auto"/>
            <w:noWrap/>
            <w:vAlign w:val="bottom"/>
            <w:hideMark/>
          </w:tcPr>
          <w:p w14:paraId="3E380583" w14:textId="439F6EBA"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102</w:t>
            </w:r>
          </w:p>
        </w:tc>
        <w:tc>
          <w:tcPr>
            <w:tcW w:w="1388" w:type="dxa"/>
            <w:tcBorders>
              <w:top w:val="nil"/>
              <w:left w:val="nil"/>
              <w:bottom w:val="single" w:sz="4" w:space="0" w:color="auto"/>
              <w:right w:val="single" w:sz="4" w:space="0" w:color="auto"/>
            </w:tcBorders>
            <w:shd w:val="clear" w:color="auto" w:fill="auto"/>
            <w:noWrap/>
            <w:vAlign w:val="bottom"/>
            <w:hideMark/>
          </w:tcPr>
          <w:p w14:paraId="0638476A" w14:textId="0E850B1E"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61</w:t>
            </w:r>
          </w:p>
        </w:tc>
        <w:tc>
          <w:tcPr>
            <w:tcW w:w="972" w:type="dxa"/>
            <w:tcBorders>
              <w:top w:val="nil"/>
              <w:left w:val="nil"/>
              <w:bottom w:val="single" w:sz="4" w:space="0" w:color="auto"/>
              <w:right w:val="single" w:sz="4" w:space="0" w:color="auto"/>
            </w:tcBorders>
            <w:shd w:val="clear" w:color="auto" w:fill="auto"/>
            <w:noWrap/>
            <w:vAlign w:val="bottom"/>
            <w:hideMark/>
          </w:tcPr>
          <w:p w14:paraId="3818524C"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60%</w:t>
            </w:r>
          </w:p>
        </w:tc>
        <w:tc>
          <w:tcPr>
            <w:tcW w:w="1438" w:type="dxa"/>
            <w:tcBorders>
              <w:top w:val="nil"/>
              <w:left w:val="nil"/>
              <w:bottom w:val="single" w:sz="4" w:space="0" w:color="auto"/>
              <w:right w:val="single" w:sz="4" w:space="0" w:color="auto"/>
            </w:tcBorders>
            <w:shd w:val="clear" w:color="auto" w:fill="auto"/>
            <w:noWrap/>
            <w:vAlign w:val="bottom"/>
            <w:hideMark/>
          </w:tcPr>
          <w:p w14:paraId="181A0E92" w14:textId="394FEA3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41</w:t>
            </w:r>
          </w:p>
        </w:tc>
        <w:tc>
          <w:tcPr>
            <w:tcW w:w="1082" w:type="dxa"/>
            <w:tcBorders>
              <w:top w:val="nil"/>
              <w:left w:val="nil"/>
              <w:bottom w:val="single" w:sz="4" w:space="0" w:color="auto"/>
              <w:right w:val="single" w:sz="4" w:space="0" w:color="auto"/>
            </w:tcBorders>
            <w:shd w:val="clear" w:color="auto" w:fill="auto"/>
            <w:noWrap/>
            <w:vAlign w:val="bottom"/>
            <w:hideMark/>
          </w:tcPr>
          <w:p w14:paraId="3AADAC2A"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40%</w:t>
            </w:r>
          </w:p>
        </w:tc>
      </w:tr>
      <w:tr w:rsidR="00DA2892" w:rsidRPr="00DA2892" w14:paraId="390220FE"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000000" w:fill="D9D9D9"/>
            <w:noWrap/>
            <w:vAlign w:val="bottom"/>
            <w:hideMark/>
          </w:tcPr>
          <w:p w14:paraId="659BFC1B" w14:textId="3B1ADE5E"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 xml:space="preserve">Enseignement </w:t>
            </w:r>
          </w:p>
        </w:tc>
        <w:tc>
          <w:tcPr>
            <w:tcW w:w="1380" w:type="dxa"/>
            <w:tcBorders>
              <w:top w:val="nil"/>
              <w:left w:val="nil"/>
              <w:bottom w:val="single" w:sz="4" w:space="0" w:color="auto"/>
              <w:right w:val="single" w:sz="4" w:space="0" w:color="auto"/>
            </w:tcBorders>
            <w:shd w:val="clear" w:color="000000" w:fill="D9D9D9"/>
            <w:noWrap/>
            <w:vAlign w:val="bottom"/>
            <w:hideMark/>
          </w:tcPr>
          <w:p w14:paraId="2C2394A4" w14:textId="4FDD90B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28</w:t>
            </w:r>
          </w:p>
        </w:tc>
        <w:tc>
          <w:tcPr>
            <w:tcW w:w="1388" w:type="dxa"/>
            <w:tcBorders>
              <w:top w:val="nil"/>
              <w:left w:val="nil"/>
              <w:bottom w:val="single" w:sz="4" w:space="0" w:color="auto"/>
              <w:right w:val="single" w:sz="4" w:space="0" w:color="auto"/>
            </w:tcBorders>
            <w:shd w:val="clear" w:color="000000" w:fill="D9D9D9"/>
            <w:noWrap/>
            <w:vAlign w:val="bottom"/>
            <w:hideMark/>
          </w:tcPr>
          <w:p w14:paraId="6C0A2294" w14:textId="08A63E71"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17</w:t>
            </w:r>
          </w:p>
        </w:tc>
        <w:tc>
          <w:tcPr>
            <w:tcW w:w="972" w:type="dxa"/>
            <w:tcBorders>
              <w:top w:val="nil"/>
              <w:left w:val="nil"/>
              <w:bottom w:val="single" w:sz="4" w:space="0" w:color="auto"/>
              <w:right w:val="single" w:sz="4" w:space="0" w:color="auto"/>
            </w:tcBorders>
            <w:shd w:val="clear" w:color="000000" w:fill="D9D9D9"/>
            <w:noWrap/>
            <w:vAlign w:val="bottom"/>
            <w:hideMark/>
          </w:tcPr>
          <w:p w14:paraId="5BDD8126"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61%</w:t>
            </w:r>
          </w:p>
        </w:tc>
        <w:tc>
          <w:tcPr>
            <w:tcW w:w="1438" w:type="dxa"/>
            <w:tcBorders>
              <w:top w:val="nil"/>
              <w:left w:val="nil"/>
              <w:bottom w:val="single" w:sz="4" w:space="0" w:color="auto"/>
              <w:right w:val="single" w:sz="4" w:space="0" w:color="auto"/>
            </w:tcBorders>
            <w:shd w:val="clear" w:color="000000" w:fill="D9D9D9"/>
            <w:noWrap/>
            <w:vAlign w:val="bottom"/>
            <w:hideMark/>
          </w:tcPr>
          <w:p w14:paraId="5BB07288" w14:textId="6B0C34A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11</w:t>
            </w:r>
          </w:p>
        </w:tc>
        <w:tc>
          <w:tcPr>
            <w:tcW w:w="1082" w:type="dxa"/>
            <w:tcBorders>
              <w:top w:val="nil"/>
              <w:left w:val="nil"/>
              <w:bottom w:val="single" w:sz="4" w:space="0" w:color="auto"/>
              <w:right w:val="single" w:sz="4" w:space="0" w:color="auto"/>
            </w:tcBorders>
            <w:shd w:val="clear" w:color="000000" w:fill="D9D9D9"/>
            <w:noWrap/>
            <w:vAlign w:val="bottom"/>
            <w:hideMark/>
          </w:tcPr>
          <w:p w14:paraId="1B26C28B"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39%</w:t>
            </w:r>
          </w:p>
        </w:tc>
      </w:tr>
      <w:tr w:rsidR="00DA2892" w:rsidRPr="00DA2892" w14:paraId="668FD3FF"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21B88997" w14:textId="10D19551"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Santé</w:t>
            </w:r>
          </w:p>
        </w:tc>
        <w:tc>
          <w:tcPr>
            <w:tcW w:w="1380" w:type="dxa"/>
            <w:tcBorders>
              <w:top w:val="nil"/>
              <w:left w:val="nil"/>
              <w:bottom w:val="single" w:sz="4" w:space="0" w:color="auto"/>
              <w:right w:val="single" w:sz="4" w:space="0" w:color="auto"/>
            </w:tcBorders>
            <w:shd w:val="clear" w:color="auto" w:fill="auto"/>
            <w:noWrap/>
            <w:vAlign w:val="bottom"/>
            <w:hideMark/>
          </w:tcPr>
          <w:p w14:paraId="3F832D1D" w14:textId="0182928C"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17</w:t>
            </w:r>
          </w:p>
        </w:tc>
        <w:tc>
          <w:tcPr>
            <w:tcW w:w="1388" w:type="dxa"/>
            <w:tcBorders>
              <w:top w:val="nil"/>
              <w:left w:val="nil"/>
              <w:bottom w:val="single" w:sz="4" w:space="0" w:color="auto"/>
              <w:right w:val="single" w:sz="4" w:space="0" w:color="auto"/>
            </w:tcBorders>
            <w:shd w:val="clear" w:color="auto" w:fill="auto"/>
            <w:noWrap/>
            <w:vAlign w:val="bottom"/>
            <w:hideMark/>
          </w:tcPr>
          <w:p w14:paraId="26668169" w14:textId="684F89F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10</w:t>
            </w:r>
          </w:p>
        </w:tc>
        <w:tc>
          <w:tcPr>
            <w:tcW w:w="972" w:type="dxa"/>
            <w:tcBorders>
              <w:top w:val="nil"/>
              <w:left w:val="nil"/>
              <w:bottom w:val="single" w:sz="4" w:space="0" w:color="auto"/>
              <w:right w:val="single" w:sz="4" w:space="0" w:color="auto"/>
            </w:tcBorders>
            <w:shd w:val="clear" w:color="auto" w:fill="auto"/>
            <w:noWrap/>
            <w:vAlign w:val="bottom"/>
            <w:hideMark/>
          </w:tcPr>
          <w:p w14:paraId="457F64BF"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59%</w:t>
            </w:r>
          </w:p>
        </w:tc>
        <w:tc>
          <w:tcPr>
            <w:tcW w:w="1438" w:type="dxa"/>
            <w:tcBorders>
              <w:top w:val="nil"/>
              <w:left w:val="nil"/>
              <w:bottom w:val="single" w:sz="4" w:space="0" w:color="auto"/>
              <w:right w:val="single" w:sz="4" w:space="0" w:color="auto"/>
            </w:tcBorders>
            <w:shd w:val="clear" w:color="auto" w:fill="auto"/>
            <w:noWrap/>
            <w:vAlign w:val="bottom"/>
            <w:hideMark/>
          </w:tcPr>
          <w:p w14:paraId="4348D7CA" w14:textId="0628A802"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7</w:t>
            </w:r>
          </w:p>
        </w:tc>
        <w:tc>
          <w:tcPr>
            <w:tcW w:w="1082" w:type="dxa"/>
            <w:tcBorders>
              <w:top w:val="nil"/>
              <w:left w:val="nil"/>
              <w:bottom w:val="single" w:sz="4" w:space="0" w:color="auto"/>
              <w:right w:val="single" w:sz="4" w:space="0" w:color="auto"/>
            </w:tcBorders>
            <w:shd w:val="clear" w:color="auto" w:fill="auto"/>
            <w:noWrap/>
            <w:vAlign w:val="bottom"/>
            <w:hideMark/>
          </w:tcPr>
          <w:p w14:paraId="5C8B4981"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41%</w:t>
            </w:r>
          </w:p>
        </w:tc>
      </w:tr>
      <w:tr w:rsidR="00DA2892" w:rsidRPr="00DA2892" w14:paraId="29929908"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000000" w:fill="D9D9D9"/>
            <w:noWrap/>
            <w:vAlign w:val="bottom"/>
            <w:hideMark/>
          </w:tcPr>
          <w:p w14:paraId="36C4BA53" w14:textId="5359FDBF"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Social</w:t>
            </w:r>
          </w:p>
        </w:tc>
        <w:tc>
          <w:tcPr>
            <w:tcW w:w="1380" w:type="dxa"/>
            <w:tcBorders>
              <w:top w:val="nil"/>
              <w:left w:val="nil"/>
              <w:bottom w:val="single" w:sz="4" w:space="0" w:color="auto"/>
              <w:right w:val="single" w:sz="4" w:space="0" w:color="auto"/>
            </w:tcBorders>
            <w:shd w:val="clear" w:color="000000" w:fill="D9D9D9"/>
            <w:noWrap/>
            <w:vAlign w:val="bottom"/>
            <w:hideMark/>
          </w:tcPr>
          <w:p w14:paraId="342CD014" w14:textId="061B138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29</w:t>
            </w:r>
          </w:p>
        </w:tc>
        <w:tc>
          <w:tcPr>
            <w:tcW w:w="1388" w:type="dxa"/>
            <w:tcBorders>
              <w:top w:val="nil"/>
              <w:left w:val="nil"/>
              <w:bottom w:val="single" w:sz="4" w:space="0" w:color="auto"/>
              <w:right w:val="single" w:sz="4" w:space="0" w:color="auto"/>
            </w:tcBorders>
            <w:shd w:val="clear" w:color="000000" w:fill="D9D9D9"/>
            <w:noWrap/>
            <w:vAlign w:val="bottom"/>
            <w:hideMark/>
          </w:tcPr>
          <w:p w14:paraId="36376582" w14:textId="2CFF9876"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17</w:t>
            </w:r>
          </w:p>
        </w:tc>
        <w:tc>
          <w:tcPr>
            <w:tcW w:w="972" w:type="dxa"/>
            <w:tcBorders>
              <w:top w:val="nil"/>
              <w:left w:val="nil"/>
              <w:bottom w:val="single" w:sz="4" w:space="0" w:color="auto"/>
              <w:right w:val="single" w:sz="4" w:space="0" w:color="auto"/>
            </w:tcBorders>
            <w:shd w:val="clear" w:color="000000" w:fill="D9D9D9"/>
            <w:noWrap/>
            <w:vAlign w:val="bottom"/>
            <w:hideMark/>
          </w:tcPr>
          <w:p w14:paraId="063E08B1"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59%</w:t>
            </w:r>
          </w:p>
        </w:tc>
        <w:tc>
          <w:tcPr>
            <w:tcW w:w="1438" w:type="dxa"/>
            <w:tcBorders>
              <w:top w:val="nil"/>
              <w:left w:val="nil"/>
              <w:bottom w:val="single" w:sz="4" w:space="0" w:color="auto"/>
              <w:right w:val="single" w:sz="4" w:space="0" w:color="auto"/>
            </w:tcBorders>
            <w:shd w:val="clear" w:color="000000" w:fill="D9D9D9"/>
            <w:noWrap/>
            <w:vAlign w:val="bottom"/>
            <w:hideMark/>
          </w:tcPr>
          <w:p w14:paraId="14E02753" w14:textId="7E9A6831"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12</w:t>
            </w:r>
          </w:p>
        </w:tc>
        <w:tc>
          <w:tcPr>
            <w:tcW w:w="1082" w:type="dxa"/>
            <w:tcBorders>
              <w:top w:val="nil"/>
              <w:left w:val="nil"/>
              <w:bottom w:val="single" w:sz="4" w:space="0" w:color="auto"/>
              <w:right w:val="single" w:sz="4" w:space="0" w:color="auto"/>
            </w:tcBorders>
            <w:shd w:val="clear" w:color="000000" w:fill="D9D9D9"/>
            <w:noWrap/>
            <w:vAlign w:val="bottom"/>
            <w:hideMark/>
          </w:tcPr>
          <w:p w14:paraId="76515764"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41%</w:t>
            </w:r>
          </w:p>
        </w:tc>
      </w:tr>
      <w:tr w:rsidR="00DA2892" w:rsidRPr="00DA2892" w14:paraId="714984EA"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78058B90" w14:textId="3E686081"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Travail</w:t>
            </w:r>
          </w:p>
        </w:tc>
        <w:tc>
          <w:tcPr>
            <w:tcW w:w="1380" w:type="dxa"/>
            <w:tcBorders>
              <w:top w:val="nil"/>
              <w:left w:val="nil"/>
              <w:bottom w:val="single" w:sz="4" w:space="0" w:color="auto"/>
              <w:right w:val="single" w:sz="4" w:space="0" w:color="auto"/>
            </w:tcBorders>
            <w:shd w:val="clear" w:color="auto" w:fill="auto"/>
            <w:noWrap/>
            <w:vAlign w:val="bottom"/>
            <w:hideMark/>
          </w:tcPr>
          <w:p w14:paraId="07C81458" w14:textId="4E8FA69A"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16</w:t>
            </w:r>
          </w:p>
        </w:tc>
        <w:tc>
          <w:tcPr>
            <w:tcW w:w="1388" w:type="dxa"/>
            <w:tcBorders>
              <w:top w:val="nil"/>
              <w:left w:val="nil"/>
              <w:bottom w:val="single" w:sz="4" w:space="0" w:color="auto"/>
              <w:right w:val="single" w:sz="4" w:space="0" w:color="auto"/>
            </w:tcBorders>
            <w:shd w:val="clear" w:color="auto" w:fill="auto"/>
            <w:noWrap/>
            <w:vAlign w:val="bottom"/>
            <w:hideMark/>
          </w:tcPr>
          <w:p w14:paraId="21C11F5B" w14:textId="3D38813C"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10</w:t>
            </w:r>
          </w:p>
        </w:tc>
        <w:tc>
          <w:tcPr>
            <w:tcW w:w="972" w:type="dxa"/>
            <w:tcBorders>
              <w:top w:val="nil"/>
              <w:left w:val="nil"/>
              <w:bottom w:val="single" w:sz="4" w:space="0" w:color="auto"/>
              <w:right w:val="single" w:sz="4" w:space="0" w:color="auto"/>
            </w:tcBorders>
            <w:shd w:val="clear" w:color="auto" w:fill="auto"/>
            <w:noWrap/>
            <w:vAlign w:val="bottom"/>
            <w:hideMark/>
          </w:tcPr>
          <w:p w14:paraId="08DCA00F"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63%</w:t>
            </w:r>
          </w:p>
        </w:tc>
        <w:tc>
          <w:tcPr>
            <w:tcW w:w="1438" w:type="dxa"/>
            <w:tcBorders>
              <w:top w:val="nil"/>
              <w:left w:val="nil"/>
              <w:bottom w:val="single" w:sz="4" w:space="0" w:color="auto"/>
              <w:right w:val="single" w:sz="4" w:space="0" w:color="auto"/>
            </w:tcBorders>
            <w:shd w:val="clear" w:color="auto" w:fill="auto"/>
            <w:noWrap/>
            <w:vAlign w:val="bottom"/>
            <w:hideMark/>
          </w:tcPr>
          <w:p w14:paraId="12F50331" w14:textId="60C20581"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w:t>
            </w:r>
          </w:p>
        </w:tc>
        <w:tc>
          <w:tcPr>
            <w:tcW w:w="1082" w:type="dxa"/>
            <w:tcBorders>
              <w:top w:val="nil"/>
              <w:left w:val="nil"/>
              <w:bottom w:val="single" w:sz="4" w:space="0" w:color="auto"/>
              <w:right w:val="single" w:sz="4" w:space="0" w:color="auto"/>
            </w:tcBorders>
            <w:shd w:val="clear" w:color="auto" w:fill="auto"/>
            <w:noWrap/>
            <w:vAlign w:val="bottom"/>
            <w:hideMark/>
          </w:tcPr>
          <w:p w14:paraId="5C883AED"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38%</w:t>
            </w:r>
          </w:p>
        </w:tc>
      </w:tr>
      <w:tr w:rsidR="00DA2892" w:rsidRPr="00DA2892" w14:paraId="60731460" w14:textId="77777777" w:rsidTr="00DA2892">
        <w:trPr>
          <w:trHeight w:val="300"/>
          <w:jc w:val="center"/>
        </w:trPr>
        <w:tc>
          <w:tcPr>
            <w:tcW w:w="1480" w:type="dxa"/>
            <w:tcBorders>
              <w:top w:val="nil"/>
              <w:left w:val="single" w:sz="4" w:space="0" w:color="auto"/>
              <w:bottom w:val="single" w:sz="4" w:space="0" w:color="auto"/>
              <w:right w:val="single" w:sz="4" w:space="0" w:color="auto"/>
            </w:tcBorders>
            <w:shd w:val="clear" w:color="000000" w:fill="D9D9D9"/>
            <w:noWrap/>
            <w:vAlign w:val="bottom"/>
            <w:hideMark/>
          </w:tcPr>
          <w:p w14:paraId="2C7CF7A6" w14:textId="454AFFB7" w:rsidR="00DA2892" w:rsidRPr="00DA2892" w:rsidRDefault="00DA2892" w:rsidP="00DA2892">
            <w:pPr>
              <w:spacing w:after="0" w:line="240" w:lineRule="auto"/>
              <w:jc w:val="lef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Autre</w:t>
            </w:r>
            <w:r>
              <w:rPr>
                <w:rFonts w:eastAsia="Times New Roman" w:cs="Arial"/>
                <w:color w:val="000000" w:themeColor="text1"/>
                <w:sz w:val="20"/>
                <w:szCs w:val="20"/>
                <w:lang w:eastAsia="fr-FR"/>
              </w:rPr>
              <w:t>s</w:t>
            </w:r>
            <w:r w:rsidRPr="00DA2892">
              <w:rPr>
                <w:rFonts w:eastAsia="Times New Roman" w:cs="Arial"/>
                <w:color w:val="000000" w:themeColor="text1"/>
                <w:sz w:val="20"/>
                <w:szCs w:val="20"/>
                <w:lang w:eastAsia="fr-FR"/>
              </w:rPr>
              <w:t xml:space="preserve"> </w:t>
            </w:r>
            <w:r>
              <w:rPr>
                <w:rFonts w:eastAsia="Times New Roman" w:cs="Arial"/>
                <w:color w:val="000000" w:themeColor="text1"/>
                <w:sz w:val="20"/>
                <w:szCs w:val="20"/>
                <w:lang w:eastAsia="fr-FR"/>
              </w:rPr>
              <w:t>(*)</w:t>
            </w:r>
          </w:p>
        </w:tc>
        <w:tc>
          <w:tcPr>
            <w:tcW w:w="1380" w:type="dxa"/>
            <w:tcBorders>
              <w:top w:val="nil"/>
              <w:left w:val="nil"/>
              <w:bottom w:val="single" w:sz="4" w:space="0" w:color="auto"/>
              <w:right w:val="single" w:sz="4" w:space="0" w:color="auto"/>
            </w:tcBorders>
            <w:shd w:val="clear" w:color="000000" w:fill="D9D9D9"/>
            <w:noWrap/>
            <w:vAlign w:val="bottom"/>
            <w:hideMark/>
          </w:tcPr>
          <w:p w14:paraId="513571D9" w14:textId="7052FE88"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12</w:t>
            </w:r>
          </w:p>
        </w:tc>
        <w:tc>
          <w:tcPr>
            <w:tcW w:w="1388" w:type="dxa"/>
            <w:tcBorders>
              <w:top w:val="nil"/>
              <w:left w:val="nil"/>
              <w:bottom w:val="single" w:sz="4" w:space="0" w:color="auto"/>
              <w:right w:val="single" w:sz="4" w:space="0" w:color="auto"/>
            </w:tcBorders>
            <w:shd w:val="clear" w:color="000000" w:fill="D9D9D9"/>
            <w:noWrap/>
            <w:vAlign w:val="bottom"/>
            <w:hideMark/>
          </w:tcPr>
          <w:p w14:paraId="0A5D63CF" w14:textId="2108483B"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7</w:t>
            </w:r>
          </w:p>
        </w:tc>
        <w:tc>
          <w:tcPr>
            <w:tcW w:w="972" w:type="dxa"/>
            <w:tcBorders>
              <w:top w:val="nil"/>
              <w:left w:val="nil"/>
              <w:bottom w:val="single" w:sz="4" w:space="0" w:color="auto"/>
              <w:right w:val="single" w:sz="4" w:space="0" w:color="auto"/>
            </w:tcBorders>
            <w:shd w:val="clear" w:color="000000" w:fill="D9D9D9"/>
            <w:noWrap/>
            <w:vAlign w:val="bottom"/>
            <w:hideMark/>
          </w:tcPr>
          <w:p w14:paraId="3BCAA4BC" w14:textId="77777777"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61%</w:t>
            </w:r>
          </w:p>
        </w:tc>
        <w:tc>
          <w:tcPr>
            <w:tcW w:w="1438" w:type="dxa"/>
            <w:tcBorders>
              <w:top w:val="nil"/>
              <w:left w:val="nil"/>
              <w:bottom w:val="single" w:sz="4" w:space="0" w:color="auto"/>
              <w:right w:val="single" w:sz="4" w:space="0" w:color="auto"/>
            </w:tcBorders>
            <w:shd w:val="clear" w:color="000000" w:fill="D9D9D9"/>
            <w:noWrap/>
            <w:vAlign w:val="bottom"/>
            <w:hideMark/>
          </w:tcPr>
          <w:p w14:paraId="681EA466" w14:textId="0E5A0939" w:rsidR="00DA2892" w:rsidRPr="00DA2892" w:rsidRDefault="00DA2892" w:rsidP="00DA2892">
            <w:pPr>
              <w:spacing w:after="0" w:line="240" w:lineRule="auto"/>
              <w:jc w:val="center"/>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5</w:t>
            </w:r>
          </w:p>
        </w:tc>
        <w:tc>
          <w:tcPr>
            <w:tcW w:w="1082" w:type="dxa"/>
            <w:tcBorders>
              <w:top w:val="nil"/>
              <w:left w:val="nil"/>
              <w:bottom w:val="single" w:sz="4" w:space="0" w:color="auto"/>
              <w:right w:val="single" w:sz="4" w:space="0" w:color="auto"/>
            </w:tcBorders>
            <w:shd w:val="clear" w:color="000000" w:fill="D9D9D9"/>
            <w:noWrap/>
            <w:vAlign w:val="bottom"/>
            <w:hideMark/>
          </w:tcPr>
          <w:p w14:paraId="7A95D0AA" w14:textId="77777777" w:rsidR="00DA2892" w:rsidRPr="00DA2892" w:rsidRDefault="00DA2892" w:rsidP="00DA2892">
            <w:pPr>
              <w:spacing w:after="0" w:line="240" w:lineRule="auto"/>
              <w:jc w:val="right"/>
              <w:rPr>
                <w:rFonts w:eastAsia="Times New Roman" w:cs="Arial"/>
                <w:color w:val="000000" w:themeColor="text1"/>
                <w:sz w:val="20"/>
                <w:szCs w:val="20"/>
                <w:lang w:eastAsia="fr-FR"/>
              </w:rPr>
            </w:pPr>
            <w:r w:rsidRPr="00DA2892">
              <w:rPr>
                <w:rFonts w:eastAsia="Times New Roman" w:cs="Arial"/>
                <w:color w:val="000000" w:themeColor="text1"/>
                <w:sz w:val="20"/>
                <w:szCs w:val="20"/>
                <w:lang w:eastAsia="fr-FR"/>
              </w:rPr>
              <w:t>39%</w:t>
            </w:r>
          </w:p>
        </w:tc>
      </w:tr>
    </w:tbl>
    <w:p w14:paraId="550C2553" w14:textId="39D3A53B" w:rsidR="00DA2892" w:rsidRPr="00DA2892" w:rsidRDefault="00DA2892" w:rsidP="00A9526C">
      <w:pPr>
        <w:pStyle w:val="Lgende"/>
        <w:spacing w:after="0"/>
        <w:ind w:left="284" w:right="0"/>
        <w:jc w:val="left"/>
      </w:pPr>
      <w:r>
        <w:t>(*) Saucisserie fraîche incluse</w:t>
      </w:r>
      <w:r w:rsidR="00A9526C">
        <w:t xml:space="preserve"> ; </w:t>
      </w:r>
      <w:r w:rsidRPr="00DA2892">
        <w:t xml:space="preserve">(**) soit les segments des loisirs et des captifs (armée, police, prison) </w:t>
      </w:r>
    </w:p>
    <w:p w14:paraId="31D04A62" w14:textId="6F4C4EE3" w:rsidR="009B03C0" w:rsidRDefault="00A908A8" w:rsidP="009B03C0">
      <w:pPr>
        <w:pStyle w:val="figure"/>
      </w:pPr>
      <w:bookmarkStart w:id="318" w:name="_Ref70245158"/>
      <w:bookmarkStart w:id="319" w:name="_Toc72143415"/>
      <w:r w:rsidRPr="00926407">
        <w:t xml:space="preserve">Tableau </w:t>
      </w:r>
      <w:r w:rsidR="00E27D6E">
        <w:fldChar w:fldCharType="begin"/>
      </w:r>
      <w:r w:rsidR="00E27D6E">
        <w:instrText xml:space="preserve"> SEQ Tableau \* ARABIC </w:instrText>
      </w:r>
      <w:r w:rsidR="00E27D6E">
        <w:fldChar w:fldCharType="separate"/>
      </w:r>
      <w:r w:rsidR="0007597F">
        <w:rPr>
          <w:i/>
          <w:noProof/>
        </w:rPr>
        <w:t>68</w:t>
      </w:r>
      <w:r w:rsidR="00E27D6E">
        <w:rPr>
          <w:i/>
          <w:noProof/>
        </w:rPr>
        <w:fldChar w:fldCharType="end"/>
      </w:r>
      <w:bookmarkEnd w:id="318"/>
      <w:r w:rsidR="003A5CDC">
        <w:rPr>
          <w:i/>
        </w:rPr>
        <w:t xml:space="preserve"> : </w:t>
      </w:r>
      <w:r w:rsidR="00DA2892" w:rsidRPr="00926407">
        <w:t xml:space="preserve">Estimation des volumes réalisés en charcuterie salaison et viande de </w:t>
      </w:r>
      <w:r w:rsidR="00DA2892" w:rsidRPr="00D54EC4">
        <w:t xml:space="preserve">porc par segment de la restauration collective </w:t>
      </w:r>
      <w:r w:rsidR="00AD69A7">
        <w:t xml:space="preserve">en kt </w:t>
      </w:r>
      <w:r w:rsidR="00DA2892" w:rsidRPr="00D54EC4">
        <w:t>en 2018</w:t>
      </w:r>
      <w:bookmarkEnd w:id="319"/>
      <w:r w:rsidR="00AD69A7">
        <w:t xml:space="preserve"> </w:t>
      </w:r>
    </w:p>
    <w:p w14:paraId="5D7B4E01" w14:textId="43A83D1D" w:rsidR="00AD69A7" w:rsidRPr="00AD69A7" w:rsidRDefault="00AD69A7" w:rsidP="008B41CC">
      <w:pPr>
        <w:pStyle w:val="figure"/>
        <w:spacing w:before="60" w:after="120"/>
        <w:rPr>
          <w:rFonts w:eastAsiaTheme="minorHAnsi" w:cstheme="minorBidi"/>
          <w:b w:val="0"/>
          <w:bCs w:val="0"/>
          <w:i/>
          <w:sz w:val="22"/>
          <w:szCs w:val="22"/>
          <w:lang w:eastAsia="en-US"/>
        </w:rPr>
      </w:pPr>
      <w:r w:rsidRPr="00AD69A7">
        <w:rPr>
          <w:rFonts w:eastAsiaTheme="minorHAnsi" w:cstheme="minorBidi"/>
          <w:b w:val="0"/>
          <w:bCs w:val="0"/>
          <w:i/>
          <w:sz w:val="22"/>
          <w:szCs w:val="22"/>
          <w:lang w:eastAsia="en-US"/>
        </w:rPr>
        <w:t>(Source Ifip)</w:t>
      </w:r>
    </w:p>
    <w:p w14:paraId="2207FB13" w14:textId="39D0540E" w:rsidR="00A908A8" w:rsidRDefault="00A908A8" w:rsidP="00A9526C">
      <w:r>
        <w:t xml:space="preserve">La </w:t>
      </w:r>
      <w:r w:rsidR="00DA2892">
        <w:t xml:space="preserve">lecture détaillée </w:t>
      </w:r>
      <w:r>
        <w:t>et estimée de la ventilation des</w:t>
      </w:r>
      <w:r w:rsidR="00DA2892">
        <w:t xml:space="preserve"> volumes par</w:t>
      </w:r>
      <w:r>
        <w:t xml:space="preserve"> catégorie de produits et par</w:t>
      </w:r>
      <w:r w:rsidR="00DA2892">
        <w:t xml:space="preserve"> segment de marché </w:t>
      </w:r>
      <w:r>
        <w:t xml:space="preserve">fournit une lecture </w:t>
      </w:r>
      <w:r w:rsidR="00A9526C">
        <w:t xml:space="preserve">générale </w:t>
      </w:r>
      <w:r>
        <w:t>avec des disparités relatives</w:t>
      </w:r>
      <w:r w:rsidR="00A9526C">
        <w:t xml:space="preserve"> surlignées en gris foncé et en lien avec la granulométrie étudiée et renvoie aux limites de représentativité </w:t>
      </w:r>
      <w:r>
        <w:t>(</w:t>
      </w:r>
      <w:r>
        <w:fldChar w:fldCharType="begin"/>
      </w:r>
      <w:r>
        <w:instrText xml:space="preserve"> REF _Ref70246646 \h </w:instrText>
      </w:r>
      <w:r w:rsidR="00A9526C">
        <w:instrText xml:space="preserve"> \* MERGEFORMAT </w:instrText>
      </w:r>
      <w:r>
        <w:fldChar w:fldCharType="separate"/>
      </w:r>
      <w:r w:rsidR="0007597F" w:rsidRPr="00AD69A7">
        <w:rPr>
          <w:iCs/>
        </w:rPr>
        <w:t>Tableau 69</w:t>
      </w:r>
      <w:r>
        <w:fldChar w:fldCharType="end"/>
      </w:r>
      <w:r>
        <w:t>)</w:t>
      </w:r>
      <w:r w:rsidR="00A9526C">
        <w:t>. C’est pourquoi les principales spécificités par famille de produit et par grand segment de marché seront précisées plus loin.</w:t>
      </w:r>
    </w:p>
    <w:tbl>
      <w:tblPr>
        <w:tblW w:w="9351" w:type="dxa"/>
        <w:tblCellMar>
          <w:left w:w="70" w:type="dxa"/>
          <w:right w:w="70" w:type="dxa"/>
        </w:tblCellMar>
        <w:tblLook w:val="04A0" w:firstRow="1" w:lastRow="0" w:firstColumn="1" w:lastColumn="0" w:noHBand="0" w:noVBand="1"/>
      </w:tblPr>
      <w:tblGrid>
        <w:gridCol w:w="3681"/>
        <w:gridCol w:w="1701"/>
        <w:gridCol w:w="1419"/>
        <w:gridCol w:w="1274"/>
        <w:gridCol w:w="1276"/>
      </w:tblGrid>
      <w:tr w:rsidR="00A908A8" w:rsidRPr="00A908A8" w14:paraId="3408E213"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60D55F9" w14:textId="77777777" w:rsidR="00A908A8" w:rsidRPr="00A908A8" w:rsidRDefault="00A908A8" w:rsidP="00A908A8">
            <w:pPr>
              <w:spacing w:after="0" w:line="240" w:lineRule="auto"/>
              <w:jc w:val="left"/>
              <w:rPr>
                <w:rFonts w:ascii="Times New Roman" w:eastAsia="Times New Roman" w:hAnsi="Times New Roman" w:cs="Times New Roman"/>
                <w:sz w:val="24"/>
                <w:szCs w:val="24"/>
                <w:lang w:eastAsia="fr-FR"/>
              </w:rPr>
            </w:pPr>
          </w:p>
        </w:tc>
        <w:tc>
          <w:tcPr>
            <w:tcW w:w="1701"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68A7F976"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 xml:space="preserve">Restauration Collective </w:t>
            </w:r>
          </w:p>
        </w:tc>
        <w:tc>
          <w:tcPr>
            <w:tcW w:w="1419"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0F1A131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Enseignement</w:t>
            </w:r>
          </w:p>
        </w:tc>
        <w:tc>
          <w:tcPr>
            <w:tcW w:w="1274"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765A1591"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 xml:space="preserve">Médico-social </w:t>
            </w:r>
          </w:p>
        </w:tc>
        <w:tc>
          <w:tcPr>
            <w:tcW w:w="1276"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78FA43D3"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 xml:space="preserve">Travail </w:t>
            </w:r>
          </w:p>
        </w:tc>
      </w:tr>
      <w:tr w:rsidR="00A908A8" w:rsidRPr="00A908A8" w14:paraId="223C14C4"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3D5C672" w14:textId="77777777" w:rsidR="00A908A8" w:rsidRPr="00A908A8" w:rsidRDefault="00A908A8" w:rsidP="00A908A8">
            <w:pPr>
              <w:spacing w:after="0" w:line="240" w:lineRule="auto"/>
              <w:jc w:val="left"/>
              <w:rPr>
                <w:rFonts w:eastAsia="Times New Roman" w:cs="Arial"/>
                <w:i/>
                <w:iCs/>
                <w:color w:val="000000"/>
                <w:sz w:val="20"/>
                <w:szCs w:val="20"/>
                <w:lang w:eastAsia="fr-FR"/>
              </w:rPr>
            </w:pPr>
            <w:r w:rsidRPr="00A908A8">
              <w:rPr>
                <w:rFonts w:eastAsia="Times New Roman" w:cs="Arial"/>
                <w:i/>
                <w:iCs/>
                <w:color w:val="000000"/>
                <w:sz w:val="20"/>
                <w:szCs w:val="20"/>
                <w:lang w:eastAsia="fr-FR"/>
              </w:rPr>
              <w:t xml:space="preserve">Charcuterie de porc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B2AF18F"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981D53D"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4DE5A48"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13A3CD2"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r>
      <w:tr w:rsidR="00A908A8" w:rsidRPr="00A908A8" w14:paraId="362FF63D"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75F559D3"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 xml:space="preserve">dont Salaison cuite </w:t>
            </w:r>
          </w:p>
        </w:tc>
        <w:tc>
          <w:tcPr>
            <w:tcW w:w="1701"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083DD73"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38%</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3DD370E6"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36%</w:t>
            </w:r>
          </w:p>
        </w:tc>
        <w:tc>
          <w:tcPr>
            <w:tcW w:w="1274"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739F0583"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41%</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36A36A4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36%</w:t>
            </w:r>
          </w:p>
        </w:tc>
      </w:tr>
      <w:tr w:rsidR="00A908A8" w:rsidRPr="00A908A8" w14:paraId="3C5EFBFB"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9064598"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Saucisses et saucissons cuits</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0A8C45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20%</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55811B91"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18%</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50B5AF9"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21%</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FADDF5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24%</w:t>
            </w:r>
          </w:p>
        </w:tc>
      </w:tr>
      <w:tr w:rsidR="00A908A8" w:rsidRPr="00A908A8" w14:paraId="41B1657D"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2F59611"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 xml:space="preserve">dont Saucisses et saucissons cru à cuire </w:t>
            </w:r>
          </w:p>
        </w:tc>
        <w:tc>
          <w:tcPr>
            <w:tcW w:w="1701"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428AC166"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12%</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02A3AD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13%</w:t>
            </w:r>
          </w:p>
        </w:tc>
        <w:tc>
          <w:tcPr>
            <w:tcW w:w="1274"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4F216E8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10%</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509A120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14%</w:t>
            </w:r>
          </w:p>
        </w:tc>
      </w:tr>
      <w:tr w:rsidR="00A908A8" w:rsidRPr="00A908A8" w14:paraId="7DBFFBA3"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D8F3DEE"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 xml:space="preserve">dont Pâtés et mélanges à tartiner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B47C548"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13%</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B680B42"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11%</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184D458"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16%</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FD306FE"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9%</w:t>
            </w:r>
          </w:p>
        </w:tc>
      </w:tr>
      <w:tr w:rsidR="00A908A8" w:rsidRPr="00A908A8" w14:paraId="04B26720"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000000" w:fill="D9D9D9"/>
            <w:noWrap/>
            <w:vAlign w:val="center"/>
            <w:hideMark/>
          </w:tcPr>
          <w:p w14:paraId="4925935A"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 xml:space="preserve">dont Lardons poitrine bacon </w:t>
            </w:r>
          </w:p>
        </w:tc>
        <w:tc>
          <w:tcPr>
            <w:tcW w:w="1701"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4192B65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8%</w:t>
            </w:r>
          </w:p>
        </w:tc>
        <w:tc>
          <w:tcPr>
            <w:tcW w:w="14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46A0EDC"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13%</w:t>
            </w:r>
          </w:p>
        </w:tc>
        <w:tc>
          <w:tcPr>
            <w:tcW w:w="1274"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3C8CCE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5%</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296AE3D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7%</w:t>
            </w:r>
          </w:p>
        </w:tc>
      </w:tr>
      <w:tr w:rsidR="00A908A8" w:rsidRPr="00A908A8" w14:paraId="50D2B270"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B2AF1D1"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Saucisserie et Salaison sèche</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98BCBCC"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8%</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316280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10%</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40A62FE"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5%</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D848AE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11%</w:t>
            </w:r>
          </w:p>
        </w:tc>
      </w:tr>
      <w:tr w:rsidR="00A908A8" w:rsidRPr="00A908A8" w14:paraId="5CA66EC9"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E1454B2"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Autres</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D01FA9F"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w:t>
            </w:r>
          </w:p>
        </w:tc>
        <w:tc>
          <w:tcPr>
            <w:tcW w:w="141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FF863F4"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0%</w:t>
            </w:r>
          </w:p>
        </w:tc>
        <w:tc>
          <w:tcPr>
            <w:tcW w:w="127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71F585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w:t>
            </w:r>
          </w:p>
        </w:tc>
        <w:tc>
          <w:tcPr>
            <w:tcW w:w="127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88CCD22"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0,5%</w:t>
            </w:r>
          </w:p>
        </w:tc>
      </w:tr>
      <w:tr w:rsidR="00A908A8" w:rsidRPr="00A908A8" w14:paraId="42D0A7A6"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7F50243" w14:textId="77777777" w:rsidR="00A908A8" w:rsidRPr="00A908A8" w:rsidRDefault="00A908A8" w:rsidP="00A908A8">
            <w:pPr>
              <w:spacing w:after="0" w:line="240" w:lineRule="auto"/>
              <w:jc w:val="left"/>
              <w:rPr>
                <w:rFonts w:eastAsia="Times New Roman" w:cs="Arial"/>
                <w:i/>
                <w:iCs/>
                <w:color w:val="000000"/>
                <w:sz w:val="20"/>
                <w:szCs w:val="20"/>
                <w:lang w:eastAsia="fr-FR"/>
              </w:rPr>
            </w:pPr>
            <w:r w:rsidRPr="00A908A8">
              <w:rPr>
                <w:rFonts w:eastAsia="Times New Roman" w:cs="Arial"/>
                <w:i/>
                <w:iCs/>
                <w:color w:val="000000"/>
                <w:sz w:val="20"/>
                <w:szCs w:val="20"/>
                <w:lang w:eastAsia="fr-FR"/>
              </w:rPr>
              <w:t xml:space="preserve">Viande de porc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D64BE1A"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CDDA55D"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1DCA4A"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27E622C5" w14:textId="77777777" w:rsidR="00A908A8" w:rsidRPr="00A908A8" w:rsidRDefault="00A908A8" w:rsidP="00A908A8">
            <w:pPr>
              <w:spacing w:after="0" w:line="240" w:lineRule="auto"/>
              <w:jc w:val="center"/>
              <w:rPr>
                <w:rFonts w:eastAsia="Times New Roman" w:cs="Arial"/>
                <w:i/>
                <w:iCs/>
                <w:color w:val="000000"/>
                <w:sz w:val="20"/>
                <w:szCs w:val="20"/>
                <w:lang w:eastAsia="fr-FR"/>
              </w:rPr>
            </w:pPr>
            <w:r w:rsidRPr="00A908A8">
              <w:rPr>
                <w:rFonts w:eastAsia="Times New Roman" w:cs="Arial"/>
                <w:i/>
                <w:iCs/>
                <w:color w:val="000000"/>
                <w:sz w:val="20"/>
                <w:szCs w:val="20"/>
                <w:lang w:eastAsia="fr-FR"/>
              </w:rPr>
              <w:t>100%</w:t>
            </w:r>
          </w:p>
        </w:tc>
      </w:tr>
      <w:tr w:rsidR="00A908A8" w:rsidRPr="00A908A8" w14:paraId="09ABBECD"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9BC5B1A"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Muscles piécés calibrés</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9FFDF72"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38%</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582BDA93"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40%</w:t>
            </w:r>
          </w:p>
        </w:tc>
        <w:tc>
          <w:tcPr>
            <w:tcW w:w="1274"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56D2227"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39%</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6C40975"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27%</w:t>
            </w:r>
          </w:p>
        </w:tc>
      </w:tr>
      <w:tr w:rsidR="00A908A8" w:rsidRPr="00A908A8" w14:paraId="22A4D030"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CC3642A"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Muscles entiers (rôtis,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E660C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35%</w:t>
            </w:r>
          </w:p>
        </w:tc>
        <w:tc>
          <w:tcPr>
            <w:tcW w:w="141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371A4FC9"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30%</w:t>
            </w:r>
          </w:p>
        </w:tc>
        <w:tc>
          <w:tcPr>
            <w:tcW w:w="1274"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773A80A"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36%</w:t>
            </w:r>
          </w:p>
        </w:tc>
        <w:tc>
          <w:tcPr>
            <w:tcW w:w="127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B024F30"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46%</w:t>
            </w:r>
          </w:p>
        </w:tc>
      </w:tr>
      <w:tr w:rsidR="00A908A8" w:rsidRPr="00A908A8" w14:paraId="3ED8A1CC" w14:textId="77777777" w:rsidTr="00A908A8">
        <w:trPr>
          <w:trHeight w:val="300"/>
        </w:trPr>
        <w:tc>
          <w:tcPr>
            <w:tcW w:w="368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7D37CB5"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Elaborés de viande (sautés, émincés..)</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763F93A"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26%</w:t>
            </w:r>
          </w:p>
        </w:tc>
        <w:tc>
          <w:tcPr>
            <w:tcW w:w="1419"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515D1F3B"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28%</w:t>
            </w:r>
          </w:p>
        </w:tc>
        <w:tc>
          <w:tcPr>
            <w:tcW w:w="1274"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7C83E954"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24%</w:t>
            </w:r>
          </w:p>
        </w:tc>
        <w:tc>
          <w:tcPr>
            <w:tcW w:w="1276" w:type="dxa"/>
            <w:tcBorders>
              <w:top w:val="single" w:sz="4" w:space="0" w:color="000000"/>
              <w:left w:val="single" w:sz="4" w:space="0" w:color="000000"/>
              <w:bottom w:val="single" w:sz="4" w:space="0" w:color="000000"/>
              <w:right w:val="single" w:sz="4" w:space="0" w:color="000000"/>
            </w:tcBorders>
            <w:shd w:val="clear" w:color="000000" w:fill="808080"/>
            <w:noWrap/>
            <w:vAlign w:val="center"/>
            <w:hideMark/>
          </w:tcPr>
          <w:p w14:paraId="6B9B45FB"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25%</w:t>
            </w:r>
          </w:p>
        </w:tc>
      </w:tr>
      <w:tr w:rsidR="00A908A8" w:rsidRPr="00A908A8" w14:paraId="5CE3A8DF" w14:textId="77777777" w:rsidTr="00A908A8">
        <w:trPr>
          <w:trHeight w:val="300"/>
        </w:trPr>
        <w:tc>
          <w:tcPr>
            <w:tcW w:w="3681"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17C3F371" w14:textId="77777777" w:rsidR="00A908A8" w:rsidRPr="00A908A8" w:rsidRDefault="00A908A8" w:rsidP="00A908A8">
            <w:pPr>
              <w:spacing w:after="0" w:line="240" w:lineRule="auto"/>
              <w:jc w:val="right"/>
              <w:rPr>
                <w:rFonts w:eastAsia="Times New Roman" w:cs="Arial"/>
                <w:color w:val="000000"/>
                <w:sz w:val="20"/>
                <w:szCs w:val="20"/>
                <w:lang w:eastAsia="fr-FR"/>
              </w:rPr>
            </w:pPr>
            <w:r w:rsidRPr="00A908A8">
              <w:rPr>
                <w:rFonts w:eastAsia="Times New Roman" w:cs="Arial"/>
                <w:color w:val="000000"/>
                <w:sz w:val="20"/>
                <w:szCs w:val="20"/>
                <w:lang w:eastAsia="fr-FR"/>
              </w:rPr>
              <w:t>dont Abats (andouilles, boudins..)</w:t>
            </w:r>
          </w:p>
        </w:tc>
        <w:tc>
          <w:tcPr>
            <w:tcW w:w="1701"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535EF1D8"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w:t>
            </w:r>
          </w:p>
        </w:tc>
        <w:tc>
          <w:tcPr>
            <w:tcW w:w="1419"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7C70C35B"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2%</w:t>
            </w:r>
          </w:p>
        </w:tc>
        <w:tc>
          <w:tcPr>
            <w:tcW w:w="1274"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0D037CBD"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1%</w:t>
            </w:r>
          </w:p>
        </w:tc>
        <w:tc>
          <w:tcPr>
            <w:tcW w:w="1276" w:type="dxa"/>
            <w:tcBorders>
              <w:top w:val="single" w:sz="4" w:space="0" w:color="000000"/>
              <w:left w:val="single" w:sz="4" w:space="0" w:color="000000"/>
              <w:bottom w:val="single" w:sz="4" w:space="0" w:color="auto"/>
              <w:right w:val="single" w:sz="4" w:space="0" w:color="000000"/>
            </w:tcBorders>
            <w:shd w:val="clear" w:color="auto" w:fill="auto"/>
            <w:noWrap/>
            <w:vAlign w:val="center"/>
            <w:hideMark/>
          </w:tcPr>
          <w:p w14:paraId="59D509BE" w14:textId="77777777" w:rsidR="00A908A8" w:rsidRPr="00A908A8" w:rsidRDefault="00A908A8" w:rsidP="00A908A8">
            <w:pPr>
              <w:spacing w:after="0" w:line="240" w:lineRule="auto"/>
              <w:jc w:val="center"/>
              <w:rPr>
                <w:rFonts w:eastAsia="Times New Roman" w:cs="Arial"/>
                <w:color w:val="000000"/>
                <w:sz w:val="20"/>
                <w:szCs w:val="20"/>
                <w:lang w:eastAsia="fr-FR"/>
              </w:rPr>
            </w:pPr>
            <w:r w:rsidRPr="00A908A8">
              <w:rPr>
                <w:rFonts w:eastAsia="Times New Roman" w:cs="Arial"/>
                <w:color w:val="000000"/>
                <w:sz w:val="20"/>
                <w:szCs w:val="20"/>
                <w:lang w:eastAsia="fr-FR"/>
              </w:rPr>
              <w:t>3%</w:t>
            </w:r>
          </w:p>
        </w:tc>
      </w:tr>
    </w:tbl>
    <w:p w14:paraId="410B8D30" w14:textId="186182A5" w:rsidR="00A908A8" w:rsidRDefault="00A908A8" w:rsidP="0002537E">
      <w:pPr>
        <w:pStyle w:val="figure"/>
      </w:pPr>
      <w:bookmarkStart w:id="320" w:name="_Ref70246646"/>
      <w:bookmarkStart w:id="321" w:name="_Toc72143416"/>
      <w:r w:rsidRPr="00926407">
        <w:t xml:space="preserve">Tableau </w:t>
      </w:r>
      <w:r w:rsidR="00E27D6E">
        <w:fldChar w:fldCharType="begin"/>
      </w:r>
      <w:r w:rsidR="00E27D6E">
        <w:instrText xml:space="preserve"> SEQ Tableau \* ARABIC </w:instrText>
      </w:r>
      <w:r w:rsidR="00E27D6E">
        <w:fldChar w:fldCharType="separate"/>
      </w:r>
      <w:r w:rsidR="0007597F">
        <w:rPr>
          <w:i/>
          <w:noProof/>
        </w:rPr>
        <w:t>69</w:t>
      </w:r>
      <w:r w:rsidR="00E27D6E">
        <w:rPr>
          <w:i/>
          <w:noProof/>
        </w:rPr>
        <w:fldChar w:fldCharType="end"/>
      </w:r>
      <w:bookmarkEnd w:id="320"/>
      <w:r w:rsidR="003A5CDC" w:rsidRPr="0002537E">
        <w:t> :</w:t>
      </w:r>
      <w:r w:rsidRPr="0002537E">
        <w:t xml:space="preserve"> Ventilation des volumes d’achat </w:t>
      </w:r>
      <w:r w:rsidR="00D71BF0">
        <w:t xml:space="preserve">en % </w:t>
      </w:r>
      <w:r w:rsidRPr="0002537E">
        <w:t xml:space="preserve">des opérateurs par catégorie de produits </w:t>
      </w:r>
      <w:r w:rsidRPr="0002537E">
        <w:br/>
        <w:t>et par typologie de marché de la restauration collective</w:t>
      </w:r>
      <w:r w:rsidR="00336AD0">
        <w:rPr>
          <w:i/>
        </w:rPr>
        <w:t>.</w:t>
      </w:r>
      <w:bookmarkEnd w:id="321"/>
    </w:p>
    <w:p w14:paraId="69AE9244" w14:textId="5D2BC8BD" w:rsidR="00A908A8" w:rsidRDefault="00A908A8" w:rsidP="00A908A8">
      <w:pPr>
        <w:rPr>
          <w:lang w:eastAsia="fr-FR"/>
        </w:rPr>
      </w:pPr>
      <w:r>
        <w:rPr>
          <w:lang w:eastAsia="fr-FR"/>
        </w:rPr>
        <w:t>Pour ce qui concerne la charcuterie salaison, la part des produits de mélange comparativement aux produits issus de muscles (jambon, épaule et poitrine) est majoritaire avec 64</w:t>
      </w:r>
      <w:r w:rsidR="008B41CC">
        <w:rPr>
          <w:lang w:eastAsia="fr-FR"/>
        </w:rPr>
        <w:t> </w:t>
      </w:r>
      <w:r>
        <w:rPr>
          <w:lang w:eastAsia="fr-FR"/>
        </w:rPr>
        <w:t>% contre 46</w:t>
      </w:r>
      <w:r w:rsidR="008B41CC">
        <w:rPr>
          <w:lang w:eastAsia="fr-FR"/>
        </w:rPr>
        <w:t> </w:t>
      </w:r>
      <w:r>
        <w:rPr>
          <w:lang w:eastAsia="fr-FR"/>
        </w:rPr>
        <w:t>% pour les produits issus de muscles.</w:t>
      </w:r>
    </w:p>
    <w:p w14:paraId="4B0C7384" w14:textId="764DCD90" w:rsidR="00A908A8" w:rsidRDefault="00A908A8" w:rsidP="00A908A8">
      <w:pPr>
        <w:rPr>
          <w:lang w:eastAsia="fr-FR"/>
        </w:rPr>
      </w:pPr>
      <w:r>
        <w:rPr>
          <w:lang w:eastAsia="fr-FR"/>
        </w:rPr>
        <w:t>Dans chaque segment de marché, au sein de la salaison cuite qui en moyenne représente plus de 38</w:t>
      </w:r>
      <w:r w:rsidR="008B41CC">
        <w:rPr>
          <w:lang w:eastAsia="fr-FR"/>
        </w:rPr>
        <w:t> </w:t>
      </w:r>
      <w:r>
        <w:rPr>
          <w:lang w:eastAsia="fr-FR"/>
        </w:rPr>
        <w:t>%, le jambon domine largement devant l’épaule avec moins de 10</w:t>
      </w:r>
      <w:r w:rsidR="008B41CC">
        <w:rPr>
          <w:lang w:eastAsia="fr-FR"/>
        </w:rPr>
        <w:t> </w:t>
      </w:r>
      <w:r>
        <w:rPr>
          <w:lang w:eastAsia="fr-FR"/>
        </w:rPr>
        <w:t>% du marché et une part du tranché qui peut atteindre jusqu’à 20 à 30</w:t>
      </w:r>
      <w:r w:rsidR="008B41CC">
        <w:rPr>
          <w:lang w:eastAsia="fr-FR"/>
        </w:rPr>
        <w:t> </w:t>
      </w:r>
      <w:r>
        <w:rPr>
          <w:lang w:eastAsia="fr-FR"/>
        </w:rPr>
        <w:t>% du total salaison cuite. Certaines spécificités de marché dans le champ d’utilisation du jambon seront évoquées plus loin.</w:t>
      </w:r>
    </w:p>
    <w:p w14:paraId="76FED73B" w14:textId="21D400B4" w:rsidR="00A908A8" w:rsidRPr="00A908A8" w:rsidRDefault="00A908A8" w:rsidP="00A908A8">
      <w:pPr>
        <w:rPr>
          <w:lang w:eastAsia="fr-FR"/>
        </w:rPr>
      </w:pPr>
      <w:r>
        <w:rPr>
          <w:lang w:eastAsia="fr-FR"/>
        </w:rPr>
        <w:t>Les produits de mélange sont représentés par les saucisses et saucissons cuits (20</w:t>
      </w:r>
      <w:r w:rsidR="008B41CC">
        <w:rPr>
          <w:lang w:eastAsia="fr-FR"/>
        </w:rPr>
        <w:t> </w:t>
      </w:r>
      <w:r>
        <w:rPr>
          <w:lang w:eastAsia="fr-FR"/>
        </w:rPr>
        <w:t>%) soient les saucisses pâtes fines, knacks et cervelas devant les saucisses et saucissons crus à cuire (12%) portés par les saucisses gros hachage (paysanne, de Toulouse).</w:t>
      </w:r>
    </w:p>
    <w:p w14:paraId="05FC1EF9" w14:textId="4DBEA4E1" w:rsidR="00A908A8" w:rsidRDefault="00A908A8" w:rsidP="00A9526C">
      <w:pPr>
        <w:rPr>
          <w:lang w:eastAsia="fr-FR"/>
        </w:rPr>
      </w:pPr>
      <w:r w:rsidRPr="00A908A8">
        <w:rPr>
          <w:lang w:eastAsia="fr-FR"/>
        </w:rPr>
        <w:lastRenderedPageBreak/>
        <w:t>En viande de porc,</w:t>
      </w:r>
      <w:r>
        <w:rPr>
          <w:lang w:eastAsia="fr-FR"/>
        </w:rPr>
        <w:t xml:space="preserve"> </w:t>
      </w:r>
      <w:r w:rsidRPr="00A908A8">
        <w:rPr>
          <w:lang w:eastAsia="fr-FR"/>
        </w:rPr>
        <w:t xml:space="preserve">l’offre </w:t>
      </w:r>
      <w:r>
        <w:rPr>
          <w:lang w:eastAsia="fr-FR"/>
        </w:rPr>
        <w:t>est segmentée</w:t>
      </w:r>
      <w:r w:rsidRPr="00A908A8">
        <w:rPr>
          <w:lang w:eastAsia="fr-FR"/>
        </w:rPr>
        <w:t xml:space="preserve"> </w:t>
      </w:r>
      <w:r>
        <w:rPr>
          <w:lang w:eastAsia="fr-FR"/>
        </w:rPr>
        <w:t xml:space="preserve">par </w:t>
      </w:r>
      <w:r w:rsidR="0034634B">
        <w:rPr>
          <w:lang w:eastAsia="fr-FR"/>
        </w:rPr>
        <w:t>degré d’élaboration dans la découpe</w:t>
      </w:r>
      <w:r w:rsidRPr="00A908A8">
        <w:rPr>
          <w:lang w:eastAsia="fr-FR"/>
        </w:rPr>
        <w:t xml:space="preserve"> entre</w:t>
      </w:r>
      <w:r w:rsidR="0034634B">
        <w:rPr>
          <w:lang w:eastAsia="fr-FR"/>
        </w:rPr>
        <w:t xml:space="preserve"> </w:t>
      </w:r>
      <w:r w:rsidR="0034634B" w:rsidRPr="00A908A8">
        <w:rPr>
          <w:lang w:eastAsia="fr-FR"/>
        </w:rPr>
        <w:t>les p</w:t>
      </w:r>
      <w:r w:rsidR="0034634B">
        <w:rPr>
          <w:lang w:eastAsia="fr-FR"/>
        </w:rPr>
        <w:t>ièces</w:t>
      </w:r>
      <w:r w:rsidR="0034634B" w:rsidRPr="00A908A8">
        <w:rPr>
          <w:lang w:eastAsia="fr-FR"/>
        </w:rPr>
        <w:t xml:space="preserve"> à découper</w:t>
      </w:r>
      <w:r w:rsidR="0034634B">
        <w:rPr>
          <w:lang w:eastAsia="fr-FR"/>
        </w:rPr>
        <w:t xml:space="preserve">, </w:t>
      </w:r>
      <w:r w:rsidRPr="00A908A8">
        <w:rPr>
          <w:lang w:eastAsia="fr-FR"/>
        </w:rPr>
        <w:t xml:space="preserve">les </w:t>
      </w:r>
      <w:r w:rsidR="00A9526C" w:rsidRPr="00A908A8">
        <w:rPr>
          <w:lang w:eastAsia="fr-FR"/>
        </w:rPr>
        <w:t>pièces</w:t>
      </w:r>
      <w:r w:rsidRPr="00A908A8">
        <w:rPr>
          <w:lang w:eastAsia="fr-FR"/>
        </w:rPr>
        <w:t xml:space="preserve"> calibré</w:t>
      </w:r>
      <w:r w:rsidR="00A9526C">
        <w:rPr>
          <w:lang w:eastAsia="fr-FR"/>
        </w:rPr>
        <w:t>e</w:t>
      </w:r>
      <w:r w:rsidRPr="00A908A8">
        <w:rPr>
          <w:lang w:eastAsia="fr-FR"/>
        </w:rPr>
        <w:t xml:space="preserve">s </w:t>
      </w:r>
      <w:r>
        <w:rPr>
          <w:lang w:eastAsia="fr-FR"/>
        </w:rPr>
        <w:t xml:space="preserve">et enfin les produits élaborés dans lesquels figurent majoritairement des sautés et émincés en particulier d’épaule. Le second critère de segmentation repose sur </w:t>
      </w:r>
      <w:r w:rsidRPr="00A908A8">
        <w:rPr>
          <w:lang w:eastAsia="fr-FR"/>
        </w:rPr>
        <w:t xml:space="preserve">le mode </w:t>
      </w:r>
      <w:r>
        <w:rPr>
          <w:lang w:eastAsia="fr-FR"/>
        </w:rPr>
        <w:t xml:space="preserve">et le temps </w:t>
      </w:r>
      <w:r w:rsidRPr="00A908A8">
        <w:rPr>
          <w:lang w:eastAsia="fr-FR"/>
        </w:rPr>
        <w:t xml:space="preserve">de cuisson </w:t>
      </w:r>
      <w:r>
        <w:rPr>
          <w:lang w:eastAsia="fr-FR"/>
        </w:rPr>
        <w:t xml:space="preserve">avec d’un côté les produits à cuisson rapide </w:t>
      </w:r>
      <w:r w:rsidR="00A9526C">
        <w:rPr>
          <w:lang w:eastAsia="fr-FR"/>
        </w:rPr>
        <w:t>(produits à griller, à poêler, à sauter)</w:t>
      </w:r>
      <w:r>
        <w:rPr>
          <w:lang w:eastAsia="fr-FR"/>
        </w:rPr>
        <w:t xml:space="preserve"> dans lesquels sont retrouvés les côtes, escalopes et de l’autre les produits à </w:t>
      </w:r>
      <w:r w:rsidRPr="00A908A8">
        <w:rPr>
          <w:lang w:eastAsia="fr-FR"/>
        </w:rPr>
        <w:t xml:space="preserve">cuisson lente </w:t>
      </w:r>
      <w:r>
        <w:rPr>
          <w:lang w:eastAsia="fr-FR"/>
        </w:rPr>
        <w:t>(produits à braiser, à bouillir) parmi lesquels s’inscrivent les rôtis</w:t>
      </w:r>
      <w:r w:rsidR="00A9526C">
        <w:rPr>
          <w:lang w:eastAsia="fr-FR"/>
        </w:rPr>
        <w:t>, la palette</w:t>
      </w:r>
      <w:r>
        <w:rPr>
          <w:lang w:eastAsia="fr-FR"/>
        </w:rPr>
        <w:t xml:space="preserve">. Par ailleurs, derrière le terme de cuisson lente, s’inscrit la cuisson à basse température qui permet de valoriser des muscles du porc de plus faible valeur en améliorant le moelleux et par conséquent la qualité des produits tels que </w:t>
      </w:r>
      <w:r>
        <w:t>l’épaule sans jarret et la poitrine par exemple. En conséquence, certains types de pièces sont préférés selon le mode de gestion et l’organisation logistique d’approvisionnement des repas. En effet trois cas figurent, la préparation et le service s’opèrent sur le même lieu ou bien dans le cas de cuisine centrale, les repas sont préparés pour le compte de plusieurs établissements et l’approvisionnement des repas est effectuée en</w:t>
      </w:r>
      <w:r w:rsidR="00336AD0">
        <w:t xml:space="preserve"> service en</w:t>
      </w:r>
      <w:r>
        <w:t xml:space="preserve"> liaison chaude</w:t>
      </w:r>
      <w:r w:rsidR="00336AD0">
        <w:t xml:space="preserve"> ou</w:t>
      </w:r>
      <w:r>
        <w:t xml:space="preserve"> en liaison froide.</w:t>
      </w:r>
    </w:p>
    <w:p w14:paraId="1DA9B300" w14:textId="0A60605F" w:rsidR="00A9526C" w:rsidRDefault="00A908A8" w:rsidP="00A9526C">
      <w:pPr>
        <w:spacing w:after="0"/>
      </w:pPr>
      <w:r>
        <w:t>Au total des marchés par muscle, la restauration collective serait pour ce qui concerne les viandes</w:t>
      </w:r>
      <w:r w:rsidR="00997C4E">
        <w:t xml:space="preserve">, </w:t>
      </w:r>
      <w:r>
        <w:t xml:space="preserve">dominée par la longe (40 à 50 %) devant l’épaule (environ 30 %) et la poitrine (10 à 15 %). Il faut noter que ces éléments de première lecture nécessiteraient d’être approfondis compte tenu de : </w:t>
      </w:r>
    </w:p>
    <w:p w14:paraId="5697F1EE" w14:textId="40F8A39E" w:rsidR="00A908A8" w:rsidRDefault="00A908A8" w:rsidP="00A9526C">
      <w:pPr>
        <w:spacing w:after="0"/>
      </w:pPr>
      <w:r>
        <w:t xml:space="preserve">- la différence de pratique en lien avec les modes de gestion des établissements </w:t>
      </w:r>
      <w:r>
        <w:br/>
        <w:t xml:space="preserve">concernés qui les conduit à préférer telle ou telle catégorie de produits, </w:t>
      </w:r>
    </w:p>
    <w:p w14:paraId="3425ED57" w14:textId="4BA5934A" w:rsidR="00A908A8" w:rsidRDefault="00A908A8" w:rsidP="00A9526C">
      <w:pPr>
        <w:spacing w:after="0"/>
      </w:pPr>
      <w:r>
        <w:t xml:space="preserve">- l’existence de libellé produits peu explicites ne favorisant pas la bonne affectation produits </w:t>
      </w:r>
      <w:r>
        <w:br/>
        <w:t>par type de pièce primaire,</w:t>
      </w:r>
    </w:p>
    <w:p w14:paraId="2F10F074" w14:textId="3AF6AF77" w:rsidR="00A9526C" w:rsidRDefault="00A908A8" w:rsidP="00A9526C">
      <w:r>
        <w:t>- l’enquête a conduit à privilégier la cible des acheteurs qui dans le cas de centrales d’achat ou de référencement n’ont pas toujours une lecture fine de la mise en œuvre des produits par les établissements.</w:t>
      </w:r>
    </w:p>
    <w:p w14:paraId="208898A9" w14:textId="25FA931B" w:rsidR="00A908A8" w:rsidRDefault="00A908A8" w:rsidP="00A908A8">
      <w:pPr>
        <w:pStyle w:val="Titre3"/>
        <w:numPr>
          <w:ilvl w:val="2"/>
          <w:numId w:val="28"/>
        </w:numPr>
      </w:pPr>
      <w:bookmarkStart w:id="322" w:name="_Toc78131664"/>
      <w:r>
        <w:t>Eléments de contexte et faits marquants par segment de marché :</w:t>
      </w:r>
      <w:bookmarkEnd w:id="322"/>
      <w:r>
        <w:t xml:space="preserve"> </w:t>
      </w:r>
    </w:p>
    <w:p w14:paraId="18EA49CE" w14:textId="119C13B4" w:rsidR="00A908A8" w:rsidRPr="00A908A8" w:rsidRDefault="00A908A8" w:rsidP="00A908A8">
      <w:pPr>
        <w:pStyle w:val="Titre4"/>
        <w:numPr>
          <w:ilvl w:val="3"/>
          <w:numId w:val="28"/>
        </w:numPr>
        <w:rPr>
          <w:rFonts w:eastAsiaTheme="minorHAnsi"/>
        </w:rPr>
      </w:pPr>
      <w:bookmarkStart w:id="323" w:name="_Toc78131665"/>
      <w:r>
        <w:rPr>
          <w:rFonts w:eastAsiaTheme="minorHAnsi"/>
        </w:rPr>
        <w:t>Segment de l’enseignement</w:t>
      </w:r>
      <w:bookmarkEnd w:id="323"/>
      <w:r>
        <w:rPr>
          <w:rFonts w:eastAsiaTheme="minorHAnsi"/>
        </w:rPr>
        <w:t xml:space="preserve"> </w:t>
      </w:r>
    </w:p>
    <w:p w14:paraId="4850277B" w14:textId="77777777" w:rsidR="00A9526C" w:rsidRDefault="00A9526C" w:rsidP="00A9526C">
      <w:pPr>
        <w:spacing w:after="0"/>
        <w:rPr>
          <w:lang w:eastAsia="fr-FR"/>
        </w:rPr>
      </w:pPr>
      <w:r>
        <w:rPr>
          <w:lang w:eastAsia="fr-FR"/>
        </w:rPr>
        <w:t xml:space="preserve">Plusieurs facteurs influent sur la structure de l’offre des produits du porc sur ce segment de l’enseignement en la menaçant. </w:t>
      </w:r>
    </w:p>
    <w:p w14:paraId="25A2DBF8" w14:textId="73C0E235" w:rsidR="00A9526C" w:rsidRDefault="00A9526C" w:rsidP="00A9526C">
      <w:pPr>
        <w:spacing w:after="0"/>
        <w:rPr>
          <w:lang w:eastAsia="fr-FR"/>
        </w:rPr>
      </w:pPr>
      <w:r>
        <w:rPr>
          <w:lang w:eastAsia="fr-FR"/>
        </w:rPr>
        <w:t>La modification des usages avec le transfert progressif, d’un service assis à table vers un mode en self-service notamment en collège et primaire et l’évasion croissante en lycées et enseignement supérieur au profit d’une offre snacking accessible au travers des circuits de vente alternatifs et de la distribution automatique, offre au convive la possibilité de faire ses choix dans la construction de son menu.</w:t>
      </w:r>
    </w:p>
    <w:p w14:paraId="4530928F" w14:textId="2B4AC549" w:rsidR="00A9526C" w:rsidRDefault="00A9526C" w:rsidP="00A9526C">
      <w:pPr>
        <w:spacing w:after="0"/>
        <w:rPr>
          <w:lang w:eastAsia="fr-FR"/>
        </w:rPr>
      </w:pPr>
      <w:r>
        <w:rPr>
          <w:lang w:eastAsia="fr-FR"/>
        </w:rPr>
        <w:t xml:space="preserve">Par ailleurs, les incitations à la lutte contre le gaspillage alimentaire avec la montée des initiatives </w:t>
      </w:r>
      <w:r w:rsidR="008B41CC">
        <w:rPr>
          <w:lang w:eastAsia="fr-FR"/>
        </w:rPr>
        <w:t>« </w:t>
      </w:r>
      <w:r>
        <w:rPr>
          <w:lang w:eastAsia="fr-FR"/>
        </w:rPr>
        <w:t>à chacun sa faim</w:t>
      </w:r>
      <w:r w:rsidR="008B41CC">
        <w:rPr>
          <w:lang w:eastAsia="fr-FR"/>
        </w:rPr>
        <w:t> »</w:t>
      </w:r>
      <w:r>
        <w:rPr>
          <w:lang w:eastAsia="fr-FR"/>
        </w:rPr>
        <w:t xml:space="preserve"> et les actions de sensibilisation au tri des déchets vont dans le sens d’une personnalisation du menu et repositionnent le convive au cœur de la démarche. La dimension merchandising de l’offre au travers de la mise en avant des produits, prend dès lors tout son sens.</w:t>
      </w:r>
      <w:r w:rsidRPr="00A9526C">
        <w:rPr>
          <w:lang w:eastAsia="fr-FR"/>
        </w:rPr>
        <w:t xml:space="preserve"> </w:t>
      </w:r>
      <w:r>
        <w:rPr>
          <w:lang w:eastAsia="fr-FR"/>
        </w:rPr>
        <w:t>Or</w:t>
      </w:r>
      <w:r w:rsidR="008B41CC">
        <w:rPr>
          <w:lang w:eastAsia="fr-FR"/>
        </w:rPr>
        <w:t>,</w:t>
      </w:r>
      <w:r>
        <w:rPr>
          <w:lang w:eastAsia="fr-FR"/>
        </w:rPr>
        <w:t xml:space="preserve"> l’analyse de la structure des menus </w:t>
      </w:r>
      <w:r w:rsidR="008B41CC">
        <w:rPr>
          <w:lang w:eastAsia="fr-FR"/>
        </w:rPr>
        <w:t xml:space="preserve">au travers des données qualitatives </w:t>
      </w:r>
      <w:r>
        <w:rPr>
          <w:lang w:eastAsia="fr-FR"/>
        </w:rPr>
        <w:t>fait état d’une forte dominance des produits de volaille et de steak haché dont on sait qu’ils sont plus consommés par les jeunes.</w:t>
      </w:r>
    </w:p>
    <w:p w14:paraId="2CBD595D" w14:textId="319F89A7" w:rsidR="00A9526C" w:rsidRDefault="00A9526C" w:rsidP="00A9526C">
      <w:pPr>
        <w:spacing w:after="0"/>
        <w:rPr>
          <w:lang w:eastAsia="fr-FR"/>
        </w:rPr>
      </w:pPr>
      <w:r>
        <w:rPr>
          <w:lang w:eastAsia="fr-FR"/>
        </w:rPr>
        <w:t xml:space="preserve">Par ailleurs, alors que les menus sont établis sur la base de 5 composantes (entrée, viande et accompagnement, fromage et dessert), on assiste à une limitation progressive du nombre de composantes d’un repas menaçant notamment l’entrée qui porte justement l’offre charcutière. </w:t>
      </w:r>
    </w:p>
    <w:p w14:paraId="1C3BA736" w14:textId="2B302192" w:rsidR="00A9526C" w:rsidRDefault="00A9526C" w:rsidP="00216763">
      <w:pPr>
        <w:spacing w:after="0"/>
        <w:rPr>
          <w:lang w:eastAsia="fr-FR"/>
        </w:rPr>
      </w:pPr>
      <w:r>
        <w:rPr>
          <w:lang w:eastAsia="fr-FR"/>
        </w:rPr>
        <w:t>En revanche, le développement du digital avec un accès instantané des menus par les parents, au travers du développement d’applications, accompagne la montée des exigences de ces derniers. Cette pression sociétale plus forte s’exprime au travers d’attentes plus marquées en termes de transparence sur l’origine et la qualité des produits ainsi que d’une montée en gamme, constituant en soi une opportunité pour la filière.</w:t>
      </w:r>
    </w:p>
    <w:p w14:paraId="32FA3141" w14:textId="5BB9D6B7" w:rsidR="00A9526C" w:rsidRPr="00A9526C" w:rsidRDefault="00A9526C" w:rsidP="00336AD0">
      <w:pPr>
        <w:pStyle w:val="Titre4"/>
        <w:numPr>
          <w:ilvl w:val="3"/>
          <w:numId w:val="28"/>
        </w:numPr>
        <w:rPr>
          <w:rFonts w:eastAsiaTheme="minorHAnsi"/>
        </w:rPr>
      </w:pPr>
      <w:bookmarkStart w:id="324" w:name="_Toc78131666"/>
      <w:r>
        <w:rPr>
          <w:rFonts w:eastAsiaTheme="minorHAnsi"/>
        </w:rPr>
        <w:lastRenderedPageBreak/>
        <w:t>Segment du médico</w:t>
      </w:r>
      <w:r w:rsidR="00336AD0">
        <w:rPr>
          <w:rFonts w:eastAsiaTheme="minorHAnsi"/>
        </w:rPr>
        <w:t>-</w:t>
      </w:r>
      <w:r>
        <w:rPr>
          <w:rFonts w:eastAsiaTheme="minorHAnsi"/>
        </w:rPr>
        <w:t>social</w:t>
      </w:r>
      <w:bookmarkEnd w:id="324"/>
      <w:r>
        <w:rPr>
          <w:rFonts w:eastAsiaTheme="minorHAnsi"/>
        </w:rPr>
        <w:t xml:space="preserve"> </w:t>
      </w:r>
    </w:p>
    <w:p w14:paraId="2FE59F74" w14:textId="53ECA1DA" w:rsidR="00336AD0" w:rsidRDefault="00336AD0" w:rsidP="00336AD0">
      <w:r w:rsidRPr="00336AD0">
        <w:rPr>
          <w:lang w:eastAsia="fr-FR"/>
        </w:rPr>
        <w:t>Au sein du segment sont distingués le secteur de la santé et du social parmi lesquels les maisons de retraite</w:t>
      </w:r>
      <w:r>
        <w:rPr>
          <w:lang w:eastAsia="fr-FR"/>
        </w:rPr>
        <w:t xml:space="preserve"> avec des déterminants communs sur l’évolution de la consommation des produits du porc. Le premier concerne le vieillissement avec en</w:t>
      </w:r>
      <w:r w:rsidRPr="00336AD0">
        <w:t xml:space="preserve"> 2060, 23,6 millions de personnes </w:t>
      </w:r>
      <w:r>
        <w:t>qui seront</w:t>
      </w:r>
      <w:r w:rsidRPr="00336AD0">
        <w:t xml:space="preserve"> âgées de 60 ans ou plus en France, soit une hausse de 80</w:t>
      </w:r>
      <w:r w:rsidR="00FB4AD4">
        <w:t> </w:t>
      </w:r>
      <w:r w:rsidRPr="00336AD0">
        <w:t xml:space="preserve">% sur une cinquantaine d'années </w:t>
      </w:r>
      <w:r>
        <w:t>selon l’Insee</w:t>
      </w:r>
      <w:r w:rsidRPr="00336AD0">
        <w:t xml:space="preserve">. </w:t>
      </w:r>
      <w:r>
        <w:t>Cet afflux de population a conduit les établissements à se tourner massivement il y a quelques années vers des solutions repas simplifiées au travers des repas mixés qui représenteraient encore en 2018 environ 15 à 20</w:t>
      </w:r>
      <w:r w:rsidR="00FB4AD4">
        <w:t> </w:t>
      </w:r>
      <w:r>
        <w:t xml:space="preserve">% des repas. </w:t>
      </w:r>
    </w:p>
    <w:p w14:paraId="3D701A31" w14:textId="10A994F5" w:rsidR="00336AD0" w:rsidRDefault="00336AD0" w:rsidP="00336AD0">
      <w:r>
        <w:t xml:space="preserve">Ces repas à texture modifiée associés au « manger main », concernent principalement le jambon devant le rôti. Dans la plupart des cas, ces repas sont élaborés sur site mais l’analyse de l’offre montre dans le domaine de la santé, la prédominance de produits transformés prêts à servir sous la forme de jambon hâché grossièrement jusqu’au mixé de jambon lisse. La part de jambon cuit peu atteindre plus de la moitié des produits de charcuterie salaison. </w:t>
      </w:r>
    </w:p>
    <w:p w14:paraId="253AC795" w14:textId="0D3486E0" w:rsidR="00336AD0" w:rsidRDefault="00336AD0" w:rsidP="00336AD0">
      <w:r>
        <w:t xml:space="preserve">A rebours, les maisons de retraite dans le secteur du social, trouvent dans l’alimentation un moyen de se différencier dans la mesure où pour les séniors, le repas constitue un point d’intérêt important de la journée. La dimension plaisir pourrait par conséquent, en être renforcée. </w:t>
      </w:r>
      <w:r w:rsidRPr="00336AD0">
        <w:t>Or, selon l’étude Institut de la Nutrition</w:t>
      </w:r>
      <w:r w:rsidR="00BD3831">
        <w:t xml:space="preserve"> et </w:t>
      </w:r>
      <w:r w:rsidRPr="00336AD0">
        <w:t xml:space="preserve">Credoc </w:t>
      </w:r>
      <w:r w:rsidR="00BD3831">
        <w:t xml:space="preserve">de </w:t>
      </w:r>
      <w:r w:rsidRPr="00336AD0">
        <w:t>2020, pour seulement 24</w:t>
      </w:r>
      <w:r w:rsidR="00FB4AD4">
        <w:t> </w:t>
      </w:r>
      <w:r w:rsidRPr="00336AD0">
        <w:t xml:space="preserve">%, le plaisir est </w:t>
      </w:r>
      <w:r w:rsidR="00BD3831">
        <w:t xml:space="preserve">associé à </w:t>
      </w:r>
      <w:r w:rsidRPr="00336AD0">
        <w:t>une motivation</w:t>
      </w:r>
      <w:r w:rsidR="00BD3831">
        <w:t xml:space="preserve"> contre 75</w:t>
      </w:r>
      <w:r w:rsidR="00FB4AD4">
        <w:t> </w:t>
      </w:r>
      <w:r w:rsidR="00BD3831">
        <w:t>% pour l’habitude</w:t>
      </w:r>
      <w:r w:rsidRPr="00336AD0">
        <w:t>.</w:t>
      </w:r>
      <w:r>
        <w:t xml:space="preserve"> Par ailleurs, dans le secteur de la santé, </w:t>
      </w:r>
      <w:r w:rsidRPr="00336AD0">
        <w:t>20</w:t>
      </w:r>
      <w:r w:rsidR="00FB4AD4">
        <w:t> </w:t>
      </w:r>
      <w:r w:rsidRPr="00336AD0">
        <w:t xml:space="preserve">% des plateaux </w:t>
      </w:r>
      <w:r>
        <w:t xml:space="preserve">seraient </w:t>
      </w:r>
      <w:r w:rsidRPr="00336AD0">
        <w:t>non consommés</w:t>
      </w:r>
      <w:r>
        <w:t>. L’attention portée au gaspillage et au bien</w:t>
      </w:r>
      <w:r w:rsidR="00FB4AD4">
        <w:t>-</w:t>
      </w:r>
      <w:r>
        <w:t xml:space="preserve">être au travers de l’alimentation </w:t>
      </w:r>
      <w:r w:rsidRPr="00336AD0">
        <w:t>revient sur le devant de la scène comme un facteur favorable au rétablissement</w:t>
      </w:r>
      <w:r>
        <w:t xml:space="preserve"> tel qu’en témoignent les dire d’expert.</w:t>
      </w:r>
    </w:p>
    <w:p w14:paraId="558B686D" w14:textId="632B6AF6" w:rsidR="00336AD0" w:rsidRDefault="00336AD0" w:rsidP="00336AD0">
      <w:r>
        <w:t>D’une manière générale dans l’enseignement, la santé et les maisons de retraite voient croître une pression sociale qui constitue une opportunité pour les produits du porc au travers du développement de la part des produits sous signe de qualité.</w:t>
      </w:r>
    </w:p>
    <w:p w14:paraId="3A581405" w14:textId="46C8D029" w:rsidR="00336AD0" w:rsidRPr="00336AD0" w:rsidRDefault="00336AD0" w:rsidP="00336AD0">
      <w:pPr>
        <w:rPr>
          <w:lang w:eastAsia="fr-FR"/>
        </w:rPr>
      </w:pPr>
      <w:r>
        <w:rPr>
          <w:lang w:eastAsia="fr-FR"/>
        </w:rPr>
        <w:t>Tel que mentionné plus haut, l’o</w:t>
      </w:r>
      <w:r w:rsidRPr="00336AD0">
        <w:t xml:space="preserve">rganisation </w:t>
      </w:r>
      <w:r>
        <w:t xml:space="preserve">du mode de gestion conditionne les choix d’offre en matière de viande de porc. Dans le domaine de la santé, la massification des achats et la recherche d’économie a conduit à un modèle prédominant que sont les </w:t>
      </w:r>
      <w:r w:rsidRPr="00336AD0">
        <w:t>cuisine</w:t>
      </w:r>
      <w:r>
        <w:t>s</w:t>
      </w:r>
      <w:r w:rsidRPr="00336AD0">
        <w:t xml:space="preserve"> centrale</w:t>
      </w:r>
      <w:r>
        <w:t>s</w:t>
      </w:r>
      <w:r w:rsidRPr="00336AD0">
        <w:t xml:space="preserve"> éloignée</w:t>
      </w:r>
      <w:r>
        <w:t>s</w:t>
      </w:r>
      <w:r w:rsidRPr="00336AD0">
        <w:t xml:space="preserve"> du lieu de consommation</w:t>
      </w:r>
      <w:r>
        <w:t xml:space="preserve"> des repas. Le service s’effectue en liaison froide ou en liaison chaude avec un maintien au chaud à plus de 65°C conditionnant le choix des pièces de porc mises en œuvre. </w:t>
      </w:r>
    </w:p>
    <w:p w14:paraId="1486D2C1" w14:textId="4037A008" w:rsidR="00336AD0" w:rsidRPr="00A9526C" w:rsidRDefault="00336AD0" w:rsidP="00336AD0">
      <w:pPr>
        <w:pStyle w:val="Titre4"/>
        <w:numPr>
          <w:ilvl w:val="3"/>
          <w:numId w:val="28"/>
        </w:numPr>
        <w:rPr>
          <w:rFonts w:eastAsiaTheme="minorHAnsi"/>
        </w:rPr>
      </w:pPr>
      <w:bookmarkStart w:id="325" w:name="_Toc78131667"/>
      <w:r>
        <w:rPr>
          <w:rFonts w:eastAsiaTheme="minorHAnsi"/>
        </w:rPr>
        <w:t>Segment du travail</w:t>
      </w:r>
      <w:bookmarkEnd w:id="325"/>
    </w:p>
    <w:p w14:paraId="39724883" w14:textId="33270057" w:rsidR="00336AD0" w:rsidRDefault="00336AD0" w:rsidP="0086583D">
      <w:r w:rsidRPr="00336AD0">
        <w:t>Avec 40% des</w:t>
      </w:r>
      <w:r>
        <w:t xml:space="preserve"> besoins de la population</w:t>
      </w:r>
      <w:r w:rsidR="00692F02">
        <w:t xml:space="preserve"> ou RNP</w:t>
      </w:r>
      <w:r w:rsidR="00692F02">
        <w:rPr>
          <w:rStyle w:val="Appelnotedebasdep"/>
        </w:rPr>
        <w:footnoteReference w:id="14"/>
      </w:r>
      <w:r w:rsidRPr="00336AD0">
        <w:t xml:space="preserve">, le déjeuner représente le repas principal de la journée pour les adultes. </w:t>
      </w:r>
      <w:r>
        <w:t>On assiste au travers de l’analyse des menus à une part importante des propositions solutions</w:t>
      </w:r>
      <w:r w:rsidRPr="00336AD0">
        <w:t xml:space="preserve"> </w:t>
      </w:r>
      <w:r>
        <w:t>de type</w:t>
      </w:r>
      <w:r w:rsidRPr="00336AD0">
        <w:t xml:space="preserve"> snacking</w:t>
      </w:r>
      <w:r>
        <w:t xml:space="preserve"> (sandwiches, croque-monsieur, salades) proposées en auto-fabrication par les établissements. En conséquence, leur part relative est difficilement quantifiable. En ce qui concerne les viandes, la part de produits en cuisson rapide (grillades, sautés d’épaule) est supérieure pour certains opérateurs interrogés avec plus de 45</w:t>
      </w:r>
      <w:r w:rsidR="00FB4AD4">
        <w:t> </w:t>
      </w:r>
      <w:r>
        <w:t xml:space="preserve">%. </w:t>
      </w:r>
    </w:p>
    <w:p w14:paraId="6426461E" w14:textId="4B52AE9A" w:rsidR="00336AD0" w:rsidRPr="00336AD0" w:rsidRDefault="00336AD0" w:rsidP="0086583D">
      <w:r>
        <w:t>Plus globalement, la</w:t>
      </w:r>
      <w:r w:rsidRPr="00336AD0">
        <w:t xml:space="preserve"> volonté de</w:t>
      </w:r>
      <w:r>
        <w:t>s convives de</w:t>
      </w:r>
      <w:r w:rsidRPr="00336AD0">
        <w:t xml:space="preserve"> maîtriser leur alimentation </w:t>
      </w:r>
      <w:r w:rsidR="0034634B">
        <w:t xml:space="preserve">est présente </w:t>
      </w:r>
      <w:r w:rsidRPr="00336AD0">
        <w:t>avec des enjeux de santé, de bien</w:t>
      </w:r>
      <w:r>
        <w:t>-</w:t>
      </w:r>
      <w:r w:rsidRPr="00336AD0">
        <w:t>être et de consommation raisonnée, tout en maîtrisant le coût moyen du repas</w:t>
      </w:r>
      <w:r>
        <w:t xml:space="preserve">. Ce contexte se traduit de la part de certains opérateurs par la recherche de montée en gamme avec de nombreux freins </w:t>
      </w:r>
      <w:r w:rsidR="0034634B">
        <w:t xml:space="preserve">économique </w:t>
      </w:r>
      <w:r w:rsidR="0097771E">
        <w:t xml:space="preserve">notamment en ce qui concerne </w:t>
      </w:r>
      <w:r>
        <w:t>la filière porcine</w:t>
      </w:r>
      <w:r w:rsidR="0034634B">
        <w:t>.</w:t>
      </w:r>
    </w:p>
    <w:p w14:paraId="003465CF" w14:textId="067FB9D1" w:rsidR="0079638B" w:rsidRPr="0086583D" w:rsidRDefault="00245FD9" w:rsidP="0086583D">
      <w:pPr>
        <w:pStyle w:val="Titre3"/>
        <w:numPr>
          <w:ilvl w:val="2"/>
          <w:numId w:val="28"/>
        </w:numPr>
      </w:pPr>
      <w:bookmarkStart w:id="326" w:name="_Toc78131668"/>
      <w:r w:rsidRPr="0086583D">
        <w:rPr>
          <w:rStyle w:val="Titre3Car"/>
        </w:rPr>
        <w:lastRenderedPageBreak/>
        <w:t>Approche de la part d’importation</w:t>
      </w:r>
      <w:r w:rsidRPr="0086583D">
        <w:t xml:space="preserve"> et des produits surgelés</w:t>
      </w:r>
      <w:bookmarkEnd w:id="326"/>
    </w:p>
    <w:p w14:paraId="0FC93B8F" w14:textId="6696186F" w:rsidR="0086583D" w:rsidRDefault="0034634B" w:rsidP="0034634B">
      <w:pPr>
        <w:spacing w:before="120"/>
      </w:pPr>
      <w:r>
        <w:t>La v</w:t>
      </w:r>
      <w:r w:rsidRPr="0034634B">
        <w:t xml:space="preserve">iande de porc </w:t>
      </w:r>
      <w:r>
        <w:t xml:space="preserve">avec une part des volumes de </w:t>
      </w:r>
      <w:r w:rsidRPr="0034634B">
        <w:t>70</w:t>
      </w:r>
      <w:r w:rsidR="00FB4AD4">
        <w:t> </w:t>
      </w:r>
      <w:r w:rsidRPr="0034634B">
        <w:t>%</w:t>
      </w:r>
      <w:r>
        <w:t xml:space="preserve"> en frais</w:t>
      </w:r>
      <w:r w:rsidRPr="0034634B">
        <w:t xml:space="preserve"> </w:t>
      </w:r>
      <w:r>
        <w:t>domine devant le c</w:t>
      </w:r>
      <w:r w:rsidRPr="0034634B">
        <w:t xml:space="preserve">ongelé </w:t>
      </w:r>
      <w:r>
        <w:t>(</w:t>
      </w:r>
      <w:r w:rsidRPr="0034634B">
        <w:t>30</w:t>
      </w:r>
      <w:r w:rsidR="00FB4AD4">
        <w:t> </w:t>
      </w:r>
      <w:r w:rsidRPr="0034634B">
        <w:t>%</w:t>
      </w:r>
      <w:r>
        <w:t>)</w:t>
      </w:r>
      <w:r w:rsidRPr="0034634B">
        <w:t>.</w:t>
      </w:r>
      <w:r>
        <w:t xml:space="preserve"> Certains établissements parmi les acteurs du marché enquêtés revendiquent le fait de ne travailler qu’en frais. </w:t>
      </w:r>
      <w:r w:rsidR="004E5F63">
        <w:t>En revanche, auprès des établissements concédés qui représentent au global 40</w:t>
      </w:r>
      <w:r w:rsidR="00FB4AD4">
        <w:t> </w:t>
      </w:r>
      <w:r w:rsidR="004E5F63">
        <w:t>% des prestations réalisées en restauration collective, la part de surgelé peut atteindre plus de 45</w:t>
      </w:r>
      <w:r w:rsidR="00FB4AD4">
        <w:t> </w:t>
      </w:r>
      <w:r w:rsidR="004E5F63">
        <w:t xml:space="preserve">%. </w:t>
      </w:r>
      <w:r>
        <w:t>L</w:t>
      </w:r>
      <w:r w:rsidR="0086583D">
        <w:t>’adoption de</w:t>
      </w:r>
      <w:r>
        <w:t xml:space="preserve"> produits congelés </w:t>
      </w:r>
      <w:r w:rsidR="0086583D">
        <w:t>est</w:t>
      </w:r>
      <w:r w:rsidR="004E5F63">
        <w:t xml:space="preserve"> principalement motivé</w:t>
      </w:r>
      <w:r w:rsidR="0086583D">
        <w:t>e</w:t>
      </w:r>
      <w:r w:rsidR="004E5F63">
        <w:t xml:space="preserve"> par le fait d’apporter</w:t>
      </w:r>
      <w:r>
        <w:t xml:space="preserve"> une réponse économique</w:t>
      </w:r>
      <w:r w:rsidR="004E5F63">
        <w:t xml:space="preserve"> alternative aux produits frais</w:t>
      </w:r>
      <w:r>
        <w:t xml:space="preserve"> et constituent en général dans le portefeuille d’offre, une gamme courte </w:t>
      </w:r>
      <w:r w:rsidR="004E5F63">
        <w:t xml:space="preserve">de quelques références. Celle-ci est issue majoritairement </w:t>
      </w:r>
      <w:r>
        <w:t>de l’importation</w:t>
      </w:r>
      <w:r w:rsidR="004E5F63">
        <w:t xml:space="preserve"> en provenance de l’union européenne sans qu’une provenance particulière ne se soit distinguée au cours des entretiens</w:t>
      </w:r>
      <w:r>
        <w:t>.</w:t>
      </w:r>
      <w:r w:rsidR="004E5F63">
        <w:t xml:space="preserve"> L’approche économique prévaut et les produits </w:t>
      </w:r>
      <w:r w:rsidR="0097771E">
        <w:t xml:space="preserve">constituant les gammes de produits surgelés, </w:t>
      </w:r>
      <w:r w:rsidR="004E5F63">
        <w:t>correspond</w:t>
      </w:r>
      <w:r w:rsidR="0097771E">
        <w:t>e</w:t>
      </w:r>
      <w:r w:rsidR="004E5F63">
        <w:t>nt aux références à plus forte rotation existantes en frais. En conséquence, sont concernés les produits issus de la longe tels que rôtis, côtes, escalopes, échines et des produits issus d’épaule soient sautés et dans une moindre mesure des rôtis.</w:t>
      </w:r>
    </w:p>
    <w:p w14:paraId="6CF2EE7D" w14:textId="41174B9D" w:rsidR="0086583D" w:rsidRDefault="004E5F63" w:rsidP="0086583D">
      <w:r>
        <w:t>La charcuterie est très majoritairement portée par des produits frais à plus de 85</w:t>
      </w:r>
      <w:r w:rsidR="00FB4AD4">
        <w:t> </w:t>
      </w:r>
      <w:r>
        <w:t>%. Les produits surgelés concernent des lardons et des jambons cuits</w:t>
      </w:r>
      <w:r w:rsidR="0086583D">
        <w:t xml:space="preserve"> DD. Les produits frais issus de l’importation en charcuterie concernent principalement la saucisserie sèche au travers du chorizo. La part d’importation en produits frais représenterait moins de 20</w:t>
      </w:r>
      <w:r w:rsidR="00FB4AD4">
        <w:t> </w:t>
      </w:r>
      <w:r w:rsidR="0086583D">
        <w:t>%.</w:t>
      </w:r>
    </w:p>
    <w:p w14:paraId="703CB5B1" w14:textId="2239AFEF" w:rsidR="0086583D" w:rsidRDefault="0086583D" w:rsidP="0086583D">
      <w:r>
        <w:t>D’une manière générale, les</w:t>
      </w:r>
      <w:r w:rsidR="0034634B">
        <w:t xml:space="preserve"> produits concernés par une mise en avant de l’origine</w:t>
      </w:r>
      <w:r>
        <w:t xml:space="preserve"> au travers du libellé produits</w:t>
      </w:r>
      <w:r w:rsidR="0034634B">
        <w:t xml:space="preserve"> </w:t>
      </w:r>
      <w:r>
        <w:t>(</w:t>
      </w:r>
      <w:r w:rsidR="00CE7C8B">
        <w:t>circuit commande livraison, facturation sans aller jusqu’à la communication au convive</w:t>
      </w:r>
      <w:r>
        <w:t xml:space="preserve">) </w:t>
      </w:r>
      <w:r w:rsidR="0034634B">
        <w:t>se situ</w:t>
      </w:r>
      <w:r>
        <w:t>erai</w:t>
      </w:r>
      <w:r w:rsidR="004E5F63">
        <w:t>t</w:t>
      </w:r>
      <w:r>
        <w:t xml:space="preserve"> selon les opérateurs</w:t>
      </w:r>
      <w:r w:rsidR="0034634B">
        <w:t xml:space="preserve"> </w:t>
      </w:r>
      <w:r>
        <w:t xml:space="preserve">et les segments de marché </w:t>
      </w:r>
      <w:r w:rsidR="0034634B">
        <w:t>entre 5</w:t>
      </w:r>
      <w:r w:rsidR="00FB4AD4">
        <w:t> </w:t>
      </w:r>
      <w:r w:rsidR="0034634B">
        <w:t>% et 15</w:t>
      </w:r>
      <w:r w:rsidR="00FB4AD4">
        <w:t> </w:t>
      </w:r>
      <w:r w:rsidR="0034634B">
        <w:t>% de l’offre</w:t>
      </w:r>
      <w:r>
        <w:t xml:space="preserve">. L’analyse qualitative des menus </w:t>
      </w:r>
      <w:r w:rsidR="00CE7C8B">
        <w:t xml:space="preserve">sur plusieurs mois </w:t>
      </w:r>
      <w:r>
        <w:t xml:space="preserve">de </w:t>
      </w:r>
      <w:r w:rsidR="00CE7C8B">
        <w:t>quelques</w:t>
      </w:r>
      <w:r>
        <w:t xml:space="preserve"> établissements vient confirmer ce point.</w:t>
      </w:r>
    </w:p>
    <w:p w14:paraId="02B86569" w14:textId="20E1B9FA" w:rsidR="0034634B" w:rsidRPr="0034634B" w:rsidRDefault="0086583D" w:rsidP="0086583D">
      <w:pPr>
        <w:pStyle w:val="Titre3"/>
        <w:numPr>
          <w:ilvl w:val="2"/>
          <w:numId w:val="28"/>
        </w:numPr>
        <w:rPr>
          <w:rFonts w:eastAsiaTheme="minorHAnsi"/>
        </w:rPr>
      </w:pPr>
      <w:bookmarkStart w:id="327" w:name="_Toc78131669"/>
      <w:r>
        <w:rPr>
          <w:rStyle w:val="Titre2Car"/>
          <w:rFonts w:eastAsiaTheme="minorHAnsi"/>
        </w:rPr>
        <w:t>Estimation de la part des produits sous signe de qualité</w:t>
      </w:r>
      <w:bookmarkEnd w:id="327"/>
      <w:r w:rsidR="0034634B" w:rsidRPr="0086583D">
        <w:rPr>
          <w:rStyle w:val="Titre2Car"/>
          <w:rFonts w:eastAsiaTheme="minorHAnsi"/>
        </w:rPr>
        <w:t xml:space="preserve"> </w:t>
      </w:r>
    </w:p>
    <w:p w14:paraId="6B36FFCD" w14:textId="13829493" w:rsidR="0086583D" w:rsidRDefault="0086583D" w:rsidP="0086583D">
      <w:r>
        <w:t>En réponse aux attentes des convives tel qu’évoqué plus haut, la volonté de tendre vers une montée en gamme en développant la part des produits sous signe de qualité ou en « démarche de qualité » est présente chez l’ensemble des opérateurs. Certains d’entre eux témoignent d’ailleurs d’approches de contractualisation sur d’autres espèces telles que des volailles sous label dans lesquelles en contrepartie d’une mise à disposition de volumes, l’opérateur de la restauration collective s’engage à valoriser et commercialiser l’ensemble de l’animal, faisant jouer la péréquation. Cependant au regard des déséquilibres matières, cette approche est difficilement transposable en porc.</w:t>
      </w:r>
    </w:p>
    <w:p w14:paraId="35569496" w14:textId="1991A898" w:rsidR="0086583D" w:rsidRDefault="0086583D" w:rsidP="0086583D">
      <w:r>
        <w:t xml:space="preserve">Dans les faits, compte tenu de marchés sur lesquels la tension prix est élevée, la part des produits sous SIQO </w:t>
      </w:r>
      <w:r w:rsidR="00692F02">
        <w:t xml:space="preserve">enregistre </w:t>
      </w:r>
      <w:r>
        <w:t xml:space="preserve">une relative variabilité d’un opérateur à l’autre et d’autre part </w:t>
      </w:r>
      <w:r w:rsidR="00692F02">
        <w:t>fait l’objet</w:t>
      </w:r>
      <w:r>
        <w:t xml:space="preserve"> de nombreux freins. </w:t>
      </w:r>
      <w:r w:rsidR="00CE7C8B">
        <w:t>De plus le</w:t>
      </w:r>
      <w:r>
        <w:t xml:space="preserve"> choix parmi les signes de qualité se porte sur ceux permettant de concilier des bénéfices additionnels perçus par le convive à </w:t>
      </w:r>
      <w:r w:rsidR="00CE7C8B">
        <w:t xml:space="preserve">un </w:t>
      </w:r>
      <w:r>
        <w:t xml:space="preserve">coût </w:t>
      </w:r>
      <w:r w:rsidR="00CE7C8B">
        <w:t>conciliable avec le</w:t>
      </w:r>
      <w:r>
        <w:t xml:space="preserve"> coût denrée d</w:t>
      </w:r>
      <w:r w:rsidR="00264A49">
        <w:t>’une prestation</w:t>
      </w:r>
      <w:r>
        <w:t>.</w:t>
      </w:r>
    </w:p>
    <w:p w14:paraId="0677BDF9" w14:textId="70DD1CEF" w:rsidR="00692F02" w:rsidRDefault="00692F02" w:rsidP="0086583D">
      <w:r>
        <w:t>Pour illustrer le propos, les produits locaux seront préférés aux produits Bio, l’approvisionnement local pour un produit étant perçu comme un attribut de qualité.</w:t>
      </w:r>
      <w:r w:rsidR="00CE7C8B">
        <w:t xml:space="preserve"> </w:t>
      </w:r>
      <w:r>
        <w:t xml:space="preserve">Historiquement, la restauration collective travaille </w:t>
      </w:r>
      <w:r w:rsidR="00CE7C8B">
        <w:t>également une part de</w:t>
      </w:r>
      <w:r>
        <w:t xml:space="preserve"> produits </w:t>
      </w:r>
      <w:r w:rsidR="00644679">
        <w:t>sous</w:t>
      </w:r>
      <w:r w:rsidR="00CE7C8B">
        <w:t xml:space="preserve"> </w:t>
      </w:r>
      <w:r w:rsidR="00574C9C">
        <w:t xml:space="preserve">critère </w:t>
      </w:r>
      <w:r w:rsidR="00CE7C8B">
        <w:t xml:space="preserve">qualité </w:t>
      </w:r>
      <w:r>
        <w:t>certi</w:t>
      </w:r>
      <w:r w:rsidR="00CE7C8B">
        <w:t>f</w:t>
      </w:r>
      <w:r>
        <w:t>iés</w:t>
      </w:r>
      <w:r w:rsidR="00574C9C">
        <w:t xml:space="preserve"> (Certification de Conformité Produit) </w:t>
      </w:r>
      <w:r w:rsidR="00574C9C">
        <w:rPr>
          <w:rStyle w:val="Appelnotedebasdep"/>
        </w:rPr>
        <w:footnoteReference w:id="15"/>
      </w:r>
      <w:r>
        <w:t xml:space="preserve"> </w:t>
      </w:r>
      <w:r w:rsidR="00CE7C8B">
        <w:t>notamment en saucisserie</w:t>
      </w:r>
      <w:r w:rsidR="00574C9C">
        <w:t xml:space="preserve"> (saucisse de Toulous</w:t>
      </w:r>
      <w:r w:rsidR="00644679">
        <w:t>e</w:t>
      </w:r>
      <w:r w:rsidR="00574C9C">
        <w:t>,</w:t>
      </w:r>
      <w:r w:rsidR="00644679">
        <w:t xml:space="preserve"> saucisse de Montbéliard,</w:t>
      </w:r>
      <w:r w:rsidR="00574C9C">
        <w:t xml:space="preserve"> andouillette de Troyes</w:t>
      </w:r>
      <w:r w:rsidR="00644679">
        <w:t>.</w:t>
      </w:r>
      <w:r w:rsidR="00574C9C">
        <w:t>..).</w:t>
      </w:r>
      <w:r w:rsidR="00644679">
        <w:t xml:space="preserve"> Les IGP notamment Sud-Ouest sont également retrouvées.</w:t>
      </w:r>
    </w:p>
    <w:p w14:paraId="5DCE678B" w14:textId="393FBDF7" w:rsidR="00644679" w:rsidRDefault="0086583D" w:rsidP="0086583D">
      <w:r>
        <w:lastRenderedPageBreak/>
        <w:t xml:space="preserve">Les </w:t>
      </w:r>
      <w:r w:rsidR="00574C9C">
        <w:t>signes de qualité</w:t>
      </w:r>
      <w:r>
        <w:t xml:space="preserve"> </w:t>
      </w:r>
      <w:r w:rsidR="00574C9C">
        <w:t>les plus diffusés,</w:t>
      </w:r>
      <w:r>
        <w:t xml:space="preserve"> sont </w:t>
      </w:r>
      <w:r w:rsidR="00692F02">
        <w:t xml:space="preserve">en conséquence </w:t>
      </w:r>
      <w:r w:rsidR="00574C9C">
        <w:t xml:space="preserve">le signe </w:t>
      </w:r>
      <w:r w:rsidR="0034634B" w:rsidRPr="0034634B">
        <w:t xml:space="preserve">Bleu Blanc Cœur, </w:t>
      </w:r>
      <w:r w:rsidR="00644679">
        <w:t xml:space="preserve">l’appellation produits fermiers, </w:t>
      </w:r>
      <w:r w:rsidR="00574C9C">
        <w:t xml:space="preserve">le </w:t>
      </w:r>
      <w:r w:rsidR="0034634B" w:rsidRPr="0034634B">
        <w:t>Label Rouge</w:t>
      </w:r>
      <w:r w:rsidR="00574C9C">
        <w:t xml:space="preserve"> et le </w:t>
      </w:r>
      <w:r w:rsidR="0034634B" w:rsidRPr="0034634B">
        <w:t>Bio.</w:t>
      </w:r>
      <w:r w:rsidR="00574C9C">
        <w:t xml:space="preserve"> Le Label Rouge est porté par la rosette, le jambon cuit, le pâté croûte. </w:t>
      </w:r>
      <w:r w:rsidR="00644679">
        <w:t xml:space="preserve">Le bio est développé au travers d’initiatives locales (dans le </w:t>
      </w:r>
      <w:r w:rsidR="008A2CC0">
        <w:t>Sud-Ouest</w:t>
      </w:r>
      <w:r w:rsidR="00644679">
        <w:t xml:space="preserve">, en Ille de France, en Bretagne) au travers de gammes larges tant en viande qu’en charcuterie notamment sur le segment de l’enseignement. </w:t>
      </w:r>
    </w:p>
    <w:p w14:paraId="3EAE80C2" w14:textId="395CEDA6" w:rsidR="00932BF3" w:rsidRPr="0002537E" w:rsidRDefault="00574C9C" w:rsidP="0086583D">
      <w:r>
        <w:t xml:space="preserve">L’ensemble des produits sous signe de qualité </w:t>
      </w:r>
      <w:r w:rsidR="00644679">
        <w:t>se positionnerait en moyenne dans une fourchette de</w:t>
      </w:r>
      <w:r>
        <w:t xml:space="preserve"> </w:t>
      </w:r>
      <w:r w:rsidR="00644679">
        <w:t>5</w:t>
      </w:r>
      <w:r w:rsidR="00FB4AD4">
        <w:t> </w:t>
      </w:r>
      <w:r w:rsidR="00644679">
        <w:t>% des volumes du marché</w:t>
      </w:r>
      <w:r>
        <w:t xml:space="preserve"> </w:t>
      </w:r>
      <w:r w:rsidR="00644679">
        <w:t>dans un intervalle de 3 à 10</w:t>
      </w:r>
      <w:r w:rsidR="00FB4AD4">
        <w:t> </w:t>
      </w:r>
      <w:r w:rsidR="00644679">
        <w:t xml:space="preserve">% selon la politique d’offre des opérateurs </w:t>
      </w:r>
      <w:r>
        <w:t>et concerne principalement les produits de charcuterie</w:t>
      </w:r>
      <w:r w:rsidR="00644679">
        <w:t xml:space="preserve">. </w:t>
      </w:r>
    </w:p>
    <w:p w14:paraId="4BB6C327" w14:textId="6D7A31C4" w:rsidR="00932BF3" w:rsidRPr="0045316E" w:rsidRDefault="0045316E" w:rsidP="0002537E">
      <w:pPr>
        <w:pStyle w:val="Titre1"/>
        <w:numPr>
          <w:ilvl w:val="0"/>
          <w:numId w:val="28"/>
        </w:numPr>
        <w:rPr>
          <w:lang w:val="en-US"/>
        </w:rPr>
      </w:pPr>
      <w:bookmarkStart w:id="328" w:name="_Toc78131670"/>
      <w:r>
        <w:rPr>
          <w:lang w:val="en-US"/>
        </w:rPr>
        <w:t>Conclusion</w:t>
      </w:r>
      <w:bookmarkEnd w:id="328"/>
      <w:r>
        <w:rPr>
          <w:lang w:val="en-US"/>
        </w:rPr>
        <w:t xml:space="preserve"> </w:t>
      </w:r>
    </w:p>
    <w:p w14:paraId="154ED1C2" w14:textId="1D583B87" w:rsidR="00F93CCB" w:rsidRDefault="00F93CCB" w:rsidP="00F93CCB">
      <w:r>
        <w:t>A partir de l’analyse des pertes, la fraction comestible à hauteur de 2</w:t>
      </w:r>
      <w:r w:rsidR="00FB4AD4">
        <w:t> </w:t>
      </w:r>
      <w:r>
        <w:t>170</w:t>
      </w:r>
      <w:r w:rsidR="00FB4AD4">
        <w:t> </w:t>
      </w:r>
      <w:r>
        <w:t>kt a pu être déduite de la fraction collectée par les adhérents de l’organisme SIFCO. De proche en proche chacune des étapes de découpe et de transformation a été interrogée tenant compte des pertes et des rendements estimés à partir de l’expertise des équipes du pôle viande de l’IFIP et croisées par enquête. Le taux de couverture des enquêtes privées (panels et observatoire) de suivi des marchés finaux ont été de manière méthodique interrogés afin d’introduire des indicateurs de pondération et ainsi favoriser l’estimation finale de la taille des marchés. Ces éléments restent cependant très fragiles, les acteurs interrogés n’ayant pas une lecture fine de leur part de marché. Enfin, la part des produits du porc incorporée en tant que PAI dans les prod</w:t>
      </w:r>
      <w:r w:rsidR="00FB4AD4">
        <w:t>u</w:t>
      </w:r>
      <w:r>
        <w:t>its traiteurs, a été quantifiée. L’ensemble des données consolidées sont représentées au travers du schéma de synthèse figurant ci-après.</w:t>
      </w:r>
    </w:p>
    <w:p w14:paraId="1126839E" w14:textId="3AE8640D" w:rsidR="00F93CCB" w:rsidRDefault="00F93CCB" w:rsidP="0086583D">
      <w:r>
        <w:t>Persistent de nombreux questionnements relatifs à la robustesse des données, en lien avec l’analyse des pertes et au réemploi des coproduits de découpe dans les process de fabrication de la charcuterie. Par ailleurs, le flux de transformation des abats de même que la fine compréhe</w:t>
      </w:r>
      <w:r w:rsidR="001F1DB1">
        <w:t>n</w:t>
      </w:r>
      <w:r>
        <w:t>sion des pratiques et leur destination des viandes restent des sujets à investiguer plus en avant afin de bien comprendre les arbitrages de valorisation qui peuvent se jouer entre les pièces.</w:t>
      </w:r>
    </w:p>
    <w:p w14:paraId="64719B2A" w14:textId="5CF05A12" w:rsidR="00932BF3" w:rsidRPr="0002537E" w:rsidRDefault="00F93CCB" w:rsidP="0086583D">
      <w:r>
        <w:t>Dans la dernière partie de ce rapport, au travers de l’an</w:t>
      </w:r>
      <w:r w:rsidR="00FB4AD4">
        <w:t>a</w:t>
      </w:r>
      <w:r>
        <w:t xml:space="preserve">lyse des flux matière, un focus sera effectué sur les quatre pièces primaires afin de mieux appréhender leur destination et faire émerger la fraction des produits de mélange. </w:t>
      </w:r>
    </w:p>
    <w:p w14:paraId="422BC112" w14:textId="239AB944" w:rsidR="00932BF3" w:rsidRPr="0002537E" w:rsidRDefault="00932BF3" w:rsidP="0086583D"/>
    <w:p w14:paraId="01C2247F" w14:textId="0FFED7DC" w:rsidR="00932BF3" w:rsidRPr="0002537E" w:rsidRDefault="00932BF3" w:rsidP="0086583D"/>
    <w:p w14:paraId="3EABBD7C" w14:textId="5D910F1E" w:rsidR="00932BF3" w:rsidRPr="0002537E" w:rsidRDefault="00932BF3" w:rsidP="0086583D"/>
    <w:p w14:paraId="20FDE045" w14:textId="46917FE6" w:rsidR="00932BF3" w:rsidRPr="0002537E" w:rsidRDefault="00932BF3" w:rsidP="0086583D"/>
    <w:p w14:paraId="56E4634F" w14:textId="12C2B5DA" w:rsidR="00932BF3" w:rsidRPr="0002537E" w:rsidRDefault="00932BF3" w:rsidP="0086583D"/>
    <w:p w14:paraId="52C7321A" w14:textId="3ED9FB58" w:rsidR="00932BF3" w:rsidRPr="0002537E" w:rsidRDefault="00932BF3" w:rsidP="0086583D"/>
    <w:p w14:paraId="4CC96365" w14:textId="64F6FBB2" w:rsidR="00932BF3" w:rsidRPr="0002537E" w:rsidRDefault="00932BF3" w:rsidP="0086583D"/>
    <w:p w14:paraId="7222CBFB" w14:textId="3BF840BD" w:rsidR="00932BF3" w:rsidRPr="0002537E" w:rsidRDefault="00932BF3" w:rsidP="0086583D"/>
    <w:p w14:paraId="3DD86382" w14:textId="316E4BB1" w:rsidR="00932BF3" w:rsidRPr="0002537E" w:rsidRDefault="00932BF3" w:rsidP="0086583D"/>
    <w:p w14:paraId="6F5A9A7E" w14:textId="01E5C1C6" w:rsidR="00932BF3" w:rsidRPr="0002537E" w:rsidRDefault="00932BF3" w:rsidP="0086583D"/>
    <w:p w14:paraId="3AE3A537" w14:textId="4A45FD6E" w:rsidR="00932BF3" w:rsidRPr="0002537E" w:rsidRDefault="00932BF3" w:rsidP="0086583D"/>
    <w:p w14:paraId="6895F6D1" w14:textId="628070D7" w:rsidR="00932BF3" w:rsidRPr="0002537E" w:rsidRDefault="00932BF3" w:rsidP="0086583D"/>
    <w:p w14:paraId="775FED4B" w14:textId="4476463F" w:rsidR="00644679" w:rsidRPr="004E3417" w:rsidRDefault="00644679" w:rsidP="0086583D">
      <w:pPr>
        <w:sectPr w:rsidR="00644679" w:rsidRPr="004E3417" w:rsidSect="00B73F4D">
          <w:headerReference w:type="default" r:id="rId59"/>
          <w:pgSz w:w="11906" w:h="16838" w:code="9"/>
          <w:pgMar w:top="1304" w:right="1133" w:bottom="1304" w:left="1418" w:header="567" w:footer="709" w:gutter="0"/>
          <w:cols w:space="708"/>
          <w:docGrid w:linePitch="360"/>
        </w:sectPr>
      </w:pPr>
    </w:p>
    <w:tbl>
      <w:tblPr>
        <w:tblW w:w="13182" w:type="dxa"/>
        <w:tblCellMar>
          <w:left w:w="70" w:type="dxa"/>
          <w:right w:w="70" w:type="dxa"/>
        </w:tblCellMar>
        <w:tblLook w:val="04A0" w:firstRow="1" w:lastRow="0" w:firstColumn="1" w:lastColumn="0" w:noHBand="0" w:noVBand="1"/>
      </w:tblPr>
      <w:tblGrid>
        <w:gridCol w:w="2260"/>
        <w:gridCol w:w="1558"/>
        <w:gridCol w:w="1420"/>
        <w:gridCol w:w="1546"/>
        <w:gridCol w:w="2254"/>
        <w:gridCol w:w="1758"/>
        <w:gridCol w:w="146"/>
        <w:gridCol w:w="2240"/>
      </w:tblGrid>
      <w:tr w:rsidR="002B4A91" w:rsidRPr="00522AAC" w14:paraId="1B8E7A75" w14:textId="77777777" w:rsidTr="00741BFF">
        <w:trPr>
          <w:trHeight w:val="315"/>
        </w:trPr>
        <w:tc>
          <w:tcPr>
            <w:tcW w:w="2260" w:type="dxa"/>
            <w:tcBorders>
              <w:top w:val="single" w:sz="8" w:space="0" w:color="auto"/>
              <w:left w:val="single" w:sz="8" w:space="0" w:color="auto"/>
              <w:bottom w:val="single" w:sz="8" w:space="0" w:color="auto"/>
              <w:right w:val="single" w:sz="8" w:space="0" w:color="auto"/>
            </w:tcBorders>
            <w:shd w:val="clear" w:color="000000" w:fill="F2F2F2"/>
            <w:noWrap/>
            <w:vAlign w:val="center"/>
            <w:hideMark/>
          </w:tcPr>
          <w:p w14:paraId="53D6B4C4" w14:textId="77777777" w:rsidR="002B4A91" w:rsidRPr="00522AAC" w:rsidRDefault="002B4A91" w:rsidP="00741BFF">
            <w:pPr>
              <w:spacing w:after="0" w:line="240" w:lineRule="auto"/>
              <w:jc w:val="left"/>
              <w:rPr>
                <w:rFonts w:eastAsia="Times New Roman" w:cs="Arial"/>
                <w:color w:val="000000"/>
                <w:sz w:val="20"/>
                <w:szCs w:val="20"/>
                <w:lang w:eastAsia="fr-FR"/>
              </w:rPr>
            </w:pPr>
            <w:r w:rsidRPr="00522AAC">
              <w:rPr>
                <w:rFonts w:eastAsia="Times New Roman" w:cs="Arial"/>
                <w:color w:val="000000"/>
                <w:sz w:val="20"/>
                <w:szCs w:val="20"/>
                <w:lang w:eastAsia="fr-FR"/>
              </w:rPr>
              <w:lastRenderedPageBreak/>
              <w:t xml:space="preserve">Porc vif </w:t>
            </w:r>
          </w:p>
        </w:tc>
        <w:tc>
          <w:tcPr>
            <w:tcW w:w="8536" w:type="dxa"/>
            <w:gridSpan w:val="5"/>
            <w:tcBorders>
              <w:top w:val="single" w:sz="8" w:space="0" w:color="auto"/>
              <w:left w:val="nil"/>
              <w:bottom w:val="single" w:sz="8" w:space="0" w:color="auto"/>
              <w:right w:val="single" w:sz="8" w:space="0" w:color="000000"/>
            </w:tcBorders>
            <w:shd w:val="clear" w:color="000000" w:fill="F2F2F2"/>
            <w:noWrap/>
            <w:vAlign w:val="center"/>
            <w:hideMark/>
          </w:tcPr>
          <w:p w14:paraId="6EE1A522"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2</w:t>
            </w:r>
            <w:r>
              <w:rPr>
                <w:rFonts w:eastAsia="Times New Roman" w:cs="Arial"/>
                <w:color w:val="000000"/>
                <w:sz w:val="20"/>
                <w:szCs w:val="20"/>
                <w:lang w:eastAsia="fr-FR"/>
              </w:rPr>
              <w:t> </w:t>
            </w:r>
            <w:r w:rsidRPr="00522AAC">
              <w:rPr>
                <w:rFonts w:eastAsia="Times New Roman" w:cs="Arial"/>
                <w:color w:val="000000"/>
                <w:sz w:val="20"/>
                <w:szCs w:val="20"/>
                <w:lang w:eastAsia="fr-FR"/>
              </w:rPr>
              <w:t>770</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c>
          <w:tcPr>
            <w:tcW w:w="146" w:type="dxa"/>
            <w:tcBorders>
              <w:top w:val="nil"/>
              <w:left w:val="nil"/>
              <w:bottom w:val="nil"/>
              <w:right w:val="nil"/>
            </w:tcBorders>
            <w:shd w:val="clear" w:color="auto" w:fill="auto"/>
            <w:noWrap/>
            <w:vAlign w:val="bottom"/>
            <w:hideMark/>
          </w:tcPr>
          <w:p w14:paraId="6188F2B3"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tcBorders>
              <w:top w:val="single" w:sz="8" w:space="0" w:color="000000"/>
              <w:left w:val="single" w:sz="8" w:space="0" w:color="000000"/>
              <w:bottom w:val="single" w:sz="8" w:space="0" w:color="auto"/>
              <w:right w:val="single" w:sz="8" w:space="0" w:color="auto"/>
            </w:tcBorders>
            <w:shd w:val="clear" w:color="auto" w:fill="auto"/>
            <w:noWrap/>
            <w:vAlign w:val="center"/>
            <w:hideMark/>
          </w:tcPr>
          <w:p w14:paraId="5DD3A5DA"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2</w:t>
            </w:r>
            <w:r>
              <w:rPr>
                <w:rFonts w:eastAsia="Times New Roman" w:cs="Arial"/>
                <w:color w:val="000000"/>
                <w:sz w:val="20"/>
                <w:szCs w:val="20"/>
                <w:lang w:eastAsia="fr-FR"/>
              </w:rPr>
              <w:t> </w:t>
            </w:r>
            <w:r w:rsidRPr="00522AAC">
              <w:rPr>
                <w:rFonts w:eastAsia="Times New Roman" w:cs="Arial"/>
                <w:color w:val="000000"/>
                <w:sz w:val="20"/>
                <w:szCs w:val="20"/>
                <w:lang w:eastAsia="fr-FR"/>
              </w:rPr>
              <w:t>770</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r>
      <w:tr w:rsidR="002B4A91" w:rsidRPr="00522AAC" w14:paraId="4DC5467D" w14:textId="77777777" w:rsidTr="00741BFF">
        <w:trPr>
          <w:trHeight w:val="105"/>
        </w:trPr>
        <w:tc>
          <w:tcPr>
            <w:tcW w:w="13182" w:type="dxa"/>
            <w:gridSpan w:val="8"/>
            <w:tcBorders>
              <w:top w:val="nil"/>
              <w:left w:val="nil"/>
              <w:bottom w:val="nil"/>
              <w:right w:val="nil"/>
            </w:tcBorders>
            <w:shd w:val="clear" w:color="auto" w:fill="auto"/>
            <w:noWrap/>
            <w:vAlign w:val="bottom"/>
            <w:hideMark/>
          </w:tcPr>
          <w:p w14:paraId="43FCA150"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p>
        </w:tc>
      </w:tr>
      <w:tr w:rsidR="002B4A91" w:rsidRPr="00522AAC" w14:paraId="5F902CC8" w14:textId="77777777" w:rsidTr="00741BFF">
        <w:trPr>
          <w:trHeight w:val="405"/>
        </w:trPr>
        <w:tc>
          <w:tcPr>
            <w:tcW w:w="2260" w:type="dxa"/>
            <w:vMerge w:val="restart"/>
            <w:tcBorders>
              <w:top w:val="single" w:sz="8" w:space="0" w:color="auto"/>
              <w:left w:val="single" w:sz="8" w:space="0" w:color="auto"/>
              <w:bottom w:val="single" w:sz="8" w:space="0" w:color="000000"/>
              <w:right w:val="single" w:sz="8" w:space="0" w:color="auto"/>
            </w:tcBorders>
            <w:shd w:val="clear" w:color="000000" w:fill="F2F2F2"/>
            <w:vAlign w:val="center"/>
            <w:hideMark/>
          </w:tcPr>
          <w:p w14:paraId="242E0DBE"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Abattage et découpe (1aire)</w:t>
            </w:r>
          </w:p>
        </w:tc>
        <w:tc>
          <w:tcPr>
            <w:tcW w:w="4524" w:type="dxa"/>
            <w:gridSpan w:val="3"/>
            <w:tcBorders>
              <w:top w:val="single" w:sz="8" w:space="0" w:color="auto"/>
              <w:left w:val="nil"/>
              <w:bottom w:val="nil"/>
              <w:right w:val="single" w:sz="8" w:space="0" w:color="000000"/>
            </w:tcBorders>
            <w:shd w:val="clear" w:color="000000" w:fill="F2F2F2"/>
            <w:vAlign w:val="center"/>
            <w:hideMark/>
          </w:tcPr>
          <w:p w14:paraId="15D1EDD2"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Fra</w:t>
            </w:r>
            <w:r>
              <w:rPr>
                <w:rFonts w:eastAsia="Times New Roman" w:cs="Arial"/>
                <w:color w:val="000000"/>
                <w:sz w:val="20"/>
                <w:szCs w:val="20"/>
                <w:lang w:eastAsia="fr-FR"/>
              </w:rPr>
              <w:t>c</w:t>
            </w:r>
            <w:r w:rsidRPr="00522AAC">
              <w:rPr>
                <w:rFonts w:eastAsia="Times New Roman" w:cs="Arial"/>
                <w:color w:val="000000"/>
                <w:sz w:val="20"/>
                <w:szCs w:val="20"/>
                <w:lang w:eastAsia="fr-FR"/>
              </w:rPr>
              <w:t>tion comestible 2 170 kt</w:t>
            </w:r>
          </w:p>
        </w:tc>
        <w:tc>
          <w:tcPr>
            <w:tcW w:w="4012" w:type="dxa"/>
            <w:gridSpan w:val="2"/>
            <w:vMerge w:val="restart"/>
            <w:tcBorders>
              <w:top w:val="single" w:sz="8" w:space="0" w:color="auto"/>
              <w:left w:val="single" w:sz="8" w:space="0" w:color="000000"/>
              <w:bottom w:val="single" w:sz="8" w:space="0" w:color="000000"/>
              <w:right w:val="single" w:sz="8" w:space="0" w:color="000000"/>
            </w:tcBorders>
            <w:shd w:val="clear" w:color="000000" w:fill="F2F2F2"/>
            <w:vAlign w:val="center"/>
            <w:hideMark/>
          </w:tcPr>
          <w:p w14:paraId="319D42D1" w14:textId="77777777" w:rsidR="002B4A91"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Fraction non comestible 531</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p w14:paraId="7919283C" w14:textId="77777777" w:rsidR="002B4A91"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et Maturation 69</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p w14:paraId="55297D9B"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soit</w:t>
            </w:r>
            <w:r w:rsidRPr="00522AAC">
              <w:rPr>
                <w:rFonts w:eastAsia="Times New Roman" w:cs="Arial"/>
                <w:color w:val="000000"/>
                <w:sz w:val="20"/>
                <w:szCs w:val="20"/>
                <w:u w:val="single"/>
                <w:lang w:eastAsia="fr-FR"/>
              </w:rPr>
              <w:t xml:space="preserve"> total 600</w:t>
            </w:r>
            <w:r>
              <w:rPr>
                <w:rFonts w:eastAsia="Times New Roman" w:cs="Arial"/>
                <w:color w:val="000000"/>
                <w:sz w:val="20"/>
                <w:szCs w:val="20"/>
                <w:u w:val="single"/>
                <w:lang w:eastAsia="fr-FR"/>
              </w:rPr>
              <w:t> </w:t>
            </w:r>
            <w:r w:rsidRPr="00522AAC">
              <w:rPr>
                <w:rFonts w:eastAsia="Times New Roman" w:cs="Arial"/>
                <w:color w:val="000000"/>
                <w:sz w:val="20"/>
                <w:szCs w:val="20"/>
                <w:u w:val="single"/>
                <w:lang w:eastAsia="fr-FR"/>
              </w:rPr>
              <w:t>kt</w:t>
            </w:r>
          </w:p>
        </w:tc>
        <w:tc>
          <w:tcPr>
            <w:tcW w:w="146" w:type="dxa"/>
            <w:vMerge w:val="restart"/>
            <w:tcBorders>
              <w:top w:val="nil"/>
              <w:left w:val="nil"/>
              <w:right w:val="nil"/>
            </w:tcBorders>
            <w:shd w:val="clear" w:color="auto" w:fill="auto"/>
            <w:noWrap/>
            <w:vAlign w:val="bottom"/>
            <w:hideMark/>
          </w:tcPr>
          <w:p w14:paraId="33C48E3B"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vMerge w:val="restart"/>
            <w:tcBorders>
              <w:top w:val="single" w:sz="8" w:space="0" w:color="auto"/>
              <w:left w:val="single" w:sz="8" w:space="0" w:color="000000"/>
              <w:bottom w:val="single" w:sz="8" w:space="0" w:color="000000"/>
              <w:right w:val="single" w:sz="8" w:space="0" w:color="auto"/>
            </w:tcBorders>
            <w:shd w:val="clear" w:color="auto" w:fill="auto"/>
            <w:vAlign w:val="center"/>
            <w:hideMark/>
          </w:tcPr>
          <w:p w14:paraId="16914EFE"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Fraction comestible                                                                                  2</w:t>
            </w:r>
            <w:r>
              <w:rPr>
                <w:rFonts w:eastAsia="Times New Roman" w:cs="Arial"/>
                <w:color w:val="000000"/>
                <w:sz w:val="20"/>
                <w:szCs w:val="20"/>
                <w:lang w:eastAsia="fr-FR"/>
              </w:rPr>
              <w:t> </w:t>
            </w:r>
            <w:r w:rsidRPr="00522AAC">
              <w:rPr>
                <w:rFonts w:eastAsia="Times New Roman" w:cs="Arial"/>
                <w:color w:val="000000"/>
                <w:sz w:val="20"/>
                <w:szCs w:val="20"/>
                <w:lang w:eastAsia="fr-FR"/>
              </w:rPr>
              <w:t>170</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r>
      <w:tr w:rsidR="002B4A91" w:rsidRPr="00522AAC" w14:paraId="1528333B" w14:textId="77777777" w:rsidTr="00741BFF">
        <w:trPr>
          <w:trHeight w:val="585"/>
        </w:trPr>
        <w:tc>
          <w:tcPr>
            <w:tcW w:w="2260" w:type="dxa"/>
            <w:vMerge/>
            <w:tcBorders>
              <w:top w:val="single" w:sz="8" w:space="0" w:color="auto"/>
              <w:left w:val="single" w:sz="8" w:space="0" w:color="auto"/>
              <w:bottom w:val="single" w:sz="8" w:space="0" w:color="000000"/>
              <w:right w:val="single" w:sz="8" w:space="0" w:color="auto"/>
            </w:tcBorders>
            <w:vAlign w:val="center"/>
            <w:hideMark/>
          </w:tcPr>
          <w:p w14:paraId="3912CB93"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4524" w:type="dxa"/>
            <w:gridSpan w:val="3"/>
            <w:tcBorders>
              <w:top w:val="nil"/>
              <w:left w:val="nil"/>
              <w:bottom w:val="single" w:sz="8" w:space="0" w:color="auto"/>
              <w:right w:val="single" w:sz="8" w:space="0" w:color="000000"/>
            </w:tcBorders>
            <w:shd w:val="clear" w:color="000000" w:fill="F2F2F2"/>
            <w:vAlign w:val="center"/>
            <w:hideMark/>
          </w:tcPr>
          <w:p w14:paraId="211894DB"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Jambon 463 kt; Longe 645 kt; Epaule 418 kt; Poitrine 264 kt; Abats 175 kt</w:t>
            </w:r>
            <w:r>
              <w:rPr>
                <w:rFonts w:eastAsia="Times New Roman" w:cs="Arial"/>
                <w:color w:val="000000"/>
                <w:sz w:val="20"/>
                <w:szCs w:val="20"/>
                <w:lang w:eastAsia="fr-FR"/>
              </w:rPr>
              <w:t>.</w:t>
            </w:r>
          </w:p>
        </w:tc>
        <w:tc>
          <w:tcPr>
            <w:tcW w:w="4012" w:type="dxa"/>
            <w:gridSpan w:val="2"/>
            <w:vMerge/>
            <w:tcBorders>
              <w:top w:val="single" w:sz="8" w:space="0" w:color="auto"/>
              <w:left w:val="single" w:sz="8" w:space="0" w:color="000000"/>
              <w:bottom w:val="single" w:sz="8" w:space="0" w:color="000000"/>
              <w:right w:val="single" w:sz="8" w:space="0" w:color="000000"/>
            </w:tcBorders>
            <w:vAlign w:val="center"/>
            <w:hideMark/>
          </w:tcPr>
          <w:p w14:paraId="47134FDA"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146" w:type="dxa"/>
            <w:vMerge/>
            <w:tcBorders>
              <w:left w:val="nil"/>
              <w:bottom w:val="nil"/>
              <w:right w:val="nil"/>
            </w:tcBorders>
            <w:shd w:val="clear" w:color="auto" w:fill="auto"/>
            <w:noWrap/>
            <w:vAlign w:val="bottom"/>
            <w:hideMark/>
          </w:tcPr>
          <w:p w14:paraId="4AEB442C"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vMerge/>
            <w:tcBorders>
              <w:top w:val="single" w:sz="8" w:space="0" w:color="auto"/>
              <w:left w:val="single" w:sz="8" w:space="0" w:color="000000"/>
              <w:bottom w:val="single" w:sz="8" w:space="0" w:color="000000"/>
              <w:right w:val="single" w:sz="8" w:space="0" w:color="auto"/>
            </w:tcBorders>
            <w:vAlign w:val="center"/>
            <w:hideMark/>
          </w:tcPr>
          <w:p w14:paraId="3EA32DFE" w14:textId="77777777" w:rsidR="002B4A91" w:rsidRPr="00522AAC" w:rsidRDefault="002B4A91" w:rsidP="00741BFF">
            <w:pPr>
              <w:spacing w:after="0" w:line="240" w:lineRule="auto"/>
              <w:jc w:val="left"/>
              <w:rPr>
                <w:rFonts w:eastAsia="Times New Roman" w:cs="Arial"/>
                <w:color w:val="000000"/>
                <w:sz w:val="20"/>
                <w:szCs w:val="20"/>
                <w:lang w:eastAsia="fr-FR"/>
              </w:rPr>
            </w:pPr>
          </w:p>
        </w:tc>
      </w:tr>
      <w:tr w:rsidR="002B4A91" w:rsidRPr="00522AAC" w14:paraId="7D50F6D2" w14:textId="77777777" w:rsidTr="00741BFF">
        <w:trPr>
          <w:trHeight w:val="105"/>
        </w:trPr>
        <w:tc>
          <w:tcPr>
            <w:tcW w:w="13182" w:type="dxa"/>
            <w:gridSpan w:val="8"/>
            <w:tcBorders>
              <w:top w:val="nil"/>
              <w:left w:val="nil"/>
              <w:bottom w:val="nil"/>
              <w:right w:val="nil"/>
            </w:tcBorders>
            <w:shd w:val="clear" w:color="auto" w:fill="auto"/>
            <w:noWrap/>
            <w:vAlign w:val="bottom"/>
            <w:hideMark/>
          </w:tcPr>
          <w:p w14:paraId="42421CA0"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p>
        </w:tc>
      </w:tr>
      <w:tr w:rsidR="002B4A91" w:rsidRPr="00522AAC" w14:paraId="002B0556" w14:textId="77777777" w:rsidTr="00741BFF">
        <w:trPr>
          <w:trHeight w:val="390"/>
        </w:trPr>
        <w:tc>
          <w:tcPr>
            <w:tcW w:w="2260"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2619C82F"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 xml:space="preserve">Découpe (2ème) et Piéçage ou 1ère Transformation </w:t>
            </w:r>
          </w:p>
        </w:tc>
        <w:tc>
          <w:tcPr>
            <w:tcW w:w="8536" w:type="dxa"/>
            <w:gridSpan w:val="5"/>
            <w:tcBorders>
              <w:top w:val="single" w:sz="8" w:space="0" w:color="auto"/>
              <w:left w:val="nil"/>
              <w:bottom w:val="single" w:sz="8" w:space="0" w:color="auto"/>
              <w:right w:val="single" w:sz="8" w:space="0" w:color="000000"/>
            </w:tcBorders>
            <w:shd w:val="clear" w:color="000000" w:fill="D9D9D9"/>
            <w:noWrap/>
            <w:vAlign w:val="center"/>
            <w:hideMark/>
          </w:tcPr>
          <w:p w14:paraId="46216A25"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 xml:space="preserve">Abattage découpe </w:t>
            </w:r>
          </w:p>
        </w:tc>
        <w:tc>
          <w:tcPr>
            <w:tcW w:w="2386" w:type="dxa"/>
            <w:gridSpan w:val="2"/>
            <w:tcBorders>
              <w:top w:val="nil"/>
              <w:left w:val="nil"/>
              <w:bottom w:val="nil"/>
              <w:right w:val="nil"/>
            </w:tcBorders>
            <w:shd w:val="clear" w:color="auto" w:fill="auto"/>
            <w:noWrap/>
            <w:vAlign w:val="bottom"/>
            <w:hideMark/>
          </w:tcPr>
          <w:p w14:paraId="0AF1FAB1"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p>
        </w:tc>
      </w:tr>
      <w:tr w:rsidR="002B4A91" w:rsidRPr="00522AAC" w14:paraId="0922DB67" w14:textId="77777777" w:rsidTr="00741BFF">
        <w:trPr>
          <w:trHeight w:val="780"/>
        </w:trPr>
        <w:tc>
          <w:tcPr>
            <w:tcW w:w="2260" w:type="dxa"/>
            <w:vMerge/>
            <w:tcBorders>
              <w:top w:val="single" w:sz="8" w:space="0" w:color="auto"/>
              <w:left w:val="single" w:sz="8" w:space="0" w:color="auto"/>
              <w:bottom w:val="single" w:sz="8" w:space="0" w:color="000000"/>
              <w:right w:val="single" w:sz="8" w:space="0" w:color="auto"/>
            </w:tcBorders>
            <w:vAlign w:val="center"/>
            <w:hideMark/>
          </w:tcPr>
          <w:p w14:paraId="0D786E17"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4524" w:type="dxa"/>
            <w:gridSpan w:val="3"/>
            <w:tcBorders>
              <w:top w:val="single" w:sz="8" w:space="0" w:color="auto"/>
              <w:left w:val="nil"/>
              <w:bottom w:val="single" w:sz="8" w:space="0" w:color="auto"/>
              <w:right w:val="single" w:sz="8" w:space="0" w:color="000000"/>
            </w:tcBorders>
            <w:shd w:val="clear" w:color="000000" w:fill="D9D9D9"/>
            <w:vAlign w:val="center"/>
            <w:hideMark/>
          </w:tcPr>
          <w:p w14:paraId="60242486"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ascii="Calibri" w:eastAsia="Times New Roman" w:hAnsi="Calibri" w:cs="Calibri"/>
                <w:noProof/>
                <w:color w:val="000000"/>
                <w:lang w:eastAsia="fr-FR"/>
              </w:rPr>
              <mc:AlternateContent>
                <mc:Choice Requires="wps">
                  <w:drawing>
                    <wp:anchor distT="0" distB="0" distL="114300" distR="114300" simplePos="0" relativeHeight="251893817" behindDoc="0" locked="0" layoutInCell="1" allowOverlap="1" wp14:anchorId="3DD68BA3" wp14:editId="6AB7B3EB">
                      <wp:simplePos x="0" y="0"/>
                      <wp:positionH relativeFrom="column">
                        <wp:posOffset>2776220</wp:posOffset>
                      </wp:positionH>
                      <wp:positionV relativeFrom="paragraph">
                        <wp:posOffset>511810</wp:posOffset>
                      </wp:positionV>
                      <wp:extent cx="1957705" cy="414020"/>
                      <wp:effectExtent l="0" t="0" r="23495" b="24130"/>
                      <wp:wrapNone/>
                      <wp:docPr id="69" name="Zone de texte 69">
                        <a:extLst xmlns:a="http://schemas.openxmlformats.org/drawingml/2006/main">
                          <a:ext uri="{FF2B5EF4-FFF2-40B4-BE49-F238E27FC236}">
                            <a16:creationId xmlns:a16="http://schemas.microsoft.com/office/drawing/2014/main" id="{74EA58E1-9368-456B-8CEF-39CF4A07829C}"/>
                          </a:ext>
                        </a:extLst>
                      </wp:docPr>
                      <wp:cNvGraphicFramePr/>
                      <a:graphic xmlns:a="http://schemas.openxmlformats.org/drawingml/2006/main">
                        <a:graphicData uri="http://schemas.microsoft.com/office/word/2010/wordprocessingShape">
                          <wps:wsp>
                            <wps:cNvSpPr txBox="1"/>
                            <wps:spPr>
                              <a:xfrm>
                                <a:off x="0" y="0"/>
                                <a:ext cx="1957705" cy="414020"/>
                              </a:xfrm>
                              <a:prstGeom prst="rect">
                                <a:avLst/>
                              </a:prstGeom>
                              <a:solidFill>
                                <a:schemeClr val="bg1">
                                  <a:lumMod val="85000"/>
                                </a:schemeClr>
                              </a:solidFill>
                              <a:ln>
                                <a:solidFill>
                                  <a:schemeClr val="tx1"/>
                                </a:solidFill>
                              </a:ln>
                            </wps:spPr>
                            <wps:style>
                              <a:lnRef idx="0">
                                <a:scrgbClr r="0" g="0" b="0"/>
                              </a:lnRef>
                              <a:fillRef idx="0">
                                <a:scrgbClr r="0" g="0" b="0"/>
                              </a:fillRef>
                              <a:effectRef idx="0">
                                <a:scrgbClr r="0" g="0" b="0"/>
                              </a:effectRef>
                              <a:fontRef idx="minor">
                                <a:schemeClr val="tx1"/>
                              </a:fontRef>
                            </wps:style>
                            <wps:txbx>
                              <w:txbxContent>
                                <w:p w14:paraId="2B075864" w14:textId="77777777" w:rsidR="00741BFF" w:rsidRPr="00320E50" w:rsidRDefault="00741BFF" w:rsidP="002B4A91">
                                  <w:pPr>
                                    <w:spacing w:line="256" w:lineRule="auto"/>
                                    <w:jc w:val="center"/>
                                    <w:rPr>
                                      <w:rFonts w:eastAsia="Calibri" w:cs="Arial"/>
                                      <w:color w:val="000000"/>
                                      <w:sz w:val="20"/>
                                      <w:szCs w:val="20"/>
                                    </w:rPr>
                                  </w:pPr>
                                  <w:r>
                                    <w:rPr>
                                      <w:rFonts w:eastAsia="Calibri" w:cs="Arial"/>
                                      <w:color w:val="000000"/>
                                      <w:sz w:val="20"/>
                                      <w:szCs w:val="20"/>
                                    </w:rPr>
                                    <w:t>Flux de viandes et saucisserie env. 700 kt</w:t>
                                  </w:r>
                                </w:p>
                              </w:txbxContent>
                            </wps:txbx>
                            <wps:bodyPr wrap="square" rtlCol="0" anchor="t">
                              <a:noAutofit/>
                            </wps:bodyPr>
                          </wps:wsp>
                        </a:graphicData>
                      </a:graphic>
                      <wp14:sizeRelH relativeFrom="page">
                        <wp14:pctWidth>0</wp14:pctWidth>
                      </wp14:sizeRelH>
                      <wp14:sizeRelV relativeFrom="page">
                        <wp14:pctHeight>0</wp14:pctHeight>
                      </wp14:sizeRelV>
                    </wp:anchor>
                  </w:drawing>
                </mc:Choice>
                <mc:Fallback>
                  <w:pict>
                    <v:shape w14:anchorId="3DD68BA3" id="Zone de texte 69" o:spid="_x0000_s1056" type="#_x0000_t202" style="position:absolute;left:0;text-align:left;margin-left:218.6pt;margin-top:40.3pt;width:154.15pt;height:32.6pt;z-index:251893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KqvIQIAAMAEAAAOAAAAZHJzL2Uyb0RvYy54bWysVE1v2zAMvQ/YfxB0X+xkTT+COMXWorvs&#10;C+t22U2RpViAJHqSEjv/fhQdO912GDrsolgU3yP5SGZ92zvLDipEA77i81nJmfISauN3Ff/29eHV&#10;NWcxCV8LC15V/Kgiv928fLHu2pVaQAO2VoEhiY+rrq14k1K7KoooG+VEnEGrPD5qCE4kvIZdUQfR&#10;IbuzxaIsL4sOQt0GkCpGtN4Pj3xD/FormT5pHVVituKYW6Iz0LnNZ7FZi9UuiLYx8pSG+IcsnDAe&#10;g05U9yIJtg/mDypnZIAIOs0kuAK0NlJRDVjNvPytmsdGtIpqQXFiO8kU/x+t/Hj4HJipK355w5kX&#10;Dnv0HTvFasWS6pNiaEeRujau0PexRe/Uv4Uemz3aIxpz7b0OLv9iVQzfUe7jJDFSMZlBN8urq3LJ&#10;mcS3i/lFuaAeFGd0G2J6p8Cx/FHxgC0kZcXhfUyYCbqOLjlYBGvqB2MtXfLYqDsb2EFgw7e7OUHt&#10;3n2AerBdL8tyDElTlt2J9Rcm6/9GnnoSANN5AsRbRhZZrkEW+kpHqzKf9V+URrVJnSHhsNvmfIeR&#10;xJ1B1cbBJDIEZEeNFT4Te4JktKJNeCZ+AlF88GnCO+MhkLKTgoO4Z0304D9KMQiQtUj9tqd5e01d&#10;yKYt1Eccqw63sOLxx14ExVlI9g6GpRVeNoACDXPg4c0+gTY0C2f4KRKuCTXztNJ5D5/eyev8x7P5&#10;CQAA//8DAFBLAwQUAAYACAAAACEAABh/K98AAAAKAQAADwAAAGRycy9kb3ducmV2LnhtbEyPy07D&#10;MBBF90j8gzVI7KhDyUshTlUhXhIbKF2wdJPJQ8TjKHYe/XuGFSxH9+jeM/luNb2YcXSdJQW3mwAE&#10;UmmrjhoFx8+nmxSE85oq3VtCBWd0sCsuL3KdVXahD5wPvhFcQi7TClrvh0xKV7ZotNvYAYmz2o5G&#10;ez7HRlajXrjc9HIbBLE0uiNeaPWADy2W34fJKBiien5/fj3Gj/u6e0mm5Uue36xS11fr/h6Ex9X/&#10;wfCrz+pQsNPJTlQ50SsI75ItowrSIAbBQBJGEYgTk2GUgixy+f+F4gcAAP//AwBQSwECLQAUAAYA&#10;CAAAACEAtoM4kv4AAADhAQAAEwAAAAAAAAAAAAAAAAAAAAAAW0NvbnRlbnRfVHlwZXNdLnhtbFBL&#10;AQItABQABgAIAAAAIQA4/SH/1gAAAJQBAAALAAAAAAAAAAAAAAAAAC8BAABfcmVscy8ucmVsc1BL&#10;AQItABQABgAIAAAAIQBncKqvIQIAAMAEAAAOAAAAAAAAAAAAAAAAAC4CAABkcnMvZTJvRG9jLnht&#10;bFBLAQItABQABgAIAAAAIQAAGH8r3wAAAAoBAAAPAAAAAAAAAAAAAAAAAHsEAABkcnMvZG93bnJl&#10;di54bWxQSwUGAAAAAAQABADzAAAAhwUAAAAA&#10;" fillcolor="#d8d8d8 [2732]" strokecolor="black [3213]">
                      <v:textbox>
                        <w:txbxContent>
                          <w:p w14:paraId="2B075864" w14:textId="77777777" w:rsidR="00741BFF" w:rsidRPr="00320E50" w:rsidRDefault="00741BFF" w:rsidP="002B4A91">
                            <w:pPr>
                              <w:spacing w:line="256" w:lineRule="auto"/>
                              <w:jc w:val="center"/>
                              <w:rPr>
                                <w:rFonts w:eastAsia="Calibri" w:cs="Arial"/>
                                <w:color w:val="000000"/>
                                <w:sz w:val="20"/>
                                <w:szCs w:val="20"/>
                              </w:rPr>
                            </w:pPr>
                            <w:r>
                              <w:rPr>
                                <w:rFonts w:eastAsia="Calibri" w:cs="Arial"/>
                                <w:color w:val="000000"/>
                                <w:sz w:val="20"/>
                                <w:szCs w:val="20"/>
                              </w:rPr>
                              <w:t>Flux de viandes et saucisserie env. 700 kt</w:t>
                            </w:r>
                          </w:p>
                        </w:txbxContent>
                      </v:textbox>
                    </v:shape>
                  </w:pict>
                </mc:Fallback>
              </mc:AlternateContent>
            </w:r>
            <w:r w:rsidRPr="00522AAC">
              <w:rPr>
                <w:rFonts w:eastAsia="Times New Roman" w:cs="Arial"/>
                <w:color w:val="000000"/>
                <w:sz w:val="20"/>
                <w:szCs w:val="20"/>
                <w:lang w:eastAsia="fr-FR"/>
              </w:rPr>
              <w:t>Pièces et demi-carcasses fraîches et congelées                    1</w:t>
            </w:r>
            <w:r>
              <w:rPr>
                <w:rFonts w:eastAsia="Times New Roman" w:cs="Arial"/>
                <w:color w:val="000000"/>
                <w:sz w:val="20"/>
                <w:szCs w:val="20"/>
                <w:lang w:eastAsia="fr-FR"/>
              </w:rPr>
              <w:t> </w:t>
            </w:r>
            <w:r w:rsidRPr="00522AAC">
              <w:rPr>
                <w:rFonts w:eastAsia="Times New Roman" w:cs="Arial"/>
                <w:color w:val="000000"/>
                <w:sz w:val="20"/>
                <w:szCs w:val="20"/>
                <w:lang w:eastAsia="fr-FR"/>
              </w:rPr>
              <w:t>820</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tc>
        <w:tc>
          <w:tcPr>
            <w:tcW w:w="2254" w:type="dxa"/>
            <w:tcBorders>
              <w:top w:val="nil"/>
              <w:left w:val="nil"/>
              <w:bottom w:val="single" w:sz="8" w:space="0" w:color="auto"/>
              <w:right w:val="single" w:sz="8" w:space="0" w:color="auto"/>
            </w:tcBorders>
            <w:shd w:val="clear" w:color="000000" w:fill="D9D9D9"/>
            <w:vAlign w:val="center"/>
            <w:hideMark/>
          </w:tcPr>
          <w:p w14:paraId="659A0B6A"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Graisses et saindoux Env. 126</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tc>
        <w:tc>
          <w:tcPr>
            <w:tcW w:w="1758" w:type="dxa"/>
            <w:tcBorders>
              <w:top w:val="nil"/>
              <w:left w:val="nil"/>
              <w:bottom w:val="single" w:sz="8" w:space="0" w:color="auto"/>
              <w:right w:val="single" w:sz="8" w:space="0" w:color="auto"/>
            </w:tcBorders>
            <w:shd w:val="clear" w:color="000000" w:fill="D9D9D9"/>
            <w:vAlign w:val="center"/>
            <w:hideMark/>
          </w:tcPr>
          <w:p w14:paraId="61B4D2A6"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Abats 108</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c>
          <w:tcPr>
            <w:tcW w:w="146" w:type="dxa"/>
            <w:tcBorders>
              <w:top w:val="nil"/>
              <w:left w:val="nil"/>
              <w:bottom w:val="nil"/>
              <w:right w:val="nil"/>
            </w:tcBorders>
            <w:shd w:val="clear" w:color="auto" w:fill="auto"/>
            <w:noWrap/>
            <w:vAlign w:val="bottom"/>
            <w:hideMark/>
          </w:tcPr>
          <w:p w14:paraId="71020EC8"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tcBorders>
              <w:top w:val="single" w:sz="8" w:space="0" w:color="auto"/>
              <w:left w:val="single" w:sz="8" w:space="0" w:color="auto"/>
              <w:bottom w:val="single" w:sz="8" w:space="0" w:color="auto"/>
              <w:right w:val="single" w:sz="8" w:space="0" w:color="auto"/>
            </w:tcBorders>
            <w:shd w:val="clear" w:color="auto" w:fill="D9D9D9" w:themeFill="background1" w:themeFillShade="D9"/>
            <w:noWrap/>
            <w:vAlign w:val="center"/>
            <w:hideMark/>
          </w:tcPr>
          <w:p w14:paraId="76FDFEBF"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2</w:t>
            </w:r>
            <w:r>
              <w:rPr>
                <w:rFonts w:eastAsia="Times New Roman" w:cs="Arial"/>
                <w:color w:val="000000"/>
                <w:sz w:val="20"/>
                <w:szCs w:val="20"/>
                <w:lang w:eastAsia="fr-FR"/>
              </w:rPr>
              <w:t> </w:t>
            </w:r>
            <w:r w:rsidRPr="00522AAC">
              <w:rPr>
                <w:rFonts w:eastAsia="Times New Roman" w:cs="Arial"/>
                <w:color w:val="000000"/>
                <w:sz w:val="20"/>
                <w:szCs w:val="20"/>
                <w:lang w:eastAsia="fr-FR"/>
              </w:rPr>
              <w:t>076 kt</w:t>
            </w:r>
          </w:p>
        </w:tc>
      </w:tr>
      <w:tr w:rsidR="002B4A91" w:rsidRPr="00522AAC" w14:paraId="446B6612" w14:textId="77777777" w:rsidTr="00741BFF">
        <w:trPr>
          <w:gridAfter w:val="5"/>
          <w:wAfter w:w="7944" w:type="dxa"/>
          <w:trHeight w:val="645"/>
        </w:trPr>
        <w:tc>
          <w:tcPr>
            <w:tcW w:w="2260" w:type="dxa"/>
            <w:vMerge w:val="restart"/>
            <w:tcBorders>
              <w:top w:val="nil"/>
              <w:left w:val="single" w:sz="8" w:space="0" w:color="auto"/>
              <w:bottom w:val="single" w:sz="8" w:space="0" w:color="000000"/>
              <w:right w:val="single" w:sz="8" w:space="0" w:color="auto"/>
            </w:tcBorders>
            <w:shd w:val="clear" w:color="000000" w:fill="D9D9D9"/>
            <w:vAlign w:val="center"/>
            <w:hideMark/>
          </w:tcPr>
          <w:p w14:paraId="1947B531"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Transformation en charcuterie salaison</w:t>
            </w:r>
          </w:p>
        </w:tc>
        <w:tc>
          <w:tcPr>
            <w:tcW w:w="2978" w:type="dxa"/>
            <w:gridSpan w:val="2"/>
            <w:vMerge w:val="restart"/>
            <w:tcBorders>
              <w:top w:val="single" w:sz="8" w:space="0" w:color="auto"/>
              <w:left w:val="single" w:sz="8" w:space="0" w:color="auto"/>
              <w:bottom w:val="single" w:sz="8" w:space="0" w:color="000000"/>
              <w:right w:val="single" w:sz="8" w:space="0" w:color="000000"/>
            </w:tcBorders>
            <w:shd w:val="clear" w:color="000000" w:fill="D9D9D9"/>
            <w:vAlign w:val="center"/>
            <w:hideMark/>
          </w:tcPr>
          <w:p w14:paraId="6EFEEA2C" w14:textId="77777777" w:rsidR="002B4A91"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Transformation en charcuterie salaison</w:t>
            </w:r>
            <w:r>
              <w:rPr>
                <w:rFonts w:eastAsia="Times New Roman" w:cs="Arial"/>
                <w:color w:val="000000"/>
                <w:sz w:val="20"/>
                <w:szCs w:val="20"/>
                <w:lang w:eastAsia="fr-FR"/>
              </w:rPr>
              <w:t xml:space="preserve"> </w:t>
            </w:r>
            <w:r w:rsidRPr="00522AAC">
              <w:rPr>
                <w:rFonts w:eastAsia="Times New Roman" w:cs="Arial"/>
                <w:color w:val="000000"/>
                <w:sz w:val="20"/>
                <w:szCs w:val="20"/>
                <w:lang w:eastAsia="fr-FR"/>
              </w:rPr>
              <w:t>1</w:t>
            </w:r>
            <w:r>
              <w:rPr>
                <w:rFonts w:eastAsia="Times New Roman" w:cs="Arial"/>
                <w:color w:val="000000"/>
                <w:sz w:val="20"/>
                <w:szCs w:val="20"/>
                <w:lang w:eastAsia="fr-FR"/>
              </w:rPr>
              <w:t> </w:t>
            </w:r>
            <w:r w:rsidRPr="00522AAC">
              <w:rPr>
                <w:rFonts w:eastAsia="Times New Roman" w:cs="Arial"/>
                <w:color w:val="000000"/>
                <w:sz w:val="20"/>
                <w:szCs w:val="20"/>
                <w:lang w:eastAsia="fr-FR"/>
              </w:rPr>
              <w:t>310</w:t>
            </w:r>
            <w:r>
              <w:rPr>
                <w:rFonts w:eastAsia="Times New Roman" w:cs="Arial"/>
                <w:color w:val="000000"/>
                <w:sz w:val="20"/>
                <w:szCs w:val="20"/>
                <w:lang w:eastAsia="fr-FR"/>
              </w:rPr>
              <w:t> </w:t>
            </w:r>
            <w:r w:rsidRPr="00522AAC">
              <w:rPr>
                <w:rFonts w:eastAsia="Times New Roman" w:cs="Arial"/>
                <w:color w:val="000000"/>
                <w:sz w:val="20"/>
                <w:szCs w:val="20"/>
                <w:lang w:eastAsia="fr-FR"/>
              </w:rPr>
              <w:t xml:space="preserve">kt </w:t>
            </w:r>
          </w:p>
          <w:p w14:paraId="446A7DDD"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843A7F">
              <w:t>1</w:t>
            </w:r>
            <w:r>
              <w:t> </w:t>
            </w:r>
            <w:r w:rsidRPr="00843A7F">
              <w:t>170</w:t>
            </w:r>
            <w:r>
              <w:rPr>
                <w:rFonts w:eastAsia="Times New Roman" w:cs="Arial"/>
                <w:color w:val="000000"/>
                <w:sz w:val="20"/>
                <w:szCs w:val="20"/>
                <w:u w:val="single"/>
                <w:lang w:eastAsia="fr-FR"/>
              </w:rPr>
              <w:t> </w:t>
            </w:r>
            <w:r w:rsidRPr="00522AAC">
              <w:rPr>
                <w:rFonts w:eastAsia="Times New Roman" w:cs="Arial"/>
                <w:color w:val="000000"/>
                <w:sz w:val="20"/>
                <w:szCs w:val="20"/>
                <w:u w:val="single"/>
                <w:lang w:eastAsia="fr-FR"/>
              </w:rPr>
              <w:t xml:space="preserve">kt hors saucisserie </w:t>
            </w:r>
          </w:p>
        </w:tc>
      </w:tr>
      <w:tr w:rsidR="002B4A91" w:rsidRPr="00522AAC" w14:paraId="198A002E" w14:textId="77777777" w:rsidTr="00741BFF">
        <w:trPr>
          <w:trHeight w:val="375"/>
        </w:trPr>
        <w:tc>
          <w:tcPr>
            <w:tcW w:w="2260" w:type="dxa"/>
            <w:vMerge/>
            <w:tcBorders>
              <w:top w:val="nil"/>
              <w:left w:val="single" w:sz="8" w:space="0" w:color="auto"/>
              <w:bottom w:val="single" w:sz="8" w:space="0" w:color="000000"/>
              <w:right w:val="single" w:sz="8" w:space="0" w:color="auto"/>
            </w:tcBorders>
            <w:vAlign w:val="center"/>
            <w:hideMark/>
          </w:tcPr>
          <w:p w14:paraId="673791C2"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2978" w:type="dxa"/>
            <w:gridSpan w:val="2"/>
            <w:vMerge/>
            <w:tcBorders>
              <w:top w:val="single" w:sz="8" w:space="0" w:color="auto"/>
              <w:left w:val="single" w:sz="8" w:space="0" w:color="auto"/>
              <w:bottom w:val="single" w:sz="8" w:space="0" w:color="000000"/>
              <w:right w:val="single" w:sz="8" w:space="0" w:color="000000"/>
            </w:tcBorders>
            <w:vAlign w:val="center"/>
            <w:hideMark/>
          </w:tcPr>
          <w:p w14:paraId="59DFBBC8" w14:textId="77777777" w:rsidR="002B4A91" w:rsidRPr="00522AAC" w:rsidRDefault="002B4A91" w:rsidP="00741BFF">
            <w:pPr>
              <w:spacing w:after="0" w:line="240" w:lineRule="auto"/>
              <w:jc w:val="left"/>
              <w:rPr>
                <w:rFonts w:eastAsia="Times New Roman" w:cs="Arial"/>
                <w:color w:val="000000"/>
                <w:sz w:val="20"/>
                <w:szCs w:val="20"/>
                <w:lang w:eastAsia="fr-FR"/>
              </w:rPr>
            </w:pPr>
          </w:p>
        </w:tc>
        <w:tc>
          <w:tcPr>
            <w:tcW w:w="7944" w:type="dxa"/>
            <w:gridSpan w:val="5"/>
            <w:tcBorders>
              <w:top w:val="nil"/>
              <w:left w:val="nil"/>
              <w:bottom w:val="nil"/>
              <w:right w:val="nil"/>
            </w:tcBorders>
            <w:shd w:val="clear" w:color="auto" w:fill="auto"/>
            <w:noWrap/>
            <w:vAlign w:val="bottom"/>
            <w:hideMark/>
          </w:tcPr>
          <w:p w14:paraId="7733CE9B"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r>
              <w:rPr>
                <w:rFonts w:eastAsia="Times New Roman" w:cs="Arial"/>
                <w:noProof/>
                <w:color w:val="000000"/>
                <w:sz w:val="20"/>
                <w:szCs w:val="20"/>
                <w:lang w:eastAsia="fr-FR"/>
              </w:rPr>
              <mc:AlternateContent>
                <mc:Choice Requires="wps">
                  <w:drawing>
                    <wp:anchor distT="0" distB="0" distL="114300" distR="114300" simplePos="0" relativeHeight="251892793" behindDoc="0" locked="0" layoutInCell="1" allowOverlap="1" wp14:anchorId="247E380F" wp14:editId="19394A54">
                      <wp:simplePos x="0" y="0"/>
                      <wp:positionH relativeFrom="column">
                        <wp:posOffset>1656080</wp:posOffset>
                      </wp:positionH>
                      <wp:positionV relativeFrom="paragraph">
                        <wp:posOffset>-378460</wp:posOffset>
                      </wp:positionV>
                      <wp:extent cx="584200" cy="828040"/>
                      <wp:effectExtent l="19050" t="0" r="25400" b="29210"/>
                      <wp:wrapNone/>
                      <wp:docPr id="258" name="Flèche : bas 258"/>
                      <wp:cNvGraphicFramePr/>
                      <a:graphic xmlns:a="http://schemas.openxmlformats.org/drawingml/2006/main">
                        <a:graphicData uri="http://schemas.microsoft.com/office/word/2010/wordprocessingShape">
                          <wps:wsp>
                            <wps:cNvSpPr/>
                            <wps:spPr>
                              <a:xfrm>
                                <a:off x="0" y="0"/>
                                <a:ext cx="584200" cy="828040"/>
                              </a:xfrm>
                              <a:prstGeom prst="downArrow">
                                <a:avLst/>
                              </a:prstGeom>
                              <a:solidFill>
                                <a:schemeClr val="bg1">
                                  <a:lumMod val="75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13659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lèche : bas 258" o:spid="_x0000_s1026" type="#_x0000_t67" style="position:absolute;margin-left:130.4pt;margin-top:-29.8pt;width:46pt;height:65.2pt;z-index:251892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hAargIAAAEGAAAOAAAAZHJzL2Uyb0RvYy54bWy0VM1u2zAMvg/YOwi6r3aCZM2MOkXQIsOA&#10;rg3WDj0rshQbkEVNUuJkT7PjnmN7sVGS4/6s2GHYLrYokh/JTyTPzvetIjthXQO6pKOTnBKhOVSN&#10;3pT0893yzYwS55mumAItSnoQjp7PX78660whxlCDqoQlCKJd0ZmS1t6bIsscr0XL3AkYoVEpwbbM&#10;o2g3WWVZh+itysZ5/jbrwFbGAhfO4e1lUtJ5xJdScH8jpROeqJJibj5+bfyuwzebn7FiY5mpG96n&#10;wf4ii5Y1GoMOUJfMM7K1zW9QbcMtOJD+hEObgZQNF7EGrGaUP6vmtmZGxFqQHGcGmty/g+XXu5Ul&#10;TVXS8RSfSrMWH2mpfn7HB/jxrSBr5kjQIE+dcQWa35qV7SWHx1D0Xto2/LEcso/cHgZuxd4TjpfT&#10;2QTfixKOqtl4lk8i99mDs7HOvxfQknAoaQWdXlgLXaSV7a6cx6hof7QLAR2oplo2SkUh9Iy4UJbs&#10;GL72ejOKrmrbfoQq3Z1Oc8wh4cQWC+YR9QmS0v8NHAsI6FkgM9EXT/6gRIip9Cch8TmQsHHMfsgy&#10;FcA4F9qnwlzNKpGuQ1kv1xUBA7JElgbsHuApYUfsRE9vH1xFnKPBOf9TYsl58IiRQfvBuW002JcA&#10;FFbVR072R5ISNYGlNVQHbFYLaYqd4csGe+WKOb9iFscW2wtXkb/Bj1TQlRT6EyU12K8v3Qd7nCbU&#10;UtLhGiip+7JlVlCiPmics3ejCXYq8VGYTE/HKNjHmvVjjd62F4C9N8KlZ3g8Bnuvjkdpob3HjbUI&#10;UVHFNMfYJeXeHoULn9YT7jwuFotohrvCMH+lbw0P4IHVMAZ3+3tmTT8wHiftGo4rgxXPRibZBk8N&#10;i60H2cR5euC15xv3TByIfieGRfZYjlYPm3v+CwAA//8DAFBLAwQUAAYACAAAACEAOksxwd4AAAAK&#10;AQAADwAAAGRycy9kb3ducmV2LnhtbEyPwU7DMBBE70j8g7VI3FqbQAOEOFVB4lCJSwuC6yY2SUS8&#10;jmw3CX/PcoLj7Ixm3pbbxQ1isiH2njRcrRUIS403PbUa3l6fV3cgYkIyOHiyGr5thG11flZiYfxM&#10;BzsdUyu4hGKBGrqUxkLK2HTWYVz70RJ7nz44TCxDK03AmcvdIDOlcumwJ17ocLRPnW2+jienwcyP&#10;47x/D4ikPurJHXb7m5dW68uLZfcAItkl/YXhF5/RoWKm2p/IRDFoyHLF6EnDanOfg+DE9SbjS63h&#10;lh1ZlfL/C9UPAAAA//8DAFBLAQItABQABgAIAAAAIQC2gziS/gAAAOEBAAATAAAAAAAAAAAAAAAA&#10;AAAAAABbQ29udGVudF9UeXBlc10ueG1sUEsBAi0AFAAGAAgAAAAhADj9If/WAAAAlAEAAAsAAAAA&#10;AAAAAAAAAAAALwEAAF9yZWxzLy5yZWxzUEsBAi0AFAAGAAgAAAAhAEpqEBquAgAAAQYAAA4AAAAA&#10;AAAAAAAAAAAALgIAAGRycy9lMm9Eb2MueG1sUEsBAi0AFAAGAAgAAAAhADpLMcHeAAAACgEAAA8A&#10;AAAAAAAAAAAAAAAACAUAAGRycy9kb3ducmV2LnhtbFBLBQYAAAAABAAEAPMAAAATBgAAAAA=&#10;" adj="13980" fillcolor="#bfbfbf [2412]" strokecolor="#bfbfbf [2412]" strokeweight="1pt"/>
                  </w:pict>
                </mc:Fallback>
              </mc:AlternateContent>
            </w:r>
          </w:p>
        </w:tc>
      </w:tr>
      <w:tr w:rsidR="002B4A91" w:rsidRPr="00522AAC" w14:paraId="4A35EE6F" w14:textId="77777777" w:rsidTr="00741BFF">
        <w:trPr>
          <w:trHeight w:val="135"/>
        </w:trPr>
        <w:tc>
          <w:tcPr>
            <w:tcW w:w="13182" w:type="dxa"/>
            <w:gridSpan w:val="8"/>
            <w:tcBorders>
              <w:top w:val="nil"/>
              <w:left w:val="nil"/>
              <w:bottom w:val="nil"/>
              <w:right w:val="nil"/>
            </w:tcBorders>
            <w:shd w:val="clear" w:color="auto" w:fill="auto"/>
            <w:noWrap/>
            <w:vAlign w:val="bottom"/>
            <w:hideMark/>
          </w:tcPr>
          <w:p w14:paraId="5E359F87" w14:textId="77777777" w:rsidR="002B4A91" w:rsidRPr="00522AAC" w:rsidRDefault="002B4A91" w:rsidP="00741BFF">
            <w:pPr>
              <w:spacing w:after="0" w:line="240" w:lineRule="auto"/>
              <w:jc w:val="left"/>
              <w:rPr>
                <w:rFonts w:ascii="Times New Roman" w:eastAsia="Times New Roman" w:hAnsi="Times New Roman" w:cs="Times New Roman"/>
                <w:sz w:val="20"/>
                <w:szCs w:val="20"/>
                <w:lang w:eastAsia="fr-FR"/>
              </w:rPr>
            </w:pPr>
          </w:p>
        </w:tc>
      </w:tr>
      <w:tr w:rsidR="002B4A91" w:rsidRPr="00522AAC" w14:paraId="1F7B4213" w14:textId="77777777" w:rsidTr="00741BFF">
        <w:trPr>
          <w:trHeight w:val="690"/>
        </w:trPr>
        <w:tc>
          <w:tcPr>
            <w:tcW w:w="226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hideMark/>
          </w:tcPr>
          <w:p w14:paraId="120903D9" w14:textId="77777777" w:rsidR="002B4A91" w:rsidRPr="00522AAC" w:rsidRDefault="002B4A91" w:rsidP="00741BFF">
            <w:pPr>
              <w:spacing w:after="0" w:line="240" w:lineRule="auto"/>
              <w:jc w:val="left"/>
              <w:rPr>
                <w:rFonts w:eastAsia="Times New Roman" w:cs="Arial"/>
                <w:color w:val="000000"/>
                <w:sz w:val="20"/>
                <w:szCs w:val="20"/>
                <w:lang w:eastAsia="fr-FR"/>
              </w:rPr>
            </w:pPr>
            <w:r w:rsidRPr="00522AAC">
              <w:rPr>
                <w:rFonts w:eastAsia="Times New Roman" w:cs="Arial"/>
                <w:color w:val="000000"/>
                <w:sz w:val="20"/>
                <w:szCs w:val="20"/>
                <w:lang w:eastAsia="fr-FR"/>
              </w:rPr>
              <w:t>Consommation Totale</w:t>
            </w:r>
          </w:p>
        </w:tc>
        <w:tc>
          <w:tcPr>
            <w:tcW w:w="1558" w:type="dxa"/>
            <w:tcBorders>
              <w:top w:val="single" w:sz="8" w:space="0" w:color="auto"/>
              <w:left w:val="nil"/>
              <w:bottom w:val="single" w:sz="8" w:space="0" w:color="auto"/>
              <w:right w:val="single" w:sz="8" w:space="0" w:color="auto"/>
            </w:tcBorders>
            <w:shd w:val="clear" w:color="auto" w:fill="F2F2F2" w:themeFill="background1" w:themeFillShade="F2"/>
            <w:vAlign w:val="center"/>
            <w:hideMark/>
          </w:tcPr>
          <w:p w14:paraId="7EE56868"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Porc Ingrédient Traiteur 70</w:t>
            </w:r>
            <w:r>
              <w:rPr>
                <w:rFonts w:eastAsia="Times New Roman" w:cs="Arial"/>
                <w:color w:val="000000"/>
                <w:sz w:val="20"/>
                <w:szCs w:val="20"/>
                <w:lang w:eastAsia="fr-FR"/>
              </w:rPr>
              <w:t> </w:t>
            </w:r>
            <w:r w:rsidRPr="00522AAC">
              <w:rPr>
                <w:rFonts w:eastAsia="Times New Roman" w:cs="Arial"/>
                <w:color w:val="000000"/>
                <w:sz w:val="20"/>
                <w:szCs w:val="20"/>
                <w:lang w:eastAsia="fr-FR"/>
              </w:rPr>
              <w:t>kt</w:t>
            </w:r>
          </w:p>
        </w:tc>
        <w:tc>
          <w:tcPr>
            <w:tcW w:w="1420" w:type="dxa"/>
            <w:tcBorders>
              <w:top w:val="single" w:sz="8" w:space="0" w:color="000000"/>
              <w:left w:val="nil"/>
              <w:bottom w:val="single" w:sz="8" w:space="0" w:color="auto"/>
              <w:right w:val="single" w:sz="8" w:space="0" w:color="000000"/>
            </w:tcBorders>
            <w:shd w:val="clear" w:color="auto" w:fill="F2F2F2" w:themeFill="background1" w:themeFillShade="F2"/>
            <w:vAlign w:val="center"/>
            <w:hideMark/>
          </w:tcPr>
          <w:p w14:paraId="41E3500C"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Charcuterie salaison hors saucisserie 1</w:t>
            </w:r>
            <w:r>
              <w:rPr>
                <w:rFonts w:eastAsia="Times New Roman" w:cs="Arial"/>
                <w:color w:val="000000"/>
                <w:sz w:val="20"/>
                <w:szCs w:val="20"/>
                <w:lang w:eastAsia="fr-FR"/>
              </w:rPr>
              <w:t> </w:t>
            </w:r>
            <w:r w:rsidRPr="00522AAC">
              <w:rPr>
                <w:rFonts w:eastAsia="Times New Roman" w:cs="Arial"/>
                <w:color w:val="000000"/>
                <w:sz w:val="20"/>
                <w:szCs w:val="20"/>
                <w:lang w:eastAsia="fr-FR"/>
              </w:rPr>
              <w:t>0</w:t>
            </w:r>
            <w:r>
              <w:rPr>
                <w:rFonts w:eastAsia="Times New Roman" w:cs="Arial"/>
                <w:color w:val="000000"/>
                <w:sz w:val="20"/>
                <w:szCs w:val="20"/>
                <w:lang w:eastAsia="fr-FR"/>
              </w:rPr>
              <w:t>45</w:t>
            </w:r>
            <w:r w:rsidRPr="00522AAC">
              <w:rPr>
                <w:rFonts w:eastAsia="Times New Roman" w:cs="Arial"/>
                <w:color w:val="000000"/>
                <w:sz w:val="20"/>
                <w:szCs w:val="20"/>
                <w:lang w:eastAsia="fr-FR"/>
              </w:rPr>
              <w:t xml:space="preserve"> kt </w:t>
            </w:r>
          </w:p>
        </w:tc>
        <w:tc>
          <w:tcPr>
            <w:tcW w:w="3800" w:type="dxa"/>
            <w:gridSpan w:val="2"/>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4882B659"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Viande de porc et saucisserie 690 kt</w:t>
            </w:r>
          </w:p>
        </w:tc>
        <w:tc>
          <w:tcPr>
            <w:tcW w:w="1758" w:type="dxa"/>
            <w:tcBorders>
              <w:top w:val="single" w:sz="8" w:space="0" w:color="auto"/>
              <w:left w:val="nil"/>
              <w:bottom w:val="single" w:sz="8" w:space="0" w:color="auto"/>
              <w:right w:val="single" w:sz="8" w:space="0" w:color="auto"/>
            </w:tcBorders>
            <w:shd w:val="clear" w:color="auto" w:fill="F2F2F2" w:themeFill="background1" w:themeFillShade="F2"/>
            <w:noWrap/>
            <w:vAlign w:val="center"/>
            <w:hideMark/>
          </w:tcPr>
          <w:p w14:paraId="599A53F0" w14:textId="77777777" w:rsidR="002B4A91" w:rsidRPr="00522AAC" w:rsidRDefault="002B4A91" w:rsidP="00741BFF">
            <w:pPr>
              <w:spacing w:after="0" w:line="240" w:lineRule="auto"/>
              <w:jc w:val="center"/>
              <w:rPr>
                <w:rFonts w:eastAsia="Times New Roman" w:cs="Arial"/>
                <w:color w:val="000000"/>
                <w:sz w:val="20"/>
                <w:szCs w:val="20"/>
                <w:lang w:eastAsia="fr-FR"/>
              </w:rPr>
            </w:pPr>
            <w:r w:rsidRPr="00522AAC">
              <w:rPr>
                <w:rFonts w:eastAsia="Times New Roman" w:cs="Arial"/>
                <w:color w:val="000000"/>
                <w:sz w:val="20"/>
                <w:szCs w:val="20"/>
                <w:lang w:eastAsia="fr-FR"/>
              </w:rPr>
              <w:t>Abats 15 kt</w:t>
            </w:r>
            <w:r>
              <w:rPr>
                <w:rFonts w:eastAsia="Times New Roman" w:cs="Arial"/>
                <w:color w:val="000000"/>
                <w:sz w:val="20"/>
                <w:szCs w:val="20"/>
                <w:lang w:eastAsia="fr-FR"/>
              </w:rPr>
              <w:t xml:space="preserve"> (estimé)</w:t>
            </w:r>
          </w:p>
        </w:tc>
        <w:tc>
          <w:tcPr>
            <w:tcW w:w="146" w:type="dxa"/>
            <w:vMerge w:val="restart"/>
            <w:tcBorders>
              <w:top w:val="nil"/>
              <w:left w:val="nil"/>
              <w:right w:val="nil"/>
            </w:tcBorders>
            <w:shd w:val="clear" w:color="auto" w:fill="auto"/>
            <w:noWrap/>
            <w:vAlign w:val="bottom"/>
            <w:hideMark/>
          </w:tcPr>
          <w:p w14:paraId="109315B4" w14:textId="77777777" w:rsidR="002B4A91" w:rsidRPr="00522AAC" w:rsidRDefault="002B4A91" w:rsidP="00741BFF">
            <w:pPr>
              <w:spacing w:after="0" w:line="240" w:lineRule="auto"/>
              <w:jc w:val="center"/>
              <w:rPr>
                <w:rFonts w:eastAsia="Times New Roman" w:cs="Arial"/>
                <w:color w:val="000000"/>
                <w:sz w:val="20"/>
                <w:szCs w:val="20"/>
                <w:lang w:eastAsia="fr-FR"/>
              </w:rPr>
            </w:pPr>
          </w:p>
        </w:tc>
        <w:tc>
          <w:tcPr>
            <w:tcW w:w="224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hideMark/>
          </w:tcPr>
          <w:p w14:paraId="75B44300" w14:textId="77777777" w:rsidR="002B4A91" w:rsidRPr="00522AAC" w:rsidRDefault="002B4A91" w:rsidP="00741BFF">
            <w:pPr>
              <w:spacing w:after="0" w:line="240" w:lineRule="auto"/>
              <w:jc w:val="center"/>
              <w:rPr>
                <w:rFonts w:eastAsia="Times New Roman" w:cs="Arial"/>
                <w:b/>
                <w:bCs/>
                <w:color w:val="000000"/>
                <w:sz w:val="20"/>
                <w:szCs w:val="20"/>
                <w:lang w:eastAsia="fr-FR"/>
              </w:rPr>
            </w:pPr>
            <w:r w:rsidRPr="00522AAC">
              <w:rPr>
                <w:rFonts w:eastAsia="Times New Roman" w:cs="Arial"/>
                <w:b/>
                <w:bCs/>
                <w:color w:val="000000"/>
                <w:sz w:val="20"/>
                <w:szCs w:val="20"/>
                <w:lang w:eastAsia="fr-FR"/>
              </w:rPr>
              <w:t>1 8</w:t>
            </w:r>
            <w:r>
              <w:rPr>
                <w:rFonts w:eastAsia="Times New Roman" w:cs="Arial"/>
                <w:b/>
                <w:bCs/>
                <w:color w:val="000000"/>
                <w:sz w:val="20"/>
                <w:szCs w:val="20"/>
                <w:lang w:eastAsia="fr-FR"/>
              </w:rPr>
              <w:t>20</w:t>
            </w:r>
            <w:r w:rsidRPr="00522AAC">
              <w:rPr>
                <w:rFonts w:eastAsia="Times New Roman" w:cs="Arial"/>
                <w:b/>
                <w:bCs/>
                <w:color w:val="000000"/>
                <w:sz w:val="20"/>
                <w:szCs w:val="20"/>
                <w:lang w:eastAsia="fr-FR"/>
              </w:rPr>
              <w:t xml:space="preserve"> kt</w:t>
            </w:r>
          </w:p>
        </w:tc>
      </w:tr>
      <w:tr w:rsidR="002B4A91" w:rsidRPr="00522AAC" w14:paraId="28DA1F8A" w14:textId="77777777" w:rsidTr="00741BFF">
        <w:trPr>
          <w:trHeight w:val="660"/>
        </w:trPr>
        <w:tc>
          <w:tcPr>
            <w:tcW w:w="2260" w:type="dxa"/>
            <w:tcBorders>
              <w:top w:val="nil"/>
              <w:left w:val="single" w:sz="8" w:space="0" w:color="auto"/>
              <w:bottom w:val="single" w:sz="8" w:space="0" w:color="auto"/>
              <w:right w:val="single" w:sz="8" w:space="0" w:color="auto"/>
            </w:tcBorders>
            <w:shd w:val="clear" w:color="auto" w:fill="F2F2F2" w:themeFill="background1" w:themeFillShade="F2"/>
            <w:vAlign w:val="center"/>
            <w:hideMark/>
          </w:tcPr>
          <w:p w14:paraId="56A29C1B"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 xml:space="preserve">Dont Consommation A domicile </w:t>
            </w:r>
          </w:p>
        </w:tc>
        <w:tc>
          <w:tcPr>
            <w:tcW w:w="1558" w:type="dxa"/>
            <w:tcBorders>
              <w:top w:val="nil"/>
              <w:left w:val="nil"/>
              <w:bottom w:val="single" w:sz="8" w:space="0" w:color="auto"/>
              <w:right w:val="single" w:sz="8" w:space="0" w:color="auto"/>
            </w:tcBorders>
            <w:shd w:val="clear" w:color="auto" w:fill="F2F2F2" w:themeFill="background1" w:themeFillShade="F2"/>
            <w:vAlign w:val="center"/>
            <w:hideMark/>
          </w:tcPr>
          <w:p w14:paraId="374BA368"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NC</w:t>
            </w:r>
          </w:p>
        </w:tc>
        <w:tc>
          <w:tcPr>
            <w:tcW w:w="1420" w:type="dxa"/>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6BC8A053"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 xml:space="preserve">Charcuterie salaison hors saucisserie  870 kt </w:t>
            </w:r>
          </w:p>
        </w:tc>
        <w:tc>
          <w:tcPr>
            <w:tcW w:w="3800" w:type="dxa"/>
            <w:gridSpan w:val="2"/>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0ABB7E4D"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Viande de porc et saucisserie 600 kt</w:t>
            </w:r>
          </w:p>
        </w:tc>
        <w:tc>
          <w:tcPr>
            <w:tcW w:w="1758" w:type="dxa"/>
            <w:tcBorders>
              <w:top w:val="nil"/>
              <w:left w:val="nil"/>
              <w:bottom w:val="single" w:sz="8" w:space="0" w:color="auto"/>
              <w:right w:val="single" w:sz="8" w:space="0" w:color="auto"/>
            </w:tcBorders>
            <w:shd w:val="clear" w:color="auto" w:fill="F2F2F2" w:themeFill="background1" w:themeFillShade="F2"/>
            <w:noWrap/>
            <w:vAlign w:val="center"/>
            <w:hideMark/>
          </w:tcPr>
          <w:p w14:paraId="55E9040C" w14:textId="77777777" w:rsidR="002B4A91"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Abats 12 kt</w:t>
            </w:r>
          </w:p>
          <w:p w14:paraId="674D236A" w14:textId="77777777" w:rsidR="002B4A91" w:rsidRPr="00522AAC" w:rsidRDefault="002B4A91" w:rsidP="00741BFF">
            <w:pPr>
              <w:spacing w:after="0" w:line="240" w:lineRule="auto"/>
              <w:jc w:val="right"/>
              <w:rPr>
                <w:rFonts w:eastAsia="Times New Roman" w:cs="Arial"/>
                <w:i/>
                <w:iCs/>
                <w:color w:val="000000"/>
                <w:sz w:val="20"/>
                <w:szCs w:val="20"/>
                <w:lang w:eastAsia="fr-FR"/>
              </w:rPr>
            </w:pPr>
            <w:r>
              <w:rPr>
                <w:rFonts w:eastAsia="Times New Roman" w:cs="Arial"/>
                <w:i/>
                <w:iCs/>
                <w:color w:val="000000"/>
                <w:sz w:val="20"/>
                <w:szCs w:val="20"/>
                <w:lang w:eastAsia="fr-FR"/>
              </w:rPr>
              <w:t>(estimé)</w:t>
            </w:r>
          </w:p>
        </w:tc>
        <w:tc>
          <w:tcPr>
            <w:tcW w:w="146" w:type="dxa"/>
            <w:vMerge/>
            <w:tcBorders>
              <w:left w:val="nil"/>
              <w:right w:val="nil"/>
            </w:tcBorders>
            <w:shd w:val="clear" w:color="auto" w:fill="auto"/>
            <w:noWrap/>
            <w:vAlign w:val="bottom"/>
            <w:hideMark/>
          </w:tcPr>
          <w:p w14:paraId="1554784C" w14:textId="77777777" w:rsidR="002B4A91" w:rsidRPr="00843A7F" w:rsidRDefault="002B4A91" w:rsidP="00741BFF">
            <w:pPr>
              <w:spacing w:after="0" w:line="240" w:lineRule="auto"/>
              <w:jc w:val="center"/>
              <w:rPr>
                <w:rFonts w:eastAsia="Times New Roman" w:cs="Arial"/>
                <w:color w:val="000000"/>
                <w:sz w:val="20"/>
                <w:szCs w:val="20"/>
                <w:lang w:eastAsia="fr-FR"/>
              </w:rPr>
            </w:pPr>
          </w:p>
        </w:tc>
        <w:tc>
          <w:tcPr>
            <w:tcW w:w="2240" w:type="dxa"/>
            <w:tcBorders>
              <w:top w:val="nil"/>
              <w:left w:val="single" w:sz="8" w:space="0" w:color="auto"/>
              <w:bottom w:val="single" w:sz="8" w:space="0" w:color="auto"/>
              <w:right w:val="single" w:sz="8" w:space="0" w:color="auto"/>
            </w:tcBorders>
            <w:shd w:val="clear" w:color="auto" w:fill="F2F2F2" w:themeFill="background1" w:themeFillShade="F2"/>
            <w:vAlign w:val="center"/>
            <w:hideMark/>
          </w:tcPr>
          <w:p w14:paraId="6497A677"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1 482 kt (hors traiteur)</w:t>
            </w:r>
          </w:p>
        </w:tc>
      </w:tr>
      <w:tr w:rsidR="002B4A91" w:rsidRPr="00522AAC" w14:paraId="21EA0B74" w14:textId="77777777" w:rsidTr="00741BFF">
        <w:trPr>
          <w:trHeight w:val="810"/>
        </w:trPr>
        <w:tc>
          <w:tcPr>
            <w:tcW w:w="2260" w:type="dxa"/>
            <w:tcBorders>
              <w:top w:val="nil"/>
              <w:left w:val="single" w:sz="8" w:space="0" w:color="auto"/>
              <w:bottom w:val="single" w:sz="8" w:space="0" w:color="auto"/>
              <w:right w:val="single" w:sz="8" w:space="0" w:color="auto"/>
            </w:tcBorders>
            <w:shd w:val="clear" w:color="auto" w:fill="F2F2F2" w:themeFill="background1" w:themeFillShade="F2"/>
            <w:vAlign w:val="center"/>
            <w:hideMark/>
          </w:tcPr>
          <w:p w14:paraId="52F8B1B8"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Dont Consommation Hors domicile commerciale, collective et CVA</w:t>
            </w:r>
          </w:p>
        </w:tc>
        <w:tc>
          <w:tcPr>
            <w:tcW w:w="1558" w:type="dxa"/>
            <w:tcBorders>
              <w:top w:val="nil"/>
              <w:left w:val="nil"/>
              <w:bottom w:val="single" w:sz="8" w:space="0" w:color="auto"/>
              <w:right w:val="single" w:sz="8" w:space="0" w:color="auto"/>
            </w:tcBorders>
            <w:shd w:val="clear" w:color="auto" w:fill="F2F2F2" w:themeFill="background1" w:themeFillShade="F2"/>
            <w:vAlign w:val="center"/>
            <w:hideMark/>
          </w:tcPr>
          <w:p w14:paraId="29C6CFB7"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NC</w:t>
            </w:r>
          </w:p>
        </w:tc>
        <w:tc>
          <w:tcPr>
            <w:tcW w:w="1420" w:type="dxa"/>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4B1B5A39"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Charcuterie salaison hors  sau</w:t>
            </w:r>
            <w:r>
              <w:rPr>
                <w:rFonts w:eastAsia="Times New Roman" w:cs="Arial"/>
                <w:i/>
                <w:iCs/>
                <w:color w:val="000000"/>
                <w:sz w:val="20"/>
                <w:szCs w:val="20"/>
                <w:lang w:eastAsia="fr-FR"/>
              </w:rPr>
              <w:t>c</w:t>
            </w:r>
            <w:r w:rsidRPr="00522AAC">
              <w:rPr>
                <w:rFonts w:eastAsia="Times New Roman" w:cs="Arial"/>
                <w:i/>
                <w:iCs/>
                <w:color w:val="000000"/>
                <w:sz w:val="20"/>
                <w:szCs w:val="20"/>
                <w:lang w:eastAsia="fr-FR"/>
              </w:rPr>
              <w:t>isserie 1</w:t>
            </w:r>
            <w:r>
              <w:rPr>
                <w:rFonts w:eastAsia="Times New Roman" w:cs="Arial"/>
                <w:i/>
                <w:iCs/>
                <w:color w:val="000000"/>
                <w:sz w:val="20"/>
                <w:szCs w:val="20"/>
                <w:lang w:eastAsia="fr-FR"/>
              </w:rPr>
              <w:t>75</w:t>
            </w:r>
            <w:r w:rsidRPr="00522AAC">
              <w:rPr>
                <w:rFonts w:eastAsia="Times New Roman" w:cs="Arial"/>
                <w:i/>
                <w:iCs/>
                <w:color w:val="000000"/>
                <w:sz w:val="20"/>
                <w:szCs w:val="20"/>
                <w:lang w:eastAsia="fr-FR"/>
              </w:rPr>
              <w:t xml:space="preserve"> kt </w:t>
            </w:r>
          </w:p>
        </w:tc>
        <w:tc>
          <w:tcPr>
            <w:tcW w:w="3800" w:type="dxa"/>
            <w:gridSpan w:val="2"/>
            <w:tcBorders>
              <w:top w:val="single" w:sz="8" w:space="0" w:color="auto"/>
              <w:left w:val="nil"/>
              <w:bottom w:val="single" w:sz="8" w:space="0" w:color="auto"/>
              <w:right w:val="single" w:sz="8" w:space="0" w:color="000000"/>
            </w:tcBorders>
            <w:shd w:val="clear" w:color="auto" w:fill="F2F2F2" w:themeFill="background1" w:themeFillShade="F2"/>
            <w:vAlign w:val="center"/>
            <w:hideMark/>
          </w:tcPr>
          <w:p w14:paraId="73612621"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Viande de porc et saucisserie 90 kt</w:t>
            </w:r>
          </w:p>
        </w:tc>
        <w:tc>
          <w:tcPr>
            <w:tcW w:w="1758" w:type="dxa"/>
            <w:tcBorders>
              <w:top w:val="nil"/>
              <w:left w:val="nil"/>
              <w:bottom w:val="single" w:sz="8" w:space="0" w:color="auto"/>
              <w:right w:val="single" w:sz="8" w:space="0" w:color="auto"/>
            </w:tcBorders>
            <w:shd w:val="clear" w:color="auto" w:fill="F2F2F2" w:themeFill="background1" w:themeFillShade="F2"/>
            <w:vAlign w:val="center"/>
            <w:hideMark/>
          </w:tcPr>
          <w:p w14:paraId="7100AFA1" w14:textId="77777777" w:rsidR="002B4A91"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Abats 3 kt</w:t>
            </w:r>
          </w:p>
          <w:p w14:paraId="425EA634" w14:textId="77777777" w:rsidR="002B4A91" w:rsidRPr="00522AAC" w:rsidRDefault="002B4A91" w:rsidP="00741BFF">
            <w:pPr>
              <w:spacing w:after="0" w:line="240" w:lineRule="auto"/>
              <w:jc w:val="right"/>
              <w:rPr>
                <w:rFonts w:eastAsia="Times New Roman" w:cs="Arial"/>
                <w:i/>
                <w:iCs/>
                <w:color w:val="000000"/>
                <w:sz w:val="20"/>
                <w:szCs w:val="20"/>
                <w:lang w:eastAsia="fr-FR"/>
              </w:rPr>
            </w:pPr>
            <w:r>
              <w:rPr>
                <w:rFonts w:eastAsia="Times New Roman" w:cs="Arial"/>
                <w:i/>
                <w:iCs/>
                <w:color w:val="000000"/>
                <w:sz w:val="20"/>
                <w:szCs w:val="20"/>
                <w:lang w:eastAsia="fr-FR"/>
              </w:rPr>
              <w:t>(estimé)</w:t>
            </w:r>
          </w:p>
        </w:tc>
        <w:tc>
          <w:tcPr>
            <w:tcW w:w="146" w:type="dxa"/>
            <w:vMerge/>
            <w:tcBorders>
              <w:left w:val="nil"/>
              <w:bottom w:val="nil"/>
              <w:right w:val="nil"/>
            </w:tcBorders>
            <w:shd w:val="clear" w:color="auto" w:fill="auto"/>
            <w:noWrap/>
            <w:vAlign w:val="bottom"/>
            <w:hideMark/>
          </w:tcPr>
          <w:p w14:paraId="441AF654" w14:textId="77777777" w:rsidR="002B4A91" w:rsidRPr="00522AAC" w:rsidRDefault="002B4A91" w:rsidP="00741BFF">
            <w:pPr>
              <w:spacing w:after="0" w:line="240" w:lineRule="auto"/>
              <w:jc w:val="right"/>
              <w:rPr>
                <w:rFonts w:eastAsia="Times New Roman" w:cs="Arial"/>
                <w:i/>
                <w:iCs/>
                <w:color w:val="000000"/>
                <w:sz w:val="20"/>
                <w:szCs w:val="20"/>
                <w:lang w:eastAsia="fr-FR"/>
              </w:rPr>
            </w:pPr>
          </w:p>
        </w:tc>
        <w:tc>
          <w:tcPr>
            <w:tcW w:w="2240" w:type="dxa"/>
            <w:tcBorders>
              <w:top w:val="nil"/>
              <w:left w:val="single" w:sz="8" w:space="0" w:color="auto"/>
              <w:bottom w:val="single" w:sz="8" w:space="0" w:color="auto"/>
              <w:right w:val="single" w:sz="8" w:space="0" w:color="auto"/>
            </w:tcBorders>
            <w:shd w:val="clear" w:color="auto" w:fill="F2F2F2" w:themeFill="background1" w:themeFillShade="F2"/>
            <w:vAlign w:val="center"/>
            <w:hideMark/>
          </w:tcPr>
          <w:p w14:paraId="5968BB66" w14:textId="77777777" w:rsidR="002B4A91" w:rsidRPr="00522AAC" w:rsidRDefault="002B4A91" w:rsidP="00741BFF">
            <w:pPr>
              <w:spacing w:after="0" w:line="240" w:lineRule="auto"/>
              <w:jc w:val="right"/>
              <w:rPr>
                <w:rFonts w:eastAsia="Times New Roman" w:cs="Arial"/>
                <w:i/>
                <w:iCs/>
                <w:color w:val="000000"/>
                <w:sz w:val="20"/>
                <w:szCs w:val="20"/>
                <w:lang w:eastAsia="fr-FR"/>
              </w:rPr>
            </w:pPr>
            <w:r w:rsidRPr="00522AAC">
              <w:rPr>
                <w:rFonts w:eastAsia="Times New Roman" w:cs="Arial"/>
                <w:i/>
                <w:iCs/>
                <w:color w:val="000000"/>
                <w:sz w:val="20"/>
                <w:szCs w:val="20"/>
                <w:lang w:eastAsia="fr-FR"/>
              </w:rPr>
              <w:t>2</w:t>
            </w:r>
            <w:r>
              <w:rPr>
                <w:rFonts w:eastAsia="Times New Roman" w:cs="Arial"/>
                <w:i/>
                <w:iCs/>
                <w:color w:val="000000"/>
                <w:sz w:val="20"/>
                <w:szCs w:val="20"/>
                <w:lang w:eastAsia="fr-FR"/>
              </w:rPr>
              <w:t>68</w:t>
            </w:r>
            <w:r w:rsidRPr="00522AAC">
              <w:rPr>
                <w:rFonts w:eastAsia="Times New Roman" w:cs="Arial"/>
                <w:i/>
                <w:iCs/>
                <w:color w:val="000000"/>
                <w:sz w:val="20"/>
                <w:szCs w:val="20"/>
                <w:lang w:eastAsia="fr-FR"/>
              </w:rPr>
              <w:t xml:space="preserve"> kt (hors traiteur)</w:t>
            </w:r>
          </w:p>
        </w:tc>
      </w:tr>
    </w:tbl>
    <w:p w14:paraId="2AC61AFD" w14:textId="77777777" w:rsidR="002B4A91" w:rsidRDefault="002B4A91" w:rsidP="002B4A91">
      <w:pPr>
        <w:pStyle w:val="figure"/>
        <w:rPr>
          <w:bCs w:val="0"/>
        </w:rPr>
      </w:pPr>
      <w:bookmarkStart w:id="329" w:name="_Toc77936226"/>
      <w:r w:rsidRPr="00FB4AD4">
        <w:rPr>
          <w:bCs w:val="0"/>
        </w:rPr>
        <w:t>T</w:t>
      </w:r>
      <w:r w:rsidRPr="00926407">
        <w:t xml:space="preserve">ableau </w:t>
      </w:r>
      <w:r w:rsidRPr="00D54EC4">
        <w:fldChar w:fldCharType="begin"/>
      </w:r>
      <w:r w:rsidRPr="0002537E">
        <w:instrText xml:space="preserve"> SEQ Tableau \* ARABIC </w:instrText>
      </w:r>
      <w:r w:rsidRPr="00D54EC4">
        <w:fldChar w:fldCharType="separate"/>
      </w:r>
      <w:r>
        <w:rPr>
          <w:noProof/>
        </w:rPr>
        <w:t>69</w:t>
      </w:r>
      <w:r w:rsidRPr="00D54EC4">
        <w:fldChar w:fldCharType="end"/>
      </w:r>
      <w:r>
        <w:t> </w:t>
      </w:r>
      <w:r w:rsidRPr="002B4A91">
        <w:rPr>
          <w:b w:val="0"/>
          <w:bCs w:val="0"/>
        </w:rPr>
        <w:t xml:space="preserve">: </w:t>
      </w:r>
      <w:r w:rsidRPr="002B4A91">
        <w:rPr>
          <w:rStyle w:val="Titre2Car"/>
          <w:b/>
          <w:bCs w:val="0"/>
        </w:rPr>
        <w:t xml:space="preserve">Etat des données consolidées du disponible en porc par étape de transformation de la filière </w:t>
      </w:r>
      <w:r w:rsidRPr="002B4A91">
        <w:t>en 2018</w:t>
      </w:r>
      <w:r>
        <w:rPr>
          <w:bCs w:val="0"/>
        </w:rPr>
        <w:t>.</w:t>
      </w:r>
    </w:p>
    <w:p w14:paraId="0D061815" w14:textId="77777777" w:rsidR="002B4A91" w:rsidRPr="00AD38C6" w:rsidRDefault="002B4A91" w:rsidP="002B4A91">
      <w:pPr>
        <w:pStyle w:val="figure"/>
        <w:rPr>
          <w:i/>
          <w:iCs w:val="0"/>
        </w:rPr>
      </w:pPr>
      <w:r w:rsidRPr="00AD38C6">
        <w:rPr>
          <w:b w:val="0"/>
          <w:i/>
          <w:iCs w:val="0"/>
        </w:rPr>
        <w:t>(</w:t>
      </w:r>
      <w:bookmarkEnd w:id="329"/>
      <w:r w:rsidRPr="00AD38C6">
        <w:rPr>
          <w:b w:val="0"/>
          <w:i/>
          <w:iCs w:val="0"/>
        </w:rPr>
        <w:t>Source Ifip d’après Insee, SSP, douanes, Gira Food Service)</w:t>
      </w:r>
    </w:p>
    <w:p w14:paraId="065B975F" w14:textId="77777777" w:rsidR="00574C9C" w:rsidRPr="004E4274" w:rsidRDefault="00574C9C" w:rsidP="00BD3831">
      <w:pPr>
        <w:pStyle w:val="ValrieN2"/>
        <w:ind w:left="0"/>
        <w:sectPr w:rsidR="00574C9C" w:rsidRPr="004E4274" w:rsidSect="00B73F4D">
          <w:pgSz w:w="16838" w:h="11906" w:orient="landscape" w:code="9"/>
          <w:pgMar w:top="1418" w:right="1304" w:bottom="1133" w:left="1304" w:header="567" w:footer="709" w:gutter="0"/>
          <w:cols w:space="708"/>
          <w:docGrid w:linePitch="360"/>
        </w:sectPr>
      </w:pPr>
    </w:p>
    <w:p w14:paraId="2E7FD75C" w14:textId="634692EF" w:rsidR="00922E12" w:rsidRPr="00026C60" w:rsidRDefault="00922E12" w:rsidP="00C3092C">
      <w:pPr>
        <w:pStyle w:val="Titre1"/>
      </w:pPr>
      <w:bookmarkStart w:id="330" w:name="_Toc78131671"/>
      <w:r w:rsidRPr="00026C60">
        <w:lastRenderedPageBreak/>
        <w:t xml:space="preserve">Partie 3 : </w:t>
      </w:r>
      <w:r w:rsidR="006E038A">
        <w:t>Première a</w:t>
      </w:r>
      <w:r w:rsidR="00F6231C">
        <w:t xml:space="preserve">pproche </w:t>
      </w:r>
      <w:r w:rsidR="006013DA">
        <w:t xml:space="preserve">de cartographie des pièces primaires </w:t>
      </w:r>
      <w:r w:rsidR="00277849">
        <w:t xml:space="preserve">selon la méthode des flux de </w:t>
      </w:r>
      <w:r w:rsidR="006E038A">
        <w:t>substance (SFA)</w:t>
      </w:r>
      <w:r w:rsidR="00277849">
        <w:t xml:space="preserve"> </w:t>
      </w:r>
      <w:r w:rsidRPr="00026C60">
        <w:t xml:space="preserve">au sein de la filière </w:t>
      </w:r>
      <w:r w:rsidR="00A01E80">
        <w:t>porcine</w:t>
      </w:r>
      <w:r w:rsidR="005C2E6F">
        <w:t>.</w:t>
      </w:r>
      <w:bookmarkEnd w:id="330"/>
    </w:p>
    <w:p w14:paraId="7E93E816" w14:textId="514CF00B" w:rsidR="0059030C" w:rsidRDefault="0059030C" w:rsidP="00EF7D43">
      <w:r>
        <w:t>Les deux premières parties du rapport se sont attach</w:t>
      </w:r>
      <w:r w:rsidR="004C777D">
        <w:t>ées</w:t>
      </w:r>
      <w:r>
        <w:t xml:space="preserve"> </w:t>
      </w:r>
      <w:r w:rsidR="00FF3769">
        <w:t xml:space="preserve">à </w:t>
      </w:r>
      <w:r w:rsidR="00BE0AB3">
        <w:t>identifier</w:t>
      </w:r>
      <w:r w:rsidR="00FE06BB">
        <w:t xml:space="preserve"> et</w:t>
      </w:r>
      <w:r w:rsidR="00BE0AB3">
        <w:t xml:space="preserve"> à </w:t>
      </w:r>
      <w:r w:rsidR="00FF3769">
        <w:t xml:space="preserve">comprendre </w:t>
      </w:r>
      <w:r w:rsidR="003928F5">
        <w:t xml:space="preserve">les processus </w:t>
      </w:r>
      <w:r w:rsidR="00860372">
        <w:t xml:space="preserve">qui </w:t>
      </w:r>
      <w:r w:rsidR="003928F5">
        <w:t xml:space="preserve">impactent </w:t>
      </w:r>
      <w:r w:rsidR="004C777D">
        <w:t xml:space="preserve">les </w:t>
      </w:r>
      <w:r w:rsidR="00112FB4">
        <w:t>flux</w:t>
      </w:r>
      <w:r w:rsidR="004C777D">
        <w:t xml:space="preserve"> </w:t>
      </w:r>
      <w:r w:rsidR="00BE0AB3">
        <w:t>de matière</w:t>
      </w:r>
      <w:r w:rsidR="00CD22BA">
        <w:t xml:space="preserve"> </w:t>
      </w:r>
      <w:r w:rsidR="003928F5">
        <w:t>d</w:t>
      </w:r>
      <w:r w:rsidR="00914A0C">
        <w:t>es produits du porc</w:t>
      </w:r>
      <w:r w:rsidR="00860372" w:rsidRPr="00860372">
        <w:t xml:space="preserve"> </w:t>
      </w:r>
      <w:r w:rsidR="00860372">
        <w:t>au sein de la filière et de son écosystème</w:t>
      </w:r>
      <w:r w:rsidR="00914A0C">
        <w:t>. Ainsi,</w:t>
      </w:r>
      <w:r w:rsidR="00BE0AB3">
        <w:t xml:space="preserve"> </w:t>
      </w:r>
      <w:r w:rsidR="00914A0C">
        <w:t xml:space="preserve">les étapes de </w:t>
      </w:r>
      <w:r w:rsidR="004C777D">
        <w:t xml:space="preserve">découpe, </w:t>
      </w:r>
      <w:r w:rsidR="00914A0C">
        <w:t xml:space="preserve">de </w:t>
      </w:r>
      <w:r w:rsidR="000662A5">
        <w:t>transform</w:t>
      </w:r>
      <w:r w:rsidR="004C777D">
        <w:t>ation</w:t>
      </w:r>
      <w:r w:rsidR="000662A5">
        <w:t>,</w:t>
      </w:r>
      <w:r w:rsidR="00914A0C">
        <w:t xml:space="preserve"> les échanges en termes</w:t>
      </w:r>
      <w:r>
        <w:t xml:space="preserve"> </w:t>
      </w:r>
      <w:r w:rsidR="00914A0C">
        <w:t>d</w:t>
      </w:r>
      <w:r w:rsidR="004C777D">
        <w:t>’importation</w:t>
      </w:r>
      <w:r w:rsidR="002A1166">
        <w:t xml:space="preserve"> et</w:t>
      </w:r>
      <w:r w:rsidR="004C777D">
        <w:t xml:space="preserve"> </w:t>
      </w:r>
      <w:r w:rsidR="00914A0C">
        <w:t>d’</w:t>
      </w:r>
      <w:r w:rsidR="004C777D">
        <w:t xml:space="preserve">exportation </w:t>
      </w:r>
      <w:r w:rsidR="0090532C">
        <w:t xml:space="preserve">des produits du porc </w:t>
      </w:r>
      <w:r w:rsidR="00914A0C">
        <w:t>ont été approchés</w:t>
      </w:r>
      <w:r w:rsidR="00E13B10">
        <w:t xml:space="preserve">. </w:t>
      </w:r>
      <w:r w:rsidR="00FE06BB">
        <w:t xml:space="preserve">Il s’est ensuite agi d’en </w:t>
      </w:r>
      <w:r w:rsidR="00914A0C">
        <w:t xml:space="preserve">effectuer à partir des données </w:t>
      </w:r>
      <w:r w:rsidR="00BA7080">
        <w:t xml:space="preserve">économiques </w:t>
      </w:r>
      <w:r w:rsidR="00914A0C">
        <w:t xml:space="preserve">et </w:t>
      </w:r>
      <w:r w:rsidR="00BA7080">
        <w:t>à dire d’expert</w:t>
      </w:r>
      <w:r w:rsidR="00914A0C">
        <w:t>,</w:t>
      </w:r>
      <w:r w:rsidR="00FE06BB">
        <w:t xml:space="preserve"> </w:t>
      </w:r>
      <w:r w:rsidR="009F1F43">
        <w:t xml:space="preserve">la </w:t>
      </w:r>
      <w:r w:rsidR="00FE06BB">
        <w:t>comptabilité matérielle</w:t>
      </w:r>
      <w:r w:rsidR="009F1F43">
        <w:t xml:space="preserve"> </w:t>
      </w:r>
      <w:r w:rsidR="00655EB7">
        <w:t>tout en faisant état des limites de cette première approche</w:t>
      </w:r>
      <w:r w:rsidR="00FE06BB">
        <w:t>.</w:t>
      </w:r>
    </w:p>
    <w:p w14:paraId="0A316752" w14:textId="3D4D6085" w:rsidR="00DD2F1B" w:rsidRDefault="005D3D8F" w:rsidP="00EF7D43">
      <w:r>
        <w:t xml:space="preserve">Dans cette </w:t>
      </w:r>
      <w:r w:rsidR="00186FDA">
        <w:t xml:space="preserve">troisième </w:t>
      </w:r>
      <w:r>
        <w:t xml:space="preserve">partie, </w:t>
      </w:r>
      <w:r w:rsidR="00DD2F1B">
        <w:t xml:space="preserve">les principes qui </w:t>
      </w:r>
      <w:r w:rsidR="001F2BF3">
        <w:t xml:space="preserve">gouvernent </w:t>
      </w:r>
      <w:r w:rsidR="00614E1F">
        <w:t>l</w:t>
      </w:r>
      <w:r w:rsidR="00DD2F1B">
        <w:t xml:space="preserve">a réalisation </w:t>
      </w:r>
      <w:r w:rsidR="00CD22BA">
        <w:t>d’une analyse de flux de matière</w:t>
      </w:r>
      <w:r w:rsidR="00655EB7">
        <w:t xml:space="preserve"> </w:t>
      </w:r>
      <w:r w:rsidR="00186FDA">
        <w:t xml:space="preserve">(ou </w:t>
      </w:r>
      <w:r w:rsidR="00655EB7">
        <w:t>substance</w:t>
      </w:r>
      <w:r w:rsidR="00186FDA">
        <w:t>)</w:t>
      </w:r>
      <w:r w:rsidR="00CD22BA">
        <w:t xml:space="preserve"> </w:t>
      </w:r>
      <w:r w:rsidR="006D0608">
        <w:t xml:space="preserve">seront exposés </w:t>
      </w:r>
      <w:r w:rsidR="00DD2F1B">
        <w:t>tout en signalant les limites</w:t>
      </w:r>
      <w:r w:rsidR="00CD22BA">
        <w:t xml:space="preserve"> de </w:t>
      </w:r>
      <w:r w:rsidR="00655EB7">
        <w:t>la démarche</w:t>
      </w:r>
      <w:r w:rsidR="00FC5150">
        <w:t>. Sa</w:t>
      </w:r>
      <w:r w:rsidR="00CD22BA">
        <w:t xml:space="preserve"> </w:t>
      </w:r>
      <w:r w:rsidR="003D1CC1">
        <w:t>m</w:t>
      </w:r>
      <w:r w:rsidR="00FC5150">
        <w:t>ise</w:t>
      </w:r>
      <w:r w:rsidR="003D1CC1">
        <w:t xml:space="preserve"> </w:t>
      </w:r>
      <w:r w:rsidR="00CD22BA">
        <w:t xml:space="preserve">en œuvre </w:t>
      </w:r>
      <w:r w:rsidR="008F5716">
        <w:t>au travers de cartographie</w:t>
      </w:r>
      <w:r w:rsidR="00BE6D1C">
        <w:t>s</w:t>
      </w:r>
      <w:r w:rsidR="008F5716">
        <w:t xml:space="preserve"> de flux de Sankey</w:t>
      </w:r>
      <w:r w:rsidR="00FC5150">
        <w:t xml:space="preserve"> </w:t>
      </w:r>
      <w:r w:rsidR="00BE6D1C">
        <w:t xml:space="preserve">de </w:t>
      </w:r>
      <w:r w:rsidR="00CF4004">
        <w:t xml:space="preserve">pièces primaires </w:t>
      </w:r>
      <w:r w:rsidR="00FC5CA4">
        <w:t xml:space="preserve">de porc </w:t>
      </w:r>
      <w:r w:rsidR="00CF4004">
        <w:t>sera effectuée</w:t>
      </w:r>
      <w:r w:rsidR="00A832B5">
        <w:t xml:space="preserve"> </w:t>
      </w:r>
      <w:r w:rsidR="00D52BC4">
        <w:t>et l</w:t>
      </w:r>
      <w:r w:rsidR="00A832B5">
        <w:t xml:space="preserve">es </w:t>
      </w:r>
      <w:r w:rsidR="00FA1CC7">
        <w:t>apports dans la connaissance de la filière</w:t>
      </w:r>
      <w:r w:rsidR="00D52BC4">
        <w:t xml:space="preserve"> seront analysés</w:t>
      </w:r>
      <w:r w:rsidR="00FA1CC7">
        <w:t>.</w:t>
      </w:r>
    </w:p>
    <w:p w14:paraId="23E16C04" w14:textId="68F08F7C" w:rsidR="008F5716" w:rsidRDefault="008F5716" w:rsidP="00EF7D43">
      <w:r>
        <w:t xml:space="preserve">Enfin, </w:t>
      </w:r>
      <w:r w:rsidR="00594879">
        <w:t xml:space="preserve">à partir de cette première expérience, </w:t>
      </w:r>
      <w:r w:rsidR="00AE21B6">
        <w:t xml:space="preserve">les points lacunaires </w:t>
      </w:r>
      <w:r w:rsidR="009B3948">
        <w:t>et</w:t>
      </w:r>
      <w:r w:rsidR="00AE21B6">
        <w:t xml:space="preserve"> </w:t>
      </w:r>
      <w:r w:rsidR="009B3948">
        <w:t>les leviers d’optimisation de la connaissance</w:t>
      </w:r>
      <w:r w:rsidR="00276BB4">
        <w:t xml:space="preserve"> seront identifiés. U</w:t>
      </w:r>
      <w:r w:rsidR="009B3948">
        <w:t xml:space="preserve">ne </w:t>
      </w:r>
      <w:r w:rsidR="00127D42">
        <w:t xml:space="preserve">approche méthodologique </w:t>
      </w:r>
      <w:r w:rsidR="005B4DC1">
        <w:t xml:space="preserve">sera </w:t>
      </w:r>
      <w:r w:rsidR="00276BB4">
        <w:t>dégagée</w:t>
      </w:r>
      <w:r w:rsidR="005B4DC1">
        <w:t xml:space="preserve"> et la </w:t>
      </w:r>
      <w:r w:rsidR="00594879">
        <w:t xml:space="preserve">faisabilité </w:t>
      </w:r>
      <w:r w:rsidR="00A832B5">
        <w:t>de l’exploitation de la méthode</w:t>
      </w:r>
      <w:r w:rsidR="006D3C07">
        <w:t xml:space="preserve"> en récurrence</w:t>
      </w:r>
      <w:r w:rsidR="00884BE2">
        <w:t xml:space="preserve"> sera discutée</w:t>
      </w:r>
      <w:r w:rsidR="00FA1CC7">
        <w:t>.</w:t>
      </w:r>
    </w:p>
    <w:p w14:paraId="594F885D" w14:textId="5A7926A9" w:rsidR="004E4EBD" w:rsidRDefault="001F3608" w:rsidP="00A305CD">
      <w:pPr>
        <w:pStyle w:val="Titre1"/>
        <w:numPr>
          <w:ilvl w:val="0"/>
          <w:numId w:val="29"/>
        </w:numPr>
      </w:pPr>
      <w:bookmarkStart w:id="331" w:name="_Toc78131672"/>
      <w:r>
        <w:t xml:space="preserve">Eléments </w:t>
      </w:r>
      <w:r w:rsidR="00173943">
        <w:t>généraux</w:t>
      </w:r>
      <w:r>
        <w:t xml:space="preserve"> de l’analyse de flux</w:t>
      </w:r>
      <w:r w:rsidR="00173943">
        <w:t xml:space="preserve"> de matière ou de substance</w:t>
      </w:r>
      <w:bookmarkEnd w:id="331"/>
      <w:r w:rsidR="00173943">
        <w:t xml:space="preserve"> </w:t>
      </w:r>
    </w:p>
    <w:p w14:paraId="4148ECDA" w14:textId="763EFE94" w:rsidR="00493040" w:rsidRDefault="00493040" w:rsidP="00A63F35">
      <w:pPr>
        <w:pStyle w:val="Titre2"/>
        <w:numPr>
          <w:ilvl w:val="1"/>
          <w:numId w:val="24"/>
        </w:numPr>
      </w:pPr>
      <w:bookmarkStart w:id="332" w:name="_Toc78131673"/>
      <w:r>
        <w:t>Les grands principes</w:t>
      </w:r>
      <w:bookmarkEnd w:id="332"/>
    </w:p>
    <w:p w14:paraId="3010EA8E" w14:textId="22A2B9F5" w:rsidR="008F1497" w:rsidRDefault="008F1497" w:rsidP="00EF7D43">
      <w:r>
        <w:rPr>
          <w:noProof/>
        </w:rPr>
        <w:drawing>
          <wp:anchor distT="0" distB="0" distL="0" distR="0" simplePos="0" relativeHeight="251658241" behindDoc="0" locked="0" layoutInCell="1" allowOverlap="1" wp14:anchorId="75566953" wp14:editId="42D7FA11">
            <wp:simplePos x="0" y="0"/>
            <wp:positionH relativeFrom="margin">
              <wp:align>right</wp:align>
            </wp:positionH>
            <wp:positionV relativeFrom="paragraph">
              <wp:posOffset>1621761</wp:posOffset>
            </wp:positionV>
            <wp:extent cx="5930900" cy="2870200"/>
            <wp:effectExtent l="0" t="0" r="0" b="6350"/>
            <wp:wrapTopAndBottom/>
            <wp:docPr id="269"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png"/>
                    <pic:cNvPicPr/>
                  </pic:nvPicPr>
                  <pic:blipFill>
                    <a:blip r:embed="rId60" cstate="print"/>
                    <a:stretch>
                      <a:fillRect/>
                    </a:stretch>
                  </pic:blipFill>
                  <pic:spPr>
                    <a:xfrm>
                      <a:off x="0" y="0"/>
                      <a:ext cx="5930900" cy="2870200"/>
                    </a:xfrm>
                    <a:prstGeom prst="rect">
                      <a:avLst/>
                    </a:prstGeom>
                  </pic:spPr>
                </pic:pic>
              </a:graphicData>
            </a:graphic>
            <wp14:sizeRelH relativeFrom="margin">
              <wp14:pctWidth>0</wp14:pctWidth>
            </wp14:sizeRelH>
            <wp14:sizeRelV relativeFrom="margin">
              <wp14:pctHeight>0</wp14:pctHeight>
            </wp14:sizeRelV>
          </wp:anchor>
        </w:drawing>
      </w:r>
      <w:r w:rsidR="00B80E20">
        <w:t>L</w:t>
      </w:r>
      <w:r w:rsidR="00FE06BB">
        <w:t>’</w:t>
      </w:r>
      <w:r w:rsidR="00660DDB">
        <w:t xml:space="preserve">approche quantitative des flux de matières </w:t>
      </w:r>
      <w:r w:rsidR="00DF18C0">
        <w:t xml:space="preserve">ou </w:t>
      </w:r>
      <w:r w:rsidR="00DD2F1B">
        <w:t>leur</w:t>
      </w:r>
      <w:r w:rsidR="00660DDB">
        <w:t xml:space="preserve"> comptabilité matérielle</w:t>
      </w:r>
      <w:r w:rsidR="00DF18C0">
        <w:t>,</w:t>
      </w:r>
      <w:r w:rsidR="00660DDB">
        <w:t xml:space="preserve"> </w:t>
      </w:r>
      <w:r w:rsidR="00FF59FE">
        <w:t>repose sur la loi de Lavoisier : « Rien ne se perd, rien ne se crée, tout se transforme »</w:t>
      </w:r>
      <w:r w:rsidR="00397983">
        <w:t>. Il s’agi</w:t>
      </w:r>
      <w:r w:rsidR="00296E8C">
        <w:t>t</w:t>
      </w:r>
      <w:r w:rsidR="00DD598C">
        <w:t>x</w:t>
      </w:r>
      <w:r w:rsidR="00397983">
        <w:t xml:space="preserve"> du</w:t>
      </w:r>
      <w:r w:rsidR="000C72C1">
        <w:t xml:space="preserve"> principe de la conservation des masses </w:t>
      </w:r>
      <w:r w:rsidR="00084E9B">
        <w:t>ou</w:t>
      </w:r>
      <w:r w:rsidR="000C72C1">
        <w:t xml:space="preserve"> de l’é</w:t>
      </w:r>
      <w:r w:rsidR="00AA6919">
        <w:t>quilibre</w:t>
      </w:r>
      <w:r w:rsidR="000C72C1">
        <w:t xml:space="preserve"> entre</w:t>
      </w:r>
      <w:r w:rsidR="00163FA9">
        <w:t xml:space="preserve"> </w:t>
      </w:r>
      <w:r w:rsidR="000C72C1">
        <w:t>d</w:t>
      </w:r>
      <w:r w:rsidR="00163FA9">
        <w:t xml:space="preserve">es flux entrants </w:t>
      </w:r>
      <w:r w:rsidR="000C72C1">
        <w:t xml:space="preserve">et des </w:t>
      </w:r>
      <w:r w:rsidR="00163FA9">
        <w:t>flux sortants</w:t>
      </w:r>
      <w:r w:rsidR="0041236D">
        <w:t>.</w:t>
      </w:r>
      <w:r w:rsidR="00CB3649">
        <w:t xml:space="preserve"> </w:t>
      </w:r>
      <w:r w:rsidR="00397983">
        <w:t>L</w:t>
      </w:r>
      <w:r w:rsidR="00397983" w:rsidRPr="00BB0948">
        <w:t>’analyse des flux matière</w:t>
      </w:r>
      <w:r w:rsidR="00397983">
        <w:t>s (AFM)</w:t>
      </w:r>
      <w:r w:rsidR="00397983" w:rsidRPr="00BB0948">
        <w:t xml:space="preserve"> </w:t>
      </w:r>
      <w:r w:rsidR="00397983">
        <w:t>s</w:t>
      </w:r>
      <w:r w:rsidR="00BB0948" w:rsidRPr="00BB0948">
        <w:t xml:space="preserve">elon Brunner and Rechberger </w:t>
      </w:r>
      <w:r w:rsidR="00854C68">
        <w:t>(</w:t>
      </w:r>
      <w:r w:rsidR="00BB0948" w:rsidRPr="00BB0948">
        <w:t>2004</w:t>
      </w:r>
      <w:r w:rsidR="00854C68">
        <w:t>)</w:t>
      </w:r>
      <w:r w:rsidR="00BB0948" w:rsidRPr="00BB0948">
        <w:t xml:space="preserve"> </w:t>
      </w:r>
      <w:r w:rsidR="00397983">
        <w:t>repose sur</w:t>
      </w:r>
      <w:r w:rsidR="00BB0948">
        <w:t xml:space="preserve"> l’</w:t>
      </w:r>
      <w:r w:rsidR="00BB0948" w:rsidRPr="00BB0948">
        <w:t xml:space="preserve">évaluation systématique des flux et des </w:t>
      </w:r>
      <w:r w:rsidR="00BB0948" w:rsidRPr="00854C68">
        <w:t>stocks de matières</w:t>
      </w:r>
      <w:r w:rsidR="00BB0948" w:rsidRPr="00BB0948">
        <w:t xml:space="preserve"> au sein d'un système défini dans l'espace et dans le temps</w:t>
      </w:r>
      <w:r w:rsidR="00BB0948">
        <w:t xml:space="preserve">. </w:t>
      </w:r>
      <w:r w:rsidR="00DD2F1B">
        <w:t>Sur</w:t>
      </w:r>
      <w:r w:rsidR="00FE06BB">
        <w:t xml:space="preserve"> ce principe, deux grandes </w:t>
      </w:r>
      <w:r w:rsidR="00F35CAE">
        <w:t>catégories de méthodes</w:t>
      </w:r>
      <w:r w:rsidR="00087E31">
        <w:t xml:space="preserve"> ont été mobilisées au travers des différents travaux de recherche </w:t>
      </w:r>
      <w:r w:rsidR="00292E0D">
        <w:t>conduits sur ce sujet</w:t>
      </w:r>
      <w:r w:rsidR="00AA5D30">
        <w:t xml:space="preserve"> (Barles, 2009)</w:t>
      </w:r>
      <w:r w:rsidR="00FE06BB">
        <w:t>.</w:t>
      </w:r>
      <w:r w:rsidR="00852289">
        <w:t xml:space="preserve"> </w:t>
      </w:r>
      <w:r w:rsidR="00F6231C">
        <w:t xml:space="preserve">La première famille de </w:t>
      </w:r>
      <w:r w:rsidR="00F35CAE">
        <w:t>méthodes</w:t>
      </w:r>
      <w:r w:rsidR="00F6231C">
        <w:t xml:space="preserve"> </w:t>
      </w:r>
      <w:r w:rsidR="005A6672">
        <w:t xml:space="preserve">a pour principal champ d’application </w:t>
      </w:r>
      <w:r w:rsidR="00C06787">
        <w:t xml:space="preserve">l’analyse de métabolismes territoriaux </w:t>
      </w:r>
      <w:r w:rsidR="00424106">
        <w:t>(</w:t>
      </w:r>
      <w:r w:rsidR="00424106" w:rsidRPr="0013216B">
        <w:fldChar w:fldCharType="begin"/>
      </w:r>
      <w:r w:rsidR="00424106" w:rsidRPr="0013216B">
        <w:instrText xml:space="preserve"> REF _Ref69484806 \h </w:instrText>
      </w:r>
      <w:r w:rsidR="0013216B" w:rsidRPr="0013216B">
        <w:instrText xml:space="preserve"> \* MERGEFORMAT </w:instrText>
      </w:r>
      <w:r w:rsidR="00424106" w:rsidRPr="0013216B">
        <w:fldChar w:fldCharType="separate"/>
      </w:r>
      <w:r w:rsidR="0007597F" w:rsidRPr="0013216B">
        <w:t xml:space="preserve">Figure </w:t>
      </w:r>
      <w:r w:rsidR="0007597F" w:rsidRPr="0013216B">
        <w:rPr>
          <w:noProof/>
        </w:rPr>
        <w:t>30</w:t>
      </w:r>
      <w:r w:rsidR="00424106" w:rsidRPr="0013216B">
        <w:fldChar w:fldCharType="end"/>
      </w:r>
      <w:r w:rsidR="00424106">
        <w:t>).</w:t>
      </w:r>
    </w:p>
    <w:p w14:paraId="26289232" w14:textId="3978AF7C" w:rsidR="00746C7C" w:rsidRDefault="008F1497" w:rsidP="0002537E">
      <w:pPr>
        <w:pStyle w:val="figure"/>
      </w:pPr>
      <w:bookmarkStart w:id="333" w:name="_Ref69484806"/>
      <w:bookmarkStart w:id="334" w:name="_Toc69511421"/>
      <w:r w:rsidRPr="00EA4C43">
        <w:t xml:space="preserve">Figure </w:t>
      </w:r>
      <w:r w:rsidR="00E27D6E">
        <w:fldChar w:fldCharType="begin"/>
      </w:r>
      <w:r w:rsidR="00E27D6E">
        <w:instrText xml:space="preserve"> SEQ Figure \* ARABIC </w:instrText>
      </w:r>
      <w:r w:rsidR="00E27D6E">
        <w:fldChar w:fldCharType="separate"/>
      </w:r>
      <w:r w:rsidR="0007597F">
        <w:rPr>
          <w:noProof/>
        </w:rPr>
        <w:t>30</w:t>
      </w:r>
      <w:r w:rsidR="00E27D6E">
        <w:rPr>
          <w:noProof/>
        </w:rPr>
        <w:fldChar w:fldCharType="end"/>
      </w:r>
      <w:bookmarkEnd w:id="333"/>
      <w:r w:rsidR="007538FF">
        <w:t xml:space="preserve"> : </w:t>
      </w:r>
      <w:r w:rsidRPr="00EA4C43">
        <w:t xml:space="preserve">Représentation graphique d’une AFM </w:t>
      </w:r>
      <w:r>
        <w:t>selon une méthode ascendante</w:t>
      </w:r>
    </w:p>
    <w:p w14:paraId="5D15591F" w14:textId="1E4E6617" w:rsidR="008F1497" w:rsidRPr="00EA4C43" w:rsidRDefault="008F1497" w:rsidP="008F1497">
      <w:pPr>
        <w:pStyle w:val="Lgende"/>
        <w:rPr>
          <w:b/>
          <w:i w:val="0"/>
        </w:rPr>
      </w:pPr>
      <w:r w:rsidRPr="00EA4C43">
        <w:rPr>
          <w:i w:val="0"/>
        </w:rPr>
        <w:t>(Source : Massard et al</w:t>
      </w:r>
      <w:r w:rsidR="00880DEE">
        <w:rPr>
          <w:i w:val="0"/>
        </w:rPr>
        <w:t>.</w:t>
      </w:r>
      <w:r w:rsidRPr="00EA4C43">
        <w:rPr>
          <w:i w:val="0"/>
        </w:rPr>
        <w:t>, 2011)</w:t>
      </w:r>
      <w:bookmarkEnd w:id="334"/>
    </w:p>
    <w:p w14:paraId="5505FA34" w14:textId="77777777" w:rsidR="008F1497" w:rsidRDefault="008F1497" w:rsidP="00EF7D43"/>
    <w:p w14:paraId="0A5A0856" w14:textId="2294E985" w:rsidR="00C51B4F" w:rsidRDefault="00C06787" w:rsidP="00424106">
      <w:r>
        <w:lastRenderedPageBreak/>
        <w:t xml:space="preserve">Elle </w:t>
      </w:r>
      <w:r w:rsidR="00880DEE">
        <w:t>s’appuie</w:t>
      </w:r>
      <w:r w:rsidR="00F6231C">
        <w:t xml:space="preserve"> sur </w:t>
      </w:r>
      <w:r w:rsidR="00215CB7">
        <w:t>la cartographie des</w:t>
      </w:r>
      <w:r w:rsidR="00F6231C">
        <w:t xml:space="preserve"> activités </w:t>
      </w:r>
      <w:r w:rsidR="007A112A">
        <w:t>humai</w:t>
      </w:r>
      <w:r w:rsidR="00E73450">
        <w:t>nes</w:t>
      </w:r>
      <w:r w:rsidR="007A112A">
        <w:t xml:space="preserve"> </w:t>
      </w:r>
      <w:r>
        <w:t>qui caractérisent</w:t>
      </w:r>
      <w:r w:rsidR="00F6231C">
        <w:t xml:space="preserve"> l</w:t>
      </w:r>
      <w:r w:rsidR="000D0730">
        <w:t>a dimension territoriale</w:t>
      </w:r>
      <w:r w:rsidR="00B1424C">
        <w:t>.</w:t>
      </w:r>
      <w:r w:rsidR="00215CB7">
        <w:t xml:space="preserve"> </w:t>
      </w:r>
      <w:r w:rsidR="00B1424C">
        <w:t>L</w:t>
      </w:r>
      <w:r w:rsidR="00215CB7">
        <w:t>es</w:t>
      </w:r>
      <w:r w:rsidR="00F6231C">
        <w:t xml:space="preserve"> flux de matières mis en jeu par chacune d’entre elles sont quantifiés, l’addition de tous les flux </w:t>
      </w:r>
      <w:r w:rsidR="002C23CB">
        <w:t xml:space="preserve">permettant de </w:t>
      </w:r>
      <w:r w:rsidR="003B6E74">
        <w:t>refléter</w:t>
      </w:r>
      <w:r w:rsidR="002C23CB">
        <w:t xml:space="preserve"> l’ensemble du</w:t>
      </w:r>
      <w:r w:rsidR="00F6231C">
        <w:t xml:space="preserve"> métabolisme territorial.</w:t>
      </w:r>
      <w:r w:rsidR="007A112A">
        <w:t xml:space="preserve"> </w:t>
      </w:r>
      <w:r w:rsidR="00F6231C">
        <w:t>Ces méthodes sont ascendantes</w:t>
      </w:r>
      <w:r w:rsidR="00B85B3C">
        <w:t xml:space="preserve"> dans le sens où elles</w:t>
      </w:r>
      <w:r w:rsidR="00EC67CA">
        <w:t xml:space="preserve"> </w:t>
      </w:r>
      <w:r w:rsidR="00D4716C">
        <w:t>reposent sur l’agrégation</w:t>
      </w:r>
      <w:r w:rsidR="00F6231C">
        <w:t xml:space="preserve"> de données </w:t>
      </w:r>
      <w:r w:rsidR="007E4EF1">
        <w:t>de base</w:t>
      </w:r>
      <w:r w:rsidR="00F6231C">
        <w:t>.</w:t>
      </w:r>
    </w:p>
    <w:p w14:paraId="2F1CC93E" w14:textId="510A554F" w:rsidR="00BF68D9" w:rsidRDefault="00F6231C" w:rsidP="00424106">
      <w:r>
        <w:t xml:space="preserve">La seconde famille comptabilise l’ensemble des flux entrants </w:t>
      </w:r>
      <w:r w:rsidR="007E4EF1">
        <w:t xml:space="preserve">et sortants </w:t>
      </w:r>
      <w:r>
        <w:t>d</w:t>
      </w:r>
      <w:r w:rsidR="007E4EF1">
        <w:t>’un</w:t>
      </w:r>
      <w:r>
        <w:t xml:space="preserve"> système sans analyser au préalable les processus qui les unissent. Le système </w:t>
      </w:r>
      <w:r w:rsidR="00F5620E">
        <w:t>équivaut à</w:t>
      </w:r>
      <w:r>
        <w:t xml:space="preserve"> un</w:t>
      </w:r>
      <w:r w:rsidR="00C51B4F">
        <w:t>e boîte noire</w:t>
      </w:r>
      <w:r w:rsidR="00850936">
        <w:t xml:space="preserve"> dont les données</w:t>
      </w:r>
      <w:r>
        <w:t xml:space="preserve"> </w:t>
      </w:r>
      <w:r w:rsidR="00850936">
        <w:t>ne sont traitées qu’</w:t>
      </w:r>
      <w:r w:rsidR="007A4722">
        <w:t xml:space="preserve">après que </w:t>
      </w:r>
      <w:r>
        <w:t xml:space="preserve">le bilan matière </w:t>
      </w:r>
      <w:r w:rsidR="007A4722">
        <w:t xml:space="preserve">ait été </w:t>
      </w:r>
      <w:r>
        <w:t xml:space="preserve">réalisé. C’est le cas de la méthode </w:t>
      </w:r>
      <w:r w:rsidR="00485690">
        <w:t xml:space="preserve">qui a été mise en œuvre dans le cadre de la réalisation de bilans nationaux voire continentaux </w:t>
      </w:r>
      <w:r>
        <w:t xml:space="preserve">par le service européen de statistique (Eurostat). </w:t>
      </w:r>
      <w:r w:rsidR="00485690">
        <w:t>Dans ce cas</w:t>
      </w:r>
      <w:r>
        <w:t xml:space="preserve">, la quantification des flux de matières </w:t>
      </w:r>
      <w:r w:rsidR="00485690">
        <w:t xml:space="preserve">a été conçue </w:t>
      </w:r>
      <w:r w:rsidR="00880DEE">
        <w:t>en tant que données complémentaires aux</w:t>
      </w:r>
      <w:r>
        <w:t xml:space="preserve"> indicateurs économiques </w:t>
      </w:r>
      <w:r w:rsidR="004253C7">
        <w:t>habituels</w:t>
      </w:r>
      <w:r>
        <w:t xml:space="preserve">. </w:t>
      </w:r>
      <w:r w:rsidR="00BF68D9">
        <w:t>A rebours de la première méthode, cette seconde</w:t>
      </w:r>
      <w:r>
        <w:t xml:space="preserve"> </w:t>
      </w:r>
      <w:r w:rsidR="004253C7">
        <w:t xml:space="preserve">approche </w:t>
      </w:r>
      <w:r w:rsidR="00BF68D9">
        <w:t>est</w:t>
      </w:r>
      <w:r>
        <w:t xml:space="preserve"> descendante</w:t>
      </w:r>
      <w:r w:rsidR="00BF68D9">
        <w:t xml:space="preserve"> et prend appui </w:t>
      </w:r>
      <w:r>
        <w:t>sur des données globales éventuellement susceptibles d’être désagrégées.</w:t>
      </w:r>
      <w:r w:rsidR="00C35F3C">
        <w:t xml:space="preserve"> Cependant, </w:t>
      </w:r>
      <w:r w:rsidR="00880DEE">
        <w:t>une des limites de celle-ci</w:t>
      </w:r>
      <w:r w:rsidR="00C35F3C">
        <w:t xml:space="preserve"> </w:t>
      </w:r>
      <w:r w:rsidR="00880DEE">
        <w:t xml:space="preserve">réside dans le fait qu’elle </w:t>
      </w:r>
      <w:r w:rsidR="00C35F3C">
        <w:t>ne favorise pas la compréhension de l’int</w:t>
      </w:r>
      <w:r w:rsidR="004F11E2">
        <w:t>e</w:t>
      </w:r>
      <w:r w:rsidR="00C35F3C">
        <w:t xml:space="preserve">raction des flux sur un territoire </w:t>
      </w:r>
      <w:r w:rsidR="00880DEE">
        <w:t xml:space="preserve">au service de la mise </w:t>
      </w:r>
      <w:r w:rsidR="00C35F3C">
        <w:t>en place de projets d’économie circulaire (Morris, 2016).</w:t>
      </w:r>
    </w:p>
    <w:p w14:paraId="3CC90F6D" w14:textId="5548E7A1" w:rsidR="003D09A0" w:rsidRDefault="00067B3B" w:rsidP="00424106">
      <w:r>
        <w:t>Au-delà du périmètre du système dé</w:t>
      </w:r>
      <w:r w:rsidR="00BE1159">
        <w:t xml:space="preserve">fini </w:t>
      </w:r>
      <w:r w:rsidR="00826CB5">
        <w:t>dont les contours peuvent varier</w:t>
      </w:r>
      <w:r>
        <w:t>, l</w:t>
      </w:r>
      <w:r w:rsidR="00826CB5">
        <w:t>’une des</w:t>
      </w:r>
      <w:r w:rsidR="003D09A0">
        <w:t xml:space="preserve"> principale</w:t>
      </w:r>
      <w:r w:rsidR="00826CB5">
        <w:t>s</w:t>
      </w:r>
      <w:r w:rsidR="003D09A0">
        <w:t xml:space="preserve"> différence</w:t>
      </w:r>
      <w:r w:rsidR="00826CB5">
        <w:t>s entre les</w:t>
      </w:r>
      <w:r w:rsidR="003D09A0">
        <w:t xml:space="preserve"> méthode</w:t>
      </w:r>
      <w:r w:rsidR="00826CB5">
        <w:t xml:space="preserve">s, </w:t>
      </w:r>
      <w:r>
        <w:t>concerne</w:t>
      </w:r>
      <w:r w:rsidR="003D09A0">
        <w:t xml:space="preserve"> la prise en compte</w:t>
      </w:r>
      <w:r>
        <w:t xml:space="preserve"> </w:t>
      </w:r>
      <w:r w:rsidR="003D09A0">
        <w:t>au sein du système, d</w:t>
      </w:r>
      <w:r>
        <w:t xml:space="preserve">es échanges </w:t>
      </w:r>
      <w:r w:rsidR="00D136A0">
        <w:t xml:space="preserve">extérieurs </w:t>
      </w:r>
      <w:r w:rsidR="005F0537">
        <w:t>à celui-ci</w:t>
      </w:r>
      <w:r w:rsidR="00DC6815">
        <w:t xml:space="preserve">. </w:t>
      </w:r>
    </w:p>
    <w:p w14:paraId="27CD85DE" w14:textId="77777777" w:rsidR="00DA7698" w:rsidRDefault="00C63352" w:rsidP="00424106">
      <w:pPr>
        <w:spacing w:after="0"/>
      </w:pPr>
      <w:r>
        <w:t xml:space="preserve">Dans le cas de l’étude qui a été conduite, la méthode adoptée a consisté </w:t>
      </w:r>
      <w:r w:rsidR="00292EDC">
        <w:t>à</w:t>
      </w:r>
      <w:r>
        <w:t xml:space="preserve"> réunir les deux approches en s’intéressant à la fois </w:t>
      </w:r>
    </w:p>
    <w:p w14:paraId="192B2525" w14:textId="1D78D838" w:rsidR="00DA7698" w:rsidRDefault="00DA7698" w:rsidP="00424106">
      <w:pPr>
        <w:spacing w:after="0"/>
      </w:pPr>
      <w:r>
        <w:t xml:space="preserve">- </w:t>
      </w:r>
      <w:r w:rsidR="0010659F">
        <w:t xml:space="preserve">aux flux élémentaires entre les typologies de produits </w:t>
      </w:r>
      <w:r>
        <w:t xml:space="preserve">en fonction </w:t>
      </w:r>
      <w:r w:rsidR="0010659F">
        <w:t xml:space="preserve">du niveau de </w:t>
      </w:r>
      <w:r>
        <w:t>données</w:t>
      </w:r>
      <w:r w:rsidR="0010659F">
        <w:t xml:space="preserve"> disponibles</w:t>
      </w:r>
      <w:r w:rsidR="00B67BC9">
        <w:t>,</w:t>
      </w:r>
    </w:p>
    <w:p w14:paraId="283F0B50" w14:textId="52266CA0" w:rsidR="00C63352" w:rsidRDefault="00DA7698" w:rsidP="00424106">
      <w:r>
        <w:t>- et aux principaux</w:t>
      </w:r>
      <w:r w:rsidR="0010659F">
        <w:t xml:space="preserve"> </w:t>
      </w:r>
      <w:r w:rsidR="00292EDC">
        <w:t>flux entrants et sortants impactant la valeur massique des produits.</w:t>
      </w:r>
    </w:p>
    <w:p w14:paraId="48C56C84" w14:textId="1791CD0A" w:rsidR="0065427F" w:rsidRPr="0065427F" w:rsidRDefault="0065427F" w:rsidP="00A63F35">
      <w:pPr>
        <w:pStyle w:val="Titre2"/>
        <w:numPr>
          <w:ilvl w:val="1"/>
          <w:numId w:val="24"/>
        </w:numPr>
      </w:pPr>
      <w:bookmarkStart w:id="335" w:name="_Toc78131674"/>
      <w:r w:rsidRPr="0065427F">
        <w:t xml:space="preserve">D’un modèle linéaire à un modèle circulaire </w:t>
      </w:r>
      <w:r>
        <w:t>pour analyser la filière</w:t>
      </w:r>
      <w:bookmarkEnd w:id="335"/>
      <w:r>
        <w:t xml:space="preserve"> </w:t>
      </w:r>
    </w:p>
    <w:p w14:paraId="224CA596" w14:textId="374DECDE" w:rsidR="0065427F" w:rsidRDefault="0065427F" w:rsidP="00EF7D43">
      <w:r w:rsidRPr="00A962A1">
        <w:t>Le</w:t>
      </w:r>
      <w:r>
        <w:t>s</w:t>
      </w:r>
      <w:r w:rsidRPr="00A962A1">
        <w:t xml:space="preserve"> </w:t>
      </w:r>
      <w:r>
        <w:t>approches</w:t>
      </w:r>
      <w:r w:rsidRPr="00A962A1">
        <w:t xml:space="preserve"> économique</w:t>
      </w:r>
      <w:r>
        <w:t>s</w:t>
      </w:r>
      <w:r w:rsidRPr="00A962A1">
        <w:t xml:space="preserve"> </w:t>
      </w:r>
      <w:r w:rsidR="00543F30">
        <w:t>de comptabilité de</w:t>
      </w:r>
      <w:r w:rsidR="000401B9">
        <w:t xml:space="preserve"> la matière</w:t>
      </w:r>
      <w:r w:rsidR="00543F30">
        <w:t xml:space="preserve"> </w:t>
      </w:r>
      <w:r>
        <w:t xml:space="preserve">en vigueur jusqu’alors </w:t>
      </w:r>
      <w:r w:rsidR="000401B9">
        <w:t>pour les flux agricoles</w:t>
      </w:r>
      <w:r w:rsidR="007A3A00">
        <w:t xml:space="preserve">, </w:t>
      </w:r>
      <w:r w:rsidRPr="00A962A1">
        <w:t>repose</w:t>
      </w:r>
      <w:r>
        <w:t xml:space="preserve">nt </w:t>
      </w:r>
      <w:r w:rsidRPr="00A962A1">
        <w:t>sur un</w:t>
      </w:r>
      <w:r>
        <w:t xml:space="preserve"> </w:t>
      </w:r>
      <w:r w:rsidRPr="002827D9">
        <w:t>schéma linéaire d’utilisation de</w:t>
      </w:r>
      <w:r w:rsidR="007704AD">
        <w:t xml:space="preserve"> la</w:t>
      </w:r>
      <w:r w:rsidRPr="002827D9">
        <w:t xml:space="preserve"> ressource</w:t>
      </w:r>
      <w:r w:rsidR="00543F30">
        <w:t>. A</w:t>
      </w:r>
      <w:r>
        <w:t>ppliqué à la filière porcine</w:t>
      </w:r>
      <w:r w:rsidR="00543F30">
        <w:t xml:space="preserve">, </w:t>
      </w:r>
      <w:r>
        <w:t>le principe</w:t>
      </w:r>
      <w:r w:rsidR="00543F30">
        <w:t xml:space="preserve"> en est très schématiquement le</w:t>
      </w:r>
      <w:r>
        <w:t xml:space="preserve"> suivant : </w:t>
      </w:r>
    </w:p>
    <w:p w14:paraId="7179324C" w14:textId="516A7E0B" w:rsidR="0065427F" w:rsidRDefault="00543F30" w:rsidP="00EF7D43">
      <w:r>
        <w:t>P</w:t>
      </w:r>
      <w:r w:rsidR="0065427F">
        <w:t xml:space="preserve">roduction </w:t>
      </w:r>
      <w:r w:rsidR="007704AD">
        <w:t xml:space="preserve">porcine </w:t>
      </w:r>
      <w:r w:rsidR="0065427F">
        <w:t xml:space="preserve">=&gt; </w:t>
      </w:r>
      <w:r>
        <w:t>A</w:t>
      </w:r>
      <w:r w:rsidR="0065427F">
        <w:t xml:space="preserve">battage /découpe =&gt; </w:t>
      </w:r>
      <w:r>
        <w:t>T</w:t>
      </w:r>
      <w:r w:rsidR="0065427F">
        <w:t xml:space="preserve">ransformation =&gt; </w:t>
      </w:r>
      <w:r>
        <w:t>D</w:t>
      </w:r>
      <w:r w:rsidR="0065427F">
        <w:t xml:space="preserve">istribution =&gt; </w:t>
      </w:r>
      <w:r>
        <w:t>C</w:t>
      </w:r>
      <w:r w:rsidR="0065427F">
        <w:t>onsommation.</w:t>
      </w:r>
    </w:p>
    <w:p w14:paraId="2B9CA5A0" w14:textId="77777777" w:rsidR="00E2665C" w:rsidRDefault="0065427F" w:rsidP="00EF7D43">
      <w:r>
        <w:t>Ce schéma</w:t>
      </w:r>
      <w:r w:rsidR="00A40257">
        <w:t xml:space="preserve"> classique</w:t>
      </w:r>
      <w:r>
        <w:t xml:space="preserve">, en dehors </w:t>
      </w:r>
      <w:r w:rsidR="00C359B4">
        <w:t xml:space="preserve">de l’intégration </w:t>
      </w:r>
      <w:r w:rsidR="00FC3D72">
        <w:t xml:space="preserve">des importations et des exportations, </w:t>
      </w:r>
      <w:r>
        <w:t>ne tient p</w:t>
      </w:r>
      <w:r w:rsidR="00FC3D72">
        <w:t xml:space="preserve">as réellement </w:t>
      </w:r>
      <w:r>
        <w:t xml:space="preserve">compte des </w:t>
      </w:r>
      <w:r w:rsidR="007A3A00">
        <w:t>« </w:t>
      </w:r>
      <w:r>
        <w:t>externalités</w:t>
      </w:r>
      <w:r w:rsidR="007A3A00">
        <w:t> »</w:t>
      </w:r>
      <w:r>
        <w:t xml:space="preserve"> qui peuvent impacter la filière</w:t>
      </w:r>
      <w:r w:rsidR="00AF6C69">
        <w:t xml:space="preserve">. </w:t>
      </w:r>
    </w:p>
    <w:p w14:paraId="1B3B4A95" w14:textId="504E45D9" w:rsidR="00201C38" w:rsidRDefault="00E2665C" w:rsidP="00EF7D43">
      <w:r>
        <w:t>Un</w:t>
      </w:r>
      <w:r w:rsidR="00DE7E43">
        <w:t xml:space="preserve"> autre modèle</w:t>
      </w:r>
      <w:r w:rsidR="00A40257" w:rsidRPr="00012F29">
        <w:t xml:space="preserve"> qui </w:t>
      </w:r>
      <w:r w:rsidR="00A40257">
        <w:t>pren</w:t>
      </w:r>
      <w:r w:rsidR="00A60071">
        <w:t>ne</w:t>
      </w:r>
      <w:r w:rsidR="00A40257">
        <w:t xml:space="preserve"> en compte les aspects extérieurs</w:t>
      </w:r>
      <w:r w:rsidR="00A60071">
        <w:t xml:space="preserve"> tels que </w:t>
      </w:r>
      <w:r w:rsidR="00A40257">
        <w:t xml:space="preserve">le réemploi et la destination des coproduits dans l’esprit d’une </w:t>
      </w:r>
      <w:r w:rsidR="00A40257" w:rsidRPr="00012F29">
        <w:t>utilisation optimale des ressources</w:t>
      </w:r>
      <w:r w:rsidR="00A40257">
        <w:t xml:space="preserve">, </w:t>
      </w:r>
      <w:r w:rsidR="00F872DA">
        <w:t>a été préféré pour rendre compte des évolutions de la filière</w:t>
      </w:r>
      <w:r w:rsidR="00201C38">
        <w:t xml:space="preserve">. Ce modèle s’apparente </w:t>
      </w:r>
      <w:r w:rsidR="00F872DA">
        <w:t>à</w:t>
      </w:r>
      <w:r w:rsidR="00A40257">
        <w:t xml:space="preserve"> une approche circulaire</w:t>
      </w:r>
      <w:r w:rsidR="00A40257" w:rsidRPr="00012F29">
        <w:t>.</w:t>
      </w:r>
    </w:p>
    <w:p w14:paraId="5B543E21" w14:textId="05D1C042" w:rsidR="00A01156" w:rsidRPr="00A01156" w:rsidRDefault="00A74285" w:rsidP="00424106">
      <w:pPr>
        <w:spacing w:after="0"/>
      </w:pPr>
      <w:r>
        <w:t>L</w:t>
      </w:r>
      <w:r w:rsidR="00A01156" w:rsidRPr="00A01156">
        <w:t>’utilisation et la gestion des ressources naturelles</w:t>
      </w:r>
      <w:r w:rsidR="001B4851">
        <w:t xml:space="preserve"> </w:t>
      </w:r>
      <w:r w:rsidR="00A6652D">
        <w:t>(eau, azote</w:t>
      </w:r>
      <w:r w:rsidR="00DB76EE">
        <w:t>, gaz carbonique</w:t>
      </w:r>
      <w:r w:rsidR="00A6652D">
        <w:t xml:space="preserve">) </w:t>
      </w:r>
      <w:r w:rsidR="00AA5766">
        <w:t>par l</w:t>
      </w:r>
      <w:r>
        <w:t>es filières carnées don</w:t>
      </w:r>
      <w:r w:rsidR="00AA5766">
        <w:t>t</w:t>
      </w:r>
      <w:r>
        <w:t xml:space="preserve"> le porc, </w:t>
      </w:r>
      <w:r w:rsidR="00AA5766">
        <w:t xml:space="preserve">sont des </w:t>
      </w:r>
      <w:r w:rsidR="00683FF1">
        <w:t xml:space="preserve">aspects qui interpellent de plus en plus les </w:t>
      </w:r>
      <w:r w:rsidR="00B41D3D">
        <w:t>acteurs politiques et économiques au regard</w:t>
      </w:r>
      <w:r w:rsidR="00A01156" w:rsidRPr="00A01156">
        <w:t xml:space="preserve"> </w:t>
      </w:r>
      <w:r w:rsidR="00B41D3D">
        <w:t xml:space="preserve">d’un </w:t>
      </w:r>
      <w:r w:rsidR="00A01156" w:rsidRPr="00A01156">
        <w:t>certain nombre de conséquences économiques et environnementales. Elles agissent notamment sur :</w:t>
      </w:r>
      <w:r w:rsidR="00860E77">
        <w:t xml:space="preserve"> </w:t>
      </w:r>
    </w:p>
    <w:p w14:paraId="49E0709F" w14:textId="425499FC" w:rsidR="00A01156" w:rsidRPr="00A01156" w:rsidRDefault="00A01156" w:rsidP="00424106">
      <w:pPr>
        <w:shd w:val="clear" w:color="auto" w:fill="FFFFFF"/>
        <w:spacing w:after="0" w:line="240" w:lineRule="auto"/>
        <w:ind w:left="284"/>
        <w:textAlignment w:val="baseline"/>
      </w:pPr>
      <w:r w:rsidRPr="00A01156">
        <w:t>-</w:t>
      </w:r>
      <w:r w:rsidR="00424106">
        <w:t xml:space="preserve"> </w:t>
      </w:r>
      <w:r w:rsidRPr="00A01156">
        <w:t>Le</w:t>
      </w:r>
      <w:r w:rsidR="00E706BF">
        <w:t xml:space="preserve"> </w:t>
      </w:r>
      <w:r w:rsidRPr="00A01156">
        <w:t>taux de renouvellement des ressources</w:t>
      </w:r>
      <w:r w:rsidR="00725365">
        <w:t xml:space="preserve">, </w:t>
      </w:r>
    </w:p>
    <w:p w14:paraId="424D6E89" w14:textId="42A435D5" w:rsidR="00A01156" w:rsidRPr="00A01156" w:rsidRDefault="00A01156" w:rsidP="00424106">
      <w:pPr>
        <w:shd w:val="clear" w:color="auto" w:fill="FFFFFF"/>
        <w:spacing w:after="0" w:line="240" w:lineRule="auto"/>
        <w:ind w:left="284"/>
        <w:textAlignment w:val="baseline"/>
      </w:pPr>
      <w:r w:rsidRPr="00A01156">
        <w:t>-</w:t>
      </w:r>
      <w:r w:rsidR="00424106">
        <w:t xml:space="preserve"> </w:t>
      </w:r>
      <w:r w:rsidRPr="00A01156">
        <w:t>La</w:t>
      </w:r>
      <w:r w:rsidR="00E706BF">
        <w:t xml:space="preserve"> </w:t>
      </w:r>
      <w:r w:rsidRPr="00A01156">
        <w:t xml:space="preserve">pression environnementale associée </w:t>
      </w:r>
      <w:r w:rsidR="00725365">
        <w:t>à l’utilisation et aux rejets,</w:t>
      </w:r>
    </w:p>
    <w:p w14:paraId="2F965164" w14:textId="30B20BB0" w:rsidR="00A01156" w:rsidRPr="00A01156" w:rsidRDefault="00A01156" w:rsidP="00424106">
      <w:pPr>
        <w:shd w:val="clear" w:color="auto" w:fill="FFFFFF"/>
        <w:spacing w:after="0" w:line="240" w:lineRule="auto"/>
        <w:ind w:left="284"/>
        <w:textAlignment w:val="baseline"/>
      </w:pPr>
      <w:r w:rsidRPr="00A01156">
        <w:t>-</w:t>
      </w:r>
      <w:r w:rsidR="00424106">
        <w:t xml:space="preserve"> </w:t>
      </w:r>
      <w:r w:rsidRPr="00A01156">
        <w:t>Le prix des matières premières et les échanges commerciaux</w:t>
      </w:r>
      <w:r w:rsidR="003776B8">
        <w:t>,</w:t>
      </w:r>
    </w:p>
    <w:p w14:paraId="18DA5537" w14:textId="39773A93" w:rsidR="003776B8" w:rsidRDefault="00A01156" w:rsidP="00424106">
      <w:pPr>
        <w:shd w:val="clear" w:color="auto" w:fill="FFFFFF"/>
        <w:spacing w:after="0" w:line="240" w:lineRule="auto"/>
        <w:ind w:left="284"/>
        <w:textAlignment w:val="baseline"/>
      </w:pPr>
      <w:r w:rsidRPr="00A01156">
        <w:t>-</w:t>
      </w:r>
      <w:r w:rsidR="00424106">
        <w:t xml:space="preserve"> </w:t>
      </w:r>
      <w:r w:rsidRPr="00A01156">
        <w:t>La productivité et la compétitivité de l’éc</w:t>
      </w:r>
      <w:r w:rsidR="003776B8">
        <w:t>onomie de la filière</w:t>
      </w:r>
      <w:r w:rsidR="00285C3B">
        <w:t>.</w:t>
      </w:r>
    </w:p>
    <w:p w14:paraId="65DA6D59" w14:textId="7D2E6C76" w:rsidR="00A01156" w:rsidRDefault="002038E3" w:rsidP="00EF7D43">
      <w:r>
        <w:t xml:space="preserve">Ces points </w:t>
      </w:r>
      <w:r w:rsidR="00DD31C6">
        <w:t xml:space="preserve">contribuent également à éclairer la filière </w:t>
      </w:r>
      <w:r w:rsidR="003776B8">
        <w:t>sur les axes de segmentation et de valorisation au travers</w:t>
      </w:r>
      <w:r w:rsidR="00DD31C6">
        <w:t xml:space="preserve"> de productions animales plus vertueuses </w:t>
      </w:r>
      <w:r w:rsidR="003776B8">
        <w:t>susceptibles</w:t>
      </w:r>
      <w:r w:rsidR="00DD31C6">
        <w:t xml:space="preserve"> </w:t>
      </w:r>
      <w:r w:rsidR="003776B8">
        <w:t>d’</w:t>
      </w:r>
      <w:r w:rsidR="0088199D">
        <w:t>accompagner la transition alimentaire.</w:t>
      </w:r>
    </w:p>
    <w:p w14:paraId="3A3E7805" w14:textId="0E5A96AA" w:rsidR="00361018" w:rsidRDefault="0088199D" w:rsidP="00EF7D43">
      <w:r>
        <w:t>De manière opérationnelle, les</w:t>
      </w:r>
      <w:r w:rsidR="00D93B7C">
        <w:t xml:space="preserve"> aspects extérieurs</w:t>
      </w:r>
      <w:r w:rsidR="00457E22">
        <w:t xml:space="preserve"> ont été en partie </w:t>
      </w:r>
      <w:r w:rsidR="00D93B7C">
        <w:t xml:space="preserve">abordés dans la seconde partie du rapport soit </w:t>
      </w:r>
      <w:r w:rsidR="00C359B4">
        <w:t xml:space="preserve">la génération de coproduits </w:t>
      </w:r>
      <w:r w:rsidR="009E5B37">
        <w:t xml:space="preserve">à destination d’autres filières </w:t>
      </w:r>
      <w:r w:rsidR="00C359B4">
        <w:t>et l</w:t>
      </w:r>
      <w:r w:rsidR="00F3393C">
        <w:t>a part de</w:t>
      </w:r>
      <w:r w:rsidR="00150CCD">
        <w:t xml:space="preserve"> </w:t>
      </w:r>
      <w:r w:rsidR="00150CCD">
        <w:lastRenderedPageBreak/>
        <w:t>réemploi</w:t>
      </w:r>
      <w:r w:rsidR="009E5B37">
        <w:t xml:space="preserve"> au sein de la filière</w:t>
      </w:r>
      <w:r w:rsidR="00150CCD">
        <w:t>, l’impact des procédés de découpe ou de transformation</w:t>
      </w:r>
      <w:r w:rsidR="00F0354A">
        <w:t xml:space="preserve"> sur la conservation massique</w:t>
      </w:r>
      <w:r w:rsidR="009E5B37">
        <w:t xml:space="preserve"> des</w:t>
      </w:r>
      <w:r w:rsidR="00353281">
        <w:t xml:space="preserve"> grandes</w:t>
      </w:r>
      <w:r w:rsidR="009E5B37">
        <w:t xml:space="preserve"> typologies de produits</w:t>
      </w:r>
      <w:r w:rsidR="00F0354A">
        <w:t>.</w:t>
      </w:r>
    </w:p>
    <w:p w14:paraId="5AB22D03" w14:textId="7DFD9834" w:rsidR="00FC770F" w:rsidRPr="00977CA7" w:rsidRDefault="00FC7CBB" w:rsidP="00A63F35">
      <w:pPr>
        <w:pStyle w:val="Titre2"/>
        <w:numPr>
          <w:ilvl w:val="1"/>
          <w:numId w:val="24"/>
        </w:numPr>
      </w:pPr>
      <w:bookmarkStart w:id="336" w:name="_Toc78131675"/>
      <w:r>
        <w:t>L</w:t>
      </w:r>
      <w:r w:rsidR="00740481">
        <w:t>’éco</w:t>
      </w:r>
      <w:r>
        <w:t>système retenu dans le cadre de l’étude</w:t>
      </w:r>
      <w:bookmarkEnd w:id="336"/>
    </w:p>
    <w:p w14:paraId="6DFA8D4C" w14:textId="6EB44FEF" w:rsidR="00300D9B" w:rsidRDefault="00115AE1" w:rsidP="00EF7D43">
      <w:r>
        <w:t xml:space="preserve">Cette démarche qui vise à tenir compte des flux extérieurs, prend appui </w:t>
      </w:r>
      <w:r w:rsidR="00A25A68">
        <w:t xml:space="preserve">sur la </w:t>
      </w:r>
      <w:r w:rsidR="00EC13A2">
        <w:t>notion d’éco</w:t>
      </w:r>
      <w:r w:rsidR="002C6DF5">
        <w:t xml:space="preserve">système utilisée en </w:t>
      </w:r>
      <w:r w:rsidR="00A25A68">
        <w:t>agroécologie</w:t>
      </w:r>
      <w:r w:rsidR="002C6DF5">
        <w:t xml:space="preserve"> scientifique et </w:t>
      </w:r>
      <w:r w:rsidR="00A25A68">
        <w:t xml:space="preserve">qui </w:t>
      </w:r>
      <w:r w:rsidR="002C6DF5">
        <w:t xml:space="preserve">permet une approche territoriale </w:t>
      </w:r>
      <w:r w:rsidR="00A25A68">
        <w:t xml:space="preserve">globale </w:t>
      </w:r>
      <w:r w:rsidR="002C6DF5">
        <w:t>des systèmes alimentaires</w:t>
      </w:r>
      <w:r w:rsidR="00A60652">
        <w:t>.</w:t>
      </w:r>
      <w:r w:rsidR="00821F1C">
        <w:t xml:space="preserve"> </w:t>
      </w:r>
      <w:r w:rsidR="00A60652">
        <w:t xml:space="preserve">Un </w:t>
      </w:r>
      <w:r w:rsidR="00E1506B">
        <w:t>éco</w:t>
      </w:r>
      <w:r w:rsidR="00A60652">
        <w:t>système est composé de multiples sous</w:t>
      </w:r>
      <w:r w:rsidR="00A36115">
        <w:t>-s</w:t>
      </w:r>
      <w:r w:rsidR="00A60652">
        <w:t>ystèmes imbriqués</w:t>
      </w:r>
      <w:r w:rsidR="002605ED">
        <w:t xml:space="preserve"> entre eux. L’ensemble des</w:t>
      </w:r>
      <w:r w:rsidR="002605ED">
        <w:rPr>
          <w:spacing w:val="1"/>
        </w:rPr>
        <w:t xml:space="preserve"> </w:t>
      </w:r>
      <w:r w:rsidR="002605ED">
        <w:t>processus et</w:t>
      </w:r>
      <w:r w:rsidR="002605ED">
        <w:rPr>
          <w:spacing w:val="1"/>
        </w:rPr>
        <w:t xml:space="preserve"> </w:t>
      </w:r>
      <w:r w:rsidR="002605ED">
        <w:t>des</w:t>
      </w:r>
      <w:r w:rsidR="002605ED">
        <w:rPr>
          <w:spacing w:val="-3"/>
        </w:rPr>
        <w:t xml:space="preserve"> </w:t>
      </w:r>
      <w:r w:rsidR="002605ED">
        <w:t>flux</w:t>
      </w:r>
      <w:r w:rsidR="002605ED">
        <w:rPr>
          <w:spacing w:val="-5"/>
        </w:rPr>
        <w:t xml:space="preserve"> </w:t>
      </w:r>
      <w:r w:rsidR="002605ED">
        <w:t>qui</w:t>
      </w:r>
      <w:r w:rsidR="002605ED">
        <w:rPr>
          <w:spacing w:val="-2"/>
        </w:rPr>
        <w:t xml:space="preserve"> </w:t>
      </w:r>
      <w:r w:rsidR="002605ED">
        <w:t>les</w:t>
      </w:r>
      <w:r w:rsidR="002605ED">
        <w:rPr>
          <w:spacing w:val="-1"/>
        </w:rPr>
        <w:t xml:space="preserve"> </w:t>
      </w:r>
      <w:r w:rsidR="002605ED">
        <w:t>lient</w:t>
      </w:r>
      <w:r w:rsidR="002605ED">
        <w:rPr>
          <w:spacing w:val="1"/>
        </w:rPr>
        <w:t xml:space="preserve"> </w:t>
      </w:r>
      <w:r w:rsidR="002605ED">
        <w:t>définissent</w:t>
      </w:r>
      <w:r w:rsidR="002605ED">
        <w:rPr>
          <w:spacing w:val="1"/>
        </w:rPr>
        <w:t xml:space="preserve"> </w:t>
      </w:r>
      <w:r w:rsidR="002605ED">
        <w:t>le</w:t>
      </w:r>
      <w:r w:rsidR="002605ED">
        <w:rPr>
          <w:spacing w:val="-3"/>
        </w:rPr>
        <w:t xml:space="preserve"> </w:t>
      </w:r>
      <w:r w:rsidR="002605ED">
        <w:t>système</w:t>
      </w:r>
      <w:r w:rsidR="002605ED">
        <w:rPr>
          <w:spacing w:val="-3"/>
        </w:rPr>
        <w:t xml:space="preserve"> </w:t>
      </w:r>
      <w:r w:rsidR="002605ED">
        <w:t>économique</w:t>
      </w:r>
      <w:r w:rsidR="002605ED">
        <w:rPr>
          <w:spacing w:val="-3"/>
        </w:rPr>
        <w:t xml:space="preserve"> global</w:t>
      </w:r>
      <w:r w:rsidR="000B31E8">
        <w:t xml:space="preserve"> étudié</w:t>
      </w:r>
      <w:r w:rsidR="002605ED">
        <w:t>.</w:t>
      </w:r>
      <w:r w:rsidR="000B31E8">
        <w:t xml:space="preserve"> </w:t>
      </w:r>
      <w:r w:rsidR="00DB3CCA">
        <w:t>Cependant</w:t>
      </w:r>
      <w:r w:rsidR="002605ED">
        <w:t>,</w:t>
      </w:r>
      <w:r w:rsidR="00DB3CCA">
        <w:t xml:space="preserve"> si de nombreuses démarches ont été développées sur le plan de l’analyse territoriale, il n’existe pas de cadre de référence pour définir un système à l’échelle d’une filière alimentaire.</w:t>
      </w:r>
    </w:p>
    <w:p w14:paraId="10A55218" w14:textId="2671800C" w:rsidR="00300D9B" w:rsidRDefault="00C10C6B" w:rsidP="00EF7D43">
      <w:r>
        <w:t>L</w:t>
      </w:r>
      <w:r w:rsidR="00300D9B">
        <w:t>’étude de</w:t>
      </w:r>
      <w:r>
        <w:t xml:space="preserve"> l’éco</w:t>
      </w:r>
      <w:r w:rsidR="00300D9B">
        <w:t xml:space="preserve">système </w:t>
      </w:r>
      <w:r>
        <w:t>de la filière porcine a supposé</w:t>
      </w:r>
      <w:r w:rsidR="00300D9B">
        <w:t xml:space="preserve"> </w:t>
      </w:r>
      <w:r>
        <w:t xml:space="preserve">d’en définir le périmètre spatial et temporel. Pour rappel, l’étude a été conduite sur </w:t>
      </w:r>
      <w:r w:rsidR="00300D9B">
        <w:t>la France métropolitaine</w:t>
      </w:r>
      <w:r>
        <w:t xml:space="preserve"> dans une approche </w:t>
      </w:r>
      <w:r w:rsidR="00300D9B">
        <w:t>socio-économique</w:t>
      </w:r>
      <w:r>
        <w:t xml:space="preserve"> pour l’année 2018. La volonté de conduire l’étude avec une antériorité de </w:t>
      </w:r>
      <w:r w:rsidR="00575072">
        <w:t>2 à 3</w:t>
      </w:r>
      <w:r>
        <w:t xml:space="preserve"> ans, </w:t>
      </w:r>
      <w:r w:rsidR="00575072">
        <w:t>est au départ motivé</w:t>
      </w:r>
      <w:r w:rsidR="00A25A68">
        <w:t>e</w:t>
      </w:r>
      <w:r w:rsidR="00575072">
        <w:t xml:space="preserve"> par un accès facilité à des données confidentielles tout en étant relativement récentes. De manière opérationnelle, la conduite de l‘étude a montré que ce choix a plutôt constitué un frein quant à l’accès aux données nécessitant un travail </w:t>
      </w:r>
      <w:r w:rsidR="00A25A68">
        <w:t xml:space="preserve">spécifique </w:t>
      </w:r>
      <w:r w:rsidR="00575072">
        <w:t>de requête</w:t>
      </w:r>
      <w:r w:rsidR="00A25A68">
        <w:t xml:space="preserve"> et d’extraction </w:t>
      </w:r>
      <w:r w:rsidR="00575072">
        <w:t>de la part des enquêtés.</w:t>
      </w:r>
    </w:p>
    <w:p w14:paraId="6C182FD9" w14:textId="30D61BB5" w:rsidR="00300D9B" w:rsidRDefault="00DB3CCA" w:rsidP="00EF7D43">
      <w:r>
        <w:t xml:space="preserve">L’étude </w:t>
      </w:r>
      <w:r w:rsidR="00E7371E">
        <w:t xml:space="preserve">s’est intéressée </w:t>
      </w:r>
      <w:r w:rsidR="00BE669D">
        <w:t xml:space="preserve">à l’ensemble des </w:t>
      </w:r>
      <w:r w:rsidR="00E8428C">
        <w:t>sous</w:t>
      </w:r>
      <w:r>
        <w:t>-</w:t>
      </w:r>
      <w:r w:rsidR="00E8428C">
        <w:t>système</w:t>
      </w:r>
      <w:r>
        <w:t>s</w:t>
      </w:r>
      <w:r w:rsidR="00E8428C">
        <w:t xml:space="preserve"> qui dans le cas</w:t>
      </w:r>
      <w:r>
        <w:t xml:space="preserve"> présent, peuvent être définis</w:t>
      </w:r>
      <w:r w:rsidR="00E8428C">
        <w:t xml:space="preserve"> </w:t>
      </w:r>
      <w:r>
        <w:t>au sens large du terme comme des étapes</w:t>
      </w:r>
      <w:r w:rsidR="00E8428C">
        <w:t xml:space="preserve"> de « transformation » de la matièr</w:t>
      </w:r>
      <w:r>
        <w:t xml:space="preserve">e </w:t>
      </w:r>
      <w:r w:rsidR="00E8428C">
        <w:t xml:space="preserve">au travers de </w:t>
      </w:r>
      <w:r w:rsidR="00BE669D">
        <w:t>« proc</w:t>
      </w:r>
      <w:r>
        <w:t>essus</w:t>
      </w:r>
      <w:r w:rsidR="00BE669D">
        <w:t xml:space="preserve"> » impliquant l</w:t>
      </w:r>
      <w:r w:rsidR="00E7371E">
        <w:t xml:space="preserve">a filière de la production à </w:t>
      </w:r>
      <w:r w:rsidR="00CE75E5">
        <w:t>la consommation</w:t>
      </w:r>
      <w:r w:rsidR="00BE669D">
        <w:t>.</w:t>
      </w:r>
    </w:p>
    <w:p w14:paraId="5A6E5AC4" w14:textId="1759F8FB" w:rsidR="00CE1FA4" w:rsidRDefault="002C168F" w:rsidP="00A305CD">
      <w:pPr>
        <w:pStyle w:val="Titre3"/>
        <w:numPr>
          <w:ilvl w:val="2"/>
          <w:numId w:val="30"/>
        </w:numPr>
      </w:pPr>
      <w:bookmarkStart w:id="337" w:name="_Toc78131676"/>
      <w:r>
        <w:t>Les produits</w:t>
      </w:r>
      <w:bookmarkEnd w:id="337"/>
    </w:p>
    <w:p w14:paraId="1B6E2602" w14:textId="34B5351D" w:rsidR="00CE1FA4" w:rsidRDefault="00847D12" w:rsidP="00EF7D43">
      <w:r>
        <w:t xml:space="preserve">S’agissant de quantifier la consommation humaine, </w:t>
      </w:r>
      <w:r w:rsidR="00CE1FA4">
        <w:t>la fraction</w:t>
      </w:r>
      <w:r>
        <w:t xml:space="preserve"> des produits du porc</w:t>
      </w:r>
      <w:r w:rsidR="00CE1FA4">
        <w:t xml:space="preserve"> </w:t>
      </w:r>
      <w:r>
        <w:t xml:space="preserve">dédiée </w:t>
      </w:r>
      <w:r w:rsidR="00CE1FA4">
        <w:t xml:space="preserve">à </w:t>
      </w:r>
      <w:r>
        <w:t xml:space="preserve">cette </w:t>
      </w:r>
      <w:r w:rsidR="00CE1FA4">
        <w:t xml:space="preserve">destination </w:t>
      </w:r>
      <w:r w:rsidR="00F01BED">
        <w:t>est</w:t>
      </w:r>
      <w:r w:rsidR="00CE1FA4">
        <w:t xml:space="preserve"> </w:t>
      </w:r>
      <w:r>
        <w:t xml:space="preserve">définie </w:t>
      </w:r>
      <w:r w:rsidR="009B500F">
        <w:t xml:space="preserve">en </w:t>
      </w:r>
      <w:r>
        <w:t>considérant</w:t>
      </w:r>
      <w:r w:rsidR="00CE1FA4">
        <w:t xml:space="preserve"> de fait</w:t>
      </w:r>
      <w:r>
        <w:t xml:space="preserve"> en dehors de l’écosystème</w:t>
      </w:r>
      <w:r w:rsidR="009B500F">
        <w:t>,</w:t>
      </w:r>
      <w:r w:rsidR="00CE1FA4">
        <w:t xml:space="preserve"> les produits</w:t>
      </w:r>
      <w:r>
        <w:t xml:space="preserve"> orientés</w:t>
      </w:r>
      <w:r w:rsidR="00294A8D">
        <w:t xml:space="preserve"> </w:t>
      </w:r>
      <w:r>
        <w:t>vers le petfood, l’incinération ou la transformation pour le compte d’autres filières alimentaires.</w:t>
      </w:r>
    </w:p>
    <w:p w14:paraId="496149C3" w14:textId="778DCD13" w:rsidR="002C168F" w:rsidRDefault="00F01BED" w:rsidP="00B61C27">
      <w:pPr>
        <w:spacing w:after="0"/>
      </w:pPr>
      <w:r>
        <w:t>Ainsi, l</w:t>
      </w:r>
      <w:r w:rsidR="00B61C27">
        <w:t xml:space="preserve">es </w:t>
      </w:r>
      <w:r w:rsidR="00847D12">
        <w:t>produits du porc ont</w:t>
      </w:r>
      <w:r w:rsidR="00786D07">
        <w:t xml:space="preserve"> </w:t>
      </w:r>
      <w:r w:rsidR="00847D12">
        <w:t>été distingu</w:t>
      </w:r>
      <w:r w:rsidR="009B500F">
        <w:t>és comme suit entre</w:t>
      </w:r>
      <w:r w:rsidR="00847D12">
        <w:t xml:space="preserve"> </w:t>
      </w:r>
    </w:p>
    <w:p w14:paraId="3AA2B39E" w14:textId="160138DB" w:rsidR="00CA58BE" w:rsidRDefault="00D0370A" w:rsidP="00A305CD">
      <w:pPr>
        <w:pStyle w:val="Paragraphedeliste"/>
        <w:numPr>
          <w:ilvl w:val="0"/>
          <w:numId w:val="23"/>
        </w:numPr>
        <w:shd w:val="clear" w:color="auto" w:fill="FFFFFF"/>
        <w:spacing w:before="0"/>
        <w:ind w:left="714" w:hanging="357"/>
        <w:textAlignment w:val="baseline"/>
      </w:pPr>
      <w:r>
        <w:rPr>
          <w:u w:val="single"/>
        </w:rPr>
        <w:t xml:space="preserve">Les viandes et produits de salaisons </w:t>
      </w:r>
      <w:r w:rsidR="00847D12" w:rsidRPr="00EB6BFD">
        <w:rPr>
          <w:u w:val="single"/>
        </w:rPr>
        <w:t xml:space="preserve">issus de muscles identifiés </w:t>
      </w:r>
      <w:r w:rsidR="00847D12" w:rsidRPr="00CA58BE">
        <w:t>à partir des pièces de jambon, longe poitrine et épaule</w:t>
      </w:r>
      <w:r w:rsidRPr="00CA58BE">
        <w:t>,</w:t>
      </w:r>
    </w:p>
    <w:p w14:paraId="560C37AE" w14:textId="17691BD9" w:rsidR="002C168F" w:rsidRPr="00CA58BE" w:rsidRDefault="009B500F" w:rsidP="00A305CD">
      <w:pPr>
        <w:pStyle w:val="Paragraphedeliste"/>
        <w:numPr>
          <w:ilvl w:val="0"/>
          <w:numId w:val="23"/>
        </w:numPr>
        <w:shd w:val="clear" w:color="auto" w:fill="FFFFFF"/>
        <w:spacing w:before="0"/>
        <w:ind w:left="714" w:hanging="357"/>
        <w:textAlignment w:val="baseline"/>
      </w:pPr>
      <w:r>
        <w:rPr>
          <w:u w:val="single"/>
        </w:rPr>
        <w:t>Et l</w:t>
      </w:r>
      <w:r w:rsidR="00847D12" w:rsidRPr="00CA58BE">
        <w:rPr>
          <w:u w:val="single"/>
        </w:rPr>
        <w:t>es produits de mélange</w:t>
      </w:r>
      <w:r w:rsidR="0098213E" w:rsidRPr="00CA58BE">
        <w:rPr>
          <w:u w:val="single"/>
        </w:rPr>
        <w:t xml:space="preserve"> ou de charcuterie</w:t>
      </w:r>
      <w:r w:rsidR="00847D12" w:rsidRPr="00CA58BE">
        <w:rPr>
          <w:u w:val="single"/>
        </w:rPr>
        <w:t xml:space="preserve"> </w:t>
      </w:r>
      <w:r w:rsidR="00847D12" w:rsidRPr="00CA58BE">
        <w:t>issus de l’assemblage des</w:t>
      </w:r>
      <w:r w:rsidR="0098213E" w:rsidRPr="00CA58BE">
        <w:t xml:space="preserve"> différents</w:t>
      </w:r>
      <w:r w:rsidR="00847D12" w:rsidRPr="00CA58BE">
        <w:t xml:space="preserve"> coproduits de découpe des muscles du porc</w:t>
      </w:r>
      <w:r w:rsidR="002C168F" w:rsidRPr="00CA58BE">
        <w:t>.</w:t>
      </w:r>
    </w:p>
    <w:p w14:paraId="2E51D20F" w14:textId="02A21086" w:rsidR="00EE53D0" w:rsidRDefault="002C168F" w:rsidP="00DF6065">
      <w:pPr>
        <w:spacing w:after="0"/>
      </w:pPr>
      <w:r>
        <w:t xml:space="preserve">Seuls les produits issus de muscles et destinés principalement à la transformation en viande fraîche et en salaison seront </w:t>
      </w:r>
      <w:r w:rsidR="00187DBD">
        <w:t>analysés sous l</w:t>
      </w:r>
      <w:r w:rsidR="00417F78">
        <w:t>’angle</w:t>
      </w:r>
      <w:r w:rsidR="00187DBD">
        <w:t xml:space="preserve"> de l’analyse de flux matière </w:t>
      </w:r>
      <w:r w:rsidR="00000E10">
        <w:t>soient</w:t>
      </w:r>
      <w:r w:rsidR="0003097F">
        <w:t xml:space="preserve"> </w:t>
      </w:r>
      <w:r w:rsidR="00187DBD">
        <w:t>les f</w:t>
      </w:r>
      <w:r w:rsidR="00000E10">
        <w:t>ilière</w:t>
      </w:r>
      <w:r w:rsidR="00187DBD">
        <w:t xml:space="preserve">s </w:t>
      </w:r>
      <w:r w:rsidR="00000E10">
        <w:t>d’usage du jambon</w:t>
      </w:r>
      <w:r w:rsidR="0031510D">
        <w:t>,</w:t>
      </w:r>
      <w:r w:rsidR="00187DBD">
        <w:t xml:space="preserve"> </w:t>
      </w:r>
      <w:r w:rsidR="00000E10">
        <w:t>de l’épaule</w:t>
      </w:r>
      <w:r w:rsidR="0031510D">
        <w:t>,</w:t>
      </w:r>
      <w:r w:rsidR="00187DBD">
        <w:t xml:space="preserve"> </w:t>
      </w:r>
      <w:r w:rsidR="00000E10">
        <w:t>de la poitrine</w:t>
      </w:r>
      <w:r w:rsidR="00187DBD">
        <w:t xml:space="preserve"> et </w:t>
      </w:r>
      <w:r w:rsidR="00000E10">
        <w:t>de la longe.</w:t>
      </w:r>
    </w:p>
    <w:p w14:paraId="7DF65F33" w14:textId="177B42C0" w:rsidR="00BC79CD" w:rsidRDefault="006A04E6" w:rsidP="000E214F">
      <w:r>
        <w:t>En effet, la</w:t>
      </w:r>
      <w:r w:rsidR="000E214F">
        <w:t xml:space="preserve"> transformation des </w:t>
      </w:r>
      <w:r w:rsidR="00DF6065">
        <w:t>co</w:t>
      </w:r>
      <w:r w:rsidR="000E214F">
        <w:t>produits du porc en charcuterie contribue à favoriser l’équilibre matière</w:t>
      </w:r>
      <w:r w:rsidR="00EE53D0">
        <w:t xml:space="preserve"> et </w:t>
      </w:r>
      <w:r w:rsidR="009946E5">
        <w:t>se trouve</w:t>
      </w:r>
      <w:r w:rsidR="000E214F">
        <w:t xml:space="preserve"> régie par une grande variabilité dans la formulation des recettes au travers du ratio gras et maigre et des pièces d’origine composant ces fractions. </w:t>
      </w:r>
      <w:r w:rsidR="009946E5">
        <w:t xml:space="preserve">Cette diversité ne s’exprime pas uniquement entre acteurs mais également pour un même acteur donné. </w:t>
      </w:r>
      <w:r w:rsidR="000E214F">
        <w:t xml:space="preserve">Pour illustrer le propos, l’étiquetage de la composition des produits </w:t>
      </w:r>
      <w:r w:rsidR="006224F3">
        <w:t>de charcuterie telles que les pâtés</w:t>
      </w:r>
      <w:r w:rsidR="005739E4">
        <w:t>, la saucisserie</w:t>
      </w:r>
      <w:r w:rsidR="006224F3">
        <w:t xml:space="preserve"> </w:t>
      </w:r>
      <w:r w:rsidR="000E214F">
        <w:t>fait</w:t>
      </w:r>
      <w:r w:rsidR="00417F78">
        <w:t>,</w:t>
      </w:r>
      <w:r w:rsidR="000E214F">
        <w:t xml:space="preserve"> </w:t>
      </w:r>
      <w:r w:rsidR="00417F78">
        <w:t xml:space="preserve">conformément à la réglementation, </w:t>
      </w:r>
      <w:r w:rsidR="000E214F">
        <w:t>la plupart du temps état de « viande de porc » et de « gras de porc » sans préciser plus en avant l’origine du maigre</w:t>
      </w:r>
      <w:r w:rsidR="005739E4">
        <w:t xml:space="preserve"> ou du gras</w:t>
      </w:r>
      <w:r w:rsidR="000E214F">
        <w:t xml:space="preserve">. </w:t>
      </w:r>
    </w:p>
    <w:p w14:paraId="03F9DC43" w14:textId="213F00FC" w:rsidR="00D0370A" w:rsidRDefault="000E214F" w:rsidP="000E214F">
      <w:r>
        <w:t>Ces variations liées au</w:t>
      </w:r>
      <w:r w:rsidR="00BC79CD">
        <w:t>x</w:t>
      </w:r>
      <w:r>
        <w:t xml:space="preserve"> évolutions entre offre et demande rendent difficiles la mise en place d’un modèle, par ailleurs les données relatives aux recettes sont complexes à collecter. </w:t>
      </w:r>
      <w:r w:rsidR="00417F78">
        <w:t>Par ailleurs, l</w:t>
      </w:r>
      <w:r>
        <w:t xml:space="preserve">’exercice qui consisterait à définir une recette moyenne par grande catégorie </w:t>
      </w:r>
      <w:r w:rsidR="00417F78">
        <w:t xml:space="preserve">technologique </w:t>
      </w:r>
      <w:r>
        <w:t>de</w:t>
      </w:r>
      <w:r w:rsidR="00417F78">
        <w:t>s</w:t>
      </w:r>
      <w:r>
        <w:t xml:space="preserve"> produits </w:t>
      </w:r>
      <w:r w:rsidR="00417F78">
        <w:t xml:space="preserve">de charcuterie </w:t>
      </w:r>
      <w:r>
        <w:t>ne permettrait pas construire un modèle proche de la réalité.</w:t>
      </w:r>
    </w:p>
    <w:p w14:paraId="1C3C77D5" w14:textId="0B6DE374" w:rsidR="000B7B5A" w:rsidRDefault="00B61C27" w:rsidP="0031510D">
      <w:pPr>
        <w:spacing w:after="0"/>
      </w:pPr>
      <w:r w:rsidRPr="00933B98">
        <w:t xml:space="preserve">Les </w:t>
      </w:r>
      <w:r w:rsidR="00417F78">
        <w:t>niveaux de transformation</w:t>
      </w:r>
      <w:r w:rsidRPr="00933B98">
        <w:t xml:space="preserve"> de la filière porcine</w:t>
      </w:r>
      <w:r w:rsidR="00705E0D">
        <w:t xml:space="preserve"> </w:t>
      </w:r>
      <w:r w:rsidR="008C1BAC">
        <w:t>regroupe</w:t>
      </w:r>
      <w:r w:rsidR="0031510D">
        <w:t>nt</w:t>
      </w:r>
      <w:r w:rsidR="008C1BAC">
        <w:t xml:space="preserve"> </w:t>
      </w:r>
      <w:r w:rsidR="00705E0D">
        <w:t xml:space="preserve">plusieurs </w:t>
      </w:r>
      <w:r w:rsidR="000B7B5A">
        <w:t>typologies de produit</w:t>
      </w:r>
      <w:r w:rsidR="00786D07">
        <w:t>s</w:t>
      </w:r>
      <w:r w:rsidR="00070089">
        <w:t xml:space="preserve"> </w:t>
      </w:r>
      <w:r w:rsidR="008C1BAC">
        <w:t xml:space="preserve">chacun </w:t>
      </w:r>
      <w:r w:rsidR="000B7B5A">
        <w:t>avec un degré d’élaboration différent</w:t>
      </w:r>
      <w:r w:rsidR="00945904">
        <w:t>ié</w:t>
      </w:r>
      <w:r w:rsidR="0031510D">
        <w:t>. Ainsi</w:t>
      </w:r>
      <w:r w:rsidR="00786D07">
        <w:t xml:space="preserve"> sont déterminés</w:t>
      </w:r>
      <w:r w:rsidR="00343A41">
        <w:t xml:space="preserve"> </w:t>
      </w:r>
      <w:r w:rsidR="00786D07">
        <w:t>:</w:t>
      </w:r>
    </w:p>
    <w:p w14:paraId="4998EBCA" w14:textId="4EC861F9" w:rsidR="00D0370A" w:rsidRDefault="00AE6765" w:rsidP="00A305CD">
      <w:pPr>
        <w:pStyle w:val="Paragraphedeliste"/>
        <w:numPr>
          <w:ilvl w:val="0"/>
          <w:numId w:val="23"/>
        </w:numPr>
        <w:spacing w:before="0"/>
        <w:ind w:left="714" w:hanging="357"/>
      </w:pPr>
      <w:r>
        <w:lastRenderedPageBreak/>
        <w:t>Les</w:t>
      </w:r>
      <w:r w:rsidR="00D0370A">
        <w:t xml:space="preserve"> </w:t>
      </w:r>
      <w:r w:rsidR="005B1AEB" w:rsidRPr="008001D7">
        <w:t>équivalents de pièces</w:t>
      </w:r>
      <w:r w:rsidR="00D0370A" w:rsidRPr="008001D7">
        <w:t xml:space="preserve"> primaire</w:t>
      </w:r>
      <w:r w:rsidR="005B1AEB" w:rsidRPr="008001D7">
        <w:t>s</w:t>
      </w:r>
      <w:r w:rsidR="00BD0A0B">
        <w:t xml:space="preserve"> issus de la découpe primaire de la fraction</w:t>
      </w:r>
      <w:r w:rsidR="003B52F1">
        <w:t xml:space="preserve"> destinée à la consommation humaine,</w:t>
      </w:r>
    </w:p>
    <w:p w14:paraId="2E4ACB13" w14:textId="1BD620D2" w:rsidR="003D53A4" w:rsidRDefault="00AE6765" w:rsidP="00A305CD">
      <w:pPr>
        <w:pStyle w:val="Paragraphedeliste"/>
        <w:numPr>
          <w:ilvl w:val="0"/>
          <w:numId w:val="23"/>
        </w:numPr>
      </w:pPr>
      <w:r>
        <w:t>Les</w:t>
      </w:r>
      <w:r w:rsidR="00BF4ED2">
        <w:t xml:space="preserve"> </w:t>
      </w:r>
      <w:r w:rsidR="005B1AEB" w:rsidRPr="00750933">
        <w:t xml:space="preserve">équivalents </w:t>
      </w:r>
      <w:r w:rsidR="00BF4ED2" w:rsidRPr="00750933">
        <w:t xml:space="preserve">de </w:t>
      </w:r>
      <w:r w:rsidR="005B1AEB" w:rsidRPr="00750933">
        <w:t>pièces</w:t>
      </w:r>
      <w:r w:rsidR="00BF4ED2" w:rsidRPr="00750933">
        <w:t xml:space="preserve"> secondaire</w:t>
      </w:r>
      <w:r w:rsidR="005B1AEB" w:rsidRPr="00750933">
        <w:t>s</w:t>
      </w:r>
      <w:r w:rsidR="00BF4ED2">
        <w:t xml:space="preserve"> (exemple </w:t>
      </w:r>
      <w:r w:rsidR="005B1AEB">
        <w:t xml:space="preserve">équivalent </w:t>
      </w:r>
      <w:r w:rsidR="003D53A4">
        <w:t>jambon 5D)</w:t>
      </w:r>
      <w:r w:rsidR="00756CE8">
        <w:t>,</w:t>
      </w:r>
    </w:p>
    <w:p w14:paraId="399642DA" w14:textId="29C8DEA1" w:rsidR="006E49ED" w:rsidRDefault="00AE6765" w:rsidP="00A305CD">
      <w:pPr>
        <w:pStyle w:val="Paragraphedeliste"/>
        <w:numPr>
          <w:ilvl w:val="0"/>
          <w:numId w:val="23"/>
        </w:numPr>
      </w:pPr>
      <w:r w:rsidRPr="00BD0A0B">
        <w:t>Les</w:t>
      </w:r>
      <w:r w:rsidR="003D53A4" w:rsidRPr="00BD0A0B">
        <w:t xml:space="preserve"> p</w:t>
      </w:r>
      <w:r w:rsidR="00044BF1">
        <w:t xml:space="preserve">ièces </w:t>
      </w:r>
      <w:r w:rsidR="006E49ED">
        <w:t>de viande de porc en UVCI</w:t>
      </w:r>
      <w:r w:rsidR="001F4152">
        <w:t xml:space="preserve"> ou UVCM</w:t>
      </w:r>
      <w:r w:rsidR="009F1DA7">
        <w:t xml:space="preserve"> (</w:t>
      </w:r>
      <w:r w:rsidR="009F1DA7">
        <w:rPr>
          <w:rStyle w:val="Appelnotedebasdep"/>
        </w:rPr>
        <w:footnoteReference w:id="16"/>
      </w:r>
      <w:r w:rsidR="009F1DA7">
        <w:t>)</w:t>
      </w:r>
      <w:r w:rsidR="006E49ED">
        <w:t>,</w:t>
      </w:r>
    </w:p>
    <w:p w14:paraId="7FE142D9" w14:textId="26627255" w:rsidR="003D53A4" w:rsidRPr="00BD0A0B" w:rsidRDefault="006E49ED" w:rsidP="00A305CD">
      <w:pPr>
        <w:pStyle w:val="Paragraphedeliste"/>
        <w:numPr>
          <w:ilvl w:val="0"/>
          <w:numId w:val="23"/>
        </w:numPr>
      </w:pPr>
      <w:r>
        <w:t xml:space="preserve">Les </w:t>
      </w:r>
      <w:r w:rsidR="000A0C89">
        <w:t xml:space="preserve">muscles </w:t>
      </w:r>
      <w:r w:rsidR="000A2816" w:rsidRPr="00BD0A0B">
        <w:t xml:space="preserve">intermédiaires </w:t>
      </w:r>
      <w:r w:rsidR="000A0C89">
        <w:t>salés et/ou saumurés</w:t>
      </w:r>
      <w:r w:rsidR="00C94A73">
        <w:t xml:space="preserve"> et/ou mis en séchage,</w:t>
      </w:r>
    </w:p>
    <w:p w14:paraId="492BE7C2" w14:textId="1A117F5D" w:rsidR="003D53A4" w:rsidRPr="00BD0A0B" w:rsidRDefault="00AE6765" w:rsidP="00A305CD">
      <w:pPr>
        <w:pStyle w:val="Paragraphedeliste"/>
        <w:numPr>
          <w:ilvl w:val="0"/>
          <w:numId w:val="23"/>
        </w:numPr>
      </w:pPr>
      <w:r w:rsidRPr="00BD0A0B">
        <w:t>Les</w:t>
      </w:r>
      <w:r w:rsidR="003D53A4" w:rsidRPr="00BD0A0B">
        <w:t xml:space="preserve"> produits</w:t>
      </w:r>
      <w:r w:rsidR="00705E0D" w:rsidRPr="00BD0A0B">
        <w:t xml:space="preserve"> finis transformés </w:t>
      </w:r>
      <w:r w:rsidR="00234041">
        <w:t xml:space="preserve">de salaison </w:t>
      </w:r>
      <w:r w:rsidR="00705E0D" w:rsidRPr="00BD0A0B">
        <w:t xml:space="preserve">à partir des produits intermédiaires </w:t>
      </w:r>
      <w:r w:rsidR="00183533" w:rsidRPr="00BD0A0B">
        <w:t>destinés aux marchés de consommation</w:t>
      </w:r>
      <w:r w:rsidR="00CD605B">
        <w:t>,</w:t>
      </w:r>
    </w:p>
    <w:p w14:paraId="33BC9AD9" w14:textId="6252E048" w:rsidR="00CD4276" w:rsidRPr="001F4152" w:rsidRDefault="00234041" w:rsidP="00A305CD">
      <w:pPr>
        <w:pStyle w:val="Paragraphedeliste"/>
        <w:numPr>
          <w:ilvl w:val="0"/>
          <w:numId w:val="23"/>
        </w:numPr>
      </w:pPr>
      <w:r w:rsidRPr="00BD0A0B">
        <w:t xml:space="preserve">Les produits finis transformés </w:t>
      </w:r>
      <w:r>
        <w:t xml:space="preserve">de </w:t>
      </w:r>
      <w:r w:rsidR="001F4152">
        <w:t>charcuterie</w:t>
      </w:r>
      <w:r>
        <w:t xml:space="preserve"> </w:t>
      </w:r>
      <w:r w:rsidRPr="00BD0A0B">
        <w:t>à partir des produits intermédiaires destinés aux marchés de consommation</w:t>
      </w:r>
      <w:r>
        <w:t>.</w:t>
      </w:r>
    </w:p>
    <w:p w14:paraId="1384EE9A" w14:textId="31DBD68F" w:rsidR="00336F28" w:rsidRDefault="00705E0D" w:rsidP="00336F28">
      <w:pPr>
        <w:spacing w:after="0"/>
      </w:pPr>
      <w:r>
        <w:t>Pour simplifier la présentation</w:t>
      </w:r>
      <w:r w:rsidR="00417F78">
        <w:t>,</w:t>
      </w:r>
      <w:r>
        <w:t xml:space="preserve"> les </w:t>
      </w:r>
      <w:r w:rsidR="00715A09">
        <w:t>stades</w:t>
      </w:r>
      <w:r>
        <w:t xml:space="preserve"> de production intermédiaire ont parfois été regroupés.</w:t>
      </w:r>
      <w:r w:rsidR="001F4152">
        <w:t xml:space="preserve"> </w:t>
      </w:r>
      <w:r w:rsidR="007405CC">
        <w:t xml:space="preserve">Une nomenclature </w:t>
      </w:r>
      <w:r w:rsidR="00E945AF">
        <w:t xml:space="preserve">détaillée des </w:t>
      </w:r>
      <w:r w:rsidR="007405CC">
        <w:t xml:space="preserve">produits </w:t>
      </w:r>
      <w:r w:rsidR="005A4125">
        <w:t xml:space="preserve">formalisée en arborescence </w:t>
      </w:r>
      <w:r w:rsidR="007405CC">
        <w:t>a été conçue pour être la plus exhaustive possible en termes d’activités lié</w:t>
      </w:r>
      <w:r w:rsidR="005A4125">
        <w:t>es à la filière porcine</w:t>
      </w:r>
      <w:r w:rsidR="00CC5E1B">
        <w:t>.</w:t>
      </w:r>
      <w:r w:rsidR="005A4125">
        <w:t xml:space="preserve"> </w:t>
      </w:r>
      <w:r w:rsidR="007405CC">
        <w:t>Elle s’appuie principalement sur les nomenclatures des données de la statistique</w:t>
      </w:r>
      <w:r w:rsidR="00552A04">
        <w:t xml:space="preserve"> publique (PR</w:t>
      </w:r>
      <w:r w:rsidR="003B5B4A">
        <w:t>OD</w:t>
      </w:r>
      <w:r w:rsidR="00552A04">
        <w:t>com Insee, Eurostat)</w:t>
      </w:r>
      <w:r w:rsidR="00CC5E1B">
        <w:t xml:space="preserve"> et sur celle du code des usages de la charcuterie. </w:t>
      </w:r>
    </w:p>
    <w:p w14:paraId="008F34DD" w14:textId="492B0C55" w:rsidR="009F1DA7" w:rsidRDefault="008C36DB" w:rsidP="00336F28">
      <w:r>
        <w:t>La question des</w:t>
      </w:r>
      <w:r w:rsidR="00DC4407">
        <w:t xml:space="preserve"> liquides formalisés </w:t>
      </w:r>
      <w:r w:rsidR="009D2793">
        <w:t>au travers des</w:t>
      </w:r>
      <w:r>
        <w:t xml:space="preserve"> </w:t>
      </w:r>
      <w:r w:rsidR="00C723FE">
        <w:t xml:space="preserve">additifs technologiques et </w:t>
      </w:r>
      <w:r>
        <w:t>effluents, là encore et à défaut d’études ou de modèles, l</w:t>
      </w:r>
      <w:r w:rsidR="00456B2B">
        <w:t xml:space="preserve">es variations relatives aux apports d’additifs, aux phases de cuisson ou de dessication </w:t>
      </w:r>
      <w:r w:rsidR="003D13D0">
        <w:t xml:space="preserve">qui renvoient aux flux liquides (saumure, effluents) </w:t>
      </w:r>
      <w:r w:rsidR="00456B2B">
        <w:t xml:space="preserve">sont traités </w:t>
      </w:r>
      <w:r w:rsidR="003D13D0">
        <w:t>sous la forme de variation massique.</w:t>
      </w:r>
      <w:r w:rsidR="002D2EAD">
        <w:t xml:space="preserve"> </w:t>
      </w:r>
      <w:r>
        <w:t>Pour rappel, les estimations des flux massiques sont en poids réels afin de réaliser un bilan massique de</w:t>
      </w:r>
      <w:r>
        <w:rPr>
          <w:spacing w:val="1"/>
        </w:rPr>
        <w:t xml:space="preserve"> </w:t>
      </w:r>
      <w:r>
        <w:t xml:space="preserve">produit. </w:t>
      </w:r>
    </w:p>
    <w:p w14:paraId="6ECF607D" w14:textId="414E9D95" w:rsidR="008C285A" w:rsidRDefault="00CE1FA4" w:rsidP="00A305CD">
      <w:pPr>
        <w:pStyle w:val="Paragraphedeliste"/>
        <w:numPr>
          <w:ilvl w:val="2"/>
          <w:numId w:val="30"/>
        </w:numPr>
        <w:shd w:val="clear" w:color="auto" w:fill="FFFFFF"/>
        <w:textAlignment w:val="baseline"/>
      </w:pPr>
      <w:r>
        <w:t>Les proc</w:t>
      </w:r>
      <w:r w:rsidR="00A93F97">
        <w:t>essus</w:t>
      </w:r>
    </w:p>
    <w:p w14:paraId="13DB1C43" w14:textId="76CB8411" w:rsidR="009539E7" w:rsidRDefault="00CE6359" w:rsidP="005F6CF2">
      <w:r>
        <w:t>L</w:t>
      </w:r>
      <w:r w:rsidR="00B36288">
        <w:t xml:space="preserve">a plupart des analyses de flux </w:t>
      </w:r>
      <w:r>
        <w:t xml:space="preserve">matière </w:t>
      </w:r>
      <w:r w:rsidR="00B36288">
        <w:t xml:space="preserve">s’attachent à définir les secteurs </w:t>
      </w:r>
      <w:r>
        <w:t xml:space="preserve">au travers des </w:t>
      </w:r>
      <w:r w:rsidR="00BD6208">
        <w:t>entreprises regroupées et classées selon leur activité principale</w:t>
      </w:r>
      <w:r>
        <w:t xml:space="preserve">. Dans le cas présent, </w:t>
      </w:r>
      <w:r w:rsidR="0037582F">
        <w:t xml:space="preserve">le choix s’est porté sur la prise en compte des </w:t>
      </w:r>
      <w:r w:rsidR="009539E7">
        <w:t xml:space="preserve">différents </w:t>
      </w:r>
      <w:r w:rsidR="00F83FA2">
        <w:t>proc</w:t>
      </w:r>
      <w:r w:rsidR="009539E7">
        <w:t>essus</w:t>
      </w:r>
      <w:r w:rsidR="00E8218E">
        <w:t xml:space="preserve"> qui viennent modifier les pièces primaires </w:t>
      </w:r>
      <w:r w:rsidR="00A11F37">
        <w:t>de découpe du porc</w:t>
      </w:r>
      <w:r w:rsidR="00E8218E">
        <w:t xml:space="preserve">. </w:t>
      </w:r>
      <w:r w:rsidR="00BA382D">
        <w:t xml:space="preserve">Afin </w:t>
      </w:r>
      <w:r w:rsidR="009B76B0">
        <w:t>d’illustrer le propos</w:t>
      </w:r>
      <w:r w:rsidR="00BA382D">
        <w:t xml:space="preserve">, la découpe et le piéçage de la </w:t>
      </w:r>
      <w:r w:rsidR="009B76B0">
        <w:t>longe de porc, sont</w:t>
      </w:r>
      <w:r w:rsidR="00BA382D">
        <w:t xml:space="preserve"> opéré</w:t>
      </w:r>
      <w:r w:rsidR="009B76B0">
        <w:t>s</w:t>
      </w:r>
      <w:r w:rsidR="00BA382D">
        <w:t xml:space="preserve"> </w:t>
      </w:r>
      <w:r w:rsidR="009B76B0">
        <w:t xml:space="preserve">à la fois </w:t>
      </w:r>
      <w:r w:rsidR="00BA382D">
        <w:t>par les</w:t>
      </w:r>
      <w:r w:rsidR="009B76B0">
        <w:t xml:space="preserve"> laboratoires du pôle traditionnel des grandes surfaces de la distribution et par les abatteurs découpeurs. Or, ces deux catégories d’acteur n’appartiennent ni </w:t>
      </w:r>
      <w:r w:rsidR="00D05B01">
        <w:t>au même secteur d’activité ni à la même branche.</w:t>
      </w:r>
      <w:r w:rsidR="009231B2">
        <w:t xml:space="preserve"> </w:t>
      </w:r>
    </w:p>
    <w:p w14:paraId="35B3DDE3" w14:textId="2FBA6031" w:rsidR="005F41F9" w:rsidRDefault="00817706" w:rsidP="005F6CF2">
      <w:r>
        <w:t>Les</w:t>
      </w:r>
      <w:r w:rsidR="009539E7">
        <w:t xml:space="preserve"> processus </w:t>
      </w:r>
      <w:r>
        <w:t>contribuent avec les flux</w:t>
      </w:r>
      <w:r w:rsidR="00540A3E">
        <w:t>,</w:t>
      </w:r>
      <w:r>
        <w:t xml:space="preserve"> à caractériser</w:t>
      </w:r>
      <w:r w:rsidR="00521737">
        <w:t xml:space="preserve"> l’écosystème défini dans le cadre de l’analyse de flux matière (AFM)</w:t>
      </w:r>
      <w:r>
        <w:t>. A</w:t>
      </w:r>
      <w:r w:rsidR="00521737">
        <w:t xml:space="preserve">u cours </w:t>
      </w:r>
      <w:r>
        <w:t>d’un processus</w:t>
      </w:r>
      <w:r w:rsidR="00F21D32">
        <w:t>,</w:t>
      </w:r>
      <w:r>
        <w:t xml:space="preserve"> </w:t>
      </w:r>
      <w:r w:rsidR="00521737">
        <w:t>l</w:t>
      </w:r>
      <w:r>
        <w:t>a matière</w:t>
      </w:r>
      <w:r w:rsidR="00521737">
        <w:t xml:space="preserve"> est</w:t>
      </w:r>
      <w:r>
        <w:t xml:space="preserve"> soit</w:t>
      </w:r>
      <w:r w:rsidR="00521737">
        <w:t xml:space="preserve"> transformée, stockée ou distribuée.</w:t>
      </w:r>
      <w:r w:rsidR="002F22C9">
        <w:t xml:space="preserve"> Dans le cas présent</w:t>
      </w:r>
      <w:r w:rsidR="00F21D32">
        <w:t>,</w:t>
      </w:r>
      <w:r w:rsidR="002F22C9">
        <w:t xml:space="preserve"> les stocks </w:t>
      </w:r>
      <w:r w:rsidR="00F21D32">
        <w:t>ne seront pas pris en compte</w:t>
      </w:r>
      <w:r w:rsidR="00C07FD9">
        <w:t xml:space="preserve">. Ils sont considérés comme ne faisant pas état de variations de matière </w:t>
      </w:r>
      <w:r w:rsidR="005F41F9">
        <w:t>et n’influent pas sur l’évolution des flux.</w:t>
      </w:r>
    </w:p>
    <w:p w14:paraId="7CFF00DE" w14:textId="56530757" w:rsidR="006D7E94" w:rsidRDefault="004A370D" w:rsidP="005F6CF2">
      <w:r>
        <w:t>Les flux relient un processus à l’autre au travers de nœuds</w:t>
      </w:r>
      <w:r w:rsidR="00DD53DC">
        <w:t xml:space="preserve"> </w:t>
      </w:r>
      <w:r w:rsidR="006D7E94">
        <w:t>d’entrée et de sortie. Les processus suivants ont ainsi été définis </w:t>
      </w:r>
      <w:r w:rsidR="00CA58BE">
        <w:t>(</w:t>
      </w:r>
      <w:r w:rsidR="00CA58BE">
        <w:rPr>
          <w:bCs/>
          <w:iCs/>
        </w:rPr>
        <w:fldChar w:fldCharType="begin"/>
      </w:r>
      <w:r w:rsidR="00CA58BE" w:rsidRPr="00715A09">
        <w:rPr>
          <w:bCs/>
          <w:iCs/>
        </w:rPr>
        <w:instrText xml:space="preserve"> REF _Ref69507214 \h </w:instrText>
      </w:r>
      <w:r w:rsidR="005F6CF2" w:rsidRPr="00715A09">
        <w:rPr>
          <w:bCs/>
          <w:iCs/>
        </w:rPr>
        <w:instrText xml:space="preserve"> \* MERGEFORMAT </w:instrText>
      </w:r>
      <w:r w:rsidR="00CA58BE">
        <w:rPr>
          <w:bCs/>
          <w:iCs/>
        </w:rPr>
      </w:r>
      <w:r w:rsidR="00CA58BE">
        <w:rPr>
          <w:bCs/>
          <w:iCs/>
        </w:rPr>
        <w:fldChar w:fldCharType="separate"/>
      </w:r>
      <w:r w:rsidR="0007597F" w:rsidRPr="00715A09">
        <w:rPr>
          <w:bCs/>
          <w:iCs/>
        </w:rPr>
        <w:t>Tableau</w:t>
      </w:r>
      <w:r w:rsidR="0007597F" w:rsidRPr="0002537E">
        <w:rPr>
          <w:b/>
          <w:i/>
        </w:rPr>
        <w:t xml:space="preserve"> </w:t>
      </w:r>
      <w:r w:rsidR="0007597F" w:rsidRPr="00715A09">
        <w:rPr>
          <w:bCs/>
          <w:iCs/>
          <w:noProof/>
        </w:rPr>
        <w:t>71</w:t>
      </w:r>
      <w:r w:rsidR="0007597F" w:rsidRPr="00715A09">
        <w:rPr>
          <w:bCs/>
          <w:iCs/>
        </w:rPr>
        <w:t xml:space="preserve"> </w:t>
      </w:r>
      <w:r w:rsidR="00CA58BE">
        <w:fldChar w:fldCharType="end"/>
      </w:r>
      <w:r w:rsidR="00CA58BE">
        <w:t xml:space="preserve">) </w:t>
      </w:r>
      <w:r w:rsidR="006D7E94">
        <w:t xml:space="preserve">: </w:t>
      </w:r>
    </w:p>
    <w:p w14:paraId="03C43EE9" w14:textId="60374462" w:rsidR="009E5EF1" w:rsidRDefault="009E5EF1" w:rsidP="00A305CD">
      <w:pPr>
        <w:pStyle w:val="Paragraphedeliste"/>
        <w:numPr>
          <w:ilvl w:val="0"/>
          <w:numId w:val="23"/>
        </w:numPr>
        <w:spacing w:before="0"/>
        <w:ind w:left="426" w:hanging="357"/>
      </w:pPr>
      <w:r>
        <w:t xml:space="preserve">Le </w:t>
      </w:r>
      <w:r w:rsidRPr="009F1DA7">
        <w:rPr>
          <w:u w:val="single"/>
        </w:rPr>
        <w:t>processus de découpe</w:t>
      </w:r>
      <w:r w:rsidR="003E13FA" w:rsidRPr="009F1DA7">
        <w:rPr>
          <w:u w:val="single"/>
        </w:rPr>
        <w:t xml:space="preserve"> primaire</w:t>
      </w:r>
      <w:r w:rsidR="009F1DA7">
        <w:t xml:space="preserve"> (P1)</w:t>
      </w:r>
      <w:r>
        <w:t xml:space="preserve"> à partir des</w:t>
      </w:r>
      <w:r w:rsidR="001F4152">
        <w:t xml:space="preserve"> équivalent</w:t>
      </w:r>
      <w:r w:rsidR="00CA58BE">
        <w:t>s</w:t>
      </w:r>
      <w:r>
        <w:t xml:space="preserve"> </w:t>
      </w:r>
      <w:r w:rsidR="003E13FA">
        <w:t>pièces primaires</w:t>
      </w:r>
      <w:r w:rsidR="00540A3E">
        <w:t xml:space="preserve"> permettant l’obtention de pièces secondaires</w:t>
      </w:r>
      <w:r w:rsidR="00591D22">
        <w:t>,</w:t>
      </w:r>
    </w:p>
    <w:p w14:paraId="72BE9DE5" w14:textId="2CDD7BE5" w:rsidR="009F1DA7" w:rsidRDefault="003E13FA" w:rsidP="00A305CD">
      <w:pPr>
        <w:pStyle w:val="Paragraphedeliste"/>
        <w:numPr>
          <w:ilvl w:val="0"/>
          <w:numId w:val="23"/>
        </w:numPr>
        <w:ind w:left="426"/>
      </w:pPr>
      <w:r>
        <w:t xml:space="preserve">Le </w:t>
      </w:r>
      <w:r w:rsidR="00591D22" w:rsidRPr="009F1DA7">
        <w:rPr>
          <w:u w:val="single"/>
        </w:rPr>
        <w:t xml:space="preserve">processus de </w:t>
      </w:r>
      <w:r w:rsidR="009E5EF1" w:rsidRPr="009F1DA7">
        <w:rPr>
          <w:u w:val="single"/>
        </w:rPr>
        <w:t>désossage – tranchage et piéçage</w:t>
      </w:r>
      <w:r w:rsidR="00CA58BE">
        <w:rPr>
          <w:u w:val="single"/>
        </w:rPr>
        <w:t xml:space="preserve"> (P2</w:t>
      </w:r>
      <w:r w:rsidR="00336F28">
        <w:rPr>
          <w:u w:val="single"/>
        </w:rPr>
        <w:t xml:space="preserve"> a</w:t>
      </w:r>
      <w:r w:rsidR="00CA58BE">
        <w:rPr>
          <w:u w:val="single"/>
        </w:rPr>
        <w:t>)</w:t>
      </w:r>
      <w:r w:rsidR="009F1DA7">
        <w:t xml:space="preserve"> donnant lieu à partir d’équivalent</w:t>
      </w:r>
      <w:r w:rsidR="00CA58BE">
        <w:t>s</w:t>
      </w:r>
      <w:r w:rsidR="009F1DA7">
        <w:t xml:space="preserve"> de pièces de découpe secondaire à l’obtention de produits finis </w:t>
      </w:r>
      <w:r w:rsidR="009231B2">
        <w:t xml:space="preserve">en </w:t>
      </w:r>
      <w:r w:rsidR="009F1DA7">
        <w:t>UVCI ou UVCM</w:t>
      </w:r>
      <w:r w:rsidR="00CA58BE">
        <w:t>,</w:t>
      </w:r>
    </w:p>
    <w:p w14:paraId="464F51A3" w14:textId="5366E148" w:rsidR="009F1DA7" w:rsidRDefault="0053224D" w:rsidP="00A305CD">
      <w:pPr>
        <w:pStyle w:val="Paragraphedeliste"/>
        <w:numPr>
          <w:ilvl w:val="0"/>
          <w:numId w:val="23"/>
        </w:numPr>
        <w:ind w:left="426"/>
      </w:pPr>
      <w:r>
        <w:t xml:space="preserve">Le </w:t>
      </w:r>
      <w:r w:rsidRPr="0053224D">
        <w:rPr>
          <w:u w:val="single"/>
        </w:rPr>
        <w:t>processus de transformation</w:t>
      </w:r>
      <w:r w:rsidR="00336F28">
        <w:rPr>
          <w:u w:val="single"/>
        </w:rPr>
        <w:t xml:space="preserve"> (P2 b)</w:t>
      </w:r>
      <w:r>
        <w:t xml:space="preserve"> soit </w:t>
      </w:r>
      <w:r w:rsidRPr="0053224D">
        <w:t>cutterage et/ou assemblage, moulage, traitement thermique et/ou affinage,</w:t>
      </w:r>
    </w:p>
    <w:p w14:paraId="33E627B4" w14:textId="18423533" w:rsidR="0053224D" w:rsidRPr="0053224D" w:rsidRDefault="0053224D" w:rsidP="00A305CD">
      <w:pPr>
        <w:pStyle w:val="Paragraphedeliste"/>
        <w:numPr>
          <w:ilvl w:val="0"/>
          <w:numId w:val="23"/>
        </w:numPr>
        <w:ind w:left="426"/>
        <w:rPr>
          <w:u w:val="single"/>
        </w:rPr>
      </w:pPr>
      <w:r>
        <w:rPr>
          <w:u w:val="single"/>
        </w:rPr>
        <w:t xml:space="preserve">Le </w:t>
      </w:r>
      <w:r w:rsidR="00715A09">
        <w:rPr>
          <w:u w:val="single"/>
        </w:rPr>
        <w:t>t</w:t>
      </w:r>
      <w:r w:rsidRPr="0053224D">
        <w:rPr>
          <w:u w:val="single"/>
        </w:rPr>
        <w:t xml:space="preserve">ranchage, assemblage, </w:t>
      </w:r>
      <w:r w:rsidR="009231B2">
        <w:rPr>
          <w:u w:val="single"/>
        </w:rPr>
        <w:t>c</w:t>
      </w:r>
      <w:r w:rsidRPr="0053224D">
        <w:rPr>
          <w:u w:val="single"/>
        </w:rPr>
        <w:t>onditionnement</w:t>
      </w:r>
      <w:r w:rsidR="00336F28">
        <w:rPr>
          <w:u w:val="single"/>
        </w:rPr>
        <w:t xml:space="preserve"> (P3)</w:t>
      </w:r>
    </w:p>
    <w:p w14:paraId="6E456864" w14:textId="3510D4D9" w:rsidR="00336F28" w:rsidRDefault="0053224D" w:rsidP="00A305CD">
      <w:pPr>
        <w:pStyle w:val="Paragraphedeliste"/>
        <w:numPr>
          <w:ilvl w:val="0"/>
          <w:numId w:val="23"/>
        </w:numPr>
        <w:ind w:left="426"/>
      </w:pPr>
      <w:r>
        <w:rPr>
          <w:u w:val="single"/>
        </w:rPr>
        <w:t>La p</w:t>
      </w:r>
      <w:r w:rsidRPr="0053224D">
        <w:rPr>
          <w:u w:val="single"/>
        </w:rPr>
        <w:t xml:space="preserve">hase </w:t>
      </w:r>
      <w:r>
        <w:rPr>
          <w:u w:val="single"/>
        </w:rPr>
        <w:t>de d</w:t>
      </w:r>
      <w:r w:rsidRPr="0053224D">
        <w:rPr>
          <w:u w:val="single"/>
        </w:rPr>
        <w:t xml:space="preserve">istribution par marché </w:t>
      </w:r>
      <w:r w:rsidRPr="0053224D">
        <w:t xml:space="preserve">soit </w:t>
      </w:r>
      <w:r>
        <w:t xml:space="preserve">les débouchés de la consommation </w:t>
      </w:r>
      <w:r w:rsidR="00715A09">
        <w:t>à</w:t>
      </w:r>
      <w:r w:rsidRPr="0053224D">
        <w:t xml:space="preserve"> domicile </w:t>
      </w:r>
      <w:r w:rsidR="009231B2">
        <w:t xml:space="preserve">et </w:t>
      </w:r>
      <w:r w:rsidR="00715A09">
        <w:t>h</w:t>
      </w:r>
      <w:r w:rsidR="009231B2" w:rsidRPr="0053224D">
        <w:t xml:space="preserve">ors </w:t>
      </w:r>
      <w:r w:rsidR="00715A09">
        <w:t>d</w:t>
      </w:r>
      <w:r w:rsidR="009231B2" w:rsidRPr="0053224D">
        <w:t xml:space="preserve">omicile </w:t>
      </w:r>
      <w:r>
        <w:t>tel</w:t>
      </w:r>
      <w:r w:rsidR="009231B2">
        <w:t>s</w:t>
      </w:r>
      <w:r>
        <w:t xml:space="preserve"> que défini</w:t>
      </w:r>
      <w:r w:rsidR="009231B2">
        <w:t xml:space="preserve">s </w:t>
      </w:r>
      <w:r w:rsidR="00715A09">
        <w:t xml:space="preserve">dans la première partie du rapport </w:t>
      </w:r>
      <w:r w:rsidR="009231B2">
        <w:t>et la destination auprès des débouchés du traiteur sous la forme de PAI.</w:t>
      </w:r>
    </w:p>
    <w:p w14:paraId="3A4D28A7" w14:textId="7B0DA157" w:rsidR="00336F28" w:rsidRDefault="00E232E9" w:rsidP="00A305CD">
      <w:pPr>
        <w:pStyle w:val="Paragraphedeliste"/>
        <w:numPr>
          <w:ilvl w:val="0"/>
          <w:numId w:val="23"/>
        </w:numPr>
        <w:ind w:left="426"/>
      </w:pPr>
      <w:r w:rsidRPr="00336F28">
        <w:rPr>
          <w:u w:val="single"/>
        </w:rPr>
        <w:t>L’importation</w:t>
      </w:r>
      <w:r w:rsidR="00336F28" w:rsidRPr="00336F28">
        <w:rPr>
          <w:u w:val="single"/>
        </w:rPr>
        <w:t xml:space="preserve"> de produits semi</w:t>
      </w:r>
      <w:r w:rsidR="00336F28">
        <w:rPr>
          <w:u w:val="single"/>
        </w:rPr>
        <w:t>-</w:t>
      </w:r>
      <w:r w:rsidR="00336F28" w:rsidRPr="00336F28">
        <w:rPr>
          <w:u w:val="single"/>
        </w:rPr>
        <w:t>finis</w:t>
      </w:r>
      <w:r w:rsidR="00336F28" w:rsidRPr="00336F28">
        <w:t xml:space="preserve"> sous la forme de pièces de découpe secondaire et </w:t>
      </w:r>
      <w:r w:rsidR="00336F28" w:rsidRPr="00336F28">
        <w:rPr>
          <w:u w:val="single"/>
        </w:rPr>
        <w:t>de produits finis</w:t>
      </w:r>
      <w:r w:rsidR="00336F28" w:rsidRPr="00336F28">
        <w:t xml:space="preserve"> à destination de la consommation d’une part et </w:t>
      </w:r>
      <w:r w:rsidR="00715A09">
        <w:t xml:space="preserve">de </w:t>
      </w:r>
      <w:r w:rsidR="00336F28" w:rsidRPr="00336F28">
        <w:t>l’exportation de produits bruts soit des coproduits, des abats ou des produits finis sont considérés comme des secteurs.</w:t>
      </w:r>
    </w:p>
    <w:p w14:paraId="642BB7B4" w14:textId="7EBF75B6" w:rsidR="009231B2" w:rsidRPr="00A074F5" w:rsidRDefault="0053224D" w:rsidP="006D7E94">
      <w:r>
        <w:t>Cette approche permet d’effectuer</w:t>
      </w:r>
      <w:r w:rsidR="006D7E94">
        <w:t xml:space="preserve"> un premier schéma récapitulatif </w:t>
      </w:r>
      <w:r w:rsidR="00336F28">
        <w:t xml:space="preserve">de l’écosystème </w:t>
      </w:r>
      <w:r w:rsidR="006D7E94">
        <w:t>sur chacun de ces flux et procédés</w:t>
      </w:r>
      <w:r w:rsidR="00336F28">
        <w:t xml:space="preserve"> (</w:t>
      </w:r>
      <w:r w:rsidR="00336F28" w:rsidRPr="00715A09">
        <w:fldChar w:fldCharType="begin"/>
      </w:r>
      <w:r w:rsidR="00336F28" w:rsidRPr="00715A09">
        <w:instrText xml:space="preserve"> REF _Ref69509080 \h  \* MERGEFORMAT </w:instrText>
      </w:r>
      <w:r w:rsidR="00336F28" w:rsidRPr="00715A09">
        <w:fldChar w:fldCharType="separate"/>
      </w:r>
      <w:r w:rsidR="0007597F" w:rsidRPr="00715A09">
        <w:t>Figure 31</w:t>
      </w:r>
      <w:r w:rsidR="00336F28" w:rsidRPr="00715A09">
        <w:fldChar w:fldCharType="end"/>
      </w:r>
      <w:r w:rsidR="00336F28" w:rsidRPr="00715A09">
        <w:t>)</w:t>
      </w:r>
      <w:r w:rsidR="009231B2" w:rsidRPr="0002537E">
        <w:rPr>
          <w:sz w:val="20"/>
          <w:szCs w:val="20"/>
        </w:rPr>
        <w:t>.</w:t>
      </w:r>
    </w:p>
    <w:p w14:paraId="19C7673B" w14:textId="44D79AFB" w:rsidR="0053224D" w:rsidRDefault="0053224D" w:rsidP="009231B2">
      <w:pPr>
        <w:rPr>
          <w:rFonts w:cs="Arial"/>
        </w:rPr>
        <w:sectPr w:rsidR="0053224D" w:rsidSect="00B73F4D">
          <w:headerReference w:type="default" r:id="rId61"/>
          <w:pgSz w:w="11906" w:h="16838" w:code="9"/>
          <w:pgMar w:top="1304" w:right="1133" w:bottom="1304" w:left="1418" w:header="567" w:footer="709" w:gutter="0"/>
          <w:cols w:space="708"/>
          <w:docGrid w:linePitch="360"/>
        </w:sectPr>
      </w:pPr>
    </w:p>
    <w:tbl>
      <w:tblPr>
        <w:tblW w:w="14601" w:type="dxa"/>
        <w:tblCellMar>
          <w:left w:w="0" w:type="dxa"/>
          <w:right w:w="0" w:type="dxa"/>
        </w:tblCellMar>
        <w:tblLook w:val="0600" w:firstRow="0" w:lastRow="0" w:firstColumn="0" w:lastColumn="0" w:noHBand="1" w:noVBand="1"/>
      </w:tblPr>
      <w:tblGrid>
        <w:gridCol w:w="1701"/>
        <w:gridCol w:w="2127"/>
        <w:gridCol w:w="2693"/>
        <w:gridCol w:w="2835"/>
        <w:gridCol w:w="2551"/>
        <w:gridCol w:w="2694"/>
      </w:tblGrid>
      <w:tr w:rsidR="007C155F" w:rsidRPr="007C155F" w14:paraId="53467D22" w14:textId="77777777" w:rsidTr="000A2816">
        <w:trPr>
          <w:trHeight w:val="626"/>
        </w:trPr>
        <w:tc>
          <w:tcPr>
            <w:tcW w:w="1701" w:type="dxa"/>
            <w:tcBorders>
              <w:top w:val="nil"/>
              <w:left w:val="nil"/>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45E4373F" w14:textId="77777777" w:rsidR="007C155F" w:rsidRPr="007C155F" w:rsidRDefault="007C155F" w:rsidP="000A2816">
            <w:pPr>
              <w:jc w:val="left"/>
              <w:rPr>
                <w:rFonts w:cs="Arial"/>
                <w:sz w:val="20"/>
                <w:szCs w:val="20"/>
              </w:rPr>
            </w:pPr>
            <w:r w:rsidRPr="007C155F">
              <w:rPr>
                <w:rFonts w:cs="Arial"/>
                <w:b/>
                <w:bCs/>
                <w:sz w:val="20"/>
                <w:szCs w:val="20"/>
              </w:rPr>
              <w:lastRenderedPageBreak/>
              <w:t xml:space="preserve">Etape de transformation </w:t>
            </w:r>
          </w:p>
        </w:tc>
        <w:tc>
          <w:tcPr>
            <w:tcW w:w="2127" w:type="dxa"/>
            <w:tcBorders>
              <w:top w:val="nil"/>
              <w:left w:val="single" w:sz="4" w:space="0" w:color="FFFFFF"/>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5F2844FA" w14:textId="77777777" w:rsidR="007C155F" w:rsidRPr="007C155F" w:rsidRDefault="007C155F" w:rsidP="000A2816">
            <w:pPr>
              <w:jc w:val="left"/>
              <w:rPr>
                <w:rFonts w:cs="Arial"/>
                <w:sz w:val="20"/>
                <w:szCs w:val="20"/>
              </w:rPr>
            </w:pPr>
            <w:r w:rsidRPr="007C155F">
              <w:rPr>
                <w:rFonts w:cs="Arial"/>
                <w:b/>
                <w:bCs/>
                <w:sz w:val="20"/>
                <w:szCs w:val="20"/>
              </w:rPr>
              <w:t>Etat initial = Nœud de départ</w:t>
            </w:r>
          </w:p>
        </w:tc>
        <w:tc>
          <w:tcPr>
            <w:tcW w:w="2693" w:type="dxa"/>
            <w:tcBorders>
              <w:top w:val="nil"/>
              <w:left w:val="single" w:sz="4" w:space="0" w:color="FFFFFF"/>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26EB038A" w14:textId="77777777" w:rsidR="007C155F" w:rsidRPr="007C155F" w:rsidRDefault="007C155F" w:rsidP="000A2816">
            <w:pPr>
              <w:jc w:val="left"/>
              <w:rPr>
                <w:rFonts w:cs="Arial"/>
                <w:sz w:val="20"/>
                <w:szCs w:val="20"/>
              </w:rPr>
            </w:pPr>
            <w:r w:rsidRPr="007C155F">
              <w:rPr>
                <w:rFonts w:cs="Arial"/>
                <w:b/>
                <w:bCs/>
                <w:sz w:val="20"/>
                <w:szCs w:val="20"/>
              </w:rPr>
              <w:t>Processus réalisé</w:t>
            </w:r>
          </w:p>
        </w:tc>
        <w:tc>
          <w:tcPr>
            <w:tcW w:w="2835" w:type="dxa"/>
            <w:tcBorders>
              <w:top w:val="nil"/>
              <w:left w:val="single" w:sz="4" w:space="0" w:color="FFFFFF"/>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20F37B02" w14:textId="77777777" w:rsidR="007C155F" w:rsidRPr="007C155F" w:rsidRDefault="007C155F" w:rsidP="000A2816">
            <w:pPr>
              <w:jc w:val="left"/>
              <w:rPr>
                <w:rFonts w:cs="Arial"/>
                <w:sz w:val="20"/>
                <w:szCs w:val="20"/>
              </w:rPr>
            </w:pPr>
            <w:r w:rsidRPr="007C155F">
              <w:rPr>
                <w:rFonts w:cs="Arial"/>
                <w:b/>
                <w:bCs/>
                <w:sz w:val="20"/>
                <w:szCs w:val="20"/>
              </w:rPr>
              <w:t xml:space="preserve">Etat final = Nœud arrivée </w:t>
            </w:r>
          </w:p>
        </w:tc>
        <w:tc>
          <w:tcPr>
            <w:tcW w:w="2551" w:type="dxa"/>
            <w:tcBorders>
              <w:top w:val="nil"/>
              <w:left w:val="single" w:sz="4" w:space="0" w:color="FFFFFF"/>
              <w:bottom w:val="single" w:sz="4" w:space="0" w:color="FFFFFF"/>
              <w:right w:val="single" w:sz="4" w:space="0" w:color="FFFFFF"/>
            </w:tcBorders>
            <w:shd w:val="clear" w:color="auto" w:fill="A6A6A6"/>
            <w:tcMar>
              <w:top w:w="14" w:type="dxa"/>
              <w:left w:w="14" w:type="dxa"/>
              <w:bottom w:w="0" w:type="dxa"/>
              <w:right w:w="14" w:type="dxa"/>
            </w:tcMar>
            <w:vAlign w:val="center"/>
            <w:hideMark/>
          </w:tcPr>
          <w:p w14:paraId="37C2C635" w14:textId="77777777" w:rsidR="007C155F" w:rsidRPr="007C155F" w:rsidRDefault="007C155F" w:rsidP="000A2816">
            <w:pPr>
              <w:jc w:val="left"/>
              <w:rPr>
                <w:rFonts w:cs="Arial"/>
                <w:sz w:val="20"/>
                <w:szCs w:val="20"/>
              </w:rPr>
            </w:pPr>
            <w:r w:rsidRPr="007C155F">
              <w:rPr>
                <w:rFonts w:cs="Arial"/>
                <w:b/>
                <w:bCs/>
                <w:sz w:val="20"/>
                <w:szCs w:val="20"/>
              </w:rPr>
              <w:t xml:space="preserve">Entrée </w:t>
            </w:r>
          </w:p>
        </w:tc>
        <w:tc>
          <w:tcPr>
            <w:tcW w:w="2694" w:type="dxa"/>
            <w:tcBorders>
              <w:top w:val="nil"/>
              <w:left w:val="single" w:sz="4" w:space="0" w:color="FFFFFF"/>
              <w:bottom w:val="single" w:sz="4" w:space="0" w:color="FFFFFF"/>
              <w:right w:val="nil"/>
            </w:tcBorders>
            <w:shd w:val="clear" w:color="auto" w:fill="A6A6A6"/>
            <w:tcMar>
              <w:top w:w="14" w:type="dxa"/>
              <w:left w:w="14" w:type="dxa"/>
              <w:bottom w:w="0" w:type="dxa"/>
              <w:right w:w="14" w:type="dxa"/>
            </w:tcMar>
            <w:vAlign w:val="center"/>
            <w:hideMark/>
          </w:tcPr>
          <w:p w14:paraId="463AA7DC" w14:textId="77777777" w:rsidR="007C155F" w:rsidRPr="007C155F" w:rsidRDefault="007C155F" w:rsidP="000A2816">
            <w:pPr>
              <w:jc w:val="left"/>
              <w:rPr>
                <w:rFonts w:cs="Arial"/>
                <w:sz w:val="20"/>
                <w:szCs w:val="20"/>
              </w:rPr>
            </w:pPr>
            <w:r w:rsidRPr="007C155F">
              <w:rPr>
                <w:rFonts w:cs="Arial"/>
                <w:b/>
                <w:bCs/>
                <w:sz w:val="20"/>
                <w:szCs w:val="20"/>
              </w:rPr>
              <w:t xml:space="preserve">Sortie </w:t>
            </w:r>
          </w:p>
        </w:tc>
      </w:tr>
      <w:tr w:rsidR="007C155F" w:rsidRPr="007C155F" w14:paraId="0306F72C" w14:textId="77777777" w:rsidTr="0053224D">
        <w:trPr>
          <w:trHeight w:val="842"/>
        </w:trPr>
        <w:tc>
          <w:tcPr>
            <w:tcW w:w="1701" w:type="dxa"/>
            <w:tcBorders>
              <w:top w:val="single" w:sz="4" w:space="0" w:color="FFFFFF"/>
              <w:left w:val="nil"/>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523B75DD" w14:textId="77777777" w:rsidR="007C155F" w:rsidRPr="007C155F" w:rsidRDefault="007C155F" w:rsidP="000A2816">
            <w:pPr>
              <w:jc w:val="left"/>
              <w:rPr>
                <w:rFonts w:cs="Arial"/>
                <w:sz w:val="20"/>
                <w:szCs w:val="20"/>
              </w:rPr>
            </w:pPr>
            <w:r w:rsidRPr="007C155F">
              <w:rPr>
                <w:rFonts w:cs="Arial"/>
                <w:sz w:val="20"/>
                <w:szCs w:val="20"/>
              </w:rPr>
              <w:t>Procédé P1</w:t>
            </w:r>
          </w:p>
        </w:tc>
        <w:tc>
          <w:tcPr>
            <w:tcW w:w="2127"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4E258A6F" w14:textId="77777777" w:rsidR="007C155F" w:rsidRPr="007C155F" w:rsidRDefault="007C155F" w:rsidP="000A2816">
            <w:pPr>
              <w:jc w:val="left"/>
              <w:rPr>
                <w:rFonts w:cs="Arial"/>
                <w:sz w:val="20"/>
                <w:szCs w:val="20"/>
              </w:rPr>
            </w:pPr>
            <w:r w:rsidRPr="007C155F">
              <w:rPr>
                <w:rFonts w:cs="Arial"/>
                <w:sz w:val="20"/>
                <w:szCs w:val="20"/>
              </w:rPr>
              <w:t>Equivalent pièces primaires</w:t>
            </w:r>
          </w:p>
        </w:tc>
        <w:tc>
          <w:tcPr>
            <w:tcW w:w="269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113C946D" w14:textId="77777777" w:rsidR="007C155F" w:rsidRPr="007C155F" w:rsidRDefault="007C155F" w:rsidP="000A2816">
            <w:pPr>
              <w:jc w:val="left"/>
              <w:rPr>
                <w:rFonts w:cs="Arial"/>
                <w:sz w:val="20"/>
                <w:szCs w:val="20"/>
              </w:rPr>
            </w:pPr>
            <w:r w:rsidRPr="007C155F">
              <w:rPr>
                <w:rFonts w:cs="Arial"/>
                <w:sz w:val="20"/>
                <w:szCs w:val="20"/>
              </w:rPr>
              <w:t>Découpe, découennage, désossage ou parage muscles</w:t>
            </w:r>
          </w:p>
        </w:tc>
        <w:tc>
          <w:tcPr>
            <w:tcW w:w="2835"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5C16D3BE" w14:textId="77777777" w:rsidR="007C155F" w:rsidRPr="007C155F" w:rsidRDefault="007C155F" w:rsidP="000A2816">
            <w:pPr>
              <w:jc w:val="left"/>
              <w:rPr>
                <w:rFonts w:cs="Arial"/>
                <w:sz w:val="20"/>
                <w:szCs w:val="20"/>
              </w:rPr>
            </w:pPr>
            <w:r w:rsidRPr="007C155F">
              <w:rPr>
                <w:rFonts w:cs="Arial"/>
                <w:sz w:val="20"/>
                <w:szCs w:val="20"/>
              </w:rPr>
              <w:t xml:space="preserve">Pièces parées, muscles parés, équivalent </w:t>
            </w:r>
            <w:r w:rsidRPr="007C155F">
              <w:rPr>
                <w:rFonts w:cs="Arial"/>
                <w:sz w:val="20"/>
                <w:szCs w:val="20"/>
                <w:u w:val="single"/>
              </w:rPr>
              <w:t>pièces secondaires</w:t>
            </w:r>
          </w:p>
        </w:tc>
        <w:tc>
          <w:tcPr>
            <w:tcW w:w="255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72C5F810" w14:textId="7D29918F" w:rsidR="007C155F" w:rsidRPr="007C155F" w:rsidRDefault="007C155F" w:rsidP="000A2816">
            <w:pPr>
              <w:jc w:val="left"/>
              <w:rPr>
                <w:rFonts w:cs="Arial"/>
                <w:sz w:val="20"/>
                <w:szCs w:val="20"/>
              </w:rPr>
            </w:pPr>
            <w:r w:rsidRPr="007C155F">
              <w:rPr>
                <w:rFonts w:cs="Arial"/>
                <w:i/>
                <w:iCs/>
                <w:sz w:val="20"/>
                <w:szCs w:val="20"/>
              </w:rPr>
              <w:t>Eau (dont brumisation.</w:t>
            </w:r>
            <w:r>
              <w:rPr>
                <w:rFonts w:cs="Arial"/>
                <w:i/>
                <w:iCs/>
                <w:sz w:val="20"/>
                <w:szCs w:val="20"/>
              </w:rPr>
              <w:t>.</w:t>
            </w:r>
            <w:r w:rsidRPr="007C155F">
              <w:rPr>
                <w:rFonts w:cs="Arial"/>
                <w:i/>
                <w:iCs/>
                <w:sz w:val="20"/>
                <w:szCs w:val="20"/>
              </w:rPr>
              <w:t>.)</w:t>
            </w:r>
          </w:p>
        </w:tc>
        <w:tc>
          <w:tcPr>
            <w:tcW w:w="2694" w:type="dxa"/>
            <w:tcBorders>
              <w:top w:val="single" w:sz="4" w:space="0" w:color="FFFFFF"/>
              <w:left w:val="single" w:sz="4" w:space="0" w:color="FFFFFF"/>
              <w:bottom w:val="single" w:sz="4" w:space="0" w:color="FFFFFF"/>
              <w:right w:val="nil"/>
            </w:tcBorders>
            <w:shd w:val="clear" w:color="auto" w:fill="D9D9D9" w:themeFill="background1" w:themeFillShade="D9"/>
            <w:tcMar>
              <w:top w:w="14" w:type="dxa"/>
              <w:left w:w="14" w:type="dxa"/>
              <w:bottom w:w="0" w:type="dxa"/>
              <w:right w:w="14" w:type="dxa"/>
            </w:tcMar>
            <w:vAlign w:val="center"/>
            <w:hideMark/>
          </w:tcPr>
          <w:p w14:paraId="2FCA6810" w14:textId="77777777" w:rsidR="007C155F" w:rsidRPr="007C155F" w:rsidRDefault="007C155F" w:rsidP="000A2816">
            <w:pPr>
              <w:jc w:val="left"/>
              <w:rPr>
                <w:rFonts w:cs="Arial"/>
                <w:sz w:val="20"/>
                <w:szCs w:val="20"/>
              </w:rPr>
            </w:pPr>
            <w:r w:rsidRPr="007C155F">
              <w:rPr>
                <w:rFonts w:cs="Arial"/>
                <w:sz w:val="20"/>
                <w:szCs w:val="20"/>
              </w:rPr>
              <w:t xml:space="preserve">Minerai maigre / gras, couenne / eau </w:t>
            </w:r>
          </w:p>
        </w:tc>
      </w:tr>
      <w:tr w:rsidR="007C155F" w:rsidRPr="007C155F" w14:paraId="48CA024E" w14:textId="77777777" w:rsidTr="000A2816">
        <w:trPr>
          <w:trHeight w:val="1070"/>
        </w:trPr>
        <w:tc>
          <w:tcPr>
            <w:tcW w:w="1701" w:type="dxa"/>
            <w:tcBorders>
              <w:top w:val="single" w:sz="4" w:space="0" w:color="FFFFFF"/>
              <w:left w:val="nil"/>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3D44FFCB" w14:textId="77777777" w:rsidR="007C155F" w:rsidRPr="007C155F" w:rsidRDefault="007C155F" w:rsidP="000A2816">
            <w:pPr>
              <w:jc w:val="left"/>
              <w:rPr>
                <w:rFonts w:cs="Arial"/>
                <w:sz w:val="20"/>
                <w:szCs w:val="20"/>
              </w:rPr>
            </w:pPr>
            <w:r w:rsidRPr="007C155F">
              <w:rPr>
                <w:rFonts w:cs="Arial"/>
                <w:sz w:val="20"/>
                <w:szCs w:val="20"/>
              </w:rPr>
              <w:t xml:space="preserve">Procédé P2a/ </w:t>
            </w:r>
          </w:p>
        </w:tc>
        <w:tc>
          <w:tcPr>
            <w:tcW w:w="2127"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1B15DA0E" w14:textId="6E4D0F3D" w:rsidR="007C155F" w:rsidRPr="007C155F" w:rsidRDefault="007C155F" w:rsidP="000A2816">
            <w:pPr>
              <w:jc w:val="left"/>
              <w:rPr>
                <w:rFonts w:cs="Arial"/>
                <w:sz w:val="20"/>
                <w:szCs w:val="20"/>
              </w:rPr>
            </w:pPr>
            <w:r w:rsidRPr="007C155F">
              <w:rPr>
                <w:rFonts w:cs="Arial"/>
                <w:sz w:val="20"/>
                <w:szCs w:val="20"/>
              </w:rPr>
              <w:t xml:space="preserve">Pièces parées, muscles </w:t>
            </w:r>
            <w:r w:rsidRPr="007C155F">
              <w:rPr>
                <w:rFonts w:cs="Arial"/>
                <w:sz w:val="20"/>
                <w:szCs w:val="20"/>
              </w:rPr>
              <w:br/>
              <w:t>(</w:t>
            </w:r>
            <w:r w:rsidR="00CA58BE">
              <w:rPr>
                <w:rFonts w:cs="Arial"/>
                <w:sz w:val="20"/>
                <w:szCs w:val="20"/>
              </w:rPr>
              <w:t>E</w:t>
            </w:r>
            <w:r w:rsidRPr="007C155F">
              <w:rPr>
                <w:rFonts w:cs="Arial"/>
                <w:sz w:val="20"/>
                <w:szCs w:val="20"/>
              </w:rPr>
              <w:t>q</w:t>
            </w:r>
            <w:r w:rsidR="000A2816">
              <w:rPr>
                <w:rFonts w:cs="Arial"/>
                <w:sz w:val="20"/>
                <w:szCs w:val="20"/>
              </w:rPr>
              <w:t>uivalent</w:t>
            </w:r>
            <w:r w:rsidRPr="007C155F">
              <w:rPr>
                <w:rFonts w:cs="Arial"/>
                <w:sz w:val="20"/>
                <w:szCs w:val="20"/>
              </w:rPr>
              <w:t xml:space="preserve"> </w:t>
            </w:r>
            <w:r w:rsidR="000A2816">
              <w:rPr>
                <w:rFonts w:cs="Arial"/>
                <w:sz w:val="20"/>
                <w:szCs w:val="20"/>
              </w:rPr>
              <w:t>pièces s</w:t>
            </w:r>
            <w:r w:rsidRPr="007C155F">
              <w:rPr>
                <w:rFonts w:cs="Arial"/>
                <w:sz w:val="20"/>
                <w:szCs w:val="20"/>
              </w:rPr>
              <w:t>econdaires)</w:t>
            </w:r>
          </w:p>
        </w:tc>
        <w:tc>
          <w:tcPr>
            <w:tcW w:w="2693"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305B0442" w14:textId="77777777" w:rsidR="007C155F" w:rsidRPr="007C155F" w:rsidRDefault="007C155F" w:rsidP="000A2816">
            <w:pPr>
              <w:jc w:val="left"/>
              <w:rPr>
                <w:rFonts w:cs="Arial"/>
                <w:sz w:val="20"/>
                <w:szCs w:val="20"/>
              </w:rPr>
            </w:pPr>
            <w:r w:rsidRPr="007C155F">
              <w:rPr>
                <w:rFonts w:cs="Arial"/>
                <w:sz w:val="20"/>
                <w:szCs w:val="20"/>
              </w:rPr>
              <w:t xml:space="preserve">Piéçage, aromatisation </w:t>
            </w:r>
          </w:p>
        </w:tc>
        <w:tc>
          <w:tcPr>
            <w:tcW w:w="2835"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2EBF2228" w14:textId="1213D40F" w:rsidR="007C155F" w:rsidRPr="007C155F" w:rsidRDefault="00D67D75" w:rsidP="000A2816">
            <w:pPr>
              <w:jc w:val="left"/>
              <w:rPr>
                <w:rFonts w:cs="Arial"/>
                <w:sz w:val="20"/>
                <w:szCs w:val="20"/>
              </w:rPr>
            </w:pPr>
            <w:r>
              <w:rPr>
                <w:rFonts w:cs="Arial"/>
                <w:sz w:val="20"/>
                <w:szCs w:val="20"/>
              </w:rPr>
              <w:t>Viande boucherie</w:t>
            </w:r>
            <w:r w:rsidRPr="007C155F">
              <w:rPr>
                <w:rFonts w:cs="Arial"/>
                <w:sz w:val="20"/>
                <w:szCs w:val="20"/>
              </w:rPr>
              <w:t xml:space="preserve"> </w:t>
            </w:r>
            <w:r>
              <w:rPr>
                <w:rFonts w:cs="Arial"/>
                <w:sz w:val="20"/>
                <w:szCs w:val="20"/>
              </w:rPr>
              <w:t xml:space="preserve">en Prêt à Découper, </w:t>
            </w:r>
            <w:r w:rsidR="007C155F" w:rsidRPr="007C155F">
              <w:rPr>
                <w:rFonts w:cs="Arial"/>
                <w:sz w:val="20"/>
                <w:szCs w:val="20"/>
              </w:rPr>
              <w:t>UVC</w:t>
            </w:r>
            <w:r>
              <w:rPr>
                <w:rFonts w:cs="Arial"/>
                <w:sz w:val="20"/>
                <w:szCs w:val="20"/>
              </w:rPr>
              <w:t xml:space="preserve">I ou UVCM </w:t>
            </w:r>
          </w:p>
        </w:tc>
        <w:tc>
          <w:tcPr>
            <w:tcW w:w="2551"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758E2BA0" w14:textId="77777777" w:rsidR="007C155F" w:rsidRPr="007C155F" w:rsidRDefault="007C155F" w:rsidP="000A2816">
            <w:pPr>
              <w:jc w:val="left"/>
              <w:rPr>
                <w:rFonts w:cs="Arial"/>
                <w:sz w:val="20"/>
                <w:szCs w:val="20"/>
              </w:rPr>
            </w:pPr>
            <w:r w:rsidRPr="007C155F">
              <w:rPr>
                <w:rFonts w:cs="Arial"/>
                <w:sz w:val="20"/>
                <w:szCs w:val="20"/>
              </w:rPr>
              <w:t xml:space="preserve">Autres ingrédients  </w:t>
            </w:r>
            <w:r w:rsidRPr="007C155F">
              <w:rPr>
                <w:rFonts w:cs="Arial"/>
                <w:sz w:val="20"/>
                <w:szCs w:val="20"/>
              </w:rPr>
              <w:br/>
              <w:t xml:space="preserve">que viande (sel, eau, épices, additifs, enveloppe…) </w:t>
            </w:r>
          </w:p>
        </w:tc>
        <w:tc>
          <w:tcPr>
            <w:tcW w:w="2694" w:type="dxa"/>
            <w:tcBorders>
              <w:top w:val="single" w:sz="4" w:space="0" w:color="FFFFFF"/>
              <w:left w:val="single" w:sz="4" w:space="0" w:color="FFFFFF"/>
              <w:bottom w:val="single" w:sz="4" w:space="0" w:color="FFFFFF"/>
              <w:right w:val="nil"/>
            </w:tcBorders>
            <w:shd w:val="clear" w:color="auto" w:fill="BFBFBF" w:themeFill="background1" w:themeFillShade="BF"/>
            <w:tcMar>
              <w:top w:w="14" w:type="dxa"/>
              <w:left w:w="14" w:type="dxa"/>
              <w:bottom w:w="0" w:type="dxa"/>
              <w:right w:w="14" w:type="dxa"/>
            </w:tcMar>
            <w:vAlign w:val="center"/>
            <w:hideMark/>
          </w:tcPr>
          <w:p w14:paraId="6A2C83D2" w14:textId="77777777" w:rsidR="007C155F" w:rsidRPr="007C155F" w:rsidRDefault="007C155F" w:rsidP="000A2816">
            <w:pPr>
              <w:jc w:val="left"/>
              <w:rPr>
                <w:rFonts w:cs="Arial"/>
                <w:sz w:val="20"/>
                <w:szCs w:val="20"/>
              </w:rPr>
            </w:pPr>
            <w:r w:rsidRPr="007C155F">
              <w:rPr>
                <w:rFonts w:cs="Arial"/>
                <w:sz w:val="20"/>
                <w:szCs w:val="20"/>
              </w:rPr>
              <w:t xml:space="preserve">Minerai maigre / gras + couenne / eau </w:t>
            </w:r>
          </w:p>
        </w:tc>
      </w:tr>
      <w:tr w:rsidR="007C155F" w:rsidRPr="007C155F" w14:paraId="1720D640" w14:textId="77777777" w:rsidTr="0053224D">
        <w:trPr>
          <w:trHeight w:val="858"/>
        </w:trPr>
        <w:tc>
          <w:tcPr>
            <w:tcW w:w="1701" w:type="dxa"/>
            <w:tcBorders>
              <w:top w:val="single" w:sz="4" w:space="0" w:color="FFFFFF"/>
              <w:left w:val="nil"/>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08C73D36" w14:textId="77777777" w:rsidR="007C155F" w:rsidRPr="007C155F" w:rsidRDefault="007C155F" w:rsidP="000A2816">
            <w:pPr>
              <w:jc w:val="left"/>
              <w:rPr>
                <w:rFonts w:cs="Arial"/>
                <w:sz w:val="20"/>
                <w:szCs w:val="20"/>
              </w:rPr>
            </w:pPr>
            <w:r w:rsidRPr="007C155F">
              <w:rPr>
                <w:rFonts w:cs="Arial"/>
                <w:sz w:val="20"/>
                <w:szCs w:val="20"/>
              </w:rPr>
              <w:t xml:space="preserve">Procédé P2b/ </w:t>
            </w:r>
          </w:p>
        </w:tc>
        <w:tc>
          <w:tcPr>
            <w:tcW w:w="2127"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069CD561" w14:textId="668850C7" w:rsidR="007C155F" w:rsidRPr="007C155F" w:rsidRDefault="007C155F" w:rsidP="000A2816">
            <w:pPr>
              <w:jc w:val="left"/>
              <w:rPr>
                <w:rFonts w:cs="Arial"/>
                <w:sz w:val="20"/>
                <w:szCs w:val="20"/>
              </w:rPr>
            </w:pPr>
            <w:r w:rsidRPr="007C155F">
              <w:rPr>
                <w:rFonts w:cs="Arial"/>
                <w:sz w:val="20"/>
                <w:szCs w:val="20"/>
              </w:rPr>
              <w:t xml:space="preserve">Pièces parées, muscles </w:t>
            </w:r>
            <w:r w:rsidRPr="007C155F">
              <w:rPr>
                <w:rFonts w:cs="Arial"/>
                <w:sz w:val="20"/>
                <w:szCs w:val="20"/>
              </w:rPr>
              <w:br/>
              <w:t>(</w:t>
            </w:r>
            <w:r w:rsidR="00CA58BE">
              <w:rPr>
                <w:rFonts w:cs="Arial"/>
                <w:sz w:val="20"/>
                <w:szCs w:val="20"/>
              </w:rPr>
              <w:t>E</w:t>
            </w:r>
            <w:r w:rsidR="000A2816">
              <w:rPr>
                <w:rFonts w:cs="Arial"/>
                <w:sz w:val="20"/>
                <w:szCs w:val="20"/>
              </w:rPr>
              <w:t>quivalent pièces s</w:t>
            </w:r>
            <w:r w:rsidR="000A2816" w:rsidRPr="007C155F">
              <w:rPr>
                <w:rFonts w:cs="Arial"/>
                <w:sz w:val="20"/>
                <w:szCs w:val="20"/>
              </w:rPr>
              <w:t>econdaires)</w:t>
            </w:r>
          </w:p>
        </w:tc>
        <w:tc>
          <w:tcPr>
            <w:tcW w:w="2693"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49B2959F" w14:textId="77777777" w:rsidR="007C155F" w:rsidRPr="007C155F" w:rsidRDefault="007C155F" w:rsidP="000A2816">
            <w:pPr>
              <w:jc w:val="left"/>
              <w:rPr>
                <w:rFonts w:cs="Arial"/>
                <w:sz w:val="20"/>
                <w:szCs w:val="20"/>
              </w:rPr>
            </w:pPr>
            <w:r w:rsidRPr="007C155F">
              <w:rPr>
                <w:rFonts w:cs="Arial"/>
                <w:sz w:val="20"/>
                <w:szCs w:val="20"/>
              </w:rPr>
              <w:t xml:space="preserve">Eventuel salage ou saumurage </w:t>
            </w:r>
            <w:r w:rsidRPr="007C155F">
              <w:rPr>
                <w:rFonts w:cs="Arial"/>
                <w:sz w:val="20"/>
                <w:szCs w:val="20"/>
              </w:rPr>
              <w:br/>
              <w:t>ou étuvage ou mise en séchage</w:t>
            </w:r>
          </w:p>
        </w:tc>
        <w:tc>
          <w:tcPr>
            <w:tcW w:w="2835"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6322D51E" w14:textId="33ADDFC9" w:rsidR="007C155F" w:rsidRPr="007C155F" w:rsidRDefault="0053224D" w:rsidP="000A2816">
            <w:pPr>
              <w:jc w:val="left"/>
              <w:rPr>
                <w:rFonts w:cs="Arial"/>
                <w:sz w:val="20"/>
                <w:szCs w:val="20"/>
              </w:rPr>
            </w:pPr>
            <w:r>
              <w:rPr>
                <w:rFonts w:cs="Arial"/>
                <w:sz w:val="20"/>
                <w:szCs w:val="20"/>
              </w:rPr>
              <w:t>Pièces semi finies soit m</w:t>
            </w:r>
            <w:r w:rsidR="007C155F" w:rsidRPr="007C155F">
              <w:rPr>
                <w:rFonts w:cs="Arial"/>
                <w:sz w:val="20"/>
                <w:szCs w:val="20"/>
              </w:rPr>
              <w:t>uscles et/ou salés et/ou saumurés et/ou étuvés et/ou mises en séchage (avant «</w:t>
            </w:r>
            <w:r w:rsidR="00715A09">
              <w:rPr>
                <w:rFonts w:cs="Arial"/>
                <w:sz w:val="20"/>
                <w:szCs w:val="20"/>
              </w:rPr>
              <w:t> </w:t>
            </w:r>
            <w:r w:rsidR="007C155F" w:rsidRPr="007C155F">
              <w:rPr>
                <w:rFonts w:cs="Arial"/>
                <w:sz w:val="20"/>
                <w:szCs w:val="20"/>
              </w:rPr>
              <w:t>maturation</w:t>
            </w:r>
            <w:r w:rsidR="00680B78">
              <w:rPr>
                <w:rFonts w:cs="Arial"/>
                <w:sz w:val="20"/>
                <w:szCs w:val="20"/>
              </w:rPr>
              <w:t> </w:t>
            </w:r>
            <w:r w:rsidR="007C155F" w:rsidRPr="007C155F">
              <w:rPr>
                <w:rFonts w:cs="Arial"/>
                <w:sz w:val="20"/>
                <w:szCs w:val="20"/>
              </w:rPr>
              <w:t>»)</w:t>
            </w:r>
          </w:p>
        </w:tc>
        <w:tc>
          <w:tcPr>
            <w:tcW w:w="2551" w:type="dxa"/>
            <w:tcBorders>
              <w:top w:val="single" w:sz="4" w:space="0" w:color="FFFFFF"/>
              <w:left w:val="single" w:sz="4" w:space="0" w:color="FFFFFF"/>
              <w:bottom w:val="single" w:sz="4" w:space="0" w:color="FFFFFF"/>
              <w:right w:val="single" w:sz="4" w:space="0" w:color="FFFFFF"/>
            </w:tcBorders>
            <w:shd w:val="clear" w:color="auto" w:fill="D9D9D9" w:themeFill="background1" w:themeFillShade="D9"/>
            <w:tcMar>
              <w:top w:w="14" w:type="dxa"/>
              <w:left w:w="14" w:type="dxa"/>
              <w:bottom w:w="0" w:type="dxa"/>
              <w:right w:w="14" w:type="dxa"/>
            </w:tcMar>
            <w:vAlign w:val="center"/>
            <w:hideMark/>
          </w:tcPr>
          <w:p w14:paraId="4A56D05E" w14:textId="77777777" w:rsidR="007C155F" w:rsidRPr="007C155F" w:rsidRDefault="007C155F" w:rsidP="000A2816">
            <w:pPr>
              <w:jc w:val="left"/>
              <w:rPr>
                <w:rFonts w:cs="Arial"/>
                <w:sz w:val="20"/>
                <w:szCs w:val="20"/>
              </w:rPr>
            </w:pPr>
            <w:r w:rsidRPr="007C155F">
              <w:rPr>
                <w:rFonts w:cs="Arial"/>
                <w:sz w:val="20"/>
                <w:szCs w:val="20"/>
              </w:rPr>
              <w:t xml:space="preserve">Autres ingrédients  </w:t>
            </w:r>
            <w:r w:rsidRPr="007C155F">
              <w:rPr>
                <w:rFonts w:cs="Arial"/>
                <w:sz w:val="20"/>
                <w:szCs w:val="20"/>
              </w:rPr>
              <w:br/>
              <w:t xml:space="preserve">que viande (sel, eau, épices, additifs, enveloppe…) </w:t>
            </w:r>
          </w:p>
        </w:tc>
        <w:tc>
          <w:tcPr>
            <w:tcW w:w="2694" w:type="dxa"/>
            <w:tcBorders>
              <w:top w:val="single" w:sz="4" w:space="0" w:color="FFFFFF"/>
              <w:left w:val="single" w:sz="4" w:space="0" w:color="FFFFFF"/>
              <w:bottom w:val="single" w:sz="4" w:space="0" w:color="FFFFFF"/>
              <w:right w:val="nil"/>
            </w:tcBorders>
            <w:shd w:val="clear" w:color="auto" w:fill="D9D9D9" w:themeFill="background1" w:themeFillShade="D9"/>
            <w:tcMar>
              <w:top w:w="14" w:type="dxa"/>
              <w:left w:w="14" w:type="dxa"/>
              <w:bottom w:w="0" w:type="dxa"/>
              <w:right w:w="14" w:type="dxa"/>
            </w:tcMar>
            <w:vAlign w:val="center"/>
            <w:hideMark/>
          </w:tcPr>
          <w:p w14:paraId="7F847246" w14:textId="77777777" w:rsidR="007C155F" w:rsidRPr="007C155F" w:rsidRDefault="007C155F" w:rsidP="000A2816">
            <w:pPr>
              <w:jc w:val="left"/>
              <w:rPr>
                <w:rFonts w:cs="Arial"/>
                <w:sz w:val="20"/>
                <w:szCs w:val="20"/>
              </w:rPr>
            </w:pPr>
            <w:r w:rsidRPr="007C155F">
              <w:rPr>
                <w:rFonts w:cs="Arial"/>
                <w:sz w:val="20"/>
                <w:szCs w:val="20"/>
              </w:rPr>
              <w:t xml:space="preserve">Minerai maigre / gras, couenne / eau </w:t>
            </w:r>
          </w:p>
        </w:tc>
      </w:tr>
      <w:tr w:rsidR="007C155F" w:rsidRPr="007C155F" w14:paraId="1EFE35D7" w14:textId="77777777" w:rsidTr="000A2816">
        <w:trPr>
          <w:trHeight w:val="858"/>
        </w:trPr>
        <w:tc>
          <w:tcPr>
            <w:tcW w:w="1701" w:type="dxa"/>
            <w:tcBorders>
              <w:top w:val="single" w:sz="4" w:space="0" w:color="FFFFFF"/>
              <w:left w:val="nil"/>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61C8219A" w14:textId="77777777" w:rsidR="007C155F" w:rsidRPr="007C155F" w:rsidRDefault="007C155F" w:rsidP="000A2816">
            <w:pPr>
              <w:jc w:val="left"/>
              <w:rPr>
                <w:rFonts w:cs="Arial"/>
                <w:sz w:val="20"/>
                <w:szCs w:val="20"/>
              </w:rPr>
            </w:pPr>
            <w:r w:rsidRPr="007C155F">
              <w:rPr>
                <w:rFonts w:cs="Arial"/>
                <w:sz w:val="20"/>
                <w:szCs w:val="20"/>
              </w:rPr>
              <w:t xml:space="preserve">Procédé P2c/ </w:t>
            </w:r>
          </w:p>
        </w:tc>
        <w:tc>
          <w:tcPr>
            <w:tcW w:w="2127"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55BDEE4E" w14:textId="3D1E6509" w:rsidR="007C155F" w:rsidRPr="007C155F" w:rsidRDefault="007C155F" w:rsidP="000A2816">
            <w:pPr>
              <w:jc w:val="left"/>
              <w:rPr>
                <w:rFonts w:cs="Arial"/>
                <w:sz w:val="20"/>
                <w:szCs w:val="20"/>
              </w:rPr>
            </w:pPr>
            <w:r w:rsidRPr="007C155F">
              <w:rPr>
                <w:rFonts w:cs="Arial"/>
                <w:sz w:val="20"/>
                <w:szCs w:val="20"/>
              </w:rPr>
              <w:t xml:space="preserve">Pièces </w:t>
            </w:r>
            <w:r w:rsidR="0053224D">
              <w:rPr>
                <w:rFonts w:cs="Arial"/>
                <w:sz w:val="20"/>
                <w:szCs w:val="20"/>
              </w:rPr>
              <w:t>semi-finies</w:t>
            </w:r>
          </w:p>
        </w:tc>
        <w:tc>
          <w:tcPr>
            <w:tcW w:w="2693"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726C0C9C" w14:textId="7E049396" w:rsidR="007C155F" w:rsidRPr="007C155F" w:rsidRDefault="007C155F" w:rsidP="000A2816">
            <w:pPr>
              <w:jc w:val="left"/>
              <w:rPr>
                <w:rFonts w:cs="Arial"/>
                <w:sz w:val="20"/>
                <w:szCs w:val="20"/>
              </w:rPr>
            </w:pPr>
            <w:r w:rsidRPr="007C155F">
              <w:rPr>
                <w:rFonts w:cs="Arial"/>
                <w:sz w:val="20"/>
                <w:szCs w:val="20"/>
              </w:rPr>
              <w:t>Transformation : moulage, traitement thermique et/ou affinage</w:t>
            </w:r>
            <w:r w:rsidR="0053224D">
              <w:rPr>
                <w:rFonts w:cs="Arial"/>
                <w:sz w:val="20"/>
                <w:szCs w:val="20"/>
              </w:rPr>
              <w:t>, séchage</w:t>
            </w:r>
            <w:r w:rsidRPr="007C155F">
              <w:rPr>
                <w:rFonts w:cs="Arial"/>
                <w:sz w:val="20"/>
                <w:szCs w:val="20"/>
              </w:rPr>
              <w:t xml:space="preserve"> </w:t>
            </w:r>
          </w:p>
        </w:tc>
        <w:tc>
          <w:tcPr>
            <w:tcW w:w="2835"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362CBA8D" w14:textId="1F3E7136" w:rsidR="007C155F" w:rsidRPr="007C155F" w:rsidRDefault="007C155F" w:rsidP="000A2816">
            <w:pPr>
              <w:jc w:val="left"/>
              <w:rPr>
                <w:rFonts w:cs="Arial"/>
                <w:sz w:val="20"/>
                <w:szCs w:val="20"/>
              </w:rPr>
            </w:pPr>
            <w:r w:rsidRPr="007C155F">
              <w:rPr>
                <w:rFonts w:cs="Arial"/>
                <w:sz w:val="20"/>
                <w:szCs w:val="20"/>
              </w:rPr>
              <w:t xml:space="preserve">Produits finis de salaison </w:t>
            </w:r>
          </w:p>
        </w:tc>
        <w:tc>
          <w:tcPr>
            <w:tcW w:w="2551" w:type="dxa"/>
            <w:tcBorders>
              <w:top w:val="single" w:sz="4" w:space="0" w:color="FFFFFF"/>
              <w:left w:val="single" w:sz="4" w:space="0" w:color="FFFFFF"/>
              <w:bottom w:val="single" w:sz="4" w:space="0" w:color="FFFFFF"/>
              <w:right w:val="single" w:sz="4" w:space="0" w:color="FFFFFF"/>
            </w:tcBorders>
            <w:shd w:val="clear" w:color="auto" w:fill="BFBFBF" w:themeFill="background1" w:themeFillShade="BF"/>
            <w:tcMar>
              <w:top w:w="14" w:type="dxa"/>
              <w:left w:w="14" w:type="dxa"/>
              <w:bottom w:w="0" w:type="dxa"/>
              <w:right w:w="14" w:type="dxa"/>
            </w:tcMar>
            <w:vAlign w:val="center"/>
            <w:hideMark/>
          </w:tcPr>
          <w:p w14:paraId="6CFD930E" w14:textId="77777777" w:rsidR="007C155F" w:rsidRPr="007C155F" w:rsidRDefault="007C155F" w:rsidP="000A2816">
            <w:pPr>
              <w:jc w:val="left"/>
              <w:rPr>
                <w:rFonts w:cs="Arial"/>
                <w:sz w:val="20"/>
                <w:szCs w:val="20"/>
              </w:rPr>
            </w:pPr>
            <w:r w:rsidRPr="007C155F">
              <w:rPr>
                <w:rFonts w:cs="Arial"/>
                <w:sz w:val="20"/>
                <w:szCs w:val="20"/>
              </w:rPr>
              <w:t xml:space="preserve">Autres ingrédients  </w:t>
            </w:r>
            <w:r w:rsidRPr="007C155F">
              <w:rPr>
                <w:rFonts w:cs="Arial"/>
                <w:sz w:val="20"/>
                <w:szCs w:val="20"/>
              </w:rPr>
              <w:br/>
              <w:t xml:space="preserve">que viande (sel, eau, épices, additifs, enveloppe…) </w:t>
            </w:r>
          </w:p>
        </w:tc>
        <w:tc>
          <w:tcPr>
            <w:tcW w:w="2694" w:type="dxa"/>
            <w:tcBorders>
              <w:top w:val="single" w:sz="4" w:space="0" w:color="FFFFFF"/>
              <w:left w:val="single" w:sz="4" w:space="0" w:color="FFFFFF"/>
              <w:bottom w:val="single" w:sz="4" w:space="0" w:color="FFFFFF"/>
              <w:right w:val="nil"/>
            </w:tcBorders>
            <w:shd w:val="clear" w:color="auto" w:fill="BFBFBF" w:themeFill="background1" w:themeFillShade="BF"/>
            <w:tcMar>
              <w:top w:w="14" w:type="dxa"/>
              <w:left w:w="14" w:type="dxa"/>
              <w:bottom w:w="0" w:type="dxa"/>
              <w:right w:w="14" w:type="dxa"/>
            </w:tcMar>
            <w:vAlign w:val="center"/>
            <w:hideMark/>
          </w:tcPr>
          <w:p w14:paraId="56FF6623" w14:textId="77777777" w:rsidR="007C155F" w:rsidRPr="007C155F" w:rsidRDefault="007C155F" w:rsidP="000A2816">
            <w:pPr>
              <w:jc w:val="left"/>
              <w:rPr>
                <w:rFonts w:cs="Arial"/>
                <w:sz w:val="20"/>
                <w:szCs w:val="20"/>
              </w:rPr>
            </w:pPr>
            <w:r w:rsidRPr="007C155F">
              <w:rPr>
                <w:rFonts w:cs="Arial"/>
                <w:sz w:val="20"/>
                <w:szCs w:val="20"/>
              </w:rPr>
              <w:t xml:space="preserve">Minerai maigre / gras + couenne / eau </w:t>
            </w:r>
          </w:p>
        </w:tc>
      </w:tr>
      <w:tr w:rsidR="007C155F" w:rsidRPr="007C155F" w14:paraId="395FDE23" w14:textId="77777777" w:rsidTr="0053224D">
        <w:trPr>
          <w:trHeight w:val="1136"/>
        </w:trPr>
        <w:tc>
          <w:tcPr>
            <w:tcW w:w="1701" w:type="dxa"/>
            <w:tcBorders>
              <w:top w:val="single" w:sz="4" w:space="0" w:color="FFFFFF"/>
              <w:left w:val="nil"/>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5FCDF27C" w14:textId="77777777" w:rsidR="007C155F" w:rsidRPr="007C155F" w:rsidRDefault="007C155F" w:rsidP="000A2816">
            <w:pPr>
              <w:jc w:val="left"/>
              <w:rPr>
                <w:rFonts w:cs="Arial"/>
                <w:sz w:val="20"/>
                <w:szCs w:val="20"/>
              </w:rPr>
            </w:pPr>
            <w:r w:rsidRPr="007C155F">
              <w:rPr>
                <w:rFonts w:cs="Arial"/>
                <w:sz w:val="20"/>
                <w:szCs w:val="20"/>
              </w:rPr>
              <w:t>Procédé P3</w:t>
            </w:r>
          </w:p>
        </w:tc>
        <w:tc>
          <w:tcPr>
            <w:tcW w:w="2127" w:type="dxa"/>
            <w:tcBorders>
              <w:top w:val="single" w:sz="4" w:space="0" w:color="FFFFFF"/>
              <w:left w:val="single" w:sz="4" w:space="0" w:color="FFFFFF"/>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7ADC68FE" w14:textId="109EE54B" w:rsidR="007C155F" w:rsidRPr="007C155F" w:rsidRDefault="007C155F" w:rsidP="000A2816">
            <w:pPr>
              <w:jc w:val="left"/>
              <w:rPr>
                <w:rFonts w:cs="Arial"/>
                <w:sz w:val="20"/>
                <w:szCs w:val="20"/>
              </w:rPr>
            </w:pPr>
            <w:r w:rsidRPr="007C155F">
              <w:rPr>
                <w:rFonts w:cs="Arial"/>
                <w:sz w:val="20"/>
                <w:szCs w:val="20"/>
              </w:rPr>
              <w:t xml:space="preserve">Produits finis de salaison </w:t>
            </w:r>
          </w:p>
        </w:tc>
        <w:tc>
          <w:tcPr>
            <w:tcW w:w="2693" w:type="dxa"/>
            <w:tcBorders>
              <w:top w:val="single" w:sz="4" w:space="0" w:color="FFFFFF"/>
              <w:left w:val="single" w:sz="4" w:space="0" w:color="FFFFFF"/>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74B4D254" w14:textId="77777777" w:rsidR="007C155F" w:rsidRPr="007C155F" w:rsidRDefault="007C155F" w:rsidP="000A2816">
            <w:pPr>
              <w:jc w:val="left"/>
              <w:rPr>
                <w:rFonts w:cs="Arial"/>
                <w:sz w:val="20"/>
                <w:szCs w:val="20"/>
              </w:rPr>
            </w:pPr>
            <w:r w:rsidRPr="007C155F">
              <w:rPr>
                <w:rFonts w:cs="Arial"/>
                <w:sz w:val="20"/>
                <w:szCs w:val="20"/>
              </w:rPr>
              <w:t xml:space="preserve">Tranchage, assemblage, Conditionnement  </w:t>
            </w:r>
          </w:p>
        </w:tc>
        <w:tc>
          <w:tcPr>
            <w:tcW w:w="2835" w:type="dxa"/>
            <w:tcBorders>
              <w:top w:val="single" w:sz="4" w:space="0" w:color="FFFFFF"/>
              <w:left w:val="single" w:sz="4" w:space="0" w:color="FFFFFF"/>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57F5DCAC" w14:textId="77777777" w:rsidR="007C155F" w:rsidRPr="007C155F" w:rsidRDefault="007C155F" w:rsidP="000A2816">
            <w:pPr>
              <w:jc w:val="left"/>
              <w:rPr>
                <w:rFonts w:cs="Arial"/>
                <w:sz w:val="20"/>
                <w:szCs w:val="20"/>
              </w:rPr>
            </w:pPr>
            <w:r w:rsidRPr="007C155F">
              <w:rPr>
                <w:rFonts w:cs="Arial"/>
                <w:sz w:val="20"/>
                <w:szCs w:val="20"/>
              </w:rPr>
              <w:t>Produits finis conditionnés</w:t>
            </w:r>
          </w:p>
        </w:tc>
        <w:tc>
          <w:tcPr>
            <w:tcW w:w="2551" w:type="dxa"/>
            <w:tcBorders>
              <w:top w:val="single" w:sz="4" w:space="0" w:color="FFFFFF"/>
              <w:left w:val="single" w:sz="4" w:space="0" w:color="FFFFFF"/>
              <w:bottom w:val="nil"/>
              <w:right w:val="single" w:sz="4" w:space="0" w:color="FFFFFF"/>
            </w:tcBorders>
            <w:shd w:val="clear" w:color="auto" w:fill="D9D9D9" w:themeFill="background1" w:themeFillShade="D9"/>
            <w:tcMar>
              <w:top w:w="14" w:type="dxa"/>
              <w:left w:w="14" w:type="dxa"/>
              <w:bottom w:w="0" w:type="dxa"/>
              <w:right w:w="14" w:type="dxa"/>
            </w:tcMar>
            <w:vAlign w:val="center"/>
            <w:hideMark/>
          </w:tcPr>
          <w:p w14:paraId="0E1F8B94" w14:textId="77777777" w:rsidR="007C155F" w:rsidRPr="007C155F" w:rsidRDefault="007C155F" w:rsidP="000A2816">
            <w:pPr>
              <w:jc w:val="left"/>
              <w:rPr>
                <w:rFonts w:cs="Arial"/>
                <w:sz w:val="20"/>
                <w:szCs w:val="20"/>
              </w:rPr>
            </w:pPr>
            <w:r w:rsidRPr="007C155F">
              <w:rPr>
                <w:rFonts w:cs="Arial"/>
                <w:sz w:val="20"/>
                <w:szCs w:val="20"/>
              </w:rPr>
              <w:t xml:space="preserve">Autres ingrédients  </w:t>
            </w:r>
            <w:r w:rsidRPr="007C155F">
              <w:rPr>
                <w:rFonts w:cs="Arial"/>
                <w:sz w:val="20"/>
                <w:szCs w:val="20"/>
              </w:rPr>
              <w:br/>
              <w:t xml:space="preserve">que viande (sel, eau, épices, additifs, enveloppe…)  </w:t>
            </w:r>
          </w:p>
        </w:tc>
        <w:tc>
          <w:tcPr>
            <w:tcW w:w="2694" w:type="dxa"/>
            <w:tcBorders>
              <w:top w:val="single" w:sz="4" w:space="0" w:color="FFFFFF"/>
              <w:left w:val="single" w:sz="4" w:space="0" w:color="FFFFFF"/>
              <w:bottom w:val="nil"/>
              <w:right w:val="nil"/>
            </w:tcBorders>
            <w:shd w:val="clear" w:color="auto" w:fill="D9D9D9" w:themeFill="background1" w:themeFillShade="D9"/>
            <w:tcMar>
              <w:top w:w="14" w:type="dxa"/>
              <w:left w:w="14" w:type="dxa"/>
              <w:bottom w:w="0" w:type="dxa"/>
              <w:right w:w="14" w:type="dxa"/>
            </w:tcMar>
            <w:vAlign w:val="center"/>
            <w:hideMark/>
          </w:tcPr>
          <w:p w14:paraId="6B3A5F1D" w14:textId="77777777" w:rsidR="007C155F" w:rsidRPr="007C155F" w:rsidRDefault="007C155F" w:rsidP="000A2816">
            <w:pPr>
              <w:jc w:val="left"/>
              <w:rPr>
                <w:rFonts w:cs="Arial"/>
                <w:sz w:val="20"/>
                <w:szCs w:val="20"/>
              </w:rPr>
            </w:pPr>
            <w:r w:rsidRPr="007C155F">
              <w:rPr>
                <w:rFonts w:cs="Arial"/>
                <w:sz w:val="20"/>
                <w:szCs w:val="20"/>
              </w:rPr>
              <w:t xml:space="preserve">Minerai maigre/ gras + couenne / Eau </w:t>
            </w:r>
          </w:p>
        </w:tc>
      </w:tr>
    </w:tbl>
    <w:p w14:paraId="6DE59A1B" w14:textId="764CB6B0" w:rsidR="00922E12" w:rsidRPr="00EF0EE8" w:rsidRDefault="00EF0EE8" w:rsidP="0002537E">
      <w:pPr>
        <w:pStyle w:val="figure"/>
      </w:pPr>
      <w:bookmarkStart w:id="338" w:name="_Ref69507214"/>
      <w:bookmarkStart w:id="339" w:name="_Ref69507208"/>
      <w:bookmarkStart w:id="340" w:name="_Toc72143418"/>
      <w:r w:rsidRPr="00EF0EE8">
        <w:t>Tableau</w:t>
      </w:r>
      <w:r>
        <w:t xml:space="preserve"> </w:t>
      </w:r>
      <w:r w:rsidRPr="00D54EC4">
        <w:fldChar w:fldCharType="begin"/>
      </w:r>
      <w:r w:rsidRPr="00EF0EE8">
        <w:instrText xml:space="preserve"> SEQ Tableau \* ARABIC </w:instrText>
      </w:r>
      <w:r w:rsidRPr="00D54EC4">
        <w:fldChar w:fldCharType="separate"/>
      </w:r>
      <w:r w:rsidR="0007597F">
        <w:rPr>
          <w:noProof/>
        </w:rPr>
        <w:t>71</w:t>
      </w:r>
      <w:r w:rsidRPr="00D54EC4">
        <w:fldChar w:fldCharType="end"/>
      </w:r>
      <w:r w:rsidR="007538FF">
        <w:t xml:space="preserve"> : </w:t>
      </w:r>
      <w:r>
        <w:t xml:space="preserve"> </w:t>
      </w:r>
      <w:bookmarkEnd w:id="338"/>
      <w:r w:rsidR="00FF1FE7" w:rsidRPr="003F739B">
        <w:t xml:space="preserve">Définition des processus </w:t>
      </w:r>
      <w:r w:rsidR="00B301F7" w:rsidRPr="003F739B">
        <w:t>dans le cadre de l’analyse des flux matière pour la filière porcine</w:t>
      </w:r>
      <w:r w:rsidR="007C155F">
        <w:t xml:space="preserve"> </w:t>
      </w:r>
      <w:r w:rsidR="00FF1FE7" w:rsidRPr="003F739B">
        <w:t>et de l’état entrée et sortie des produits</w:t>
      </w:r>
      <w:bookmarkEnd w:id="339"/>
      <w:r w:rsidR="00336F28">
        <w:t>.</w:t>
      </w:r>
      <w:bookmarkEnd w:id="340"/>
    </w:p>
    <w:p w14:paraId="30BB79B2" w14:textId="5D2A881B" w:rsidR="00922E12" w:rsidRDefault="00922E12" w:rsidP="0079638B">
      <w:pPr>
        <w:rPr>
          <w:rFonts w:cs="Arial"/>
        </w:rPr>
      </w:pPr>
    </w:p>
    <w:p w14:paraId="43B46194" w14:textId="7A104893" w:rsidR="009231B2" w:rsidRDefault="009231B2" w:rsidP="0079638B">
      <w:pPr>
        <w:rPr>
          <w:rFonts w:cs="Arial"/>
        </w:rPr>
      </w:pPr>
    </w:p>
    <w:p w14:paraId="5DBD1920" w14:textId="3A79C5DB" w:rsidR="009231B2" w:rsidRDefault="009231B2" w:rsidP="0079638B">
      <w:pPr>
        <w:rPr>
          <w:rFonts w:cs="Arial"/>
        </w:rPr>
      </w:pPr>
    </w:p>
    <w:p w14:paraId="6CA8253E" w14:textId="09A9AEB1" w:rsidR="009231B2" w:rsidRDefault="009231B2" w:rsidP="0079638B">
      <w:pPr>
        <w:rPr>
          <w:rFonts w:cs="Arial"/>
        </w:rPr>
      </w:pPr>
    </w:p>
    <w:p w14:paraId="32AC8EC8" w14:textId="20EE5192" w:rsidR="009231B2" w:rsidRDefault="009231B2" w:rsidP="0079638B">
      <w:pPr>
        <w:rPr>
          <w:rFonts w:cs="Arial"/>
        </w:rPr>
      </w:pPr>
    </w:p>
    <w:p w14:paraId="73927080" w14:textId="512328A1" w:rsidR="00336F28" w:rsidRDefault="00336F28" w:rsidP="0079638B">
      <w:pPr>
        <w:rPr>
          <w:rFonts w:cs="Arial"/>
        </w:rPr>
      </w:pPr>
      <w:r>
        <w:rPr>
          <w:rFonts w:cs="Arial"/>
          <w:noProof/>
        </w:rPr>
        <w:lastRenderedPageBreak/>
        <w:drawing>
          <wp:inline distT="0" distB="0" distL="0" distR="0" wp14:anchorId="2830E74F" wp14:editId="422146DC">
            <wp:extent cx="9340910" cy="3934364"/>
            <wp:effectExtent l="0" t="0" r="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349468" cy="3937968"/>
                    </a:xfrm>
                    <a:prstGeom prst="rect">
                      <a:avLst/>
                    </a:prstGeom>
                    <a:noFill/>
                  </pic:spPr>
                </pic:pic>
              </a:graphicData>
            </a:graphic>
          </wp:inline>
        </w:drawing>
      </w:r>
    </w:p>
    <w:p w14:paraId="5319C279" w14:textId="0F20FE23" w:rsidR="00AE40EE" w:rsidRPr="007C155F" w:rsidRDefault="00AE40EE" w:rsidP="0002537E">
      <w:pPr>
        <w:pStyle w:val="figure"/>
      </w:pPr>
      <w:bookmarkStart w:id="341" w:name="_Ref69509080"/>
      <w:bookmarkStart w:id="342" w:name="_Ref69509075"/>
      <w:bookmarkStart w:id="343" w:name="_Toc69511422"/>
      <w:r w:rsidRPr="00336F28">
        <w:t xml:space="preserve">Figure </w:t>
      </w:r>
      <w:r w:rsidR="00E27D6E">
        <w:fldChar w:fldCharType="begin"/>
      </w:r>
      <w:r w:rsidR="00E27D6E">
        <w:instrText xml:space="preserve"> SEQ Figure \* ARABIC </w:instrText>
      </w:r>
      <w:r w:rsidR="00E27D6E">
        <w:fldChar w:fldCharType="separate"/>
      </w:r>
      <w:r w:rsidR="0007597F">
        <w:rPr>
          <w:noProof/>
        </w:rPr>
        <w:t>31</w:t>
      </w:r>
      <w:r w:rsidR="00E27D6E">
        <w:rPr>
          <w:noProof/>
        </w:rPr>
        <w:fldChar w:fldCharType="end"/>
      </w:r>
      <w:bookmarkEnd w:id="341"/>
      <w:r w:rsidR="007538FF">
        <w:t xml:space="preserve"> </w:t>
      </w:r>
      <w:r w:rsidRPr="00336F28">
        <w:t>:</w:t>
      </w:r>
      <w:r w:rsidRPr="003F739B">
        <w:t xml:space="preserve"> </w:t>
      </w:r>
      <w:r>
        <w:t xml:space="preserve">Schéma </w:t>
      </w:r>
      <w:r w:rsidR="00680B78">
        <w:t xml:space="preserve">général </w:t>
      </w:r>
      <w:r>
        <w:t>de l’écosystème</w:t>
      </w:r>
      <w:r w:rsidR="00336F28">
        <w:t xml:space="preserve"> et</w:t>
      </w:r>
      <w:r>
        <w:t xml:space="preserve"> des processus </w:t>
      </w:r>
      <w:r w:rsidR="00336F28">
        <w:t>des flux de matière à partir des pièces primaires</w:t>
      </w:r>
      <w:bookmarkEnd w:id="342"/>
      <w:bookmarkEnd w:id="343"/>
      <w:r w:rsidR="00336F28">
        <w:t xml:space="preserve"> </w:t>
      </w:r>
    </w:p>
    <w:p w14:paraId="482F2135" w14:textId="77777777" w:rsidR="00AE40EE" w:rsidRDefault="00AE40EE" w:rsidP="0079638B">
      <w:pPr>
        <w:rPr>
          <w:rFonts w:cs="Arial"/>
        </w:rPr>
      </w:pPr>
    </w:p>
    <w:p w14:paraId="182C671A" w14:textId="77777777" w:rsidR="009231B2" w:rsidRDefault="009231B2" w:rsidP="0079638B">
      <w:pPr>
        <w:rPr>
          <w:rFonts w:cs="Arial"/>
        </w:rPr>
      </w:pPr>
    </w:p>
    <w:p w14:paraId="28075347" w14:textId="77777777" w:rsidR="00765A0A" w:rsidRDefault="00765A0A" w:rsidP="0079638B">
      <w:pPr>
        <w:rPr>
          <w:rFonts w:cs="Arial"/>
        </w:rPr>
      </w:pPr>
    </w:p>
    <w:p w14:paraId="5E272B7A" w14:textId="77777777" w:rsidR="00922E12" w:rsidRDefault="00922E12" w:rsidP="0079638B">
      <w:pPr>
        <w:rPr>
          <w:rFonts w:cs="Arial"/>
        </w:rPr>
        <w:sectPr w:rsidR="00922E12" w:rsidSect="00B73F4D">
          <w:pgSz w:w="16838" w:h="11906" w:orient="landscape" w:code="9"/>
          <w:pgMar w:top="1418" w:right="1304" w:bottom="1133" w:left="1304" w:header="567" w:footer="709" w:gutter="0"/>
          <w:cols w:space="708"/>
          <w:docGrid w:linePitch="360"/>
        </w:sectPr>
      </w:pPr>
    </w:p>
    <w:p w14:paraId="2F125A7E" w14:textId="72C36842" w:rsidR="00922E12" w:rsidRPr="008150C6" w:rsidRDefault="00765A0A" w:rsidP="00765A0A">
      <w:pPr>
        <w:pStyle w:val="Titre1"/>
      </w:pPr>
      <w:bookmarkStart w:id="344" w:name="_Toc78131677"/>
      <w:r>
        <w:lastRenderedPageBreak/>
        <w:t xml:space="preserve">2. </w:t>
      </w:r>
      <w:r w:rsidR="006E2AAA" w:rsidRPr="00765A0A">
        <w:t>Vers</w:t>
      </w:r>
      <w:r w:rsidR="006E2AAA">
        <w:t xml:space="preserve"> un rapprochement</w:t>
      </w:r>
      <w:r w:rsidR="00922E12" w:rsidRPr="008150C6">
        <w:t xml:space="preserve"> des données</w:t>
      </w:r>
      <w:bookmarkEnd w:id="344"/>
      <w:r w:rsidR="00922E12" w:rsidRPr="008150C6">
        <w:t xml:space="preserve"> </w:t>
      </w:r>
    </w:p>
    <w:p w14:paraId="6E266285" w14:textId="4105008A" w:rsidR="00922E12" w:rsidRDefault="00922E12" w:rsidP="00A63F35">
      <w:pPr>
        <w:pStyle w:val="Titre2"/>
        <w:numPr>
          <w:ilvl w:val="0"/>
          <w:numId w:val="0"/>
        </w:numPr>
        <w:ind w:left="568"/>
      </w:pPr>
      <w:bookmarkStart w:id="345" w:name="_Toc78131678"/>
      <w:r>
        <w:t>2</w:t>
      </w:r>
      <w:r w:rsidRPr="008150C6">
        <w:t>.1 Matrice Emploi / Ressource</w:t>
      </w:r>
      <w:bookmarkEnd w:id="345"/>
      <w:r w:rsidRPr="008150C6">
        <w:t xml:space="preserve"> </w:t>
      </w:r>
    </w:p>
    <w:p w14:paraId="77F282CC" w14:textId="60F6598B" w:rsidR="00E122D7" w:rsidRDefault="00E122D7" w:rsidP="006E6D86">
      <w:pPr>
        <w:pStyle w:val="Titre3"/>
      </w:pPr>
      <w:bookmarkStart w:id="346" w:name="_Toc78131679"/>
      <w:r>
        <w:t xml:space="preserve">2.1.1. </w:t>
      </w:r>
      <w:r w:rsidR="008A0FDC">
        <w:t>Principe des tableaux E</w:t>
      </w:r>
      <w:r w:rsidR="003041F7">
        <w:t>mploi-Ressources</w:t>
      </w:r>
      <w:bookmarkEnd w:id="346"/>
      <w:r w:rsidR="003041F7">
        <w:t xml:space="preserve"> </w:t>
      </w:r>
    </w:p>
    <w:p w14:paraId="4288F57F" w14:textId="77777777" w:rsidR="000F7343" w:rsidRDefault="00680B78" w:rsidP="00680B78">
      <w:r>
        <w:t>Développé à partir des années 1930 par l’économiste W. Leontief, l</w:t>
      </w:r>
      <w:r w:rsidR="00E122D7">
        <w:t xml:space="preserve">e Tableau Emploi-Ressource (TER) </w:t>
      </w:r>
      <w:r w:rsidR="000F7343">
        <w:t xml:space="preserve">ou </w:t>
      </w:r>
      <w:r w:rsidR="00BA6B78">
        <w:t xml:space="preserve">Tableau </w:t>
      </w:r>
      <w:r>
        <w:t>« </w:t>
      </w:r>
      <w:r w:rsidR="00BA6B78">
        <w:t>Entrée-Sortie</w:t>
      </w:r>
      <w:r>
        <w:t> »</w:t>
      </w:r>
      <w:r w:rsidR="00866E90">
        <w:t xml:space="preserve"> est</w:t>
      </w:r>
      <w:r w:rsidR="00BA6B78">
        <w:t xml:space="preserve"> </w:t>
      </w:r>
      <w:r w:rsidR="00E122D7">
        <w:t>un outil d’analyse</w:t>
      </w:r>
      <w:r w:rsidR="000F7343">
        <w:t xml:space="preserve"> des flux</w:t>
      </w:r>
      <w:r w:rsidR="00E122D7">
        <w:t>. Ce</w:t>
      </w:r>
      <w:r w:rsidR="000F7343">
        <w:t xml:space="preserve">lui-ci </w:t>
      </w:r>
      <w:r w:rsidR="00E122D7">
        <w:t xml:space="preserve">décrit notamment les relations entre </w:t>
      </w:r>
      <w:r w:rsidR="000F7343">
        <w:t>d’une part d</w:t>
      </w:r>
      <w:r w:rsidR="00E122D7">
        <w:t xml:space="preserve">es produits et </w:t>
      </w:r>
      <w:r w:rsidR="000F7343">
        <w:t>l</w:t>
      </w:r>
      <w:r w:rsidR="00E122D7">
        <w:t xml:space="preserve">es </w:t>
      </w:r>
      <w:r w:rsidR="000F7343">
        <w:t>« </w:t>
      </w:r>
      <w:r w:rsidR="00E122D7">
        <w:t>branches d’un système de production</w:t>
      </w:r>
      <w:r w:rsidR="000F7343">
        <w:t> »</w:t>
      </w:r>
      <w:r w:rsidR="00E122D7">
        <w:t xml:space="preserve"> </w:t>
      </w:r>
      <w:r w:rsidR="000F7343">
        <w:t>par le biais de</w:t>
      </w:r>
      <w:r w:rsidR="00E122D7">
        <w:t xml:space="preserve"> leurs consommations intermédiaires.</w:t>
      </w:r>
      <w:r>
        <w:t xml:space="preserve"> </w:t>
      </w:r>
    </w:p>
    <w:p w14:paraId="67BC8413" w14:textId="39F02616" w:rsidR="00F47445" w:rsidRDefault="00E122D7" w:rsidP="000F7343">
      <w:r>
        <w:t>L</w:t>
      </w:r>
      <w:r w:rsidR="00680B78">
        <w:t>e</w:t>
      </w:r>
      <w:r w:rsidR="001C47CE">
        <w:t xml:space="preserve"> TER </w:t>
      </w:r>
      <w:r w:rsidR="000F7343">
        <w:t>se pré</w:t>
      </w:r>
      <w:r w:rsidR="001C47CE">
        <w:t xml:space="preserve">sente </w:t>
      </w:r>
      <w:r w:rsidR="000F7343">
        <w:t>sous la forme</w:t>
      </w:r>
      <w:r w:rsidR="001C47CE">
        <w:t xml:space="preserve"> </w:t>
      </w:r>
      <w:r w:rsidR="000F7343">
        <w:t xml:space="preserve">d’une </w:t>
      </w:r>
      <w:r w:rsidR="001C47CE">
        <w:t>matric</w:t>
      </w:r>
      <w:r w:rsidR="000F7343">
        <w:t>e qui</w:t>
      </w:r>
      <w:r w:rsidR="00680B78">
        <w:t xml:space="preserve"> </w:t>
      </w:r>
      <w:r w:rsidR="000F7343">
        <w:t xml:space="preserve">mentionne </w:t>
      </w:r>
      <w:r w:rsidR="00680B78">
        <w:t>en colonne</w:t>
      </w:r>
      <w:r w:rsidR="00C8242C">
        <w:t xml:space="preserve"> les</w:t>
      </w:r>
      <w:r>
        <w:t xml:space="preserve"> «</w:t>
      </w:r>
      <w:r w:rsidR="000F7343">
        <w:t> </w:t>
      </w:r>
      <w:r w:rsidR="00680B78">
        <w:t>c</w:t>
      </w:r>
      <w:r>
        <w:t>onsommations intermédiaires</w:t>
      </w:r>
      <w:r w:rsidR="000F7343">
        <w:t> </w:t>
      </w:r>
      <w:r>
        <w:t xml:space="preserve">» </w:t>
      </w:r>
      <w:r w:rsidR="000F7343">
        <w:t xml:space="preserve">pour </w:t>
      </w:r>
      <w:r>
        <w:t>l’amont</w:t>
      </w:r>
      <w:r w:rsidR="000F7343">
        <w:t xml:space="preserve"> de la filière</w:t>
      </w:r>
      <w:r>
        <w:t>, c’est à dire ses sources d’approvisionnement ou consommations intermédiaires.</w:t>
      </w:r>
      <w:r w:rsidR="000F7343">
        <w:t xml:space="preserve"> </w:t>
      </w:r>
      <w:r w:rsidR="00753450">
        <w:t xml:space="preserve">Les colonnes « consommation finale » et « exportation » indiquent la destination en dehors des branches de la filière de la production. </w:t>
      </w:r>
      <w:r w:rsidR="000F7343">
        <w:t xml:space="preserve">Cette </w:t>
      </w:r>
      <w:r w:rsidR="00753450">
        <w:t xml:space="preserve">même </w:t>
      </w:r>
      <w:r w:rsidR="000F7343">
        <w:t>matrice</w:t>
      </w:r>
      <w:r>
        <w:t xml:space="preserve"> </w:t>
      </w:r>
      <w:r w:rsidR="000F7343">
        <w:t xml:space="preserve">présente </w:t>
      </w:r>
      <w:r w:rsidR="00753450">
        <w:t xml:space="preserve">cette fois, </w:t>
      </w:r>
      <w:r w:rsidR="000F7343">
        <w:t>en ligne l</w:t>
      </w:r>
      <w:r>
        <w:t xml:space="preserve">es différents débouchés ou destinations de </w:t>
      </w:r>
      <w:r w:rsidR="00680B78">
        <w:t>l</w:t>
      </w:r>
      <w:r>
        <w:t>a production.</w:t>
      </w:r>
    </w:p>
    <w:p w14:paraId="6C04A7A0" w14:textId="0272824C" w:rsidR="00AE6D87" w:rsidRDefault="00753450" w:rsidP="000F7343">
      <w:pPr>
        <w:spacing w:after="0"/>
      </w:pPr>
      <w:r>
        <w:t>L</w:t>
      </w:r>
      <w:r w:rsidR="00A726A9">
        <w:t>e</w:t>
      </w:r>
      <w:r w:rsidR="00AE6D87">
        <w:t xml:space="preserve"> traitement </w:t>
      </w:r>
      <w:r w:rsidR="00A726A9">
        <w:t>d</w:t>
      </w:r>
      <w:r>
        <w:t>u jeu de</w:t>
      </w:r>
      <w:r w:rsidR="00A726A9">
        <w:t xml:space="preserve"> données </w:t>
      </w:r>
      <w:r w:rsidR="00680B78">
        <w:t>pour l’établissement d</w:t>
      </w:r>
      <w:r>
        <w:t>u tableau emploi-ressources</w:t>
      </w:r>
      <w:r w:rsidR="00680B78">
        <w:t xml:space="preserve"> </w:t>
      </w:r>
      <w:r w:rsidR="00AE6D87">
        <w:t xml:space="preserve">s’articule comme suit : </w:t>
      </w:r>
    </w:p>
    <w:p w14:paraId="55F2C206" w14:textId="0D9694FE" w:rsidR="00AE6D87" w:rsidRDefault="00E122D7" w:rsidP="000F7343">
      <w:pPr>
        <w:pStyle w:val="Paragraphedeliste"/>
        <w:numPr>
          <w:ilvl w:val="0"/>
          <w:numId w:val="23"/>
        </w:numPr>
        <w:spacing w:before="0"/>
      </w:pPr>
      <w:r>
        <w:t xml:space="preserve">La </w:t>
      </w:r>
      <w:r w:rsidRPr="00F47445">
        <w:rPr>
          <w:u w:val="single"/>
        </w:rPr>
        <w:t>première étape</w:t>
      </w:r>
      <w:r>
        <w:t xml:space="preserve"> </w:t>
      </w:r>
      <w:r w:rsidR="00680B78">
        <w:t>d’élaboration s’appuie</w:t>
      </w:r>
      <w:r>
        <w:t xml:space="preserve"> </w:t>
      </w:r>
      <w:r w:rsidR="00680B78">
        <w:t>sur l</w:t>
      </w:r>
      <w:r>
        <w:t xml:space="preserve">es données issues de </w:t>
      </w:r>
      <w:r w:rsidRPr="00F47445">
        <w:rPr>
          <w:u w:val="single"/>
        </w:rPr>
        <w:t>la statistique publique à savoir la production, l’importation et l’exportation</w:t>
      </w:r>
      <w:r>
        <w:t xml:space="preserve"> (données en </w:t>
      </w:r>
      <w:r w:rsidR="00F47445">
        <w:t>bleu</w:t>
      </w:r>
      <w:r>
        <w:t>)</w:t>
      </w:r>
      <w:r w:rsidR="00C00600">
        <w:t xml:space="preserve"> (</w:t>
      </w:r>
      <w:r w:rsidR="00753450">
        <w:t>p</w:t>
      </w:r>
      <w:r w:rsidR="00C00600">
        <w:t>artie 1 du rapport)</w:t>
      </w:r>
      <w:r w:rsidR="00753450">
        <w:t>,</w:t>
      </w:r>
      <w:r w:rsidR="00C00600">
        <w:t xml:space="preserve"> </w:t>
      </w:r>
    </w:p>
    <w:p w14:paraId="472FA93B" w14:textId="113E0A09" w:rsidR="00960FA4" w:rsidRDefault="00E122D7" w:rsidP="00A305CD">
      <w:pPr>
        <w:pStyle w:val="Paragraphedeliste"/>
        <w:numPr>
          <w:ilvl w:val="0"/>
          <w:numId w:val="23"/>
        </w:numPr>
      </w:pPr>
      <w:r>
        <w:t xml:space="preserve">Dans </w:t>
      </w:r>
      <w:r w:rsidRPr="00F47445">
        <w:rPr>
          <w:u w:val="single"/>
        </w:rPr>
        <w:t>un deuxième temps</w:t>
      </w:r>
      <w:r>
        <w:t>, il s’agit d’estimer pour chaque branche</w:t>
      </w:r>
      <w:r w:rsidR="001A5091">
        <w:t>,</w:t>
      </w:r>
      <w:r>
        <w:t xml:space="preserve"> la valeur des consommations intermédiaires </w:t>
      </w:r>
      <w:r w:rsidR="00921DDC">
        <w:t xml:space="preserve">de jambon par exemple </w:t>
      </w:r>
      <w:r>
        <w:t xml:space="preserve">et </w:t>
      </w:r>
      <w:r w:rsidR="00F47445">
        <w:t>leur</w:t>
      </w:r>
      <w:r>
        <w:t xml:space="preserve"> répartition. Les consommations intermédiaires représentent la valeur des</w:t>
      </w:r>
      <w:r w:rsidR="00680B78">
        <w:t xml:space="preserve"> </w:t>
      </w:r>
      <w:r w:rsidR="00921DDC">
        <w:t xml:space="preserve">produits </w:t>
      </w:r>
      <w:r>
        <w:t>transformés ou entièrement consommés au cours du processus de production</w:t>
      </w:r>
      <w:r w:rsidR="00753450">
        <w:t xml:space="preserve"> qui suit</w:t>
      </w:r>
      <w:r>
        <w:t>. Elles sont c</w:t>
      </w:r>
      <w:r w:rsidR="00753450">
        <w:t xml:space="preserve">roisées entre les données de panel et </w:t>
      </w:r>
      <w:r>
        <w:t>de</w:t>
      </w:r>
      <w:r w:rsidR="00753450">
        <w:t>s</w:t>
      </w:r>
      <w:r>
        <w:t xml:space="preserve"> données </w:t>
      </w:r>
      <w:r w:rsidR="00960FA4">
        <w:t xml:space="preserve">issues </w:t>
      </w:r>
      <w:r>
        <w:t>d</w:t>
      </w:r>
      <w:r w:rsidR="00960FA4">
        <w:t>e dires d’expert</w:t>
      </w:r>
      <w:r>
        <w:t xml:space="preserve"> (données en </w:t>
      </w:r>
      <w:r w:rsidR="006C748B">
        <w:t>gris</w:t>
      </w:r>
      <w:r>
        <w:t>)</w:t>
      </w:r>
      <w:r w:rsidR="000A13B7">
        <w:t xml:space="preserve"> (</w:t>
      </w:r>
      <w:r w:rsidR="00753450">
        <w:t>p</w:t>
      </w:r>
      <w:r w:rsidR="000A13B7">
        <w:t>artie 2 du rapport)</w:t>
      </w:r>
      <w:r w:rsidR="00753450">
        <w:t>.</w:t>
      </w:r>
    </w:p>
    <w:p w14:paraId="22B9060C" w14:textId="77777777" w:rsidR="0080304A" w:rsidRDefault="0080304A" w:rsidP="0080304A">
      <w:pPr>
        <w:pStyle w:val="Paragraphedeliste"/>
        <w:numPr>
          <w:ilvl w:val="0"/>
          <w:numId w:val="0"/>
        </w:numPr>
        <w:ind w:left="720"/>
      </w:pPr>
    </w:p>
    <w:p w14:paraId="0DA4E81A" w14:textId="676C7829" w:rsidR="00C13AF4" w:rsidRDefault="00E10548" w:rsidP="009313F4">
      <w:pPr>
        <w:spacing w:after="0"/>
      </w:pPr>
      <w:r>
        <w:t xml:space="preserve">Une fois ces différentes données collectées ou estimées, </w:t>
      </w:r>
      <w:r w:rsidR="00C13AF4">
        <w:t>l’</w:t>
      </w:r>
      <w:r>
        <w:t>égalité comptable</w:t>
      </w:r>
      <w:r w:rsidR="00C13AF4">
        <w:t xml:space="preserve"> </w:t>
      </w:r>
      <w:r>
        <w:t xml:space="preserve">doit être vérifiée au niveau de chaque branche individuelle et </w:t>
      </w:r>
      <w:r w:rsidR="00134785">
        <w:t>pour</w:t>
      </w:r>
      <w:r>
        <w:t xml:space="preserve"> l’ensemble du TER</w:t>
      </w:r>
      <w:r w:rsidR="003B5B4A">
        <w:t xml:space="preserve"> afin d’obtenir un</w:t>
      </w:r>
      <w:r w:rsidR="001A5091">
        <w:t>e matrice</w:t>
      </w:r>
      <w:r w:rsidR="003B5B4A">
        <w:t xml:space="preserve"> équilibré</w:t>
      </w:r>
      <w:r w:rsidR="001A5091">
        <w:t>e</w:t>
      </w:r>
      <w:r>
        <w:t xml:space="preserve">, à savoir </w:t>
      </w:r>
    </w:p>
    <w:p w14:paraId="44C7EE5D" w14:textId="6E09809B" w:rsidR="00134785" w:rsidRPr="00134785" w:rsidRDefault="00A00AC5" w:rsidP="001A5091">
      <w:pPr>
        <w:pStyle w:val="Paragraphedeliste"/>
        <w:numPr>
          <w:ilvl w:val="0"/>
          <w:numId w:val="23"/>
        </w:numPr>
        <w:spacing w:before="0"/>
        <w:ind w:left="709"/>
        <w:rPr>
          <w:rFonts w:cstheme="minorBidi"/>
        </w:rPr>
      </w:pPr>
      <w:r>
        <w:t>L</w:t>
      </w:r>
      <w:r w:rsidR="00E10548">
        <w:t xml:space="preserve">e </w:t>
      </w:r>
      <w:r w:rsidR="001A5091">
        <w:t>« T</w:t>
      </w:r>
      <w:r w:rsidR="00E10548">
        <w:t>otal des</w:t>
      </w:r>
      <w:r w:rsidR="00134785">
        <w:t> Ressources »</w:t>
      </w:r>
      <w:r w:rsidR="00E10548">
        <w:t xml:space="preserve"> du système doit être égal au </w:t>
      </w:r>
      <w:r>
        <w:t>« T</w:t>
      </w:r>
      <w:r w:rsidR="00E10548">
        <w:t>otal des</w:t>
      </w:r>
      <w:r w:rsidR="00134785">
        <w:t> E</w:t>
      </w:r>
      <w:r w:rsidR="00E10548">
        <w:t>mplois</w:t>
      </w:r>
      <w:r w:rsidR="00134785">
        <w:t> »</w:t>
      </w:r>
      <w:r w:rsidR="00E10548">
        <w:t xml:space="preserve"> </w:t>
      </w:r>
      <w:r w:rsidR="00134785">
        <w:t>s</w:t>
      </w:r>
      <w:r w:rsidR="00A464CC">
        <w:t xml:space="preserve">elon l’égalité suivante </w:t>
      </w:r>
      <w:r w:rsidR="00134785">
        <w:t xml:space="preserve"> </w:t>
      </w:r>
    </w:p>
    <w:p w14:paraId="2F71E75C" w14:textId="6BFCCDAE" w:rsidR="009401F1" w:rsidRPr="00A464CC" w:rsidRDefault="00134785" w:rsidP="001A5091">
      <w:pPr>
        <w:spacing w:after="0"/>
        <w:rPr>
          <w:i/>
          <w:iCs/>
        </w:rPr>
      </w:pPr>
      <w:r w:rsidRPr="00A464CC">
        <w:rPr>
          <w:i/>
          <w:iCs/>
        </w:rPr>
        <w:t>«</w:t>
      </w:r>
      <w:r w:rsidR="00E10548" w:rsidRPr="00A464CC">
        <w:rPr>
          <w:i/>
          <w:iCs/>
        </w:rPr>
        <w:t>Production + Imp</w:t>
      </w:r>
      <w:r w:rsidR="001A5091" w:rsidRPr="00A464CC">
        <w:rPr>
          <w:i/>
          <w:iCs/>
        </w:rPr>
        <w:t>ortation</w:t>
      </w:r>
      <w:r w:rsidR="00E10548" w:rsidRPr="00A464CC">
        <w:rPr>
          <w:i/>
          <w:iCs/>
        </w:rPr>
        <w:t xml:space="preserve"> = Consommation Intermédiaire + Consommation finale + Exp</w:t>
      </w:r>
      <w:r w:rsidR="001A5091" w:rsidRPr="00A464CC">
        <w:rPr>
          <w:i/>
          <w:iCs/>
        </w:rPr>
        <w:t>ortation</w:t>
      </w:r>
      <w:r w:rsidR="00A00AC5" w:rsidRPr="00A464CC">
        <w:rPr>
          <w:i/>
          <w:iCs/>
        </w:rPr>
        <w:t>»</w:t>
      </w:r>
    </w:p>
    <w:p w14:paraId="44A0AAFE" w14:textId="421B61FD" w:rsidR="009D540F" w:rsidRPr="009D540F" w:rsidRDefault="00E10548" w:rsidP="00A305CD">
      <w:pPr>
        <w:pStyle w:val="Paragraphedeliste"/>
        <w:numPr>
          <w:ilvl w:val="0"/>
          <w:numId w:val="23"/>
        </w:numPr>
        <w:spacing w:before="0"/>
        <w:ind w:left="709"/>
        <w:rPr>
          <w:rFonts w:cstheme="minorBidi"/>
        </w:rPr>
      </w:pPr>
      <w:r>
        <w:t xml:space="preserve">La </w:t>
      </w:r>
      <w:r w:rsidR="00A464CC">
        <w:t>c</w:t>
      </w:r>
      <w:r>
        <w:t xml:space="preserve">onsommation finale est la </w:t>
      </w:r>
      <w:r w:rsidR="00A464CC">
        <w:t xml:space="preserve">somme des </w:t>
      </w:r>
      <w:r>
        <w:t>consommation</w:t>
      </w:r>
      <w:r w:rsidR="00A464CC">
        <w:t>s</w:t>
      </w:r>
      <w:r>
        <w:t xml:space="preserve"> des </w:t>
      </w:r>
      <w:r w:rsidR="00A464CC">
        <w:t>produits</w:t>
      </w:r>
      <w:r>
        <w:t xml:space="preserve"> </w:t>
      </w:r>
      <w:r w:rsidR="001A5091">
        <w:t xml:space="preserve">effectués </w:t>
      </w:r>
      <w:r>
        <w:t>par les utilisateurs finaux (ménages, entreprises…)</w:t>
      </w:r>
      <w:r w:rsidR="00731C53">
        <w:t>,</w:t>
      </w:r>
    </w:p>
    <w:p w14:paraId="304E2CEB" w14:textId="4FFB613C" w:rsidR="00E44FBD" w:rsidRPr="00F60EDA" w:rsidRDefault="00E10548" w:rsidP="00F60EDA">
      <w:pPr>
        <w:pStyle w:val="Paragraphedeliste"/>
        <w:numPr>
          <w:ilvl w:val="0"/>
          <w:numId w:val="23"/>
        </w:numPr>
        <w:spacing w:before="0"/>
        <w:ind w:left="709"/>
        <w:rPr>
          <w:rFonts w:cstheme="minorBidi"/>
        </w:rPr>
      </w:pPr>
      <w:r>
        <w:t xml:space="preserve">La </w:t>
      </w:r>
      <w:r w:rsidR="001A5091">
        <w:t>c</w:t>
      </w:r>
      <w:r>
        <w:t xml:space="preserve">onsommation Intermédiaire est le total des consommations intermédiaires définies. Le respect de l’égalité </w:t>
      </w:r>
      <w:r w:rsidR="00F60EDA">
        <w:t xml:space="preserve">des </w:t>
      </w:r>
      <w:r>
        <w:t>Emplois</w:t>
      </w:r>
      <w:r w:rsidR="00F60EDA">
        <w:t xml:space="preserve"> et </w:t>
      </w:r>
      <w:r>
        <w:t>Ressources permet d’obtenir un TER équilibré</w:t>
      </w:r>
      <w:r w:rsidR="00F60EDA">
        <w:t xml:space="preserve">. </w:t>
      </w:r>
      <w:r w:rsidRPr="004A733D">
        <w:t xml:space="preserve">Les ressources globalisent </w:t>
      </w:r>
      <w:r>
        <w:t>la p</w:t>
      </w:r>
      <w:r w:rsidRPr="00D869D8">
        <w:t xml:space="preserve">roduction </w:t>
      </w:r>
      <w:r>
        <w:t>et l’i</w:t>
      </w:r>
      <w:r w:rsidRPr="00D869D8">
        <w:t>mportation</w:t>
      </w:r>
      <w:r>
        <w:t xml:space="preserve"> et s’équil</w:t>
      </w:r>
      <w:r w:rsidR="003B5B4A">
        <w:t>i</w:t>
      </w:r>
      <w:r>
        <w:t xml:space="preserve">brent en valeur massique avec les emplois </w:t>
      </w:r>
      <w:r w:rsidR="00E44FBD">
        <w:t xml:space="preserve">comme suit </w:t>
      </w:r>
    </w:p>
    <w:p w14:paraId="5B24973F" w14:textId="61A0597D" w:rsidR="00B51D99" w:rsidRPr="005F6CF2" w:rsidRDefault="00E44FBD" w:rsidP="005F6CF2">
      <w:pPr>
        <w:spacing w:after="0"/>
        <w:ind w:left="709"/>
      </w:pPr>
      <w:r>
        <w:t xml:space="preserve">Total Ressources (Consommation Intermédiaire + Consommation Finale + Importation </w:t>
      </w:r>
      <w:r>
        <w:br/>
      </w:r>
      <w:r w:rsidR="00E10548" w:rsidRPr="00D869D8">
        <w:t>= Total Emplois (Consommation Intermédiaire + Consommation finale + Exportation)</w:t>
      </w:r>
      <w:r w:rsidR="005F6CF2">
        <w:t>.</w:t>
      </w:r>
    </w:p>
    <w:p w14:paraId="005C6DDB" w14:textId="70E60C48" w:rsidR="005F6CF2" w:rsidRPr="00960617" w:rsidRDefault="00731C53" w:rsidP="00713036">
      <w:pPr>
        <w:spacing w:after="0"/>
        <w:rPr>
          <w:rFonts w:cs="Arial"/>
        </w:rPr>
      </w:pPr>
      <w:r w:rsidRPr="005F6CF2">
        <w:rPr>
          <w:rFonts w:eastAsia="Arial Unicode MS" w:cs="Arial"/>
          <w:kern w:val="1"/>
          <w:szCs w:val="24"/>
          <w:lang w:eastAsia="ar-SA"/>
        </w:rPr>
        <w:t xml:space="preserve">Les tableaux emplois-ressources (ou TER) </w:t>
      </w:r>
      <w:r w:rsidR="00F60EDA">
        <w:rPr>
          <w:rFonts w:eastAsia="Arial Unicode MS" w:cs="Arial"/>
          <w:kern w:val="1"/>
          <w:szCs w:val="24"/>
          <w:lang w:eastAsia="ar-SA"/>
        </w:rPr>
        <w:t xml:space="preserve">sont les supports permettant </w:t>
      </w:r>
      <w:r w:rsidRPr="005F6CF2">
        <w:rPr>
          <w:rFonts w:eastAsia="Arial Unicode MS" w:cs="Arial"/>
          <w:kern w:val="1"/>
          <w:szCs w:val="24"/>
          <w:lang w:eastAsia="ar-SA"/>
        </w:rPr>
        <w:t>dans les étapes ultérieures de représenter graphiquement les flux grâce aux diagrammes de Sankey.</w:t>
      </w:r>
    </w:p>
    <w:p w14:paraId="08ECD2B7" w14:textId="77777777" w:rsidR="005F6CF2" w:rsidRPr="005F6CF2" w:rsidRDefault="005F6CF2" w:rsidP="009313F4">
      <w:pPr>
        <w:spacing w:after="0"/>
        <w:rPr>
          <w:rFonts w:eastAsia="Arial Unicode MS" w:cs="Arial"/>
          <w:kern w:val="1"/>
          <w:szCs w:val="24"/>
          <w:lang w:eastAsia="ar-SA"/>
        </w:rPr>
      </w:pPr>
    </w:p>
    <w:p w14:paraId="783A1C61" w14:textId="293CCA73" w:rsidR="00871B8B" w:rsidRPr="005F6CF2" w:rsidRDefault="00871B8B" w:rsidP="00871B8B">
      <w:pPr>
        <w:rPr>
          <w:rFonts w:eastAsia="Arial Unicode MS" w:cs="Arial"/>
          <w:kern w:val="1"/>
          <w:szCs w:val="24"/>
          <w:lang w:eastAsia="ar-SA"/>
        </w:rPr>
      </w:pPr>
    </w:p>
    <w:p w14:paraId="5F735044" w14:textId="77777777" w:rsidR="00CC065F" w:rsidRPr="005F6CF2" w:rsidRDefault="00CC065F" w:rsidP="00871B8B">
      <w:pPr>
        <w:rPr>
          <w:rFonts w:eastAsia="Arial Unicode MS" w:cs="Arial"/>
          <w:kern w:val="1"/>
          <w:szCs w:val="24"/>
          <w:lang w:eastAsia="ar-SA"/>
        </w:rPr>
        <w:sectPr w:rsidR="00CC065F" w:rsidRPr="005F6CF2" w:rsidSect="00B73F4D">
          <w:pgSz w:w="11906" w:h="16838" w:code="9"/>
          <w:pgMar w:top="1304" w:right="1133" w:bottom="1304" w:left="1418" w:header="567" w:footer="709" w:gutter="0"/>
          <w:cols w:space="708"/>
          <w:docGrid w:linePitch="360"/>
        </w:sectPr>
      </w:pPr>
    </w:p>
    <w:p w14:paraId="74CAF686" w14:textId="3BC01D7E" w:rsidR="00A073B4" w:rsidRDefault="00455ADA" w:rsidP="00871B8B">
      <w:r w:rsidRPr="00455ADA">
        <w:rPr>
          <w:noProof/>
        </w:rPr>
        <w:lastRenderedPageBreak/>
        <w:drawing>
          <wp:inline distT="0" distB="0" distL="0" distR="0" wp14:anchorId="2ACB0F67" wp14:editId="672076D3">
            <wp:extent cx="8623004" cy="5390132"/>
            <wp:effectExtent l="0" t="0" r="6985" b="127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8649440" cy="5406657"/>
                    </a:xfrm>
                    <a:prstGeom prst="rect">
                      <a:avLst/>
                    </a:prstGeom>
                    <a:noFill/>
                    <a:ln>
                      <a:noFill/>
                    </a:ln>
                  </pic:spPr>
                </pic:pic>
              </a:graphicData>
            </a:graphic>
          </wp:inline>
        </w:drawing>
      </w:r>
    </w:p>
    <w:p w14:paraId="4E9A72F9" w14:textId="7A02F8CB" w:rsidR="007A7BB5" w:rsidRPr="0002537E" w:rsidRDefault="00EF0EE8" w:rsidP="0002537E">
      <w:pPr>
        <w:pStyle w:val="figure"/>
        <w:rPr>
          <w:rFonts w:eastAsia="Arial Unicode MS"/>
          <w:i/>
        </w:rPr>
      </w:pPr>
      <w:bookmarkStart w:id="347" w:name="_Toc72143419"/>
      <w:r w:rsidRPr="0002537E">
        <w:rPr>
          <w:rFonts w:eastAsia="Arial Unicode MS"/>
        </w:rPr>
        <w:t xml:space="preserve">Tableau </w:t>
      </w:r>
      <w:r w:rsidRPr="0002537E">
        <w:rPr>
          <w:rFonts w:eastAsia="Arial Unicode MS"/>
        </w:rPr>
        <w:fldChar w:fldCharType="begin"/>
      </w:r>
      <w:r w:rsidRPr="0002537E">
        <w:rPr>
          <w:rFonts w:eastAsia="Arial Unicode MS"/>
        </w:rPr>
        <w:instrText xml:space="preserve"> SEQ Tableau \* ARABIC </w:instrText>
      </w:r>
      <w:r w:rsidRPr="0002537E">
        <w:rPr>
          <w:rFonts w:eastAsia="Arial Unicode MS"/>
        </w:rPr>
        <w:fldChar w:fldCharType="separate"/>
      </w:r>
      <w:r w:rsidR="0007597F">
        <w:rPr>
          <w:rFonts w:eastAsia="Arial Unicode MS"/>
          <w:i/>
          <w:noProof/>
        </w:rPr>
        <w:t>72</w:t>
      </w:r>
      <w:r w:rsidRPr="0002537E">
        <w:rPr>
          <w:rFonts w:eastAsia="Arial Unicode MS"/>
        </w:rPr>
        <w:fldChar w:fldCharType="end"/>
      </w:r>
      <w:r w:rsidR="007538FF">
        <w:rPr>
          <w:rFonts w:eastAsia="Arial Unicode MS"/>
          <w:i/>
        </w:rPr>
        <w:t> :</w:t>
      </w:r>
      <w:r>
        <w:t xml:space="preserve"> </w:t>
      </w:r>
      <w:r w:rsidR="00E11CE1" w:rsidRPr="0002537E">
        <w:rPr>
          <w:rFonts w:eastAsia="Arial Unicode MS"/>
        </w:rPr>
        <w:t>Emploi Ressource pour l</w:t>
      </w:r>
      <w:r w:rsidR="00165104" w:rsidRPr="0002537E">
        <w:rPr>
          <w:rFonts w:eastAsia="Arial Unicode MS"/>
        </w:rPr>
        <w:t xml:space="preserve">a </w:t>
      </w:r>
      <w:r w:rsidR="00E10548" w:rsidRPr="0002537E">
        <w:rPr>
          <w:rFonts w:eastAsia="Arial Unicode MS"/>
        </w:rPr>
        <w:t>filière d’usage</w:t>
      </w:r>
      <w:r w:rsidR="00E11CE1" w:rsidRPr="0002537E">
        <w:rPr>
          <w:rFonts w:eastAsia="Arial Unicode MS"/>
        </w:rPr>
        <w:t xml:space="preserve"> Jambon</w:t>
      </w:r>
      <w:r w:rsidR="00165104" w:rsidRPr="0002537E">
        <w:rPr>
          <w:rFonts w:eastAsia="Arial Unicode MS"/>
        </w:rPr>
        <w:t xml:space="preserve"> au sein de la filière porcine</w:t>
      </w:r>
      <w:bookmarkEnd w:id="347"/>
      <w:r w:rsidR="00680B78">
        <w:rPr>
          <w:rFonts w:eastAsia="Arial Unicode MS"/>
        </w:rPr>
        <w:t xml:space="preserve"> </w:t>
      </w:r>
      <w:r w:rsidR="00680B78" w:rsidRPr="00680B78">
        <w:rPr>
          <w:rFonts w:eastAsia="Arial Unicode MS"/>
          <w:b w:val="0"/>
          <w:bCs w:val="0"/>
        </w:rPr>
        <w:t>(Source IFIP d’après</w:t>
      </w:r>
      <w:r w:rsidR="00EC6C5C">
        <w:rPr>
          <w:rFonts w:eastAsia="Arial Unicode MS"/>
          <w:b w:val="0"/>
          <w:bCs w:val="0"/>
        </w:rPr>
        <w:t xml:space="preserve"> Courtonne, 2017</w:t>
      </w:r>
      <w:r w:rsidR="00680B78" w:rsidRPr="00680B78">
        <w:rPr>
          <w:rFonts w:eastAsia="Arial Unicode MS"/>
          <w:b w:val="0"/>
          <w:bCs w:val="0"/>
        </w:rPr>
        <w:t>)</w:t>
      </w:r>
      <w:r w:rsidR="00165104" w:rsidRPr="0002537E">
        <w:rPr>
          <w:rFonts w:eastAsia="Arial Unicode MS"/>
        </w:rPr>
        <w:t xml:space="preserve"> </w:t>
      </w:r>
    </w:p>
    <w:p w14:paraId="478E29A6" w14:textId="77777777" w:rsidR="006C036B" w:rsidRDefault="006C036B" w:rsidP="004D1583">
      <w:pPr>
        <w:ind w:left="-284"/>
        <w:rPr>
          <w:rFonts w:cs="Arial"/>
        </w:rPr>
        <w:sectPr w:rsidR="006C036B" w:rsidSect="00B73F4D">
          <w:pgSz w:w="16838" w:h="11906" w:orient="landscape" w:code="9"/>
          <w:pgMar w:top="1418" w:right="1304" w:bottom="1133" w:left="1304" w:header="567" w:footer="709" w:gutter="0"/>
          <w:cols w:space="708"/>
          <w:docGrid w:linePitch="360"/>
        </w:sectPr>
      </w:pPr>
    </w:p>
    <w:p w14:paraId="590D2EDD" w14:textId="1C00C354" w:rsidR="009231B2" w:rsidRDefault="006E6D86" w:rsidP="006E6D86">
      <w:pPr>
        <w:pStyle w:val="Titre3"/>
      </w:pPr>
      <w:bookmarkStart w:id="348" w:name="_Toc78131680"/>
      <w:r>
        <w:lastRenderedPageBreak/>
        <w:t>2.1.</w:t>
      </w:r>
      <w:r w:rsidR="007538FF">
        <w:t>2</w:t>
      </w:r>
      <w:r>
        <w:t>.</w:t>
      </w:r>
      <w:r w:rsidR="00F9181E">
        <w:t xml:space="preserve"> Evaluation des</w:t>
      </w:r>
      <w:r w:rsidR="009231B2">
        <w:t xml:space="preserve"> </w:t>
      </w:r>
      <w:r w:rsidR="00F9181E">
        <w:t>i</w:t>
      </w:r>
      <w:r w:rsidR="009231B2">
        <w:t>ncertitudes</w:t>
      </w:r>
      <w:bookmarkEnd w:id="348"/>
      <w:r w:rsidR="009231B2">
        <w:t xml:space="preserve"> </w:t>
      </w:r>
    </w:p>
    <w:p w14:paraId="69CBAC2C" w14:textId="42F98836" w:rsidR="009231B2" w:rsidRPr="0092171A" w:rsidRDefault="00132488" w:rsidP="00165B56">
      <w:pPr>
        <w:spacing w:after="0"/>
      </w:pPr>
      <w:r>
        <w:t>L’</w:t>
      </w:r>
      <w:r w:rsidR="002A2E3D">
        <w:t>étape d’</w:t>
      </w:r>
      <w:r>
        <w:t>évaluation</w:t>
      </w:r>
      <w:r w:rsidR="00F9181E">
        <w:t xml:space="preserve"> des incertitudes </w:t>
      </w:r>
      <w:r w:rsidR="002A2E3D">
        <w:t>permet</w:t>
      </w:r>
      <w:r w:rsidR="00043937">
        <w:t xml:space="preserve"> de qualifier</w:t>
      </w:r>
      <w:r w:rsidR="00F9181E">
        <w:t xml:space="preserve"> </w:t>
      </w:r>
      <w:r w:rsidR="002267C3">
        <w:t>l</w:t>
      </w:r>
      <w:r w:rsidR="00F60EDA">
        <w:t>’intervalle de</w:t>
      </w:r>
      <w:r w:rsidR="00F9181E">
        <w:t xml:space="preserve"> confiance</w:t>
      </w:r>
      <w:r w:rsidR="00B11D10">
        <w:t xml:space="preserve"> </w:t>
      </w:r>
      <w:r w:rsidR="00043937">
        <w:t>accordé</w:t>
      </w:r>
      <w:r w:rsidR="00F9181E">
        <w:t xml:space="preserve"> aux </w:t>
      </w:r>
      <w:r w:rsidR="001644FA">
        <w:t>données collectées</w:t>
      </w:r>
      <w:r w:rsidR="00863CA0">
        <w:t xml:space="preserve"> et</w:t>
      </w:r>
      <w:r>
        <w:t xml:space="preserve"> ne dégrade pas l’information. </w:t>
      </w:r>
      <w:r w:rsidR="00146EC6">
        <w:t xml:space="preserve">Cette démarche </w:t>
      </w:r>
      <w:r w:rsidR="005A3A47">
        <w:t>constitue</w:t>
      </w:r>
      <w:r>
        <w:t xml:space="preserve"> au contraire un gage de fiabilité des </w:t>
      </w:r>
      <w:r w:rsidR="00657D08">
        <w:t>données</w:t>
      </w:r>
      <w:r>
        <w:t xml:space="preserve"> </w:t>
      </w:r>
      <w:r w:rsidR="00B72C9C">
        <w:t>collecté</w:t>
      </w:r>
      <w:r w:rsidR="00F60EDA">
        <w:t>e</w:t>
      </w:r>
      <w:r w:rsidR="00B72C9C">
        <w:t>s</w:t>
      </w:r>
      <w:r w:rsidR="002A2E3D">
        <w:t xml:space="preserve"> et </w:t>
      </w:r>
      <w:r w:rsidR="00F60EDA">
        <w:t>offre</w:t>
      </w:r>
      <w:r w:rsidR="005A3A47">
        <w:t xml:space="preserve"> la</w:t>
      </w:r>
      <w:r>
        <w:t xml:space="preserve"> possib</w:t>
      </w:r>
      <w:r w:rsidR="005A3A47">
        <w:t>ilité</w:t>
      </w:r>
      <w:r>
        <w:t xml:space="preserve"> d’agir sur les sources d’incertitude </w:t>
      </w:r>
      <w:r w:rsidR="00F60EDA">
        <w:t>afin d’</w:t>
      </w:r>
      <w:r>
        <w:t xml:space="preserve">améliorer </w:t>
      </w:r>
      <w:r w:rsidR="00F60EDA">
        <w:t>dans la mesure du possible,</w:t>
      </w:r>
      <w:r>
        <w:t xml:space="preserve"> la précision </w:t>
      </w:r>
      <w:r w:rsidR="004D2ACB">
        <w:t xml:space="preserve">de la donnée. </w:t>
      </w:r>
      <w:r w:rsidR="00F60EDA">
        <w:t>Le choix se porte en priorité sur les sources d’incertitude ayant le plus d’impact.</w:t>
      </w:r>
    </w:p>
    <w:p w14:paraId="2A8167FC" w14:textId="176ADA22" w:rsidR="00657D08" w:rsidRDefault="00EB3478" w:rsidP="00657D08">
      <w:pPr>
        <w:spacing w:after="0"/>
      </w:pPr>
      <w:r>
        <w:t>De manière très opérationnelle, le</w:t>
      </w:r>
      <w:r w:rsidR="004D4904">
        <w:t xml:space="preserve"> niveau d’incertitude</w:t>
      </w:r>
      <w:r w:rsidR="00657D08">
        <w:t xml:space="preserve"> dans le cas présent, sera</w:t>
      </w:r>
      <w:r w:rsidR="004D4904">
        <w:t xml:space="preserve"> estimé selon l</w:t>
      </w:r>
      <w:r w:rsidR="00E927AF">
        <w:t xml:space="preserve">a source </w:t>
      </w:r>
      <w:r w:rsidR="00657D08">
        <w:t xml:space="preserve">de la donnée </w:t>
      </w:r>
      <w:r w:rsidR="00E927AF">
        <w:t xml:space="preserve">et permet de </w:t>
      </w:r>
      <w:r w:rsidR="00CD22E2">
        <w:t xml:space="preserve">distinguer </w:t>
      </w:r>
      <w:r w:rsidR="00657D08">
        <w:t>trois</w:t>
      </w:r>
      <w:r w:rsidR="00CD22E2">
        <w:t xml:space="preserve"> typologies</w:t>
      </w:r>
      <w:r w:rsidR="00657D08">
        <w:t xml:space="preserve"> : </w:t>
      </w:r>
    </w:p>
    <w:p w14:paraId="42AC3964" w14:textId="75024762" w:rsidR="005F6CF2" w:rsidRDefault="004912B5" w:rsidP="004912B5">
      <w:pPr>
        <w:pStyle w:val="Paragraphedeliste"/>
        <w:numPr>
          <w:ilvl w:val="0"/>
          <w:numId w:val="23"/>
        </w:numPr>
        <w:spacing w:before="0"/>
        <w:ind w:left="714" w:hanging="357"/>
      </w:pPr>
      <w:r>
        <w:t>Incertitude de 20% : l</w:t>
      </w:r>
      <w:r w:rsidR="004D2ACB">
        <w:t xml:space="preserve">es </w:t>
      </w:r>
      <w:r w:rsidR="00CD22E2">
        <w:t xml:space="preserve">données mesurées issues </w:t>
      </w:r>
      <w:r w:rsidR="00B12435">
        <w:t>d</w:t>
      </w:r>
      <w:r w:rsidR="00657D08">
        <w:t>e</w:t>
      </w:r>
      <w:r w:rsidR="00B12435">
        <w:t xml:space="preserve"> </w:t>
      </w:r>
      <w:r w:rsidR="00657D08">
        <w:t>la</w:t>
      </w:r>
      <w:r w:rsidR="004628C7">
        <w:t xml:space="preserve"> donnée publique</w:t>
      </w:r>
      <w:r w:rsidR="00657D08">
        <w:t xml:space="preserve"> et de statistiques</w:t>
      </w:r>
      <w:r>
        <w:t>,</w:t>
      </w:r>
    </w:p>
    <w:p w14:paraId="180F3D9F" w14:textId="04AFCF65" w:rsidR="004912B5" w:rsidRDefault="004912B5" w:rsidP="004912B5">
      <w:pPr>
        <w:pStyle w:val="Paragraphedeliste"/>
        <w:numPr>
          <w:ilvl w:val="0"/>
          <w:numId w:val="23"/>
        </w:numPr>
      </w:pPr>
      <w:r>
        <w:t>Incertitude de 30% : l</w:t>
      </w:r>
      <w:r w:rsidR="00B12435">
        <w:t xml:space="preserve">es données </w:t>
      </w:r>
      <w:r w:rsidR="00C464EE">
        <w:t>déduites</w:t>
      </w:r>
      <w:r w:rsidR="004628C7">
        <w:t xml:space="preserve"> </w:t>
      </w:r>
      <w:r>
        <w:t xml:space="preserve">par </w:t>
      </w:r>
      <w:r w:rsidR="00C464EE">
        <w:t xml:space="preserve">calcul </w:t>
      </w:r>
      <w:r w:rsidR="00592DC0">
        <w:t xml:space="preserve">à partir de données mesurées et croisées </w:t>
      </w:r>
      <w:r w:rsidR="00C464EE">
        <w:t xml:space="preserve">ou non </w:t>
      </w:r>
      <w:r w:rsidR="00592DC0">
        <w:t>à dire d’expert</w:t>
      </w:r>
      <w:r>
        <w:t>,</w:t>
      </w:r>
    </w:p>
    <w:p w14:paraId="16C33B24" w14:textId="1AF98929" w:rsidR="005F6CF2" w:rsidRDefault="004912B5" w:rsidP="003E46FA">
      <w:pPr>
        <w:pStyle w:val="Paragraphedeliste"/>
        <w:numPr>
          <w:ilvl w:val="0"/>
          <w:numId w:val="23"/>
        </w:numPr>
      </w:pPr>
      <w:r>
        <w:t xml:space="preserve">Incertitude </w:t>
      </w:r>
      <w:r w:rsidR="00C464EE">
        <w:t>de 40% : l</w:t>
      </w:r>
      <w:r w:rsidR="004628C7">
        <w:t xml:space="preserve">es données estimées à partir de données à dire d’expert </w:t>
      </w:r>
      <w:r w:rsidR="00C464EE">
        <w:t>uniquement.</w:t>
      </w:r>
    </w:p>
    <w:p w14:paraId="042215BA" w14:textId="3D7D1673" w:rsidR="009231B2" w:rsidRPr="00713036" w:rsidRDefault="007541FA" w:rsidP="006E6D86">
      <w:pPr>
        <w:pStyle w:val="Titre3"/>
      </w:pPr>
      <w:bookmarkStart w:id="349" w:name="_Toc78131681"/>
      <w:r>
        <w:t>2.1.</w:t>
      </w:r>
      <w:r w:rsidR="007538FF">
        <w:t>3</w:t>
      </w:r>
      <w:r>
        <w:t xml:space="preserve">. </w:t>
      </w:r>
      <w:r w:rsidR="003E46FA" w:rsidRPr="00B621B9">
        <w:t>Diagrammes</w:t>
      </w:r>
      <w:r w:rsidR="003E46FA" w:rsidRPr="00713036">
        <w:t xml:space="preserve"> de Sankey</w:t>
      </w:r>
      <w:bookmarkEnd w:id="349"/>
      <w:r w:rsidR="003E46FA" w:rsidRPr="00713036">
        <w:t xml:space="preserve"> </w:t>
      </w:r>
    </w:p>
    <w:p w14:paraId="027CC6A0" w14:textId="4DA4D4CF" w:rsidR="005F6CF2" w:rsidRDefault="003E46FA" w:rsidP="00216763">
      <w:pPr>
        <w:pStyle w:val="ValrieN1"/>
        <w:spacing w:after="0"/>
        <w:ind w:left="0"/>
        <w:rPr>
          <w:rFonts w:cstheme="minorBidi"/>
          <w:b w:val="0"/>
          <w:sz w:val="22"/>
          <w:szCs w:val="22"/>
        </w:rPr>
      </w:pPr>
      <w:r w:rsidRPr="003E46FA">
        <w:rPr>
          <w:rFonts w:cstheme="minorBidi"/>
          <w:b w:val="0"/>
          <w:sz w:val="22"/>
          <w:szCs w:val="22"/>
        </w:rPr>
        <w:t>Les diagrammes de Sankey sont une représentation graphique des flux couramment utilisé</w:t>
      </w:r>
      <w:r w:rsidR="006E2AAA">
        <w:rPr>
          <w:rFonts w:cstheme="minorBidi"/>
          <w:b w:val="0"/>
          <w:sz w:val="22"/>
          <w:szCs w:val="22"/>
        </w:rPr>
        <w:t>s</w:t>
      </w:r>
      <w:r w:rsidRPr="003E46FA">
        <w:rPr>
          <w:rFonts w:cstheme="minorBidi"/>
          <w:b w:val="0"/>
          <w:sz w:val="22"/>
          <w:szCs w:val="22"/>
        </w:rPr>
        <w:t xml:space="preserve"> dans le cas d’Analyse de Flux de Matière</w:t>
      </w:r>
      <w:r w:rsidR="00F60EDA">
        <w:rPr>
          <w:rFonts w:cstheme="minorBidi"/>
          <w:b w:val="0"/>
          <w:sz w:val="22"/>
          <w:szCs w:val="22"/>
        </w:rPr>
        <w:t xml:space="preserve"> (AFM)</w:t>
      </w:r>
      <w:r w:rsidR="005F6CF2">
        <w:rPr>
          <w:rFonts w:cstheme="minorBidi"/>
          <w:b w:val="0"/>
          <w:sz w:val="22"/>
          <w:szCs w:val="22"/>
        </w:rPr>
        <w:t xml:space="preserve"> selon les principes suivants : </w:t>
      </w:r>
    </w:p>
    <w:p w14:paraId="09DF7929" w14:textId="00115A09" w:rsidR="005F6CF2" w:rsidRDefault="007541FA" w:rsidP="00A305CD">
      <w:pPr>
        <w:pStyle w:val="ValrieN1"/>
        <w:numPr>
          <w:ilvl w:val="0"/>
          <w:numId w:val="23"/>
        </w:numPr>
        <w:spacing w:after="0"/>
        <w:rPr>
          <w:rFonts w:cstheme="minorBidi"/>
          <w:b w:val="0"/>
          <w:sz w:val="22"/>
          <w:szCs w:val="22"/>
        </w:rPr>
      </w:pPr>
      <w:r>
        <w:rPr>
          <w:rFonts w:cstheme="minorBidi"/>
          <w:b w:val="0"/>
          <w:sz w:val="22"/>
          <w:szCs w:val="22"/>
        </w:rPr>
        <w:t>L</w:t>
      </w:r>
      <w:r w:rsidR="003E46FA" w:rsidRPr="003E46FA">
        <w:rPr>
          <w:rFonts w:cstheme="minorBidi"/>
          <w:b w:val="0"/>
          <w:sz w:val="22"/>
          <w:szCs w:val="22"/>
        </w:rPr>
        <w:t xml:space="preserve">es flux sont représentés par des flèches horizontales </w:t>
      </w:r>
      <w:r w:rsidR="005F6CF2">
        <w:rPr>
          <w:rFonts w:cstheme="minorBidi"/>
          <w:b w:val="0"/>
          <w:sz w:val="22"/>
          <w:szCs w:val="22"/>
        </w:rPr>
        <w:t xml:space="preserve">qui </w:t>
      </w:r>
      <w:r w:rsidR="005F6CF2" w:rsidRPr="003E46FA">
        <w:rPr>
          <w:rFonts w:cstheme="minorBidi"/>
          <w:b w:val="0"/>
          <w:sz w:val="22"/>
          <w:szCs w:val="22"/>
        </w:rPr>
        <w:t>r</w:t>
      </w:r>
      <w:r w:rsidR="005F6CF2">
        <w:rPr>
          <w:rFonts w:cstheme="minorBidi"/>
          <w:b w:val="0"/>
          <w:sz w:val="22"/>
          <w:szCs w:val="22"/>
        </w:rPr>
        <w:t>elient</w:t>
      </w:r>
      <w:r w:rsidR="005F6CF2" w:rsidRPr="003E46FA">
        <w:rPr>
          <w:rFonts w:cstheme="minorBidi"/>
          <w:b w:val="0"/>
          <w:sz w:val="22"/>
          <w:szCs w:val="22"/>
        </w:rPr>
        <w:t xml:space="preserve"> des nœuds </w:t>
      </w:r>
      <w:r w:rsidR="005F6CF2">
        <w:rPr>
          <w:rFonts w:cstheme="minorBidi"/>
          <w:b w:val="0"/>
          <w:sz w:val="22"/>
          <w:szCs w:val="22"/>
        </w:rPr>
        <w:t xml:space="preserve">et </w:t>
      </w:r>
      <w:r w:rsidR="003E46FA" w:rsidRPr="003E46FA">
        <w:rPr>
          <w:rFonts w:cstheme="minorBidi"/>
          <w:b w:val="0"/>
          <w:sz w:val="22"/>
          <w:szCs w:val="22"/>
        </w:rPr>
        <w:t xml:space="preserve">dont le sens de lecture </w:t>
      </w:r>
      <w:r w:rsidR="005F6CF2">
        <w:rPr>
          <w:rFonts w:cstheme="minorBidi"/>
          <w:b w:val="0"/>
          <w:sz w:val="22"/>
          <w:szCs w:val="22"/>
        </w:rPr>
        <w:t xml:space="preserve">s’effectue </w:t>
      </w:r>
      <w:r w:rsidR="003E46FA" w:rsidRPr="003E46FA">
        <w:rPr>
          <w:rFonts w:cstheme="minorBidi"/>
          <w:b w:val="0"/>
          <w:sz w:val="22"/>
          <w:szCs w:val="22"/>
        </w:rPr>
        <w:t>de gauche à droite.</w:t>
      </w:r>
      <w:r w:rsidR="005F6CF2">
        <w:rPr>
          <w:rFonts w:cstheme="minorBidi"/>
          <w:b w:val="0"/>
          <w:sz w:val="22"/>
          <w:szCs w:val="22"/>
        </w:rPr>
        <w:t xml:space="preserve"> </w:t>
      </w:r>
      <w:r w:rsidR="00F60EDA">
        <w:rPr>
          <w:rFonts w:cstheme="minorBidi"/>
          <w:b w:val="0"/>
          <w:sz w:val="22"/>
          <w:szCs w:val="22"/>
        </w:rPr>
        <w:t>L</w:t>
      </w:r>
      <w:r w:rsidR="005F6CF2">
        <w:rPr>
          <w:rFonts w:cstheme="minorBidi"/>
          <w:b w:val="0"/>
          <w:sz w:val="22"/>
          <w:szCs w:val="22"/>
        </w:rPr>
        <w:t>es</w:t>
      </w:r>
      <w:r w:rsidR="003E46FA" w:rsidRPr="003E46FA">
        <w:rPr>
          <w:rFonts w:cstheme="minorBidi"/>
          <w:b w:val="0"/>
          <w:sz w:val="22"/>
          <w:szCs w:val="22"/>
        </w:rPr>
        <w:t xml:space="preserve"> nœuds représentent les</w:t>
      </w:r>
      <w:r w:rsidR="005F6CF2">
        <w:rPr>
          <w:rFonts w:cstheme="minorBidi"/>
          <w:b w:val="0"/>
          <w:sz w:val="22"/>
          <w:szCs w:val="22"/>
        </w:rPr>
        <w:t xml:space="preserve"> entrées et sorties des</w:t>
      </w:r>
      <w:r w:rsidR="003E46FA" w:rsidRPr="003E46FA">
        <w:rPr>
          <w:rFonts w:cstheme="minorBidi"/>
          <w:b w:val="0"/>
          <w:sz w:val="22"/>
          <w:szCs w:val="22"/>
        </w:rPr>
        <w:t xml:space="preserve"> </w:t>
      </w:r>
      <w:r w:rsidR="005F6CF2">
        <w:rPr>
          <w:rFonts w:cstheme="minorBidi"/>
          <w:b w:val="0"/>
          <w:sz w:val="22"/>
          <w:szCs w:val="22"/>
        </w:rPr>
        <w:t>processus de l’</w:t>
      </w:r>
      <w:r w:rsidR="001F1DB1">
        <w:rPr>
          <w:rFonts w:cstheme="minorBidi"/>
          <w:b w:val="0"/>
          <w:sz w:val="22"/>
          <w:szCs w:val="22"/>
        </w:rPr>
        <w:t>écos</w:t>
      </w:r>
      <w:r w:rsidR="001F1DB1" w:rsidRPr="003E46FA">
        <w:rPr>
          <w:rFonts w:cstheme="minorBidi"/>
          <w:b w:val="0"/>
          <w:sz w:val="22"/>
          <w:szCs w:val="22"/>
        </w:rPr>
        <w:t>ystème</w:t>
      </w:r>
      <w:r w:rsidR="003E46FA" w:rsidRPr="003E46FA">
        <w:rPr>
          <w:rFonts w:cstheme="minorBidi"/>
          <w:b w:val="0"/>
          <w:sz w:val="22"/>
          <w:szCs w:val="22"/>
        </w:rPr>
        <w:t>.</w:t>
      </w:r>
      <w:r w:rsidR="00F60EDA">
        <w:rPr>
          <w:rFonts w:cstheme="minorBidi"/>
          <w:b w:val="0"/>
          <w:sz w:val="22"/>
          <w:szCs w:val="22"/>
        </w:rPr>
        <w:t xml:space="preserve"> Ce point sera détaillé plus bas. </w:t>
      </w:r>
    </w:p>
    <w:p w14:paraId="4FAE6FD7" w14:textId="618794AA" w:rsidR="00216763" w:rsidRDefault="003E46FA" w:rsidP="00A305CD">
      <w:pPr>
        <w:pStyle w:val="ValrieN1"/>
        <w:numPr>
          <w:ilvl w:val="0"/>
          <w:numId w:val="23"/>
        </w:numPr>
        <w:spacing w:after="0"/>
        <w:rPr>
          <w:rFonts w:cstheme="minorBidi"/>
          <w:b w:val="0"/>
          <w:sz w:val="22"/>
          <w:szCs w:val="22"/>
        </w:rPr>
      </w:pPr>
      <w:r w:rsidRPr="003E46FA">
        <w:rPr>
          <w:rFonts w:cstheme="minorBidi"/>
          <w:b w:val="0"/>
          <w:sz w:val="22"/>
          <w:szCs w:val="22"/>
        </w:rPr>
        <w:t>L’épaisseur des flèches traduit la quantité de matière première empruntant ce chemin.</w:t>
      </w:r>
    </w:p>
    <w:p w14:paraId="53874A25" w14:textId="60F77F54" w:rsidR="005F6CF2" w:rsidRDefault="003E46FA" w:rsidP="00A305CD">
      <w:pPr>
        <w:pStyle w:val="ValrieN1"/>
        <w:numPr>
          <w:ilvl w:val="0"/>
          <w:numId w:val="23"/>
        </w:numPr>
        <w:spacing w:after="0"/>
        <w:rPr>
          <w:rFonts w:cstheme="minorBidi"/>
          <w:b w:val="0"/>
          <w:sz w:val="22"/>
          <w:szCs w:val="22"/>
        </w:rPr>
      </w:pPr>
      <w:r w:rsidRPr="003E46FA">
        <w:rPr>
          <w:rFonts w:cstheme="minorBidi"/>
          <w:b w:val="0"/>
          <w:sz w:val="22"/>
          <w:szCs w:val="22"/>
        </w:rPr>
        <w:t>Les flèches verticales représentent les entrées et sorties de matière première dans le système considéré</w:t>
      </w:r>
      <w:r w:rsidR="007F5B81">
        <w:rPr>
          <w:rFonts w:cstheme="minorBidi"/>
          <w:b w:val="0"/>
          <w:sz w:val="22"/>
          <w:szCs w:val="22"/>
        </w:rPr>
        <w:t> ; il s’agit des</w:t>
      </w:r>
      <w:r w:rsidRPr="003E46FA">
        <w:rPr>
          <w:rFonts w:cstheme="minorBidi"/>
          <w:b w:val="0"/>
          <w:sz w:val="22"/>
          <w:szCs w:val="22"/>
        </w:rPr>
        <w:t xml:space="preserve"> imports et </w:t>
      </w:r>
      <w:r w:rsidR="007F5B81">
        <w:rPr>
          <w:rFonts w:cstheme="minorBidi"/>
          <w:b w:val="0"/>
          <w:sz w:val="22"/>
          <w:szCs w:val="22"/>
        </w:rPr>
        <w:t>d</w:t>
      </w:r>
      <w:r w:rsidRPr="003E46FA">
        <w:rPr>
          <w:rFonts w:cstheme="minorBidi"/>
          <w:b w:val="0"/>
          <w:sz w:val="22"/>
          <w:szCs w:val="22"/>
        </w:rPr>
        <w:t>es exports</w:t>
      </w:r>
      <w:r w:rsidR="007F5B81">
        <w:rPr>
          <w:rFonts w:cstheme="minorBidi"/>
          <w:b w:val="0"/>
          <w:sz w:val="22"/>
          <w:szCs w:val="22"/>
        </w:rPr>
        <w:t xml:space="preserve"> mais aussi des additifs technologiques et des effluents</w:t>
      </w:r>
      <w:r w:rsidR="00216763">
        <w:rPr>
          <w:rFonts w:cstheme="minorBidi"/>
          <w:b w:val="0"/>
          <w:sz w:val="22"/>
          <w:szCs w:val="22"/>
        </w:rPr>
        <w:t>.</w:t>
      </w:r>
    </w:p>
    <w:p w14:paraId="28EF9F59" w14:textId="57CE478E" w:rsidR="00631E81" w:rsidRDefault="003E46FA" w:rsidP="007F5B81">
      <w:pPr>
        <w:pStyle w:val="ValrieN1"/>
        <w:spacing w:after="0"/>
        <w:ind w:left="0"/>
        <w:rPr>
          <w:rFonts w:cstheme="minorBidi"/>
          <w:b w:val="0"/>
          <w:sz w:val="22"/>
          <w:szCs w:val="22"/>
        </w:rPr>
      </w:pPr>
      <w:r w:rsidRPr="003E46FA">
        <w:rPr>
          <w:rFonts w:cstheme="minorBidi"/>
          <w:b w:val="0"/>
          <w:sz w:val="22"/>
          <w:szCs w:val="22"/>
        </w:rPr>
        <w:t xml:space="preserve">Ces flux sont </w:t>
      </w:r>
      <w:r w:rsidR="00F60EDA">
        <w:rPr>
          <w:rFonts w:cstheme="minorBidi"/>
          <w:b w:val="0"/>
          <w:sz w:val="22"/>
          <w:szCs w:val="22"/>
        </w:rPr>
        <w:t xml:space="preserve">représentés à partir de </w:t>
      </w:r>
      <w:r w:rsidRPr="003E46FA">
        <w:rPr>
          <w:rFonts w:cstheme="minorBidi"/>
          <w:b w:val="0"/>
          <w:sz w:val="22"/>
          <w:szCs w:val="22"/>
        </w:rPr>
        <w:t xml:space="preserve">la valeur </w:t>
      </w:r>
      <w:r w:rsidR="00F60EDA">
        <w:rPr>
          <w:rFonts w:cstheme="minorBidi"/>
          <w:b w:val="0"/>
          <w:sz w:val="22"/>
          <w:szCs w:val="22"/>
        </w:rPr>
        <w:t>« </w:t>
      </w:r>
      <w:r w:rsidRPr="003E46FA">
        <w:rPr>
          <w:rFonts w:cstheme="minorBidi"/>
          <w:b w:val="0"/>
          <w:sz w:val="22"/>
          <w:szCs w:val="22"/>
        </w:rPr>
        <w:t>centrale</w:t>
      </w:r>
      <w:r w:rsidR="00F60EDA">
        <w:rPr>
          <w:rFonts w:cstheme="minorBidi"/>
          <w:b w:val="0"/>
          <w:sz w:val="22"/>
          <w:szCs w:val="22"/>
        </w:rPr>
        <w:t> » (moyenne)</w:t>
      </w:r>
      <w:r w:rsidRPr="003E46FA">
        <w:rPr>
          <w:rFonts w:cstheme="minorBidi"/>
          <w:b w:val="0"/>
          <w:sz w:val="22"/>
          <w:szCs w:val="22"/>
        </w:rPr>
        <w:t xml:space="preserve"> de cet intervalle. L’outil utilisé pour la </w:t>
      </w:r>
      <w:r w:rsidR="00216763">
        <w:rPr>
          <w:rFonts w:cstheme="minorBidi"/>
          <w:b w:val="0"/>
          <w:sz w:val="22"/>
          <w:szCs w:val="22"/>
        </w:rPr>
        <w:t>conception</w:t>
      </w:r>
      <w:r w:rsidRPr="003E46FA">
        <w:rPr>
          <w:rFonts w:cstheme="minorBidi"/>
          <w:b w:val="0"/>
          <w:sz w:val="22"/>
          <w:szCs w:val="22"/>
        </w:rPr>
        <w:t xml:space="preserve"> de ces diagrammes est le logiciel Sankey </w:t>
      </w:r>
      <w:r w:rsidR="00216763">
        <w:rPr>
          <w:rFonts w:cstheme="minorBidi"/>
          <w:b w:val="0"/>
          <w:sz w:val="22"/>
          <w:szCs w:val="22"/>
        </w:rPr>
        <w:t>de la société Terriflux.</w:t>
      </w:r>
    </w:p>
    <w:p w14:paraId="1F9BF545" w14:textId="77777777" w:rsidR="007F5B81" w:rsidRPr="007F5B81" w:rsidRDefault="007F5B81" w:rsidP="007F5B81">
      <w:pPr>
        <w:pStyle w:val="ValrieN1"/>
        <w:spacing w:after="0"/>
        <w:ind w:left="0"/>
        <w:rPr>
          <w:rFonts w:cstheme="minorBidi"/>
          <w:b w:val="0"/>
          <w:sz w:val="22"/>
          <w:szCs w:val="22"/>
        </w:rPr>
      </w:pPr>
    </w:p>
    <w:p w14:paraId="275D80CF" w14:textId="64AE2F38" w:rsidR="006D134E" w:rsidRPr="006D134E" w:rsidRDefault="00922E12" w:rsidP="00A63F35">
      <w:pPr>
        <w:pStyle w:val="Titre2"/>
        <w:numPr>
          <w:ilvl w:val="0"/>
          <w:numId w:val="0"/>
        </w:numPr>
        <w:ind w:left="568"/>
      </w:pPr>
      <w:bookmarkStart w:id="350" w:name="_Toc71124218"/>
      <w:bookmarkStart w:id="351" w:name="_Toc71124423"/>
      <w:bookmarkStart w:id="352" w:name="_Toc71215208"/>
      <w:bookmarkStart w:id="353" w:name="_Toc71215399"/>
      <w:bookmarkStart w:id="354" w:name="_Toc78131682"/>
      <w:bookmarkEnd w:id="350"/>
      <w:bookmarkEnd w:id="351"/>
      <w:bookmarkEnd w:id="352"/>
      <w:bookmarkEnd w:id="353"/>
      <w:r>
        <w:t>2</w:t>
      </w:r>
      <w:r w:rsidR="004E4EBD" w:rsidRPr="008150C6">
        <w:t>.</w:t>
      </w:r>
      <w:r>
        <w:t>2</w:t>
      </w:r>
      <w:r w:rsidR="00152AA9">
        <w:t>.</w:t>
      </w:r>
      <w:r w:rsidR="004E4EBD" w:rsidRPr="008150C6">
        <w:tab/>
        <w:t xml:space="preserve">Analyse </w:t>
      </w:r>
      <w:r w:rsidR="006D134E">
        <w:t>des flux à partir de la pièce primaire de jambon :</w:t>
      </w:r>
      <w:bookmarkEnd w:id="354"/>
    </w:p>
    <w:p w14:paraId="6E74C0AB" w14:textId="4984D90F" w:rsidR="00E37F78" w:rsidRPr="00E37F78" w:rsidRDefault="00152AA9" w:rsidP="0002537E">
      <w:pPr>
        <w:pStyle w:val="Titre3"/>
      </w:pPr>
      <w:bookmarkStart w:id="355" w:name="_Toc78131683"/>
      <w:r>
        <w:t>2.2.1.</w:t>
      </w:r>
      <w:bookmarkStart w:id="356" w:name="_Hlk71074289"/>
      <w:r>
        <w:t xml:space="preserve"> </w:t>
      </w:r>
      <w:r w:rsidR="00F93328" w:rsidRPr="00F93328">
        <w:t>D</w:t>
      </w:r>
      <w:r w:rsidR="006D134E">
        <w:t>e</w:t>
      </w:r>
      <w:r w:rsidR="00F93328" w:rsidRPr="00F93328">
        <w:t>s</w:t>
      </w:r>
      <w:r w:rsidR="006D134E">
        <w:t xml:space="preserve">tination </w:t>
      </w:r>
      <w:r w:rsidR="00114BEE">
        <w:t xml:space="preserve">des pièces issues de la carcasse en équivalent </w:t>
      </w:r>
      <w:r w:rsidR="006D134E">
        <w:t>pièces primaires</w:t>
      </w:r>
      <w:bookmarkEnd w:id="355"/>
    </w:p>
    <w:p w14:paraId="3E151177" w14:textId="44FF7A08" w:rsidR="003D1EF6" w:rsidRDefault="006830AC" w:rsidP="0002537E">
      <w:pPr>
        <w:pStyle w:val="Corpsdetexte"/>
      </w:pPr>
      <w:r>
        <w:t xml:space="preserve">Cette étape </w:t>
      </w:r>
      <w:r w:rsidR="00251A39">
        <w:t xml:space="preserve">a pour point de départ le jambon en équivalent pièce primaire déterminé </w:t>
      </w:r>
      <w:r w:rsidR="00C160D2">
        <w:t>à partir de la fraction comestible</w:t>
      </w:r>
      <w:r w:rsidR="00251A39">
        <w:t xml:space="preserve"> uniquement</w:t>
      </w:r>
      <w:r w:rsidR="00C160D2">
        <w:t xml:space="preserve"> issue de la carcasse</w:t>
      </w:r>
      <w:r w:rsidR="00251A39">
        <w:t xml:space="preserve"> </w:t>
      </w:r>
      <w:r>
        <w:t>(partie 2, paragraphe 1.3.)</w:t>
      </w:r>
      <w:r w:rsidR="003D1EF6">
        <w:t xml:space="preserve">. </w:t>
      </w:r>
      <w:r w:rsidR="00A42FDB">
        <w:t xml:space="preserve">En effet, seule cette approche </w:t>
      </w:r>
      <w:r w:rsidR="003D1EF6">
        <w:t>permet de</w:t>
      </w:r>
      <w:r w:rsidR="00A42FDB">
        <w:t xml:space="preserve"> caractériser précisément la part de jambon disponible</w:t>
      </w:r>
      <w:r w:rsidR="00251A39">
        <w:t xml:space="preserve"> dans la mesure où</w:t>
      </w:r>
      <w:r w:rsidR="00A42FDB">
        <w:t xml:space="preserve"> les données</w:t>
      </w:r>
      <w:r w:rsidR="003D1EF6">
        <w:t xml:space="preserve"> agrégées</w:t>
      </w:r>
      <w:r w:rsidR="00A42FDB">
        <w:t xml:space="preserve"> issues de l’enquête Prodcom 10.11.Z</w:t>
      </w:r>
      <w:r w:rsidR="003D1EF6">
        <w:t xml:space="preserve"> </w:t>
      </w:r>
      <w:r w:rsidR="00251A39">
        <w:t>ne permettent pas d’identifier les pièces</w:t>
      </w:r>
      <w:r w:rsidR="003D1EF6">
        <w:t>.</w:t>
      </w:r>
    </w:p>
    <w:p w14:paraId="3FFD03DD" w14:textId="3503743B" w:rsidR="003D1EF6" w:rsidRDefault="00251A39" w:rsidP="009175CD">
      <w:pPr>
        <w:rPr>
          <w:lang w:eastAsia="fr-FR"/>
        </w:rPr>
      </w:pPr>
      <w:r>
        <w:rPr>
          <w:lang w:eastAsia="fr-FR"/>
        </w:rPr>
        <w:t>En conséquence, la</w:t>
      </w:r>
      <w:r w:rsidR="003D1EF6">
        <w:rPr>
          <w:lang w:eastAsia="fr-FR"/>
        </w:rPr>
        <w:t xml:space="preserve"> fraction de départ en équivalent pièce primaire de jambon </w:t>
      </w:r>
      <w:r w:rsidR="006830AC">
        <w:rPr>
          <w:lang w:eastAsia="fr-FR"/>
        </w:rPr>
        <w:t xml:space="preserve">est de 464 kt </w:t>
      </w:r>
      <w:r w:rsidR="003D1EF6">
        <w:rPr>
          <w:lang w:eastAsia="fr-FR"/>
        </w:rPr>
        <w:t xml:space="preserve">et le disponible </w:t>
      </w:r>
      <w:r>
        <w:rPr>
          <w:lang w:eastAsia="fr-FR"/>
        </w:rPr>
        <w:t xml:space="preserve">net après importation et exportation </w:t>
      </w:r>
      <w:r w:rsidR="003D1EF6">
        <w:rPr>
          <w:lang w:eastAsia="fr-FR"/>
        </w:rPr>
        <w:t>est de</w:t>
      </w:r>
      <w:r w:rsidR="006830AC">
        <w:rPr>
          <w:lang w:eastAsia="fr-FR"/>
        </w:rPr>
        <w:t xml:space="preserve"> 391 kt. </w:t>
      </w:r>
      <w:r w:rsidR="00A42FDB">
        <w:rPr>
          <w:lang w:eastAsia="fr-FR"/>
        </w:rPr>
        <w:t xml:space="preserve">Les importations correspondent aux équivalents jambons issus des carcasses importées </w:t>
      </w:r>
      <w:r w:rsidR="003D1EF6">
        <w:rPr>
          <w:lang w:eastAsia="fr-FR"/>
        </w:rPr>
        <w:t>(02031110 et 02032110 ; carcasse, demi</w:t>
      </w:r>
      <w:r w:rsidR="007F5B81">
        <w:rPr>
          <w:lang w:eastAsia="fr-FR"/>
        </w:rPr>
        <w:t>-</w:t>
      </w:r>
      <w:r w:rsidR="003D1EF6">
        <w:rPr>
          <w:lang w:eastAsia="fr-FR"/>
        </w:rPr>
        <w:t xml:space="preserve">carcasse fraîche ou réfrigérée et carcasse ou demi-carcasse congelée) </w:t>
      </w:r>
      <w:r w:rsidR="00A42FDB">
        <w:rPr>
          <w:lang w:eastAsia="fr-FR"/>
        </w:rPr>
        <w:t xml:space="preserve">et les exportations </w:t>
      </w:r>
      <w:r>
        <w:rPr>
          <w:lang w:eastAsia="fr-FR"/>
        </w:rPr>
        <w:t xml:space="preserve">à hauteur de 36 kt </w:t>
      </w:r>
      <w:r w:rsidR="00A42FDB">
        <w:rPr>
          <w:lang w:eastAsia="fr-FR"/>
        </w:rPr>
        <w:t>sont à rapprocher des exportations des pièces primaires fraîches et congelées (02031211</w:t>
      </w:r>
      <w:r w:rsidR="00E44FBD">
        <w:rPr>
          <w:lang w:eastAsia="fr-FR"/>
        </w:rPr>
        <w:t xml:space="preserve"> </w:t>
      </w:r>
      <w:r w:rsidR="00A42FDB">
        <w:rPr>
          <w:lang w:eastAsia="fr-FR"/>
        </w:rPr>
        <w:t>et 02032211</w:t>
      </w:r>
      <w:r w:rsidR="00E44FBD">
        <w:rPr>
          <w:lang w:eastAsia="fr-FR"/>
        </w:rPr>
        <w:t xml:space="preserve"> </w:t>
      </w:r>
      <w:r w:rsidR="00A42FDB">
        <w:rPr>
          <w:lang w:eastAsia="fr-FR"/>
        </w:rPr>
        <w:t>;</w:t>
      </w:r>
      <w:r>
        <w:rPr>
          <w:lang w:eastAsia="fr-FR"/>
        </w:rPr>
        <w:t xml:space="preserve"> 34 kt et 2 kt</w:t>
      </w:r>
      <w:r w:rsidR="00A42FDB">
        <w:rPr>
          <w:lang w:eastAsia="fr-FR"/>
        </w:rPr>
        <w:t>).</w:t>
      </w:r>
    </w:p>
    <w:p w14:paraId="5DD13D74" w14:textId="26BEFA1D" w:rsidR="003D1EF6" w:rsidRDefault="00CA12FB" w:rsidP="009175CD">
      <w:pPr>
        <w:rPr>
          <w:lang w:eastAsia="fr-FR"/>
        </w:rPr>
      </w:pPr>
      <w:r>
        <w:rPr>
          <w:lang w:eastAsia="fr-FR"/>
        </w:rPr>
        <w:t>L</w:t>
      </w:r>
      <w:r w:rsidR="00152AA9" w:rsidRPr="00152AA9">
        <w:rPr>
          <w:lang w:eastAsia="fr-FR"/>
        </w:rPr>
        <w:t xml:space="preserve">a part d’exportation </w:t>
      </w:r>
      <w:r w:rsidR="00E44FBD">
        <w:rPr>
          <w:lang w:eastAsia="fr-FR"/>
        </w:rPr>
        <w:t>est estimée à</w:t>
      </w:r>
      <w:r w:rsidR="00152AA9" w:rsidRPr="00152AA9">
        <w:rPr>
          <w:lang w:eastAsia="fr-FR"/>
        </w:rPr>
        <w:t xml:space="preserve"> </w:t>
      </w:r>
      <w:r w:rsidR="00E44FBD">
        <w:rPr>
          <w:lang w:eastAsia="fr-FR"/>
        </w:rPr>
        <w:t>moins de 8</w:t>
      </w:r>
      <w:r w:rsidR="00152AA9" w:rsidRPr="00152AA9">
        <w:rPr>
          <w:lang w:eastAsia="fr-FR"/>
        </w:rPr>
        <w:t xml:space="preserve">% </w:t>
      </w:r>
      <w:r w:rsidR="00B1505B">
        <w:rPr>
          <w:lang w:eastAsia="fr-FR"/>
        </w:rPr>
        <w:t>du</w:t>
      </w:r>
      <w:r w:rsidR="00E44FBD">
        <w:rPr>
          <w:lang w:eastAsia="fr-FR"/>
        </w:rPr>
        <w:t xml:space="preserve"> total </w:t>
      </w:r>
      <w:r w:rsidR="00251A39">
        <w:rPr>
          <w:lang w:eastAsia="fr-FR"/>
        </w:rPr>
        <w:t xml:space="preserve">des équivalent pièces primaires </w:t>
      </w:r>
      <w:r w:rsidR="00E44FBD">
        <w:rPr>
          <w:lang w:eastAsia="fr-FR"/>
        </w:rPr>
        <w:t>jambons bruts</w:t>
      </w:r>
      <w:r w:rsidR="00B1505B">
        <w:rPr>
          <w:lang w:eastAsia="fr-FR"/>
        </w:rPr>
        <w:t xml:space="preserve"> produit</w:t>
      </w:r>
      <w:r w:rsidR="008B012C">
        <w:rPr>
          <w:lang w:eastAsia="fr-FR"/>
        </w:rPr>
        <w:t>. L</w:t>
      </w:r>
      <w:r w:rsidR="00696C97" w:rsidRPr="00713036">
        <w:rPr>
          <w:lang w:eastAsia="fr-FR"/>
        </w:rPr>
        <w:t xml:space="preserve">e </w:t>
      </w:r>
      <w:r w:rsidR="00E44FBD">
        <w:rPr>
          <w:lang w:eastAsia="fr-FR"/>
        </w:rPr>
        <w:t xml:space="preserve">jambon </w:t>
      </w:r>
      <w:r w:rsidR="00696C97" w:rsidRPr="00713036">
        <w:rPr>
          <w:lang w:eastAsia="fr-FR"/>
        </w:rPr>
        <w:t xml:space="preserve">frais </w:t>
      </w:r>
      <w:r w:rsidR="00B1505B">
        <w:rPr>
          <w:lang w:eastAsia="fr-FR"/>
        </w:rPr>
        <w:t xml:space="preserve">disponible en fin de cette phase de découpe, </w:t>
      </w:r>
      <w:r w:rsidR="00696C97" w:rsidRPr="00713036">
        <w:rPr>
          <w:lang w:eastAsia="fr-FR"/>
        </w:rPr>
        <w:t>domine majoritairement</w:t>
      </w:r>
      <w:r w:rsidR="00E44FBD">
        <w:rPr>
          <w:lang w:eastAsia="fr-FR"/>
        </w:rPr>
        <w:t xml:space="preserve"> (91%). </w:t>
      </w:r>
      <w:r w:rsidR="008B012C">
        <w:rPr>
          <w:lang w:eastAsia="fr-FR"/>
        </w:rPr>
        <w:t xml:space="preserve">La part des </w:t>
      </w:r>
      <w:r w:rsidR="00E44FBD">
        <w:rPr>
          <w:lang w:eastAsia="fr-FR"/>
        </w:rPr>
        <w:t>gras</w:t>
      </w:r>
      <w:r w:rsidR="008B012C">
        <w:rPr>
          <w:lang w:eastAsia="fr-FR"/>
        </w:rPr>
        <w:t xml:space="preserve"> et</w:t>
      </w:r>
      <w:r w:rsidR="00E44FBD">
        <w:rPr>
          <w:lang w:eastAsia="fr-FR"/>
        </w:rPr>
        <w:t xml:space="preserve"> </w:t>
      </w:r>
      <w:r w:rsidR="008B012C">
        <w:rPr>
          <w:lang w:eastAsia="fr-FR"/>
        </w:rPr>
        <w:t xml:space="preserve">du minerai </w:t>
      </w:r>
      <w:r w:rsidR="00E44FBD">
        <w:rPr>
          <w:lang w:eastAsia="fr-FR"/>
        </w:rPr>
        <w:t>is</w:t>
      </w:r>
      <w:r w:rsidR="003D1EF6">
        <w:rPr>
          <w:lang w:eastAsia="fr-FR"/>
        </w:rPr>
        <w:t>sus</w:t>
      </w:r>
      <w:r w:rsidR="00E44FBD">
        <w:rPr>
          <w:lang w:eastAsia="fr-FR"/>
        </w:rPr>
        <w:t xml:space="preserve"> de cette</w:t>
      </w:r>
      <w:r w:rsidR="00B1505B">
        <w:rPr>
          <w:lang w:eastAsia="fr-FR"/>
        </w:rPr>
        <w:t xml:space="preserve"> étape</w:t>
      </w:r>
      <w:r w:rsidR="00E44FBD">
        <w:rPr>
          <w:lang w:eastAsia="fr-FR"/>
        </w:rPr>
        <w:t xml:space="preserve"> </w:t>
      </w:r>
      <w:r w:rsidR="003D1EF6">
        <w:rPr>
          <w:lang w:eastAsia="fr-FR"/>
        </w:rPr>
        <w:t xml:space="preserve">ont été estimés à partir de </w:t>
      </w:r>
      <w:r w:rsidR="00E44FBD">
        <w:rPr>
          <w:lang w:eastAsia="fr-FR"/>
        </w:rPr>
        <w:t>données croisées par enquête et de l’expertise du pôle viande de l’Ifip.</w:t>
      </w:r>
    </w:p>
    <w:p w14:paraId="13BF54F7" w14:textId="4D9A873C" w:rsidR="00D80D25" w:rsidRDefault="00D80D25" w:rsidP="009175CD">
      <w:pPr>
        <w:rPr>
          <w:lang w:eastAsia="fr-FR"/>
        </w:rPr>
      </w:pPr>
    </w:p>
    <w:p w14:paraId="0DF7F538" w14:textId="77777777" w:rsidR="00D80D25" w:rsidRDefault="00D80D25" w:rsidP="009175CD">
      <w:pPr>
        <w:rPr>
          <w:lang w:eastAsia="fr-FR"/>
        </w:rPr>
      </w:pPr>
      <w:bookmarkStart w:id="357" w:name="_Hlk78360411"/>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397"/>
        <w:gridCol w:w="1560"/>
        <w:gridCol w:w="1134"/>
        <w:gridCol w:w="1349"/>
        <w:gridCol w:w="1769"/>
      </w:tblGrid>
      <w:tr w:rsidR="00696C97" w:rsidRPr="009175CD" w14:paraId="503019A7" w14:textId="77777777" w:rsidTr="0002537E">
        <w:trPr>
          <w:trHeight w:val="232"/>
        </w:trPr>
        <w:tc>
          <w:tcPr>
            <w:tcW w:w="3397" w:type="dxa"/>
            <w:shd w:val="clear" w:color="auto" w:fill="A6A6A6" w:themeFill="background1" w:themeFillShade="A6"/>
            <w:vAlign w:val="center"/>
            <w:hideMark/>
          </w:tcPr>
          <w:p w14:paraId="1AAADD3A"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 </w:t>
            </w:r>
          </w:p>
        </w:tc>
        <w:tc>
          <w:tcPr>
            <w:tcW w:w="1560" w:type="dxa"/>
            <w:shd w:val="clear" w:color="auto" w:fill="A6A6A6" w:themeFill="background1" w:themeFillShade="A6"/>
            <w:vAlign w:val="center"/>
            <w:hideMark/>
          </w:tcPr>
          <w:p w14:paraId="27F5B80A"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 xml:space="preserve">Production </w:t>
            </w:r>
          </w:p>
        </w:tc>
        <w:tc>
          <w:tcPr>
            <w:tcW w:w="1134" w:type="dxa"/>
            <w:shd w:val="clear" w:color="auto" w:fill="A6A6A6" w:themeFill="background1" w:themeFillShade="A6"/>
            <w:vAlign w:val="center"/>
            <w:hideMark/>
          </w:tcPr>
          <w:p w14:paraId="18A2136E"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I</w:t>
            </w:r>
          </w:p>
        </w:tc>
        <w:tc>
          <w:tcPr>
            <w:tcW w:w="1349" w:type="dxa"/>
            <w:shd w:val="clear" w:color="auto" w:fill="A6A6A6" w:themeFill="background1" w:themeFillShade="A6"/>
            <w:vAlign w:val="center"/>
            <w:hideMark/>
          </w:tcPr>
          <w:p w14:paraId="1CD0147E"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Ex</w:t>
            </w:r>
          </w:p>
        </w:tc>
        <w:tc>
          <w:tcPr>
            <w:tcW w:w="1769" w:type="dxa"/>
            <w:shd w:val="clear" w:color="auto" w:fill="A6A6A6" w:themeFill="background1" w:themeFillShade="A6"/>
            <w:vAlign w:val="center"/>
            <w:hideMark/>
          </w:tcPr>
          <w:p w14:paraId="75AEDBB8" w14:textId="3E8D169F"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Consommation</w:t>
            </w:r>
          </w:p>
        </w:tc>
      </w:tr>
      <w:tr w:rsidR="00696C97" w:rsidRPr="009175CD" w14:paraId="4BBE4D19" w14:textId="77777777" w:rsidTr="0002537E">
        <w:trPr>
          <w:trHeight w:val="207"/>
        </w:trPr>
        <w:tc>
          <w:tcPr>
            <w:tcW w:w="3397" w:type="dxa"/>
            <w:shd w:val="clear" w:color="auto" w:fill="auto"/>
            <w:vAlign w:val="center"/>
            <w:hideMark/>
          </w:tcPr>
          <w:p w14:paraId="60550697"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Total</w:t>
            </w:r>
          </w:p>
        </w:tc>
        <w:tc>
          <w:tcPr>
            <w:tcW w:w="1560" w:type="dxa"/>
            <w:shd w:val="clear" w:color="auto" w:fill="auto"/>
            <w:vAlign w:val="center"/>
            <w:hideMark/>
          </w:tcPr>
          <w:p w14:paraId="38EAB06A" w14:textId="77777777" w:rsidR="00152AA9" w:rsidRPr="0002537E" w:rsidRDefault="00152AA9" w:rsidP="00152AA9">
            <w:pPr>
              <w:spacing w:after="0" w:line="240" w:lineRule="auto"/>
              <w:jc w:val="right"/>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464</w:t>
            </w:r>
          </w:p>
        </w:tc>
        <w:tc>
          <w:tcPr>
            <w:tcW w:w="1134" w:type="dxa"/>
            <w:shd w:val="clear" w:color="auto" w:fill="auto"/>
            <w:vAlign w:val="center"/>
            <w:hideMark/>
          </w:tcPr>
          <w:p w14:paraId="1E7E9905" w14:textId="77777777" w:rsidR="00152AA9" w:rsidRPr="0002537E" w:rsidRDefault="00152AA9" w:rsidP="00152AA9">
            <w:pPr>
              <w:spacing w:after="0" w:line="240" w:lineRule="auto"/>
              <w:jc w:val="right"/>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0,5</w:t>
            </w:r>
          </w:p>
        </w:tc>
        <w:tc>
          <w:tcPr>
            <w:tcW w:w="1349" w:type="dxa"/>
            <w:shd w:val="clear" w:color="auto" w:fill="auto"/>
            <w:vAlign w:val="center"/>
            <w:hideMark/>
          </w:tcPr>
          <w:p w14:paraId="79C1055E" w14:textId="77777777" w:rsidR="00152AA9" w:rsidRPr="0002537E" w:rsidRDefault="00152AA9" w:rsidP="00152AA9">
            <w:pPr>
              <w:spacing w:after="0" w:line="240" w:lineRule="auto"/>
              <w:jc w:val="right"/>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36</w:t>
            </w:r>
          </w:p>
        </w:tc>
        <w:tc>
          <w:tcPr>
            <w:tcW w:w="1769" w:type="dxa"/>
            <w:shd w:val="clear" w:color="auto" w:fill="auto"/>
            <w:vAlign w:val="center"/>
            <w:hideMark/>
          </w:tcPr>
          <w:p w14:paraId="7CF7DBF5" w14:textId="77777777" w:rsidR="00152AA9" w:rsidRPr="0002537E" w:rsidRDefault="00152AA9" w:rsidP="00152AA9">
            <w:pPr>
              <w:spacing w:after="0" w:line="240" w:lineRule="auto"/>
              <w:jc w:val="right"/>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428</w:t>
            </w:r>
          </w:p>
        </w:tc>
      </w:tr>
      <w:tr w:rsidR="00696C97" w:rsidRPr="009175CD" w14:paraId="63D74489" w14:textId="77777777" w:rsidTr="0002537E">
        <w:trPr>
          <w:trHeight w:val="254"/>
        </w:trPr>
        <w:tc>
          <w:tcPr>
            <w:tcW w:w="3397" w:type="dxa"/>
            <w:shd w:val="clear" w:color="auto" w:fill="auto"/>
            <w:vAlign w:val="center"/>
            <w:hideMark/>
          </w:tcPr>
          <w:p w14:paraId="5EA0A51A" w14:textId="77777777" w:rsidR="00152AA9" w:rsidRPr="00713036" w:rsidRDefault="00152AA9" w:rsidP="00152AA9">
            <w:pPr>
              <w:spacing w:after="0" w:line="240" w:lineRule="auto"/>
              <w:jc w:val="left"/>
              <w:rPr>
                <w:rFonts w:eastAsia="Times New Roman" w:cs="Arial"/>
                <w:color w:val="000000"/>
                <w:sz w:val="20"/>
                <w:szCs w:val="20"/>
                <w:lang w:eastAsia="fr-FR"/>
              </w:rPr>
            </w:pPr>
            <w:r w:rsidRPr="00713036">
              <w:rPr>
                <w:rFonts w:eastAsia="Times New Roman" w:cs="Arial"/>
                <w:color w:val="000000"/>
                <w:sz w:val="20"/>
                <w:szCs w:val="20"/>
                <w:lang w:eastAsia="fr-FR"/>
              </w:rPr>
              <w:t>Jambons bruts frais ou réfrigérés (*)</w:t>
            </w:r>
          </w:p>
        </w:tc>
        <w:tc>
          <w:tcPr>
            <w:tcW w:w="1560" w:type="dxa"/>
            <w:shd w:val="clear" w:color="auto" w:fill="auto"/>
            <w:vAlign w:val="center"/>
            <w:hideMark/>
          </w:tcPr>
          <w:p w14:paraId="53EABB4C"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424</w:t>
            </w:r>
          </w:p>
        </w:tc>
        <w:tc>
          <w:tcPr>
            <w:tcW w:w="1134" w:type="dxa"/>
            <w:shd w:val="clear" w:color="auto" w:fill="auto"/>
            <w:vAlign w:val="center"/>
            <w:hideMark/>
          </w:tcPr>
          <w:p w14:paraId="6F203F2E"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0,3</w:t>
            </w:r>
          </w:p>
        </w:tc>
        <w:tc>
          <w:tcPr>
            <w:tcW w:w="1349" w:type="dxa"/>
            <w:shd w:val="clear" w:color="auto" w:fill="auto"/>
            <w:vAlign w:val="center"/>
            <w:hideMark/>
          </w:tcPr>
          <w:p w14:paraId="4324A91E"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34</w:t>
            </w:r>
          </w:p>
        </w:tc>
        <w:tc>
          <w:tcPr>
            <w:tcW w:w="1769" w:type="dxa"/>
            <w:shd w:val="clear" w:color="auto" w:fill="auto"/>
            <w:vAlign w:val="center"/>
            <w:hideMark/>
          </w:tcPr>
          <w:p w14:paraId="7078C2D4"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357</w:t>
            </w:r>
          </w:p>
        </w:tc>
      </w:tr>
      <w:tr w:rsidR="00696C97" w:rsidRPr="009175CD" w14:paraId="6924CF41" w14:textId="77777777" w:rsidTr="0002537E">
        <w:trPr>
          <w:trHeight w:val="285"/>
        </w:trPr>
        <w:tc>
          <w:tcPr>
            <w:tcW w:w="3397" w:type="dxa"/>
            <w:shd w:val="clear" w:color="auto" w:fill="auto"/>
            <w:vAlign w:val="center"/>
            <w:hideMark/>
          </w:tcPr>
          <w:p w14:paraId="546D2FFB" w14:textId="77777777" w:rsidR="00152AA9" w:rsidRPr="00713036" w:rsidRDefault="00152AA9" w:rsidP="00152AA9">
            <w:pPr>
              <w:spacing w:after="0" w:line="240" w:lineRule="auto"/>
              <w:jc w:val="left"/>
              <w:rPr>
                <w:rFonts w:eastAsia="Times New Roman" w:cs="Arial"/>
                <w:color w:val="000000"/>
                <w:sz w:val="20"/>
                <w:szCs w:val="20"/>
                <w:lang w:eastAsia="fr-FR"/>
              </w:rPr>
            </w:pPr>
            <w:r w:rsidRPr="00713036">
              <w:rPr>
                <w:rFonts w:eastAsia="Times New Roman" w:cs="Arial"/>
                <w:color w:val="000000"/>
                <w:sz w:val="20"/>
                <w:szCs w:val="20"/>
                <w:lang w:eastAsia="fr-FR"/>
              </w:rPr>
              <w:t>Jambons bruts congelés (*)</w:t>
            </w:r>
          </w:p>
        </w:tc>
        <w:tc>
          <w:tcPr>
            <w:tcW w:w="1560" w:type="dxa"/>
            <w:shd w:val="clear" w:color="auto" w:fill="auto"/>
            <w:vAlign w:val="center"/>
            <w:hideMark/>
          </w:tcPr>
          <w:p w14:paraId="7BD6A5D1"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39</w:t>
            </w:r>
          </w:p>
        </w:tc>
        <w:tc>
          <w:tcPr>
            <w:tcW w:w="1134" w:type="dxa"/>
            <w:shd w:val="clear" w:color="auto" w:fill="auto"/>
            <w:vAlign w:val="center"/>
            <w:hideMark/>
          </w:tcPr>
          <w:p w14:paraId="74A449DE"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0,2</w:t>
            </w:r>
          </w:p>
        </w:tc>
        <w:tc>
          <w:tcPr>
            <w:tcW w:w="1349" w:type="dxa"/>
            <w:shd w:val="clear" w:color="auto" w:fill="auto"/>
            <w:vAlign w:val="center"/>
            <w:hideMark/>
          </w:tcPr>
          <w:p w14:paraId="5DB2CF18"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2</w:t>
            </w:r>
          </w:p>
        </w:tc>
        <w:tc>
          <w:tcPr>
            <w:tcW w:w="1769" w:type="dxa"/>
            <w:shd w:val="clear" w:color="auto" w:fill="auto"/>
            <w:vAlign w:val="center"/>
            <w:hideMark/>
          </w:tcPr>
          <w:p w14:paraId="2FBFB8E4"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34</w:t>
            </w:r>
          </w:p>
        </w:tc>
      </w:tr>
      <w:tr w:rsidR="00696C97" w:rsidRPr="009175CD" w14:paraId="47F2D055" w14:textId="77777777" w:rsidTr="0002537E">
        <w:trPr>
          <w:trHeight w:val="120"/>
        </w:trPr>
        <w:tc>
          <w:tcPr>
            <w:tcW w:w="3397" w:type="dxa"/>
            <w:shd w:val="clear" w:color="auto" w:fill="auto"/>
            <w:vAlign w:val="center"/>
            <w:hideMark/>
          </w:tcPr>
          <w:p w14:paraId="19E57367"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Gras de couenne, autres gras</w:t>
            </w:r>
          </w:p>
        </w:tc>
        <w:tc>
          <w:tcPr>
            <w:tcW w:w="1560" w:type="dxa"/>
            <w:shd w:val="clear" w:color="auto" w:fill="auto"/>
            <w:vAlign w:val="center"/>
            <w:hideMark/>
          </w:tcPr>
          <w:p w14:paraId="1288FD87"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134" w:type="dxa"/>
            <w:shd w:val="clear" w:color="auto" w:fill="auto"/>
            <w:vAlign w:val="center"/>
            <w:hideMark/>
          </w:tcPr>
          <w:p w14:paraId="2C72E5FB"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349" w:type="dxa"/>
            <w:shd w:val="clear" w:color="auto" w:fill="auto"/>
            <w:vAlign w:val="center"/>
            <w:hideMark/>
          </w:tcPr>
          <w:p w14:paraId="4EEDA207"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769" w:type="dxa"/>
            <w:vMerge w:val="restart"/>
            <w:shd w:val="clear" w:color="auto" w:fill="auto"/>
            <w:vAlign w:val="center"/>
            <w:hideMark/>
          </w:tcPr>
          <w:p w14:paraId="0D6DCA33" w14:textId="77777777" w:rsidR="00152AA9" w:rsidRPr="00713036" w:rsidRDefault="00152AA9" w:rsidP="0002537E">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28</w:t>
            </w:r>
          </w:p>
        </w:tc>
      </w:tr>
      <w:tr w:rsidR="00696C97" w:rsidRPr="009175CD" w14:paraId="1E54B060" w14:textId="77777777" w:rsidTr="0002537E">
        <w:trPr>
          <w:trHeight w:val="165"/>
        </w:trPr>
        <w:tc>
          <w:tcPr>
            <w:tcW w:w="3397" w:type="dxa"/>
            <w:shd w:val="clear" w:color="auto" w:fill="auto"/>
            <w:vAlign w:val="center"/>
            <w:hideMark/>
          </w:tcPr>
          <w:p w14:paraId="492F237F"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Maigre</w:t>
            </w:r>
          </w:p>
        </w:tc>
        <w:tc>
          <w:tcPr>
            <w:tcW w:w="1560" w:type="dxa"/>
            <w:shd w:val="clear" w:color="auto" w:fill="auto"/>
            <w:vAlign w:val="center"/>
            <w:hideMark/>
          </w:tcPr>
          <w:p w14:paraId="30719814"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134" w:type="dxa"/>
            <w:shd w:val="clear" w:color="auto" w:fill="auto"/>
            <w:vAlign w:val="center"/>
            <w:hideMark/>
          </w:tcPr>
          <w:p w14:paraId="10E4020C"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349" w:type="dxa"/>
            <w:shd w:val="clear" w:color="auto" w:fill="auto"/>
            <w:vAlign w:val="center"/>
            <w:hideMark/>
          </w:tcPr>
          <w:p w14:paraId="162F447A"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769" w:type="dxa"/>
            <w:vMerge/>
            <w:shd w:val="clear" w:color="auto" w:fill="auto"/>
            <w:vAlign w:val="center"/>
            <w:hideMark/>
          </w:tcPr>
          <w:p w14:paraId="2E62C60D"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p>
        </w:tc>
      </w:tr>
      <w:tr w:rsidR="00696C97" w:rsidRPr="009175CD" w14:paraId="43782B4D" w14:textId="77777777" w:rsidTr="00713036">
        <w:trPr>
          <w:trHeight w:val="77"/>
        </w:trPr>
        <w:tc>
          <w:tcPr>
            <w:tcW w:w="3397" w:type="dxa"/>
            <w:shd w:val="clear" w:color="auto" w:fill="auto"/>
            <w:vAlign w:val="center"/>
            <w:hideMark/>
          </w:tcPr>
          <w:p w14:paraId="31FF0993" w14:textId="77777777" w:rsidR="00152AA9" w:rsidRPr="00713036" w:rsidRDefault="00152AA9" w:rsidP="00152AA9">
            <w:pPr>
              <w:spacing w:after="0" w:line="240" w:lineRule="auto"/>
              <w:jc w:val="left"/>
              <w:rPr>
                <w:rFonts w:eastAsia="Times New Roman" w:cs="Arial"/>
                <w:b/>
                <w:bCs/>
                <w:color w:val="000000"/>
                <w:sz w:val="20"/>
                <w:szCs w:val="20"/>
                <w:lang w:eastAsia="fr-FR"/>
              </w:rPr>
            </w:pPr>
            <w:r w:rsidRPr="00713036">
              <w:rPr>
                <w:rFonts w:eastAsia="Times New Roman" w:cs="Arial"/>
                <w:b/>
                <w:bCs/>
                <w:color w:val="000000"/>
                <w:sz w:val="20"/>
                <w:szCs w:val="20"/>
                <w:lang w:eastAsia="fr-FR"/>
              </w:rPr>
              <w:t>Exsudat (2%)</w:t>
            </w:r>
          </w:p>
        </w:tc>
        <w:tc>
          <w:tcPr>
            <w:tcW w:w="1560" w:type="dxa"/>
            <w:shd w:val="clear" w:color="auto" w:fill="auto"/>
            <w:vAlign w:val="center"/>
            <w:hideMark/>
          </w:tcPr>
          <w:p w14:paraId="201F16CF"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134" w:type="dxa"/>
            <w:shd w:val="clear" w:color="auto" w:fill="auto"/>
            <w:vAlign w:val="center"/>
            <w:hideMark/>
          </w:tcPr>
          <w:p w14:paraId="63BAC4D6"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349" w:type="dxa"/>
            <w:shd w:val="clear" w:color="auto" w:fill="auto"/>
            <w:vAlign w:val="center"/>
            <w:hideMark/>
          </w:tcPr>
          <w:p w14:paraId="0F1E2415" w14:textId="77777777" w:rsidR="00152AA9" w:rsidRPr="00713036" w:rsidRDefault="00152AA9" w:rsidP="00152AA9">
            <w:pPr>
              <w:spacing w:after="0" w:line="240" w:lineRule="auto"/>
              <w:jc w:val="right"/>
              <w:rPr>
                <w:rFonts w:eastAsia="Times New Roman" w:cs="Arial"/>
                <w:bCs/>
                <w:i/>
                <w:iCs/>
                <w:color w:val="000000" w:themeColor="text1"/>
                <w:sz w:val="20"/>
                <w:szCs w:val="20"/>
                <w:lang w:eastAsia="fr-FR"/>
              </w:rPr>
            </w:pPr>
            <w:r w:rsidRPr="00713036">
              <w:rPr>
                <w:rFonts w:eastAsia="Times New Roman" w:cs="Arial"/>
                <w:bCs/>
                <w:i/>
                <w:iCs/>
                <w:color w:val="000000" w:themeColor="text1"/>
                <w:sz w:val="20"/>
                <w:szCs w:val="20"/>
                <w:lang w:eastAsia="fr-FR"/>
              </w:rPr>
              <w:t>_</w:t>
            </w:r>
          </w:p>
        </w:tc>
        <w:tc>
          <w:tcPr>
            <w:tcW w:w="1769" w:type="dxa"/>
            <w:shd w:val="clear" w:color="auto" w:fill="auto"/>
            <w:vAlign w:val="center"/>
            <w:hideMark/>
          </w:tcPr>
          <w:p w14:paraId="125AE10B" w14:textId="77777777" w:rsidR="00152AA9" w:rsidRPr="00713036" w:rsidRDefault="00152AA9" w:rsidP="00152AA9">
            <w:pPr>
              <w:spacing w:after="0" w:line="240" w:lineRule="auto"/>
              <w:jc w:val="left"/>
              <w:rPr>
                <w:rFonts w:eastAsia="Times New Roman" w:cs="Arial"/>
                <w:bCs/>
                <w:color w:val="000000" w:themeColor="text1"/>
                <w:sz w:val="20"/>
                <w:szCs w:val="20"/>
                <w:lang w:eastAsia="fr-FR"/>
              </w:rPr>
            </w:pPr>
            <w:r w:rsidRPr="00713036">
              <w:rPr>
                <w:rFonts w:eastAsia="Times New Roman" w:cs="Arial"/>
                <w:bCs/>
                <w:color w:val="000000" w:themeColor="text1"/>
                <w:sz w:val="20"/>
                <w:szCs w:val="20"/>
                <w:lang w:eastAsia="fr-FR"/>
              </w:rPr>
              <w:t>9</w:t>
            </w:r>
          </w:p>
        </w:tc>
      </w:tr>
    </w:tbl>
    <w:p w14:paraId="0C40FA71" w14:textId="52C36F5B" w:rsidR="00696C97" w:rsidRPr="00713036" w:rsidRDefault="00696C97" w:rsidP="0002537E">
      <w:pPr>
        <w:pStyle w:val="Lgende"/>
        <w:spacing w:after="0"/>
      </w:pPr>
      <w:r w:rsidRPr="00696C97">
        <w:t>(*) Jambon brut = Jambon sans pied classé comme abats</w:t>
      </w:r>
      <w:r w:rsidR="005A083F">
        <w:t>,</w:t>
      </w:r>
      <w:r w:rsidRPr="00696C97">
        <w:t xml:space="preserve"> </w:t>
      </w:r>
      <w:r w:rsidRPr="00713036">
        <w:t>avec jarret arri</w:t>
      </w:r>
      <w:r w:rsidR="00325915">
        <w:t>ère</w:t>
      </w:r>
      <w:r w:rsidRPr="00696C97">
        <w:t>.</w:t>
      </w:r>
    </w:p>
    <w:p w14:paraId="1B53E15B" w14:textId="612F5010" w:rsidR="00152AA9" w:rsidRPr="0002537E" w:rsidRDefault="00EF0EE8" w:rsidP="0002537E">
      <w:pPr>
        <w:pStyle w:val="figure"/>
      </w:pPr>
      <w:bookmarkStart w:id="358" w:name="_Toc72143420"/>
      <w:r w:rsidRPr="00926407">
        <w:rPr>
          <w:bCs w:val="0"/>
          <w:iCs w:val="0"/>
        </w:rPr>
        <w:t>Tableau</w:t>
      </w:r>
      <w:r w:rsidRPr="004E4274">
        <w:rPr>
          <w:i/>
        </w:rPr>
        <w:t xml:space="preserve"> </w:t>
      </w:r>
      <w:r w:rsidR="00E27D6E">
        <w:fldChar w:fldCharType="begin"/>
      </w:r>
      <w:r w:rsidR="00E27D6E">
        <w:instrText xml:space="preserve"> SEQ Tableau \* ARABIC </w:instrText>
      </w:r>
      <w:r w:rsidR="00E27D6E">
        <w:fldChar w:fldCharType="separate"/>
      </w:r>
      <w:r w:rsidR="0007597F" w:rsidRPr="0002537E">
        <w:rPr>
          <w:bCs w:val="0"/>
          <w:iCs w:val="0"/>
          <w:noProof/>
        </w:rPr>
        <w:t>73</w:t>
      </w:r>
      <w:r w:rsidR="00E27D6E">
        <w:rPr>
          <w:bCs w:val="0"/>
          <w:iCs w:val="0"/>
          <w:noProof/>
        </w:rPr>
        <w:fldChar w:fldCharType="end"/>
      </w:r>
      <w:r w:rsidR="007538FF">
        <w:t> </w:t>
      </w:r>
      <w:r w:rsidR="007538FF" w:rsidRPr="00926407">
        <w:t>:</w:t>
      </w:r>
      <w:r w:rsidRPr="00D54EC4">
        <w:rPr>
          <w:bCs w:val="0"/>
          <w:iCs w:val="0"/>
        </w:rPr>
        <w:t xml:space="preserve"> </w:t>
      </w:r>
      <w:r w:rsidR="001C25D4" w:rsidRPr="007A16BD">
        <w:rPr>
          <w:iCs w:val="0"/>
        </w:rPr>
        <w:t>Représentation tableau emploi ressource à destination de la formation de jambon en équivalent pièce primaire</w:t>
      </w:r>
      <w:bookmarkEnd w:id="358"/>
      <w:r w:rsidR="007A16BD">
        <w:rPr>
          <w:iCs w:val="0"/>
        </w:rPr>
        <w:t xml:space="preserve">. </w:t>
      </w:r>
    </w:p>
    <w:p w14:paraId="623F37C7" w14:textId="5E30E3AC" w:rsidR="005A083F" w:rsidRPr="009175CD" w:rsidRDefault="005A083F" w:rsidP="0002537E">
      <w:pPr>
        <w:pStyle w:val="Titre3"/>
      </w:pPr>
      <w:bookmarkStart w:id="359" w:name="_Toc78131684"/>
      <w:r>
        <w:t xml:space="preserve">2.2.2. </w:t>
      </w:r>
      <w:r w:rsidR="00F93328" w:rsidRPr="00713036">
        <w:rPr>
          <w:rFonts w:eastAsiaTheme="minorEastAsia"/>
        </w:rPr>
        <w:t>Destination pièces parées, muscles parés (eq. pièces secondaires)</w:t>
      </w:r>
      <w:bookmarkEnd w:id="359"/>
    </w:p>
    <w:p w14:paraId="0E106F3B" w14:textId="6DEF34E2" w:rsidR="008B012C" w:rsidRDefault="006830AC" w:rsidP="00152AA9">
      <w:pPr>
        <w:rPr>
          <w:lang w:eastAsia="fr-FR"/>
        </w:rPr>
      </w:pPr>
      <w:r>
        <w:rPr>
          <w:lang w:eastAsia="fr-FR"/>
        </w:rPr>
        <w:t>Le t</w:t>
      </w:r>
      <w:r w:rsidRPr="009175CD">
        <w:rPr>
          <w:lang w:eastAsia="fr-FR"/>
        </w:rPr>
        <w:t>otal disponible à la consommation en jambon</w:t>
      </w:r>
      <w:r w:rsidR="00EB5D7E">
        <w:rPr>
          <w:lang w:eastAsia="fr-FR"/>
        </w:rPr>
        <w:t>s parés</w:t>
      </w:r>
      <w:r w:rsidRPr="009175CD">
        <w:rPr>
          <w:lang w:eastAsia="fr-FR"/>
        </w:rPr>
        <w:t xml:space="preserve"> </w:t>
      </w:r>
      <w:r w:rsidRPr="00713036">
        <w:rPr>
          <w:bCs/>
          <w:lang w:eastAsia="fr-FR"/>
        </w:rPr>
        <w:t>e</w:t>
      </w:r>
      <w:r>
        <w:rPr>
          <w:bCs/>
          <w:lang w:eastAsia="fr-FR"/>
        </w:rPr>
        <w:t xml:space="preserve">n sortie de découpe </w:t>
      </w:r>
      <w:r w:rsidR="00EB5D7E">
        <w:rPr>
          <w:bCs/>
          <w:lang w:eastAsia="fr-FR"/>
        </w:rPr>
        <w:t xml:space="preserve">secondaire </w:t>
      </w:r>
      <w:r w:rsidR="00DC030C">
        <w:rPr>
          <w:bCs/>
          <w:lang w:eastAsia="fr-FR"/>
        </w:rPr>
        <w:t>est</w:t>
      </w:r>
      <w:r w:rsidRPr="00713036">
        <w:rPr>
          <w:bCs/>
          <w:lang w:eastAsia="fr-FR"/>
        </w:rPr>
        <w:t xml:space="preserve"> inférieur à 3</w:t>
      </w:r>
      <w:r w:rsidRPr="009175CD">
        <w:rPr>
          <w:bCs/>
          <w:lang w:eastAsia="fr-FR"/>
        </w:rPr>
        <w:t>00</w:t>
      </w:r>
      <w:r w:rsidR="00DC030C">
        <w:rPr>
          <w:bCs/>
          <w:lang w:eastAsia="fr-FR"/>
        </w:rPr>
        <w:t xml:space="preserve"> </w:t>
      </w:r>
      <w:r w:rsidRPr="00713036">
        <w:rPr>
          <w:bCs/>
          <w:lang w:eastAsia="fr-FR"/>
        </w:rPr>
        <w:t>kt</w:t>
      </w:r>
      <w:r w:rsidR="00251A39">
        <w:rPr>
          <w:bCs/>
          <w:lang w:eastAsia="fr-FR"/>
        </w:rPr>
        <w:t xml:space="preserve">. </w:t>
      </w:r>
      <w:r w:rsidR="005A083F" w:rsidRPr="009175CD">
        <w:rPr>
          <w:lang w:eastAsia="fr-FR"/>
        </w:rPr>
        <w:t>Les données obtenues par enquête on</w:t>
      </w:r>
      <w:r w:rsidR="004D679D" w:rsidRPr="009175CD">
        <w:rPr>
          <w:lang w:eastAsia="fr-FR"/>
        </w:rPr>
        <w:t>t</w:t>
      </w:r>
      <w:r w:rsidR="005A083F" w:rsidRPr="009175CD">
        <w:rPr>
          <w:lang w:eastAsia="fr-FR"/>
        </w:rPr>
        <w:t xml:space="preserve"> permis d</w:t>
      </w:r>
      <w:r w:rsidR="00DC030C">
        <w:rPr>
          <w:lang w:eastAsia="fr-FR"/>
        </w:rPr>
        <w:t>’approcher</w:t>
      </w:r>
      <w:r w:rsidR="005A083F" w:rsidRPr="009175CD">
        <w:rPr>
          <w:lang w:eastAsia="fr-FR"/>
        </w:rPr>
        <w:t xml:space="preserve"> l</w:t>
      </w:r>
      <w:r w:rsidR="00DC030C">
        <w:rPr>
          <w:lang w:eastAsia="fr-FR"/>
        </w:rPr>
        <w:t>a part relative des</w:t>
      </w:r>
      <w:r w:rsidR="005A083F" w:rsidRPr="009175CD">
        <w:rPr>
          <w:lang w:eastAsia="fr-FR"/>
        </w:rPr>
        <w:t xml:space="preserve"> typ</w:t>
      </w:r>
      <w:r w:rsidR="00E66542">
        <w:rPr>
          <w:lang w:eastAsia="fr-FR"/>
        </w:rPr>
        <w:t>es</w:t>
      </w:r>
      <w:r w:rsidR="005A083F" w:rsidRPr="009175CD">
        <w:rPr>
          <w:lang w:eastAsia="fr-FR"/>
        </w:rPr>
        <w:t xml:space="preserve"> de pièces secondaires mises en œuvre</w:t>
      </w:r>
      <w:r w:rsidR="00DC030C">
        <w:rPr>
          <w:lang w:eastAsia="fr-FR"/>
        </w:rPr>
        <w:t xml:space="preserve"> avec </w:t>
      </w:r>
      <w:r w:rsidR="00251A39">
        <w:rPr>
          <w:lang w:eastAsia="fr-FR"/>
        </w:rPr>
        <w:t xml:space="preserve">cependant </w:t>
      </w:r>
      <w:r w:rsidR="00DC030C">
        <w:rPr>
          <w:lang w:eastAsia="fr-FR"/>
        </w:rPr>
        <w:t>une</w:t>
      </w:r>
      <w:r w:rsidR="00251A39">
        <w:rPr>
          <w:lang w:eastAsia="fr-FR"/>
        </w:rPr>
        <w:t xml:space="preserve"> </w:t>
      </w:r>
      <w:r w:rsidR="00E66542">
        <w:rPr>
          <w:lang w:eastAsia="fr-FR"/>
        </w:rPr>
        <w:t>relative</w:t>
      </w:r>
      <w:r w:rsidR="00DC030C">
        <w:rPr>
          <w:lang w:eastAsia="fr-FR"/>
        </w:rPr>
        <w:t xml:space="preserve"> incertitude</w:t>
      </w:r>
      <w:r w:rsidR="00EB5D7E">
        <w:rPr>
          <w:lang w:eastAsia="fr-FR"/>
        </w:rPr>
        <w:t xml:space="preserve"> (</w:t>
      </w:r>
      <w:r w:rsidR="00EB5D7E" w:rsidRPr="008B012C">
        <w:rPr>
          <w:lang w:eastAsia="fr-FR"/>
        </w:rPr>
        <w:fldChar w:fldCharType="begin"/>
      </w:r>
      <w:r w:rsidR="00EB5D7E" w:rsidRPr="008B012C">
        <w:rPr>
          <w:lang w:eastAsia="fr-FR"/>
        </w:rPr>
        <w:instrText xml:space="preserve"> REF _Ref70871883 \h </w:instrText>
      </w:r>
      <w:r w:rsidR="008B012C" w:rsidRPr="0002537E">
        <w:rPr>
          <w:lang w:eastAsia="fr-FR"/>
        </w:rPr>
        <w:instrText xml:space="preserve"> \* MERGEFORMAT </w:instrText>
      </w:r>
      <w:r w:rsidR="00EB5D7E" w:rsidRPr="008B012C">
        <w:rPr>
          <w:lang w:eastAsia="fr-FR"/>
        </w:rPr>
      </w:r>
      <w:r w:rsidR="00EB5D7E" w:rsidRPr="008B012C">
        <w:rPr>
          <w:lang w:eastAsia="fr-FR"/>
        </w:rPr>
        <w:fldChar w:fldCharType="separate"/>
      </w:r>
      <w:r w:rsidR="0007597F" w:rsidRPr="0007597F">
        <w:t xml:space="preserve">Figure </w:t>
      </w:r>
      <w:r w:rsidR="0007597F" w:rsidRPr="0002537E">
        <w:rPr>
          <w:noProof/>
        </w:rPr>
        <w:t>32</w:t>
      </w:r>
      <w:r w:rsidR="00EB5D7E" w:rsidRPr="008B012C">
        <w:rPr>
          <w:lang w:eastAsia="fr-FR"/>
        </w:rPr>
        <w:fldChar w:fldCharType="end"/>
      </w:r>
      <w:r w:rsidR="00EB5D7E">
        <w:rPr>
          <w:lang w:eastAsia="fr-FR"/>
        </w:rPr>
        <w:t>).</w:t>
      </w:r>
      <w:r w:rsidR="009361BD" w:rsidRPr="009361BD">
        <w:rPr>
          <w:bCs/>
          <w:lang w:eastAsia="fr-FR"/>
        </w:rPr>
        <w:t xml:space="preserve"> </w:t>
      </w:r>
      <w:r w:rsidR="009361BD">
        <w:rPr>
          <w:bCs/>
          <w:lang w:eastAsia="fr-FR"/>
        </w:rPr>
        <w:t>Les incertitudes en entrée de tableau sont de 10% et de 20% en sortie compte tenu des source de données et des modes d’estimation.</w:t>
      </w:r>
    </w:p>
    <w:p w14:paraId="1ECA1DF9" w14:textId="2D0778F2" w:rsidR="00505BC9" w:rsidRPr="00EB5D7E" w:rsidRDefault="00505BC9" w:rsidP="00152AA9">
      <w:pPr>
        <w:rPr>
          <w:lang w:eastAsia="fr-FR"/>
        </w:rPr>
      </w:pPr>
      <w:r>
        <w:rPr>
          <w:lang w:eastAsia="fr-FR"/>
        </w:rPr>
        <w:t xml:space="preserve">Les volumes d’importation de 35 kt sont </w:t>
      </w:r>
      <w:r w:rsidR="00E66542">
        <w:rPr>
          <w:lang w:eastAsia="fr-FR"/>
        </w:rPr>
        <w:t xml:space="preserve">la somme </w:t>
      </w:r>
      <w:r>
        <w:rPr>
          <w:lang w:eastAsia="fr-FR"/>
        </w:rPr>
        <w:t>des importations des pièces primaires fraîches et congelées (02031211 et 02032211 ;</w:t>
      </w:r>
      <w:r w:rsidR="00251A39">
        <w:rPr>
          <w:lang w:eastAsia="fr-FR"/>
        </w:rPr>
        <w:t xml:space="preserve"> 34 kt et 1 kt</w:t>
      </w:r>
      <w:r>
        <w:rPr>
          <w:lang w:eastAsia="fr-FR"/>
        </w:rPr>
        <w:t>).</w:t>
      </w:r>
    </w:p>
    <w:tbl>
      <w:tblPr>
        <w:tblW w:w="9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680"/>
        <w:gridCol w:w="1520"/>
        <w:gridCol w:w="1032"/>
        <w:gridCol w:w="993"/>
        <w:gridCol w:w="1995"/>
      </w:tblGrid>
      <w:tr w:rsidR="005A083F" w:rsidRPr="00F93328" w14:paraId="31EE54D6" w14:textId="77777777" w:rsidTr="0002537E">
        <w:trPr>
          <w:trHeight w:val="255"/>
        </w:trPr>
        <w:tc>
          <w:tcPr>
            <w:tcW w:w="3680" w:type="dxa"/>
            <w:shd w:val="clear" w:color="auto" w:fill="A6A6A6" w:themeFill="background1" w:themeFillShade="A6"/>
            <w:tcMar>
              <w:top w:w="15" w:type="dxa"/>
              <w:left w:w="15" w:type="dxa"/>
              <w:bottom w:w="0" w:type="dxa"/>
              <w:right w:w="15" w:type="dxa"/>
            </w:tcMar>
            <w:vAlign w:val="center"/>
            <w:hideMark/>
          </w:tcPr>
          <w:p w14:paraId="74CB7E7B" w14:textId="77777777" w:rsidR="005A083F" w:rsidRPr="00713036" w:rsidRDefault="005A083F" w:rsidP="0002537E">
            <w:pPr>
              <w:spacing w:after="0" w:line="240" w:lineRule="auto"/>
              <w:rPr>
                <w:rFonts w:cs="Arial"/>
                <w:b/>
                <w:sz w:val="20"/>
                <w:szCs w:val="20"/>
                <w:lang w:eastAsia="fr-FR"/>
              </w:rPr>
            </w:pPr>
            <w:r w:rsidRPr="00713036">
              <w:rPr>
                <w:rFonts w:cs="Arial"/>
                <w:b/>
                <w:bCs/>
                <w:sz w:val="20"/>
                <w:szCs w:val="20"/>
                <w:lang w:eastAsia="fr-FR"/>
              </w:rPr>
              <w:t xml:space="preserve">Libellé </w:t>
            </w:r>
          </w:p>
        </w:tc>
        <w:tc>
          <w:tcPr>
            <w:tcW w:w="1520" w:type="dxa"/>
            <w:shd w:val="clear" w:color="auto" w:fill="A6A6A6" w:themeFill="background1" w:themeFillShade="A6"/>
            <w:tcMar>
              <w:top w:w="15" w:type="dxa"/>
              <w:left w:w="15" w:type="dxa"/>
              <w:bottom w:w="0" w:type="dxa"/>
              <w:right w:w="15" w:type="dxa"/>
            </w:tcMar>
            <w:vAlign w:val="center"/>
            <w:hideMark/>
          </w:tcPr>
          <w:p w14:paraId="3DC01DA9" w14:textId="1793EE66" w:rsidR="005A083F" w:rsidRPr="00713036" w:rsidRDefault="005A083F" w:rsidP="0002537E">
            <w:pPr>
              <w:spacing w:after="0" w:line="240" w:lineRule="auto"/>
              <w:jc w:val="center"/>
              <w:rPr>
                <w:rFonts w:cs="Arial"/>
                <w:b/>
                <w:sz w:val="20"/>
                <w:szCs w:val="20"/>
                <w:lang w:eastAsia="fr-FR"/>
              </w:rPr>
            </w:pPr>
            <w:r w:rsidRPr="00713036">
              <w:rPr>
                <w:rFonts w:cs="Arial"/>
                <w:b/>
                <w:bCs/>
                <w:sz w:val="20"/>
                <w:szCs w:val="20"/>
                <w:lang w:eastAsia="fr-FR"/>
              </w:rPr>
              <w:t>Production</w:t>
            </w:r>
          </w:p>
        </w:tc>
        <w:tc>
          <w:tcPr>
            <w:tcW w:w="1032" w:type="dxa"/>
            <w:shd w:val="clear" w:color="auto" w:fill="A6A6A6" w:themeFill="background1" w:themeFillShade="A6"/>
            <w:tcMar>
              <w:top w:w="15" w:type="dxa"/>
              <w:left w:w="15" w:type="dxa"/>
              <w:bottom w:w="0" w:type="dxa"/>
              <w:right w:w="15" w:type="dxa"/>
            </w:tcMar>
            <w:vAlign w:val="center"/>
            <w:hideMark/>
          </w:tcPr>
          <w:p w14:paraId="0E3EA24E" w14:textId="77777777" w:rsidR="005A083F" w:rsidRPr="00713036" w:rsidRDefault="005A083F" w:rsidP="0002537E">
            <w:pPr>
              <w:spacing w:after="0" w:line="240" w:lineRule="auto"/>
              <w:jc w:val="center"/>
              <w:rPr>
                <w:rFonts w:cs="Arial"/>
                <w:b/>
                <w:sz w:val="20"/>
                <w:szCs w:val="20"/>
                <w:lang w:eastAsia="fr-FR"/>
              </w:rPr>
            </w:pPr>
            <w:r w:rsidRPr="00713036">
              <w:rPr>
                <w:rFonts w:cs="Arial"/>
                <w:b/>
                <w:bCs/>
                <w:sz w:val="20"/>
                <w:szCs w:val="20"/>
                <w:lang w:eastAsia="fr-FR"/>
              </w:rPr>
              <w:t>I</w:t>
            </w:r>
          </w:p>
        </w:tc>
        <w:tc>
          <w:tcPr>
            <w:tcW w:w="993" w:type="dxa"/>
            <w:shd w:val="clear" w:color="auto" w:fill="A6A6A6" w:themeFill="background1" w:themeFillShade="A6"/>
            <w:tcMar>
              <w:top w:w="15" w:type="dxa"/>
              <w:left w:w="15" w:type="dxa"/>
              <w:bottom w:w="0" w:type="dxa"/>
              <w:right w:w="15" w:type="dxa"/>
            </w:tcMar>
            <w:vAlign w:val="center"/>
            <w:hideMark/>
          </w:tcPr>
          <w:p w14:paraId="13E54FDF" w14:textId="77777777" w:rsidR="005A083F" w:rsidRPr="00713036" w:rsidRDefault="005A083F" w:rsidP="0002537E">
            <w:pPr>
              <w:spacing w:after="0" w:line="240" w:lineRule="auto"/>
              <w:jc w:val="center"/>
              <w:rPr>
                <w:rFonts w:cs="Arial"/>
                <w:b/>
                <w:sz w:val="20"/>
                <w:szCs w:val="20"/>
                <w:lang w:eastAsia="fr-FR"/>
              </w:rPr>
            </w:pPr>
            <w:r w:rsidRPr="00713036">
              <w:rPr>
                <w:rFonts w:cs="Arial"/>
                <w:b/>
                <w:bCs/>
                <w:sz w:val="20"/>
                <w:szCs w:val="20"/>
                <w:lang w:eastAsia="fr-FR"/>
              </w:rPr>
              <w:t>Ex</w:t>
            </w:r>
          </w:p>
        </w:tc>
        <w:tc>
          <w:tcPr>
            <w:tcW w:w="1995" w:type="dxa"/>
            <w:shd w:val="clear" w:color="auto" w:fill="A6A6A6" w:themeFill="background1" w:themeFillShade="A6"/>
            <w:tcMar>
              <w:top w:w="15" w:type="dxa"/>
              <w:left w:w="15" w:type="dxa"/>
              <w:bottom w:w="0" w:type="dxa"/>
              <w:right w:w="15" w:type="dxa"/>
            </w:tcMar>
            <w:vAlign w:val="center"/>
            <w:hideMark/>
          </w:tcPr>
          <w:p w14:paraId="5F35E711" w14:textId="5231CD5D" w:rsidR="005A083F" w:rsidRPr="00713036" w:rsidRDefault="005A083F" w:rsidP="0002537E">
            <w:pPr>
              <w:spacing w:after="0" w:line="240" w:lineRule="auto"/>
              <w:jc w:val="center"/>
              <w:rPr>
                <w:rFonts w:cs="Arial"/>
                <w:b/>
                <w:sz w:val="20"/>
                <w:szCs w:val="20"/>
                <w:lang w:eastAsia="fr-FR"/>
              </w:rPr>
            </w:pPr>
            <w:r w:rsidRPr="00713036">
              <w:rPr>
                <w:rFonts w:cs="Arial"/>
                <w:b/>
                <w:bCs/>
                <w:sz w:val="20"/>
                <w:szCs w:val="20"/>
                <w:lang w:eastAsia="fr-FR"/>
              </w:rPr>
              <w:t>Consommation</w:t>
            </w:r>
          </w:p>
        </w:tc>
      </w:tr>
      <w:tr w:rsidR="00F93328" w:rsidRPr="009175CD" w14:paraId="6868E367" w14:textId="77777777" w:rsidTr="0002537E">
        <w:trPr>
          <w:trHeight w:val="336"/>
        </w:trPr>
        <w:tc>
          <w:tcPr>
            <w:tcW w:w="3680" w:type="dxa"/>
            <w:shd w:val="clear" w:color="auto" w:fill="A6A6A6" w:themeFill="background1" w:themeFillShade="A6"/>
            <w:tcMar>
              <w:top w:w="15" w:type="dxa"/>
              <w:left w:w="15" w:type="dxa"/>
              <w:bottom w:w="0" w:type="dxa"/>
              <w:right w:w="15" w:type="dxa"/>
            </w:tcMar>
            <w:vAlign w:val="center"/>
            <w:hideMark/>
          </w:tcPr>
          <w:p w14:paraId="1F397188" w14:textId="77777777" w:rsidR="005A083F" w:rsidRPr="00713036" w:rsidRDefault="005A083F" w:rsidP="0002537E">
            <w:pPr>
              <w:spacing w:after="0" w:line="240" w:lineRule="auto"/>
              <w:rPr>
                <w:rFonts w:cs="Arial"/>
                <w:sz w:val="20"/>
                <w:szCs w:val="20"/>
                <w:lang w:eastAsia="fr-FR"/>
              </w:rPr>
            </w:pPr>
            <w:r w:rsidRPr="00713036">
              <w:rPr>
                <w:rFonts w:cs="Arial"/>
                <w:b/>
                <w:bCs/>
                <w:sz w:val="20"/>
                <w:szCs w:val="20"/>
                <w:lang w:eastAsia="fr-FR"/>
              </w:rPr>
              <w:t xml:space="preserve">Total </w:t>
            </w:r>
          </w:p>
        </w:tc>
        <w:tc>
          <w:tcPr>
            <w:tcW w:w="1520" w:type="dxa"/>
            <w:shd w:val="clear" w:color="auto" w:fill="A6A6A6" w:themeFill="background1" w:themeFillShade="A6"/>
            <w:tcMar>
              <w:top w:w="15" w:type="dxa"/>
              <w:left w:w="15" w:type="dxa"/>
              <w:bottom w:w="0" w:type="dxa"/>
              <w:right w:w="15" w:type="dxa"/>
            </w:tcMar>
            <w:vAlign w:val="center"/>
            <w:hideMark/>
          </w:tcPr>
          <w:p w14:paraId="79C5356F" w14:textId="77777777" w:rsidR="005A083F" w:rsidRPr="00713036" w:rsidRDefault="005A083F" w:rsidP="0002537E">
            <w:pPr>
              <w:spacing w:after="0" w:line="240" w:lineRule="auto"/>
              <w:jc w:val="center"/>
              <w:rPr>
                <w:rFonts w:cs="Arial"/>
                <w:sz w:val="20"/>
                <w:szCs w:val="20"/>
                <w:lang w:eastAsia="fr-FR"/>
              </w:rPr>
            </w:pPr>
            <w:r w:rsidRPr="00713036">
              <w:rPr>
                <w:rFonts w:cs="Arial"/>
                <w:b/>
                <w:bCs/>
                <w:sz w:val="20"/>
                <w:szCs w:val="20"/>
                <w:lang w:eastAsia="fr-FR"/>
              </w:rPr>
              <w:t>391 [352-430]</w:t>
            </w:r>
          </w:p>
        </w:tc>
        <w:tc>
          <w:tcPr>
            <w:tcW w:w="1032" w:type="dxa"/>
            <w:shd w:val="clear" w:color="auto" w:fill="A6A6A6" w:themeFill="background1" w:themeFillShade="A6"/>
            <w:tcMar>
              <w:top w:w="15" w:type="dxa"/>
              <w:left w:w="15" w:type="dxa"/>
              <w:bottom w:w="0" w:type="dxa"/>
              <w:right w:w="15" w:type="dxa"/>
            </w:tcMar>
            <w:vAlign w:val="center"/>
            <w:hideMark/>
          </w:tcPr>
          <w:p w14:paraId="1D9FEB06" w14:textId="77777777" w:rsidR="005A083F" w:rsidRPr="00713036" w:rsidRDefault="005A083F" w:rsidP="0002537E">
            <w:pPr>
              <w:spacing w:after="0" w:line="240" w:lineRule="auto"/>
              <w:jc w:val="center"/>
              <w:rPr>
                <w:rFonts w:cs="Arial"/>
                <w:sz w:val="20"/>
                <w:szCs w:val="20"/>
                <w:lang w:eastAsia="fr-FR"/>
              </w:rPr>
            </w:pPr>
            <w:r w:rsidRPr="00713036">
              <w:rPr>
                <w:rFonts w:cs="Arial"/>
                <w:b/>
                <w:bCs/>
                <w:sz w:val="20"/>
                <w:szCs w:val="20"/>
                <w:lang w:eastAsia="fr-FR"/>
              </w:rPr>
              <w:t>35</w:t>
            </w:r>
          </w:p>
        </w:tc>
        <w:tc>
          <w:tcPr>
            <w:tcW w:w="993" w:type="dxa"/>
            <w:shd w:val="clear" w:color="auto" w:fill="A6A6A6" w:themeFill="background1" w:themeFillShade="A6"/>
            <w:tcMar>
              <w:top w:w="15" w:type="dxa"/>
              <w:left w:w="15" w:type="dxa"/>
              <w:bottom w:w="0" w:type="dxa"/>
              <w:right w:w="15" w:type="dxa"/>
            </w:tcMar>
            <w:vAlign w:val="center"/>
            <w:hideMark/>
          </w:tcPr>
          <w:p w14:paraId="1B07F6DC" w14:textId="77777777" w:rsidR="005A083F" w:rsidRPr="00713036" w:rsidRDefault="005A083F" w:rsidP="0002537E">
            <w:pPr>
              <w:spacing w:after="0" w:line="240" w:lineRule="auto"/>
              <w:jc w:val="center"/>
              <w:rPr>
                <w:rFonts w:cs="Arial"/>
                <w:sz w:val="20"/>
                <w:szCs w:val="20"/>
                <w:lang w:eastAsia="fr-FR"/>
              </w:rPr>
            </w:pPr>
            <w:r w:rsidRPr="00713036">
              <w:rPr>
                <w:rFonts w:cs="Arial"/>
                <w:b/>
                <w:bCs/>
                <w:sz w:val="20"/>
                <w:szCs w:val="20"/>
                <w:lang w:eastAsia="fr-FR"/>
              </w:rPr>
              <w:t>0</w:t>
            </w:r>
          </w:p>
        </w:tc>
        <w:tc>
          <w:tcPr>
            <w:tcW w:w="1995" w:type="dxa"/>
            <w:shd w:val="clear" w:color="auto" w:fill="A6A6A6" w:themeFill="background1" w:themeFillShade="A6"/>
            <w:tcMar>
              <w:top w:w="15" w:type="dxa"/>
              <w:left w:w="15" w:type="dxa"/>
              <w:bottom w:w="0" w:type="dxa"/>
              <w:right w:w="15" w:type="dxa"/>
            </w:tcMar>
            <w:vAlign w:val="center"/>
            <w:hideMark/>
          </w:tcPr>
          <w:p w14:paraId="1B9619CF" w14:textId="77777777" w:rsidR="005A083F" w:rsidRPr="00713036" w:rsidRDefault="005A083F" w:rsidP="0002537E">
            <w:pPr>
              <w:spacing w:after="0" w:line="240" w:lineRule="auto"/>
              <w:jc w:val="center"/>
              <w:rPr>
                <w:rFonts w:cs="Arial"/>
                <w:sz w:val="20"/>
                <w:szCs w:val="20"/>
                <w:lang w:eastAsia="fr-FR"/>
              </w:rPr>
            </w:pPr>
            <w:r w:rsidRPr="00713036">
              <w:rPr>
                <w:rFonts w:cs="Arial"/>
                <w:b/>
                <w:bCs/>
                <w:sz w:val="20"/>
                <w:szCs w:val="20"/>
                <w:lang w:eastAsia="fr-FR"/>
              </w:rPr>
              <w:t>427 [341-512]</w:t>
            </w:r>
          </w:p>
        </w:tc>
      </w:tr>
      <w:tr w:rsidR="005A083F" w:rsidRPr="009175CD" w14:paraId="061B2EB8" w14:textId="77777777" w:rsidTr="0002537E">
        <w:tc>
          <w:tcPr>
            <w:tcW w:w="3680" w:type="dxa"/>
            <w:shd w:val="clear" w:color="auto" w:fill="auto"/>
            <w:tcMar>
              <w:top w:w="15" w:type="dxa"/>
              <w:left w:w="15" w:type="dxa"/>
              <w:bottom w:w="0" w:type="dxa"/>
              <w:right w:w="15" w:type="dxa"/>
            </w:tcMar>
            <w:vAlign w:val="center"/>
            <w:hideMark/>
          </w:tcPr>
          <w:p w14:paraId="1AE8D205" w14:textId="089848FD"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 5D</w:t>
            </w:r>
          </w:p>
        </w:tc>
        <w:tc>
          <w:tcPr>
            <w:tcW w:w="1520" w:type="dxa"/>
            <w:shd w:val="clear" w:color="auto" w:fill="auto"/>
            <w:tcMar>
              <w:top w:w="15" w:type="dxa"/>
              <w:left w:w="15" w:type="dxa"/>
              <w:bottom w:w="0" w:type="dxa"/>
              <w:right w:w="15" w:type="dxa"/>
            </w:tcMar>
            <w:vAlign w:val="center"/>
            <w:hideMark/>
          </w:tcPr>
          <w:p w14:paraId="70CDB6FF" w14:textId="618EB0AF"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233 [210-256]</w:t>
            </w:r>
          </w:p>
        </w:tc>
        <w:tc>
          <w:tcPr>
            <w:tcW w:w="1032" w:type="dxa"/>
            <w:vMerge w:val="restart"/>
            <w:shd w:val="clear" w:color="auto" w:fill="auto"/>
            <w:tcMar>
              <w:top w:w="15" w:type="dxa"/>
              <w:left w:w="15" w:type="dxa"/>
              <w:bottom w:w="0" w:type="dxa"/>
              <w:right w:w="15" w:type="dxa"/>
            </w:tcMar>
            <w:vAlign w:val="center"/>
            <w:hideMark/>
          </w:tcPr>
          <w:p w14:paraId="1EF242C9" w14:textId="5E33315F"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35</w:t>
            </w:r>
          </w:p>
        </w:tc>
        <w:tc>
          <w:tcPr>
            <w:tcW w:w="993" w:type="dxa"/>
            <w:vMerge w:val="restart"/>
            <w:shd w:val="clear" w:color="auto" w:fill="auto"/>
            <w:tcMar>
              <w:top w:w="15" w:type="dxa"/>
              <w:left w:w="15" w:type="dxa"/>
              <w:bottom w:w="0" w:type="dxa"/>
              <w:right w:w="15" w:type="dxa"/>
            </w:tcMar>
            <w:vAlign w:val="center"/>
            <w:hideMark/>
          </w:tcPr>
          <w:p w14:paraId="4EF8CD18"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39E0F4C6" w14:textId="337F19F6"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152 [122-182]</w:t>
            </w:r>
          </w:p>
        </w:tc>
      </w:tr>
      <w:tr w:rsidR="005A083F" w:rsidRPr="009175CD" w14:paraId="411CB6AE" w14:textId="77777777" w:rsidTr="0002537E">
        <w:tc>
          <w:tcPr>
            <w:tcW w:w="3680" w:type="dxa"/>
            <w:shd w:val="clear" w:color="auto" w:fill="auto"/>
            <w:tcMar>
              <w:top w:w="15" w:type="dxa"/>
              <w:left w:w="15" w:type="dxa"/>
              <w:bottom w:w="0" w:type="dxa"/>
              <w:right w:w="15" w:type="dxa"/>
            </w:tcMar>
            <w:vAlign w:val="center"/>
            <w:hideMark/>
          </w:tcPr>
          <w:p w14:paraId="5BDBF3B4"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 xml:space="preserve">Jambon sans mouille </w:t>
            </w:r>
          </w:p>
        </w:tc>
        <w:tc>
          <w:tcPr>
            <w:tcW w:w="1520" w:type="dxa"/>
            <w:shd w:val="clear" w:color="auto" w:fill="auto"/>
            <w:tcMar>
              <w:top w:w="15" w:type="dxa"/>
              <w:left w:w="15" w:type="dxa"/>
              <w:bottom w:w="0" w:type="dxa"/>
              <w:right w:w="15" w:type="dxa"/>
            </w:tcMar>
            <w:vAlign w:val="center"/>
            <w:hideMark/>
          </w:tcPr>
          <w:p w14:paraId="20211656" w14:textId="7D4BD747"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39 [35-43]</w:t>
            </w:r>
          </w:p>
        </w:tc>
        <w:tc>
          <w:tcPr>
            <w:tcW w:w="1032" w:type="dxa"/>
            <w:vMerge/>
            <w:shd w:val="clear" w:color="auto" w:fill="auto"/>
            <w:vAlign w:val="center"/>
            <w:hideMark/>
          </w:tcPr>
          <w:p w14:paraId="3062A1D5"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52E731E2"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0A718C36" w14:textId="0FACEC3D"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30 [24-36]</w:t>
            </w:r>
          </w:p>
        </w:tc>
      </w:tr>
      <w:tr w:rsidR="005A083F" w:rsidRPr="009175CD" w14:paraId="3FB6F9B7" w14:textId="77777777" w:rsidTr="0002537E">
        <w:tc>
          <w:tcPr>
            <w:tcW w:w="3680" w:type="dxa"/>
            <w:shd w:val="clear" w:color="auto" w:fill="auto"/>
            <w:tcMar>
              <w:top w:w="15" w:type="dxa"/>
              <w:left w:w="15" w:type="dxa"/>
              <w:bottom w:w="0" w:type="dxa"/>
              <w:right w:w="15" w:type="dxa"/>
            </w:tcMar>
            <w:vAlign w:val="center"/>
            <w:hideMark/>
          </w:tcPr>
          <w:p w14:paraId="0598FA7F"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 4D et autres</w:t>
            </w:r>
          </w:p>
        </w:tc>
        <w:tc>
          <w:tcPr>
            <w:tcW w:w="1520" w:type="dxa"/>
            <w:shd w:val="clear" w:color="auto" w:fill="auto"/>
            <w:tcMar>
              <w:top w:w="15" w:type="dxa"/>
              <w:left w:w="15" w:type="dxa"/>
              <w:bottom w:w="0" w:type="dxa"/>
              <w:right w:w="15" w:type="dxa"/>
            </w:tcMar>
            <w:vAlign w:val="center"/>
            <w:hideMark/>
          </w:tcPr>
          <w:p w14:paraId="58CE7FF9" w14:textId="3D648503"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25 [23-28]</w:t>
            </w:r>
          </w:p>
        </w:tc>
        <w:tc>
          <w:tcPr>
            <w:tcW w:w="1032" w:type="dxa"/>
            <w:vMerge/>
            <w:shd w:val="clear" w:color="auto" w:fill="auto"/>
            <w:vAlign w:val="center"/>
            <w:hideMark/>
          </w:tcPr>
          <w:p w14:paraId="05106940"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61A25E0A"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2CFEA2C4" w14:textId="30B805A2"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20 [16-24]</w:t>
            </w:r>
          </w:p>
        </w:tc>
      </w:tr>
      <w:tr w:rsidR="005A083F" w:rsidRPr="009175CD" w14:paraId="4B81000F" w14:textId="77777777" w:rsidTr="0002537E">
        <w:tc>
          <w:tcPr>
            <w:tcW w:w="3680" w:type="dxa"/>
            <w:shd w:val="clear" w:color="auto" w:fill="auto"/>
            <w:tcMar>
              <w:top w:w="15" w:type="dxa"/>
              <w:left w:w="15" w:type="dxa"/>
              <w:bottom w:w="0" w:type="dxa"/>
              <w:right w:w="15" w:type="dxa"/>
            </w:tcMar>
            <w:vAlign w:val="center"/>
            <w:hideMark/>
          </w:tcPr>
          <w:p w14:paraId="6996CA61"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 Coupe S/S</w:t>
            </w:r>
          </w:p>
        </w:tc>
        <w:tc>
          <w:tcPr>
            <w:tcW w:w="1520" w:type="dxa"/>
            <w:shd w:val="clear" w:color="auto" w:fill="auto"/>
            <w:tcMar>
              <w:top w:w="15" w:type="dxa"/>
              <w:left w:w="15" w:type="dxa"/>
              <w:bottom w:w="0" w:type="dxa"/>
              <w:right w:w="15" w:type="dxa"/>
            </w:tcMar>
            <w:vAlign w:val="center"/>
            <w:hideMark/>
          </w:tcPr>
          <w:p w14:paraId="58DED077" w14:textId="68E0CF9E"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50 [45-55]</w:t>
            </w:r>
          </w:p>
        </w:tc>
        <w:tc>
          <w:tcPr>
            <w:tcW w:w="1032" w:type="dxa"/>
            <w:vMerge/>
            <w:shd w:val="clear" w:color="auto" w:fill="auto"/>
            <w:vAlign w:val="center"/>
            <w:hideMark/>
          </w:tcPr>
          <w:p w14:paraId="76F04E47"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7BF7ECF4"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714A53E2" w14:textId="6C7C6A21"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46 [37-55]</w:t>
            </w:r>
          </w:p>
        </w:tc>
      </w:tr>
      <w:tr w:rsidR="005A083F" w:rsidRPr="009175CD" w14:paraId="69FBA4F5" w14:textId="77777777" w:rsidTr="0002537E">
        <w:tc>
          <w:tcPr>
            <w:tcW w:w="3680" w:type="dxa"/>
            <w:shd w:val="clear" w:color="auto" w:fill="auto"/>
            <w:tcMar>
              <w:top w:w="15" w:type="dxa"/>
              <w:left w:w="15" w:type="dxa"/>
              <w:bottom w:w="0" w:type="dxa"/>
              <w:right w:w="15" w:type="dxa"/>
            </w:tcMar>
            <w:vAlign w:val="center"/>
            <w:hideMark/>
          </w:tcPr>
          <w:p w14:paraId="2EEC1C23"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 Coupe Parme et apparentés</w:t>
            </w:r>
          </w:p>
        </w:tc>
        <w:tc>
          <w:tcPr>
            <w:tcW w:w="1520" w:type="dxa"/>
            <w:shd w:val="clear" w:color="auto" w:fill="auto"/>
            <w:tcMar>
              <w:top w:w="15" w:type="dxa"/>
              <w:left w:w="15" w:type="dxa"/>
              <w:bottom w:w="0" w:type="dxa"/>
              <w:right w:w="15" w:type="dxa"/>
            </w:tcMar>
            <w:vAlign w:val="center"/>
            <w:hideMark/>
          </w:tcPr>
          <w:p w14:paraId="330038A4" w14:textId="489F051C"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30 [27-33]</w:t>
            </w:r>
          </w:p>
        </w:tc>
        <w:tc>
          <w:tcPr>
            <w:tcW w:w="1032" w:type="dxa"/>
            <w:vMerge/>
            <w:shd w:val="clear" w:color="auto" w:fill="auto"/>
            <w:vAlign w:val="center"/>
            <w:hideMark/>
          </w:tcPr>
          <w:p w14:paraId="2A89C1D2"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01DD71C1"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2761B223" w14:textId="74702CBA"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35 [28-42]</w:t>
            </w:r>
          </w:p>
        </w:tc>
      </w:tr>
      <w:tr w:rsidR="005A083F" w:rsidRPr="009175CD" w14:paraId="3C2C7795" w14:textId="77777777" w:rsidTr="0002537E">
        <w:trPr>
          <w:trHeight w:val="293"/>
        </w:trPr>
        <w:tc>
          <w:tcPr>
            <w:tcW w:w="3680" w:type="dxa"/>
            <w:shd w:val="clear" w:color="auto" w:fill="auto"/>
            <w:tcMar>
              <w:top w:w="15" w:type="dxa"/>
              <w:left w:w="15" w:type="dxa"/>
              <w:bottom w:w="0" w:type="dxa"/>
              <w:right w:w="15" w:type="dxa"/>
            </w:tcMar>
            <w:vAlign w:val="center"/>
            <w:hideMark/>
          </w:tcPr>
          <w:p w14:paraId="75F43D57"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Jambonneau et autres pièces</w:t>
            </w:r>
          </w:p>
        </w:tc>
        <w:tc>
          <w:tcPr>
            <w:tcW w:w="1520" w:type="dxa"/>
            <w:shd w:val="clear" w:color="auto" w:fill="auto"/>
            <w:tcMar>
              <w:top w:w="15" w:type="dxa"/>
              <w:left w:w="15" w:type="dxa"/>
              <w:bottom w:w="0" w:type="dxa"/>
              <w:right w:w="15" w:type="dxa"/>
            </w:tcMar>
            <w:vAlign w:val="center"/>
            <w:hideMark/>
          </w:tcPr>
          <w:p w14:paraId="35E239DA" w14:textId="239256BA"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14 [13-15]</w:t>
            </w:r>
          </w:p>
        </w:tc>
        <w:tc>
          <w:tcPr>
            <w:tcW w:w="1032" w:type="dxa"/>
            <w:vMerge/>
            <w:shd w:val="clear" w:color="auto" w:fill="auto"/>
            <w:vAlign w:val="center"/>
            <w:hideMark/>
          </w:tcPr>
          <w:p w14:paraId="42D234CA" w14:textId="77777777" w:rsidR="005A083F" w:rsidRPr="00713036" w:rsidRDefault="005A083F" w:rsidP="0002537E">
            <w:pPr>
              <w:spacing w:after="0" w:line="240" w:lineRule="auto"/>
              <w:jc w:val="center"/>
              <w:rPr>
                <w:rFonts w:cs="Arial"/>
                <w:sz w:val="20"/>
                <w:szCs w:val="20"/>
                <w:lang w:eastAsia="fr-FR"/>
              </w:rPr>
            </w:pPr>
          </w:p>
        </w:tc>
        <w:tc>
          <w:tcPr>
            <w:tcW w:w="993" w:type="dxa"/>
            <w:vMerge/>
            <w:shd w:val="clear" w:color="auto" w:fill="auto"/>
            <w:vAlign w:val="center"/>
            <w:hideMark/>
          </w:tcPr>
          <w:p w14:paraId="154005FF" w14:textId="77777777" w:rsidR="005A083F" w:rsidRPr="00713036" w:rsidRDefault="005A083F" w:rsidP="0002537E">
            <w:pPr>
              <w:spacing w:after="0" w:line="240" w:lineRule="auto"/>
              <w:jc w:val="center"/>
              <w:rPr>
                <w:rFonts w:cs="Arial"/>
                <w:sz w:val="20"/>
                <w:szCs w:val="20"/>
                <w:lang w:eastAsia="fr-FR"/>
              </w:rPr>
            </w:pPr>
          </w:p>
        </w:tc>
        <w:tc>
          <w:tcPr>
            <w:tcW w:w="1995" w:type="dxa"/>
            <w:shd w:val="clear" w:color="auto" w:fill="A6A6A6" w:themeFill="background1" w:themeFillShade="A6"/>
            <w:tcMar>
              <w:top w:w="15" w:type="dxa"/>
              <w:left w:w="15" w:type="dxa"/>
              <w:bottom w:w="0" w:type="dxa"/>
              <w:right w:w="15" w:type="dxa"/>
            </w:tcMar>
            <w:vAlign w:val="center"/>
            <w:hideMark/>
          </w:tcPr>
          <w:p w14:paraId="5432CE98" w14:textId="51C35E0E"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12 [10-14]</w:t>
            </w:r>
          </w:p>
        </w:tc>
      </w:tr>
      <w:tr w:rsidR="005A083F" w:rsidRPr="009175CD" w14:paraId="05088F1F" w14:textId="77777777" w:rsidTr="0002537E">
        <w:tc>
          <w:tcPr>
            <w:tcW w:w="3680" w:type="dxa"/>
            <w:shd w:val="clear" w:color="auto" w:fill="auto"/>
            <w:tcMar>
              <w:top w:w="15" w:type="dxa"/>
              <w:left w:w="15" w:type="dxa"/>
              <w:bottom w:w="0" w:type="dxa"/>
              <w:right w:w="15" w:type="dxa"/>
            </w:tcMar>
            <w:vAlign w:val="center"/>
            <w:hideMark/>
          </w:tcPr>
          <w:p w14:paraId="7E414D18"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Eau (maturation/évaporation) (3%)</w:t>
            </w:r>
          </w:p>
        </w:tc>
        <w:tc>
          <w:tcPr>
            <w:tcW w:w="1520" w:type="dxa"/>
            <w:shd w:val="clear" w:color="auto" w:fill="auto"/>
            <w:tcMar>
              <w:top w:w="15" w:type="dxa"/>
              <w:left w:w="15" w:type="dxa"/>
              <w:bottom w:w="0" w:type="dxa"/>
              <w:right w:w="15" w:type="dxa"/>
            </w:tcMar>
            <w:vAlign w:val="center"/>
            <w:hideMark/>
          </w:tcPr>
          <w:p w14:paraId="2A379572" w14:textId="212D6FC3" w:rsidR="005A083F" w:rsidRPr="00713036" w:rsidRDefault="005A083F" w:rsidP="0002537E">
            <w:pPr>
              <w:spacing w:after="0" w:line="240" w:lineRule="auto"/>
              <w:jc w:val="center"/>
              <w:rPr>
                <w:rFonts w:cs="Arial"/>
                <w:sz w:val="20"/>
                <w:szCs w:val="20"/>
                <w:lang w:eastAsia="fr-FR"/>
              </w:rPr>
            </w:pPr>
          </w:p>
        </w:tc>
        <w:tc>
          <w:tcPr>
            <w:tcW w:w="1032" w:type="dxa"/>
            <w:shd w:val="clear" w:color="auto" w:fill="auto"/>
            <w:tcMar>
              <w:top w:w="15" w:type="dxa"/>
              <w:left w:w="15" w:type="dxa"/>
              <w:bottom w:w="0" w:type="dxa"/>
              <w:right w:w="15" w:type="dxa"/>
            </w:tcMar>
            <w:vAlign w:val="center"/>
            <w:hideMark/>
          </w:tcPr>
          <w:p w14:paraId="316CF67B" w14:textId="6CF9F1CF" w:rsidR="005A083F" w:rsidRPr="00713036" w:rsidRDefault="005A083F" w:rsidP="0002537E">
            <w:pPr>
              <w:spacing w:after="0" w:line="240" w:lineRule="auto"/>
              <w:jc w:val="center"/>
              <w:rPr>
                <w:rFonts w:cs="Arial"/>
                <w:sz w:val="20"/>
                <w:szCs w:val="20"/>
                <w:lang w:eastAsia="fr-FR"/>
              </w:rPr>
            </w:pPr>
          </w:p>
        </w:tc>
        <w:tc>
          <w:tcPr>
            <w:tcW w:w="993" w:type="dxa"/>
            <w:shd w:val="clear" w:color="auto" w:fill="auto"/>
            <w:tcMar>
              <w:top w:w="15" w:type="dxa"/>
              <w:left w:w="15" w:type="dxa"/>
              <w:bottom w:w="0" w:type="dxa"/>
              <w:right w:w="15" w:type="dxa"/>
            </w:tcMar>
            <w:vAlign w:val="center"/>
            <w:hideMark/>
          </w:tcPr>
          <w:p w14:paraId="3C388BC6" w14:textId="1898E949" w:rsidR="005A083F" w:rsidRPr="00713036" w:rsidRDefault="005A083F" w:rsidP="0002537E">
            <w:pPr>
              <w:spacing w:after="0" w:line="240" w:lineRule="auto"/>
              <w:jc w:val="center"/>
              <w:rPr>
                <w:rFonts w:cs="Arial"/>
                <w:sz w:val="20"/>
                <w:szCs w:val="20"/>
                <w:lang w:eastAsia="fr-FR"/>
              </w:rPr>
            </w:pPr>
          </w:p>
        </w:tc>
        <w:tc>
          <w:tcPr>
            <w:tcW w:w="1995" w:type="dxa"/>
            <w:shd w:val="clear" w:color="auto" w:fill="auto"/>
            <w:tcMar>
              <w:top w:w="15" w:type="dxa"/>
              <w:left w:w="15" w:type="dxa"/>
              <w:bottom w:w="0" w:type="dxa"/>
              <w:right w:w="15" w:type="dxa"/>
            </w:tcMar>
            <w:vAlign w:val="center"/>
            <w:hideMark/>
          </w:tcPr>
          <w:p w14:paraId="60570285" w14:textId="1258B3DE"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12 [10-14]</w:t>
            </w:r>
          </w:p>
        </w:tc>
      </w:tr>
      <w:tr w:rsidR="005A083F" w:rsidRPr="009175CD" w14:paraId="2D7F62A3" w14:textId="77777777" w:rsidTr="0002537E">
        <w:trPr>
          <w:trHeight w:val="400"/>
        </w:trPr>
        <w:tc>
          <w:tcPr>
            <w:tcW w:w="3680" w:type="dxa"/>
            <w:shd w:val="clear" w:color="auto" w:fill="auto"/>
            <w:tcMar>
              <w:top w:w="15" w:type="dxa"/>
              <w:left w:w="15" w:type="dxa"/>
              <w:bottom w:w="0" w:type="dxa"/>
              <w:right w:w="15" w:type="dxa"/>
            </w:tcMar>
            <w:vAlign w:val="center"/>
            <w:hideMark/>
          </w:tcPr>
          <w:p w14:paraId="346753D5" w14:textId="77777777"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Gras (lard, graisse de porc non fondue) (env. 15%)</w:t>
            </w:r>
          </w:p>
        </w:tc>
        <w:tc>
          <w:tcPr>
            <w:tcW w:w="1520" w:type="dxa"/>
            <w:shd w:val="clear" w:color="auto" w:fill="auto"/>
            <w:tcMar>
              <w:top w:w="15" w:type="dxa"/>
              <w:left w:w="15" w:type="dxa"/>
              <w:bottom w:w="0" w:type="dxa"/>
              <w:right w:w="15" w:type="dxa"/>
            </w:tcMar>
            <w:vAlign w:val="center"/>
            <w:hideMark/>
          </w:tcPr>
          <w:p w14:paraId="7B07D55D" w14:textId="672541DC" w:rsidR="005A083F" w:rsidRPr="00713036" w:rsidRDefault="005A083F" w:rsidP="0002537E">
            <w:pPr>
              <w:spacing w:after="0" w:line="240" w:lineRule="auto"/>
              <w:jc w:val="center"/>
              <w:rPr>
                <w:rFonts w:cs="Arial"/>
                <w:sz w:val="20"/>
                <w:szCs w:val="20"/>
                <w:lang w:eastAsia="fr-FR"/>
              </w:rPr>
            </w:pPr>
          </w:p>
        </w:tc>
        <w:tc>
          <w:tcPr>
            <w:tcW w:w="1032" w:type="dxa"/>
            <w:shd w:val="clear" w:color="auto" w:fill="auto"/>
            <w:tcMar>
              <w:top w:w="15" w:type="dxa"/>
              <w:left w:w="15" w:type="dxa"/>
              <w:bottom w:w="0" w:type="dxa"/>
              <w:right w:w="15" w:type="dxa"/>
            </w:tcMar>
            <w:vAlign w:val="center"/>
            <w:hideMark/>
          </w:tcPr>
          <w:p w14:paraId="76913975" w14:textId="4BBE8C68" w:rsidR="005A083F" w:rsidRPr="00713036" w:rsidRDefault="005A083F" w:rsidP="0002537E">
            <w:pPr>
              <w:spacing w:after="0" w:line="240" w:lineRule="auto"/>
              <w:jc w:val="center"/>
              <w:rPr>
                <w:rFonts w:cs="Arial"/>
                <w:sz w:val="20"/>
                <w:szCs w:val="20"/>
                <w:lang w:eastAsia="fr-FR"/>
              </w:rPr>
            </w:pPr>
          </w:p>
        </w:tc>
        <w:tc>
          <w:tcPr>
            <w:tcW w:w="993" w:type="dxa"/>
            <w:shd w:val="clear" w:color="auto" w:fill="auto"/>
            <w:tcMar>
              <w:top w:w="15" w:type="dxa"/>
              <w:left w:w="15" w:type="dxa"/>
              <w:bottom w:w="0" w:type="dxa"/>
              <w:right w:w="15" w:type="dxa"/>
            </w:tcMar>
            <w:vAlign w:val="center"/>
            <w:hideMark/>
          </w:tcPr>
          <w:p w14:paraId="3C563444" w14:textId="3D3A4879" w:rsidR="005A083F" w:rsidRPr="00713036" w:rsidRDefault="005A083F" w:rsidP="0002537E">
            <w:pPr>
              <w:spacing w:after="0" w:line="240" w:lineRule="auto"/>
              <w:jc w:val="center"/>
              <w:rPr>
                <w:rFonts w:cs="Arial"/>
                <w:sz w:val="20"/>
                <w:szCs w:val="20"/>
                <w:lang w:eastAsia="fr-FR"/>
              </w:rPr>
            </w:pPr>
          </w:p>
        </w:tc>
        <w:tc>
          <w:tcPr>
            <w:tcW w:w="1995" w:type="dxa"/>
            <w:shd w:val="clear" w:color="auto" w:fill="auto"/>
            <w:tcMar>
              <w:top w:w="15" w:type="dxa"/>
              <w:left w:w="15" w:type="dxa"/>
              <w:bottom w:w="0" w:type="dxa"/>
              <w:right w:w="15" w:type="dxa"/>
            </w:tcMar>
            <w:vAlign w:val="center"/>
            <w:hideMark/>
          </w:tcPr>
          <w:p w14:paraId="521FEACC" w14:textId="2AB26B91"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41 [33-49]</w:t>
            </w:r>
          </w:p>
        </w:tc>
      </w:tr>
      <w:tr w:rsidR="005A083F" w:rsidRPr="009175CD" w14:paraId="509BDDA7" w14:textId="77777777" w:rsidTr="0002537E">
        <w:trPr>
          <w:trHeight w:val="486"/>
        </w:trPr>
        <w:tc>
          <w:tcPr>
            <w:tcW w:w="3680" w:type="dxa"/>
            <w:shd w:val="clear" w:color="auto" w:fill="auto"/>
            <w:tcMar>
              <w:top w:w="15" w:type="dxa"/>
              <w:left w:w="15" w:type="dxa"/>
              <w:bottom w:w="0" w:type="dxa"/>
              <w:right w:w="15" w:type="dxa"/>
            </w:tcMar>
            <w:vAlign w:val="center"/>
            <w:hideMark/>
          </w:tcPr>
          <w:p w14:paraId="0AF7C87B" w14:textId="5D2E7C2C" w:rsidR="005A083F" w:rsidRPr="00713036" w:rsidRDefault="005A083F" w:rsidP="0002537E">
            <w:pPr>
              <w:spacing w:after="0" w:line="240" w:lineRule="auto"/>
              <w:jc w:val="left"/>
              <w:rPr>
                <w:rFonts w:cs="Arial"/>
                <w:sz w:val="20"/>
                <w:szCs w:val="20"/>
                <w:lang w:eastAsia="fr-FR"/>
              </w:rPr>
            </w:pPr>
            <w:r w:rsidRPr="00713036">
              <w:rPr>
                <w:rFonts w:cs="Arial"/>
                <w:sz w:val="20"/>
                <w:szCs w:val="20"/>
                <w:lang w:eastAsia="fr-FR"/>
              </w:rPr>
              <w:t>Parage (petites viande</w:t>
            </w:r>
            <w:r w:rsidR="00E66542">
              <w:rPr>
                <w:rFonts w:cs="Arial"/>
                <w:sz w:val="20"/>
                <w:szCs w:val="20"/>
                <w:lang w:eastAsia="fr-FR"/>
              </w:rPr>
              <w:t>s</w:t>
            </w:r>
            <w:r w:rsidRPr="00713036">
              <w:rPr>
                <w:rFonts w:cs="Arial"/>
                <w:sz w:val="20"/>
                <w:szCs w:val="20"/>
                <w:lang w:eastAsia="fr-FR"/>
              </w:rPr>
              <w:t xml:space="preserve">, </w:t>
            </w:r>
            <w:r w:rsidRPr="009175CD">
              <w:rPr>
                <w:rFonts w:cs="Arial"/>
                <w:sz w:val="20"/>
                <w:szCs w:val="20"/>
                <w:lang w:eastAsia="fr-FR"/>
              </w:rPr>
              <w:t>aponévrose</w:t>
            </w:r>
            <w:r w:rsidR="00E66542">
              <w:rPr>
                <w:rFonts w:cs="Arial"/>
                <w:sz w:val="20"/>
                <w:szCs w:val="20"/>
                <w:lang w:eastAsia="fr-FR"/>
              </w:rPr>
              <w:t>s</w:t>
            </w:r>
            <w:r w:rsidRPr="009175CD">
              <w:rPr>
                <w:rFonts w:cs="Arial"/>
                <w:sz w:val="20"/>
                <w:szCs w:val="20"/>
                <w:lang w:eastAsia="fr-FR"/>
              </w:rPr>
              <w:t>) (</w:t>
            </w:r>
            <w:r w:rsidRPr="00713036">
              <w:rPr>
                <w:rFonts w:cs="Arial"/>
                <w:sz w:val="20"/>
                <w:szCs w:val="20"/>
                <w:lang w:eastAsia="fr-FR"/>
              </w:rPr>
              <w:t>env. 20%)</w:t>
            </w:r>
          </w:p>
        </w:tc>
        <w:tc>
          <w:tcPr>
            <w:tcW w:w="1520" w:type="dxa"/>
            <w:shd w:val="clear" w:color="auto" w:fill="auto"/>
            <w:tcMar>
              <w:top w:w="15" w:type="dxa"/>
              <w:left w:w="15" w:type="dxa"/>
              <w:bottom w:w="0" w:type="dxa"/>
              <w:right w:w="15" w:type="dxa"/>
            </w:tcMar>
            <w:vAlign w:val="center"/>
            <w:hideMark/>
          </w:tcPr>
          <w:p w14:paraId="5ED2D22D" w14:textId="1B5C93B4" w:rsidR="005A083F" w:rsidRPr="00713036" w:rsidRDefault="005A083F" w:rsidP="0002537E">
            <w:pPr>
              <w:spacing w:after="0" w:line="240" w:lineRule="auto"/>
              <w:jc w:val="center"/>
              <w:rPr>
                <w:rFonts w:cs="Arial"/>
                <w:sz w:val="20"/>
                <w:szCs w:val="20"/>
                <w:lang w:eastAsia="fr-FR"/>
              </w:rPr>
            </w:pPr>
          </w:p>
        </w:tc>
        <w:tc>
          <w:tcPr>
            <w:tcW w:w="1032" w:type="dxa"/>
            <w:shd w:val="clear" w:color="auto" w:fill="auto"/>
            <w:tcMar>
              <w:top w:w="15" w:type="dxa"/>
              <w:left w:w="15" w:type="dxa"/>
              <w:bottom w:w="0" w:type="dxa"/>
              <w:right w:w="15" w:type="dxa"/>
            </w:tcMar>
            <w:vAlign w:val="center"/>
            <w:hideMark/>
          </w:tcPr>
          <w:p w14:paraId="58D5EABA" w14:textId="3EC35B0D" w:rsidR="005A083F" w:rsidRPr="00713036" w:rsidRDefault="005A083F" w:rsidP="0002537E">
            <w:pPr>
              <w:spacing w:after="0" w:line="240" w:lineRule="auto"/>
              <w:jc w:val="center"/>
              <w:rPr>
                <w:rFonts w:cs="Arial"/>
                <w:sz w:val="20"/>
                <w:szCs w:val="20"/>
                <w:lang w:eastAsia="fr-FR"/>
              </w:rPr>
            </w:pPr>
          </w:p>
        </w:tc>
        <w:tc>
          <w:tcPr>
            <w:tcW w:w="993" w:type="dxa"/>
            <w:shd w:val="clear" w:color="auto" w:fill="auto"/>
            <w:tcMar>
              <w:top w:w="15" w:type="dxa"/>
              <w:left w:w="15" w:type="dxa"/>
              <w:bottom w:w="0" w:type="dxa"/>
              <w:right w:w="15" w:type="dxa"/>
            </w:tcMar>
            <w:vAlign w:val="center"/>
            <w:hideMark/>
          </w:tcPr>
          <w:p w14:paraId="219ACE5E" w14:textId="590544FD" w:rsidR="005A083F" w:rsidRPr="00713036" w:rsidRDefault="005A083F" w:rsidP="0002537E">
            <w:pPr>
              <w:spacing w:after="0" w:line="240" w:lineRule="auto"/>
              <w:jc w:val="center"/>
              <w:rPr>
                <w:rFonts w:cs="Arial"/>
                <w:sz w:val="20"/>
                <w:szCs w:val="20"/>
                <w:lang w:eastAsia="fr-FR"/>
              </w:rPr>
            </w:pPr>
          </w:p>
        </w:tc>
        <w:tc>
          <w:tcPr>
            <w:tcW w:w="1995" w:type="dxa"/>
            <w:shd w:val="clear" w:color="auto" w:fill="auto"/>
            <w:tcMar>
              <w:top w:w="15" w:type="dxa"/>
              <w:left w:w="15" w:type="dxa"/>
              <w:bottom w:w="0" w:type="dxa"/>
              <w:right w:w="15" w:type="dxa"/>
            </w:tcMar>
            <w:vAlign w:val="center"/>
            <w:hideMark/>
          </w:tcPr>
          <w:p w14:paraId="4AEBBC19" w14:textId="57B526AE" w:rsidR="005A083F" w:rsidRPr="00713036" w:rsidRDefault="005A083F" w:rsidP="0002537E">
            <w:pPr>
              <w:spacing w:after="0" w:line="240" w:lineRule="auto"/>
              <w:jc w:val="center"/>
              <w:rPr>
                <w:rFonts w:cs="Arial"/>
                <w:sz w:val="20"/>
                <w:szCs w:val="20"/>
                <w:lang w:eastAsia="fr-FR"/>
              </w:rPr>
            </w:pPr>
            <w:r w:rsidRPr="00713036">
              <w:rPr>
                <w:rFonts w:cs="Arial"/>
                <w:bCs/>
                <w:sz w:val="20"/>
                <w:szCs w:val="20"/>
                <w:lang w:eastAsia="fr-FR"/>
              </w:rPr>
              <w:t>79 [63-95]</w:t>
            </w:r>
          </w:p>
        </w:tc>
      </w:tr>
      <w:tr w:rsidR="005A083F" w:rsidRPr="009361BD" w14:paraId="10CB5450" w14:textId="77777777" w:rsidTr="0002537E">
        <w:trPr>
          <w:trHeight w:val="227"/>
        </w:trPr>
        <w:tc>
          <w:tcPr>
            <w:tcW w:w="3680" w:type="dxa"/>
            <w:shd w:val="clear" w:color="auto" w:fill="auto"/>
            <w:tcMar>
              <w:top w:w="15" w:type="dxa"/>
              <w:left w:w="15" w:type="dxa"/>
              <w:bottom w:w="0" w:type="dxa"/>
              <w:right w:w="15" w:type="dxa"/>
            </w:tcMar>
            <w:vAlign w:val="center"/>
            <w:hideMark/>
          </w:tcPr>
          <w:p w14:paraId="06932FF4" w14:textId="77777777" w:rsidR="005A083F" w:rsidRPr="009361BD" w:rsidRDefault="005A083F" w:rsidP="0002537E">
            <w:pPr>
              <w:spacing w:after="0" w:line="240" w:lineRule="auto"/>
              <w:rPr>
                <w:rFonts w:cs="Arial"/>
                <w:b/>
                <w:bCs/>
                <w:sz w:val="20"/>
                <w:szCs w:val="20"/>
                <w:lang w:eastAsia="fr-FR"/>
              </w:rPr>
            </w:pPr>
            <w:r w:rsidRPr="009361BD">
              <w:rPr>
                <w:rFonts w:cs="Arial"/>
                <w:b/>
                <w:bCs/>
                <w:sz w:val="20"/>
                <w:szCs w:val="20"/>
                <w:lang w:eastAsia="fr-FR"/>
              </w:rPr>
              <w:t xml:space="preserve">Part os désossage </w:t>
            </w:r>
          </w:p>
        </w:tc>
        <w:tc>
          <w:tcPr>
            <w:tcW w:w="1520" w:type="dxa"/>
            <w:shd w:val="clear" w:color="auto" w:fill="auto"/>
            <w:tcMar>
              <w:top w:w="15" w:type="dxa"/>
              <w:left w:w="15" w:type="dxa"/>
              <w:bottom w:w="0" w:type="dxa"/>
              <w:right w:w="15" w:type="dxa"/>
            </w:tcMar>
            <w:vAlign w:val="center"/>
            <w:hideMark/>
          </w:tcPr>
          <w:p w14:paraId="57A366C6" w14:textId="499B20C1" w:rsidR="005A083F" w:rsidRPr="009361BD" w:rsidRDefault="005A083F" w:rsidP="0002537E">
            <w:pPr>
              <w:spacing w:after="0" w:line="240" w:lineRule="auto"/>
              <w:jc w:val="center"/>
              <w:rPr>
                <w:rFonts w:cs="Arial"/>
                <w:b/>
                <w:bCs/>
                <w:sz w:val="20"/>
                <w:szCs w:val="20"/>
                <w:lang w:eastAsia="fr-FR"/>
              </w:rPr>
            </w:pPr>
          </w:p>
        </w:tc>
        <w:tc>
          <w:tcPr>
            <w:tcW w:w="1032" w:type="dxa"/>
            <w:shd w:val="clear" w:color="auto" w:fill="auto"/>
            <w:tcMar>
              <w:top w:w="15" w:type="dxa"/>
              <w:left w:w="15" w:type="dxa"/>
              <w:bottom w:w="0" w:type="dxa"/>
              <w:right w:w="15" w:type="dxa"/>
            </w:tcMar>
            <w:vAlign w:val="center"/>
            <w:hideMark/>
          </w:tcPr>
          <w:p w14:paraId="32AAB08B" w14:textId="12304C4F" w:rsidR="005A083F" w:rsidRPr="009361BD" w:rsidRDefault="005A083F" w:rsidP="0002537E">
            <w:pPr>
              <w:spacing w:after="0" w:line="240" w:lineRule="auto"/>
              <w:jc w:val="center"/>
              <w:rPr>
                <w:rFonts w:cs="Arial"/>
                <w:b/>
                <w:bCs/>
                <w:sz w:val="20"/>
                <w:szCs w:val="20"/>
                <w:lang w:eastAsia="fr-FR"/>
              </w:rPr>
            </w:pPr>
          </w:p>
        </w:tc>
        <w:tc>
          <w:tcPr>
            <w:tcW w:w="993" w:type="dxa"/>
            <w:shd w:val="clear" w:color="auto" w:fill="auto"/>
            <w:tcMar>
              <w:top w:w="15" w:type="dxa"/>
              <w:left w:w="15" w:type="dxa"/>
              <w:bottom w:w="0" w:type="dxa"/>
              <w:right w:w="15" w:type="dxa"/>
            </w:tcMar>
            <w:vAlign w:val="center"/>
            <w:hideMark/>
          </w:tcPr>
          <w:p w14:paraId="59438C93" w14:textId="7909134B" w:rsidR="005A083F" w:rsidRPr="009361BD" w:rsidRDefault="005A083F" w:rsidP="0002537E">
            <w:pPr>
              <w:spacing w:after="0" w:line="240" w:lineRule="auto"/>
              <w:jc w:val="center"/>
              <w:rPr>
                <w:rFonts w:cs="Arial"/>
                <w:b/>
                <w:bCs/>
                <w:sz w:val="20"/>
                <w:szCs w:val="20"/>
                <w:lang w:eastAsia="fr-FR"/>
              </w:rPr>
            </w:pPr>
          </w:p>
        </w:tc>
        <w:tc>
          <w:tcPr>
            <w:tcW w:w="1995" w:type="dxa"/>
            <w:shd w:val="clear" w:color="auto" w:fill="auto"/>
            <w:tcMar>
              <w:top w:w="15" w:type="dxa"/>
              <w:left w:w="15" w:type="dxa"/>
              <w:bottom w:w="0" w:type="dxa"/>
              <w:right w:w="15" w:type="dxa"/>
            </w:tcMar>
            <w:vAlign w:val="center"/>
            <w:hideMark/>
          </w:tcPr>
          <w:p w14:paraId="0F74D991" w14:textId="2C73D975" w:rsidR="005A083F" w:rsidRPr="009361BD" w:rsidRDefault="005A083F" w:rsidP="0002537E">
            <w:pPr>
              <w:spacing w:after="0" w:line="240" w:lineRule="auto"/>
              <w:jc w:val="center"/>
              <w:rPr>
                <w:rFonts w:cs="Arial"/>
                <w:b/>
                <w:bCs/>
                <w:sz w:val="20"/>
                <w:szCs w:val="20"/>
                <w:lang w:eastAsia="fr-FR"/>
              </w:rPr>
            </w:pPr>
            <w:r w:rsidRPr="009361BD">
              <w:rPr>
                <w:rFonts w:cs="Arial"/>
                <w:b/>
                <w:bCs/>
                <w:i/>
                <w:iCs/>
                <w:sz w:val="20"/>
                <w:szCs w:val="20"/>
                <w:lang w:eastAsia="fr-FR"/>
              </w:rPr>
              <w:t>Déjà comptabilisé</w:t>
            </w:r>
          </w:p>
        </w:tc>
      </w:tr>
    </w:tbl>
    <w:p w14:paraId="66BFDE15" w14:textId="0491871A" w:rsidR="00325915" w:rsidRPr="009361BD" w:rsidRDefault="00EF0EE8" w:rsidP="009361BD">
      <w:pPr>
        <w:pStyle w:val="figure"/>
        <w:spacing w:after="120"/>
      </w:pPr>
      <w:bookmarkStart w:id="360" w:name="_Toc72143421"/>
      <w:bookmarkStart w:id="361" w:name="_Ref70364650"/>
      <w:r w:rsidRPr="009361BD">
        <w:t xml:space="preserve">Tableau </w:t>
      </w:r>
      <w:r w:rsidR="00E27D6E">
        <w:fldChar w:fldCharType="begin"/>
      </w:r>
      <w:r w:rsidR="00E27D6E">
        <w:instrText xml:space="preserve"> SEQ Tableau \* ARABIC </w:instrText>
      </w:r>
      <w:r w:rsidR="00E27D6E">
        <w:fldChar w:fldCharType="separate"/>
      </w:r>
      <w:r w:rsidR="0007597F" w:rsidRPr="009361BD">
        <w:t>74</w:t>
      </w:r>
      <w:r w:rsidR="00E27D6E">
        <w:fldChar w:fldCharType="end"/>
      </w:r>
      <w:r w:rsidR="007538FF" w:rsidRPr="009361BD">
        <w:t> : E</w:t>
      </w:r>
      <w:bookmarkEnd w:id="360"/>
      <w:bookmarkEnd w:id="361"/>
      <w:r w:rsidR="00F93328" w:rsidRPr="009361BD">
        <w:t xml:space="preserve">mploi ressource </w:t>
      </w:r>
      <w:r w:rsidR="003E41D6" w:rsidRPr="009361BD">
        <w:t>du jambon à destination des pièces secondaires</w:t>
      </w:r>
      <w:r w:rsidR="00F93328" w:rsidRPr="009361BD">
        <w:t>.</w:t>
      </w:r>
    </w:p>
    <w:p w14:paraId="5B7D3E19" w14:textId="1886988F" w:rsidR="00746C7C" w:rsidRDefault="00325915">
      <w:pPr>
        <w:rPr>
          <w:lang w:eastAsia="fr-FR"/>
        </w:rPr>
      </w:pPr>
      <w:r>
        <w:rPr>
          <w:lang w:eastAsia="fr-FR"/>
        </w:rPr>
        <w:t xml:space="preserve">La part des gras et du minerai issus de cette étape ont été estimés comme précédemment. </w:t>
      </w:r>
      <w:r w:rsidR="001A714A">
        <w:rPr>
          <w:lang w:eastAsia="fr-FR"/>
        </w:rPr>
        <w:br/>
      </w:r>
      <w:r>
        <w:rPr>
          <w:bCs/>
          <w:lang w:eastAsia="fr-FR"/>
        </w:rPr>
        <w:t>U</w:t>
      </w:r>
      <w:r w:rsidRPr="00713036">
        <w:rPr>
          <w:bCs/>
          <w:lang w:eastAsia="fr-FR"/>
        </w:rPr>
        <w:t>ne part importante du parage</w:t>
      </w:r>
      <w:r w:rsidR="00A3271A">
        <w:rPr>
          <w:bCs/>
          <w:lang w:eastAsia="fr-FR"/>
        </w:rPr>
        <w:t xml:space="preserve"> </w:t>
      </w:r>
      <w:r w:rsidR="00E66542">
        <w:rPr>
          <w:bCs/>
          <w:lang w:eastAsia="fr-FR"/>
        </w:rPr>
        <w:t>est constituée de c</w:t>
      </w:r>
      <w:r w:rsidR="00A3271A">
        <w:rPr>
          <w:bCs/>
          <w:lang w:eastAsia="fr-FR"/>
        </w:rPr>
        <w:t>oproduits</w:t>
      </w:r>
      <w:r w:rsidRPr="00713036">
        <w:rPr>
          <w:bCs/>
          <w:lang w:eastAsia="fr-FR"/>
        </w:rPr>
        <w:t xml:space="preserve"> </w:t>
      </w:r>
      <w:r w:rsidR="00A3271A">
        <w:rPr>
          <w:lang w:eastAsia="fr-FR"/>
        </w:rPr>
        <w:t>destiné</w:t>
      </w:r>
      <w:r w:rsidR="009361BD">
        <w:rPr>
          <w:lang w:eastAsia="fr-FR"/>
        </w:rPr>
        <w:t>s</w:t>
      </w:r>
      <w:r w:rsidR="00A3271A">
        <w:rPr>
          <w:lang w:eastAsia="fr-FR"/>
        </w:rPr>
        <w:t xml:space="preserve"> au réemploi </w:t>
      </w:r>
      <w:r>
        <w:rPr>
          <w:bCs/>
          <w:lang w:eastAsia="fr-FR"/>
        </w:rPr>
        <w:t xml:space="preserve">soit </w:t>
      </w:r>
      <w:r w:rsidRPr="00713036">
        <w:rPr>
          <w:bCs/>
          <w:lang w:eastAsia="fr-FR"/>
        </w:rPr>
        <w:t xml:space="preserve">environ </w:t>
      </w:r>
      <w:r w:rsidR="007F5DF0">
        <w:rPr>
          <w:bCs/>
          <w:lang w:eastAsia="fr-FR"/>
        </w:rPr>
        <w:t>2</w:t>
      </w:r>
      <w:r w:rsidRPr="00713036">
        <w:rPr>
          <w:bCs/>
          <w:lang w:eastAsia="fr-FR"/>
        </w:rPr>
        <w:t xml:space="preserve">0% </w:t>
      </w:r>
      <w:r w:rsidRPr="009175CD">
        <w:rPr>
          <w:lang w:eastAsia="fr-FR"/>
        </w:rPr>
        <w:t xml:space="preserve">de la ressource. </w:t>
      </w:r>
      <w:r w:rsidR="00AA56E7" w:rsidRPr="00713036">
        <w:rPr>
          <w:lang w:eastAsia="fr-FR"/>
        </w:rPr>
        <w:t xml:space="preserve">La part de gras en freinte tient compte de la proportion anatomique de gras </w:t>
      </w:r>
      <w:r w:rsidR="00AA56E7">
        <w:rPr>
          <w:lang w:eastAsia="fr-FR"/>
        </w:rPr>
        <w:t xml:space="preserve">de couverture </w:t>
      </w:r>
      <w:r w:rsidR="00AA56E7" w:rsidRPr="00713036">
        <w:rPr>
          <w:lang w:eastAsia="fr-FR"/>
        </w:rPr>
        <w:t>dans la pièce primaire</w:t>
      </w:r>
      <w:r w:rsidR="009878CD">
        <w:rPr>
          <w:lang w:eastAsia="fr-FR"/>
        </w:rPr>
        <w:t xml:space="preserve"> soit</w:t>
      </w:r>
      <w:r w:rsidR="00AA56E7" w:rsidRPr="00713036">
        <w:rPr>
          <w:lang w:eastAsia="fr-FR"/>
        </w:rPr>
        <w:t xml:space="preserve"> </w:t>
      </w:r>
      <w:r w:rsidR="009878CD">
        <w:rPr>
          <w:lang w:eastAsia="fr-FR"/>
        </w:rPr>
        <w:t xml:space="preserve">avant parage </w:t>
      </w:r>
      <w:r w:rsidR="009361BD">
        <w:rPr>
          <w:lang w:eastAsia="fr-FR"/>
        </w:rPr>
        <w:t>croisé avec</w:t>
      </w:r>
      <w:r w:rsidR="00AA56E7" w:rsidRPr="00713036">
        <w:rPr>
          <w:lang w:eastAsia="fr-FR"/>
        </w:rPr>
        <w:t xml:space="preserve"> la proportion de jambon 5D</w:t>
      </w:r>
      <w:r w:rsidR="00AA56E7">
        <w:rPr>
          <w:lang w:eastAsia="fr-FR"/>
        </w:rPr>
        <w:t xml:space="preserve">. </w:t>
      </w:r>
      <w:r w:rsidRPr="009175CD">
        <w:rPr>
          <w:lang w:eastAsia="fr-FR"/>
        </w:rPr>
        <w:t>De même, une part de jambonneau est transformé</w:t>
      </w:r>
      <w:r w:rsidR="009878CD">
        <w:rPr>
          <w:lang w:eastAsia="fr-FR"/>
        </w:rPr>
        <w:t>e</w:t>
      </w:r>
      <w:r w:rsidRPr="009175CD">
        <w:rPr>
          <w:lang w:eastAsia="fr-FR"/>
        </w:rPr>
        <w:t xml:space="preserve"> en minerai s’agissant d’une consommation en recul</w:t>
      </w:r>
      <w:r w:rsidR="001A714A">
        <w:rPr>
          <w:lang w:eastAsia="fr-FR"/>
        </w:rPr>
        <w:t>. Ce point a été confirmé par plusieurs opérateurs. Ces coproduits sont destinés à être transformés en charcuteri</w:t>
      </w:r>
      <w:r w:rsidR="007F5DF0">
        <w:rPr>
          <w:lang w:eastAsia="fr-FR"/>
        </w:rPr>
        <w:t>e</w:t>
      </w:r>
      <w:r w:rsidRPr="007F5DF0">
        <w:rPr>
          <w:lang w:eastAsia="fr-FR"/>
        </w:rPr>
        <w:t>.</w:t>
      </w:r>
    </w:p>
    <w:p w14:paraId="08A0A13C" w14:textId="2418B8FD" w:rsidR="00746C7C" w:rsidRDefault="00746C7C" w:rsidP="00746C7C">
      <w:pPr>
        <w:rPr>
          <w:lang w:eastAsia="fr-FR"/>
        </w:rPr>
      </w:pPr>
      <w:r w:rsidRPr="00713036">
        <w:rPr>
          <w:lang w:eastAsia="fr-FR"/>
        </w:rPr>
        <w:t>A l’issue de cette étape, les typ</w:t>
      </w:r>
      <w:r>
        <w:rPr>
          <w:lang w:eastAsia="fr-FR"/>
        </w:rPr>
        <w:t>es</w:t>
      </w:r>
      <w:r w:rsidRPr="00713036">
        <w:rPr>
          <w:lang w:eastAsia="fr-FR"/>
        </w:rPr>
        <w:t xml:space="preserve"> de produits issus de la découpe secondaire peuvent être </w:t>
      </w:r>
      <w:r w:rsidR="007A16BD">
        <w:rPr>
          <w:lang w:eastAsia="fr-FR"/>
        </w:rPr>
        <w:t>approché</w:t>
      </w:r>
      <w:r w:rsidRPr="00713036">
        <w:rPr>
          <w:lang w:eastAsia="fr-FR"/>
        </w:rPr>
        <w:t>s par grande catégorie de produits : le jambon 5D domine</w:t>
      </w:r>
      <w:r w:rsidR="007A16BD">
        <w:rPr>
          <w:lang w:eastAsia="fr-FR"/>
        </w:rPr>
        <w:t>rait</w:t>
      </w:r>
      <w:r w:rsidRPr="00713036">
        <w:rPr>
          <w:lang w:eastAsia="fr-FR"/>
        </w:rPr>
        <w:t xml:space="preserve"> le marché avec 70% des volumes</w:t>
      </w:r>
      <w:r>
        <w:rPr>
          <w:lang w:eastAsia="fr-FR"/>
        </w:rPr>
        <w:t xml:space="preserve"> </w:t>
      </w:r>
      <w:r w:rsidRPr="00F806C6">
        <w:rPr>
          <w:lang w:eastAsia="fr-FR"/>
        </w:rPr>
        <w:t xml:space="preserve">à destination de la transformation en jambon cuit </w:t>
      </w:r>
      <w:r>
        <w:rPr>
          <w:lang w:eastAsia="fr-FR"/>
        </w:rPr>
        <w:t>compte tenu de</w:t>
      </w:r>
      <w:r w:rsidRPr="00F806C6">
        <w:rPr>
          <w:lang w:eastAsia="fr-FR"/>
        </w:rPr>
        <w:t xml:space="preserve"> </w:t>
      </w:r>
      <w:r>
        <w:rPr>
          <w:lang w:eastAsia="fr-FR"/>
        </w:rPr>
        <w:t>l’</w:t>
      </w:r>
      <w:r w:rsidRPr="00F806C6">
        <w:rPr>
          <w:lang w:eastAsia="fr-FR"/>
        </w:rPr>
        <w:t>externalisation progressive du</w:t>
      </w:r>
      <w:r>
        <w:rPr>
          <w:lang w:eastAsia="fr-FR"/>
        </w:rPr>
        <w:t xml:space="preserve"> </w:t>
      </w:r>
      <w:r w:rsidRPr="00F806C6">
        <w:rPr>
          <w:lang w:eastAsia="fr-FR"/>
        </w:rPr>
        <w:t xml:space="preserve">désossage et </w:t>
      </w:r>
      <w:r>
        <w:rPr>
          <w:lang w:eastAsia="fr-FR"/>
        </w:rPr>
        <w:t xml:space="preserve">de la </w:t>
      </w:r>
      <w:r w:rsidRPr="00F806C6">
        <w:rPr>
          <w:lang w:eastAsia="fr-FR"/>
        </w:rPr>
        <w:t>découpe du transformateur vers l’abatteur découpeur.</w:t>
      </w:r>
      <w:r>
        <w:rPr>
          <w:lang w:eastAsia="fr-FR"/>
        </w:rPr>
        <w:t xml:space="preserve"> Les</w:t>
      </w:r>
      <w:r w:rsidR="00AA0CBF">
        <w:rPr>
          <w:lang w:eastAsia="fr-FR"/>
        </w:rPr>
        <w:t xml:space="preserve"> jambons 4D saumuré ou salé, jambon sans mouille et jambon coupe S/S et Parme se réparti</w:t>
      </w:r>
      <w:r w:rsidR="007A16BD">
        <w:rPr>
          <w:lang w:eastAsia="fr-FR"/>
        </w:rPr>
        <w:t>raie</w:t>
      </w:r>
      <w:r w:rsidR="00AA0CBF">
        <w:rPr>
          <w:lang w:eastAsia="fr-FR"/>
        </w:rPr>
        <w:t>nt les 30 % restants.</w:t>
      </w:r>
    </w:p>
    <w:p w14:paraId="11018C84" w14:textId="70A23F23" w:rsidR="00325915" w:rsidRDefault="00AA0CBF" w:rsidP="0002537E">
      <w:pPr>
        <w:rPr>
          <w:lang w:eastAsia="fr-FR"/>
        </w:rPr>
      </w:pPr>
      <w:r>
        <w:rPr>
          <w:noProof/>
        </w:rPr>
        <w:lastRenderedPageBreak/>
        <w:drawing>
          <wp:inline distT="0" distB="0" distL="0" distR="0" wp14:anchorId="4D1C0C16" wp14:editId="37AD47B7">
            <wp:extent cx="5353685" cy="1813560"/>
            <wp:effectExtent l="0" t="0" r="0" b="0"/>
            <wp:docPr id="74" name="Graphique 74">
              <a:extLst xmlns:a="http://schemas.openxmlformats.org/drawingml/2006/main">
                <a:ext uri="{FF2B5EF4-FFF2-40B4-BE49-F238E27FC236}">
                  <a16:creationId xmlns:a16="http://schemas.microsoft.com/office/drawing/2014/main" id="{0F8517EC-75E6-47C5-89B2-BEA2615FE2C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sidDel="00AA0CBF">
        <w:rPr>
          <w:noProof/>
        </w:rPr>
        <w:t xml:space="preserve"> </w:t>
      </w:r>
    </w:p>
    <w:p w14:paraId="61A375D5" w14:textId="5A75D989" w:rsidR="00B1505B" w:rsidRPr="00926407" w:rsidRDefault="00EB5D7E" w:rsidP="0002537E">
      <w:pPr>
        <w:pStyle w:val="figure"/>
      </w:pPr>
      <w:bookmarkStart w:id="362" w:name="_Ref70871883"/>
      <w:bookmarkStart w:id="363" w:name="_Ref70871842"/>
      <w:r w:rsidRPr="0002537E">
        <w:t xml:space="preserve">Figure </w:t>
      </w:r>
      <w:r w:rsidRPr="00D54EC4">
        <w:fldChar w:fldCharType="begin"/>
      </w:r>
      <w:r w:rsidRPr="0002537E">
        <w:instrText xml:space="preserve"> SEQ Figure \* ARABIC </w:instrText>
      </w:r>
      <w:r w:rsidRPr="00D54EC4">
        <w:fldChar w:fldCharType="separate"/>
      </w:r>
      <w:r w:rsidR="0007597F">
        <w:rPr>
          <w:i/>
          <w:noProof/>
        </w:rPr>
        <w:t>32</w:t>
      </w:r>
      <w:r w:rsidRPr="00D54EC4">
        <w:fldChar w:fldCharType="end"/>
      </w:r>
      <w:bookmarkEnd w:id="362"/>
      <w:r w:rsidR="007538FF">
        <w:rPr>
          <w:i/>
        </w:rPr>
        <w:t xml:space="preserve"> : </w:t>
      </w:r>
      <w:r w:rsidR="00223A51" w:rsidRPr="00926407">
        <w:t xml:space="preserve">Type des pièces de </w:t>
      </w:r>
      <w:r w:rsidR="00223A51" w:rsidRPr="007A16BD">
        <w:t>découpes secondaires en jambon sortie découpe et disponible pour l</w:t>
      </w:r>
      <w:r w:rsidR="00BB43F5" w:rsidRPr="007A16BD">
        <w:t>a</w:t>
      </w:r>
      <w:r w:rsidR="00223A51" w:rsidRPr="007A16BD">
        <w:t xml:space="preserve"> transformation</w:t>
      </w:r>
      <w:bookmarkEnd w:id="363"/>
      <w:r w:rsidR="00BB43F5" w:rsidRPr="007A16BD">
        <w:t xml:space="preserve"> en charcuterie salaison</w:t>
      </w:r>
      <w:r w:rsidR="00223A51">
        <w:rPr>
          <w:i/>
        </w:rPr>
        <w:t>.</w:t>
      </w:r>
    </w:p>
    <w:p w14:paraId="6B0E653D" w14:textId="1C8AC39C" w:rsidR="00F93328" w:rsidRPr="00461ABA" w:rsidRDefault="00F806C6" w:rsidP="0002537E">
      <w:pPr>
        <w:pStyle w:val="Titre3"/>
      </w:pPr>
      <w:bookmarkStart w:id="364" w:name="_Toc78131685"/>
      <w:r>
        <w:t xml:space="preserve">2.2.3. </w:t>
      </w:r>
      <w:r w:rsidRPr="009878CD">
        <w:t>Destinatio</w:t>
      </w:r>
      <w:r w:rsidR="00461ABA" w:rsidRPr="009878CD">
        <w:t>n</w:t>
      </w:r>
      <w:r w:rsidR="00461ABA" w:rsidRPr="0002537E">
        <w:rPr>
          <w:lang w:val="fr-CA"/>
        </w:rPr>
        <w:t xml:space="preserve"> </w:t>
      </w:r>
      <w:r w:rsidR="00114BEE" w:rsidRPr="009878CD">
        <w:t>des pièces</w:t>
      </w:r>
      <w:r w:rsidR="00114BEE">
        <w:t xml:space="preserve"> parées vers la viande fraîche ou la salaison cuite ou sèche</w:t>
      </w:r>
      <w:bookmarkEnd w:id="364"/>
    </w:p>
    <w:p w14:paraId="2A731D9E" w14:textId="3AA2E814" w:rsidR="002A4600" w:rsidRDefault="002A4600" w:rsidP="0002537E">
      <w:pPr>
        <w:spacing w:after="0"/>
        <w:rPr>
          <w:lang w:eastAsia="fr-FR"/>
        </w:rPr>
      </w:pPr>
      <w:r>
        <w:rPr>
          <w:lang w:eastAsia="fr-FR"/>
        </w:rPr>
        <w:t xml:space="preserve">A partir des pièces de découpes secondaires, cette étape conduit les produits vers deux destinations différentes </w:t>
      </w:r>
      <w:r w:rsidR="003E41D6">
        <w:rPr>
          <w:lang w:eastAsia="fr-FR"/>
        </w:rPr>
        <w:t>soi</w:t>
      </w:r>
      <w:r w:rsidR="00E42BC7">
        <w:rPr>
          <w:lang w:eastAsia="fr-FR"/>
        </w:rPr>
        <w:t>en</w:t>
      </w:r>
      <w:r w:rsidR="003E41D6">
        <w:rPr>
          <w:lang w:eastAsia="fr-FR"/>
        </w:rPr>
        <w:t>t</w:t>
      </w:r>
    </w:p>
    <w:p w14:paraId="1AC88B27" w14:textId="6BF14392" w:rsidR="002A4600" w:rsidRDefault="002A4600" w:rsidP="0002537E">
      <w:pPr>
        <w:pStyle w:val="Paragraphedeliste"/>
        <w:numPr>
          <w:ilvl w:val="0"/>
          <w:numId w:val="23"/>
        </w:numPr>
        <w:spacing w:before="0"/>
        <w:ind w:left="714" w:hanging="357"/>
        <w:rPr>
          <w:lang w:eastAsia="fr-FR"/>
        </w:rPr>
      </w:pPr>
      <w:r>
        <w:rPr>
          <w:lang w:eastAsia="fr-FR"/>
        </w:rPr>
        <w:t>La consommation en viande fraîche sous la forme d’escalope, rôti, rouelle</w:t>
      </w:r>
      <w:r w:rsidR="00114BEE">
        <w:rPr>
          <w:lang w:eastAsia="fr-FR"/>
        </w:rPr>
        <w:t xml:space="preserve"> et produits demi-sel (jambonneaux...)</w:t>
      </w:r>
      <w:r w:rsidR="00135C39">
        <w:rPr>
          <w:lang w:eastAsia="fr-FR"/>
        </w:rPr>
        <w:t xml:space="preserve"> représente mois de 35% des volumes (29 kt),</w:t>
      </w:r>
    </w:p>
    <w:p w14:paraId="7DF9175D" w14:textId="141F80CB" w:rsidR="002A4600" w:rsidRDefault="002A4600" w:rsidP="0002537E">
      <w:pPr>
        <w:pStyle w:val="Paragraphedeliste"/>
        <w:numPr>
          <w:ilvl w:val="0"/>
          <w:numId w:val="23"/>
        </w:numPr>
        <w:rPr>
          <w:lang w:eastAsia="fr-FR"/>
        </w:rPr>
      </w:pPr>
      <w:r>
        <w:rPr>
          <w:lang w:eastAsia="fr-FR"/>
        </w:rPr>
        <w:t>La transformation en salaison cuite ou sèche</w:t>
      </w:r>
      <w:r w:rsidR="00114BEE">
        <w:rPr>
          <w:lang w:eastAsia="fr-FR"/>
        </w:rPr>
        <w:t xml:space="preserve"> soit </w:t>
      </w:r>
      <w:r w:rsidR="00135C39">
        <w:rPr>
          <w:lang w:eastAsia="fr-FR"/>
        </w:rPr>
        <w:t>plus de 65% des volumes (402kt)</w:t>
      </w:r>
    </w:p>
    <w:p w14:paraId="3B26A843" w14:textId="3E11CE44" w:rsidR="003456EA" w:rsidRPr="004E4274" w:rsidRDefault="003456EA" w:rsidP="0002537E">
      <w:pPr>
        <w:pStyle w:val="Corpsdetexte"/>
      </w:pPr>
      <w:r w:rsidRPr="00D54EC4">
        <w:t>Les incertitudes en entrée de tableau sont de 10% et de 20% en sortie compte tenu des source</w:t>
      </w:r>
      <w:r>
        <w:t>s</w:t>
      </w:r>
      <w:r w:rsidRPr="00D54EC4">
        <w:t xml:space="preserve"> de données et des modes d’estimation.</w:t>
      </w:r>
    </w:p>
    <w:tbl>
      <w:tblPr>
        <w:tblW w:w="9776" w:type="dxa"/>
        <w:tblCellMar>
          <w:left w:w="0" w:type="dxa"/>
          <w:right w:w="0" w:type="dxa"/>
        </w:tblCellMar>
        <w:tblLook w:val="0600" w:firstRow="0" w:lastRow="0" w:firstColumn="0" w:lastColumn="0" w:noHBand="1" w:noVBand="1"/>
      </w:tblPr>
      <w:tblGrid>
        <w:gridCol w:w="4098"/>
        <w:gridCol w:w="1709"/>
        <w:gridCol w:w="1522"/>
        <w:gridCol w:w="684"/>
        <w:gridCol w:w="1763"/>
      </w:tblGrid>
      <w:tr w:rsidR="00F806C6" w:rsidRPr="00F806C6" w14:paraId="4D762C86" w14:textId="77777777" w:rsidTr="0002537E">
        <w:trPr>
          <w:trHeight w:val="20"/>
        </w:trPr>
        <w:tc>
          <w:tcPr>
            <w:tcW w:w="409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6EA096B9" w14:textId="77777777" w:rsidR="00F806C6" w:rsidRPr="00F806C6" w:rsidRDefault="00F806C6" w:rsidP="0002537E">
            <w:pPr>
              <w:spacing w:after="0" w:line="240" w:lineRule="auto"/>
              <w:rPr>
                <w:sz w:val="20"/>
                <w:szCs w:val="20"/>
                <w:lang w:eastAsia="fr-FR"/>
              </w:rPr>
            </w:pPr>
            <w:r w:rsidRPr="00F806C6">
              <w:rPr>
                <w:b/>
                <w:bCs/>
                <w:sz w:val="20"/>
                <w:szCs w:val="20"/>
                <w:lang w:eastAsia="fr-FR"/>
              </w:rPr>
              <w:t xml:space="preserve">Libellé </w:t>
            </w:r>
          </w:p>
        </w:tc>
        <w:tc>
          <w:tcPr>
            <w:tcW w:w="170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21C31D90" w14:textId="7BC04E72" w:rsidR="00F806C6" w:rsidRPr="00F806C6" w:rsidRDefault="00F806C6" w:rsidP="0002537E">
            <w:pPr>
              <w:spacing w:after="0" w:line="240" w:lineRule="auto"/>
              <w:jc w:val="left"/>
              <w:rPr>
                <w:sz w:val="20"/>
                <w:szCs w:val="20"/>
                <w:lang w:eastAsia="fr-FR"/>
              </w:rPr>
            </w:pPr>
            <w:r w:rsidRPr="00F806C6">
              <w:rPr>
                <w:b/>
                <w:bCs/>
                <w:sz w:val="20"/>
                <w:szCs w:val="20"/>
                <w:lang w:eastAsia="fr-FR"/>
              </w:rPr>
              <w:t>Production</w:t>
            </w:r>
          </w:p>
        </w:tc>
        <w:tc>
          <w:tcPr>
            <w:tcW w:w="152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5551D595"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I</w:t>
            </w:r>
          </w:p>
        </w:tc>
        <w:tc>
          <w:tcPr>
            <w:tcW w:w="68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3F7B9EC7"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Ex</w:t>
            </w:r>
          </w:p>
        </w:tc>
        <w:tc>
          <w:tcPr>
            <w:tcW w:w="176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0487167B" w14:textId="5582B548" w:rsidR="00F806C6" w:rsidRPr="00F806C6" w:rsidRDefault="00F806C6" w:rsidP="0002537E">
            <w:pPr>
              <w:spacing w:after="0" w:line="240" w:lineRule="auto"/>
              <w:jc w:val="left"/>
              <w:rPr>
                <w:sz w:val="20"/>
                <w:szCs w:val="20"/>
                <w:lang w:eastAsia="fr-FR"/>
              </w:rPr>
            </w:pPr>
            <w:r w:rsidRPr="00F806C6">
              <w:rPr>
                <w:b/>
                <w:bCs/>
                <w:sz w:val="20"/>
                <w:szCs w:val="20"/>
                <w:lang w:eastAsia="fr-FR"/>
              </w:rPr>
              <w:t>Consommation</w:t>
            </w:r>
          </w:p>
        </w:tc>
      </w:tr>
      <w:tr w:rsidR="00F806C6" w:rsidRPr="00F806C6" w14:paraId="6C2A55BC" w14:textId="77777777" w:rsidTr="0002537E">
        <w:trPr>
          <w:trHeight w:val="20"/>
        </w:trPr>
        <w:tc>
          <w:tcPr>
            <w:tcW w:w="409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4996E13A" w14:textId="77777777" w:rsidR="00F806C6" w:rsidRPr="00F806C6" w:rsidRDefault="00F806C6" w:rsidP="0002537E">
            <w:pPr>
              <w:spacing w:after="0" w:line="240" w:lineRule="auto"/>
              <w:rPr>
                <w:sz w:val="20"/>
                <w:szCs w:val="20"/>
                <w:lang w:eastAsia="fr-FR"/>
              </w:rPr>
            </w:pPr>
            <w:r w:rsidRPr="00F806C6">
              <w:rPr>
                <w:b/>
                <w:bCs/>
                <w:sz w:val="20"/>
                <w:szCs w:val="20"/>
                <w:lang w:eastAsia="fr-FR"/>
              </w:rPr>
              <w:t xml:space="preserve">Total Jambon </w:t>
            </w:r>
          </w:p>
        </w:tc>
        <w:tc>
          <w:tcPr>
            <w:tcW w:w="170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3C4B5206"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310 [248-372]</w:t>
            </w:r>
          </w:p>
        </w:tc>
        <w:tc>
          <w:tcPr>
            <w:tcW w:w="152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309695DC"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161[129-193]</w:t>
            </w:r>
          </w:p>
        </w:tc>
        <w:tc>
          <w:tcPr>
            <w:tcW w:w="68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1BFFDF0F" w14:textId="77777777" w:rsidR="00F806C6" w:rsidRPr="00F806C6" w:rsidRDefault="00F806C6" w:rsidP="0002537E">
            <w:pPr>
              <w:spacing w:after="0" w:line="240" w:lineRule="auto"/>
              <w:jc w:val="left"/>
              <w:rPr>
                <w:sz w:val="20"/>
                <w:szCs w:val="20"/>
                <w:lang w:eastAsia="fr-FR"/>
              </w:rPr>
            </w:pPr>
            <w:r w:rsidRPr="00F806C6">
              <w:rPr>
                <w:sz w:val="20"/>
                <w:szCs w:val="20"/>
                <w:lang w:eastAsia="fr-FR"/>
              </w:rPr>
              <w:t> </w:t>
            </w:r>
          </w:p>
        </w:tc>
        <w:tc>
          <w:tcPr>
            <w:tcW w:w="176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2" w:type="dxa"/>
              <w:left w:w="12" w:type="dxa"/>
              <w:bottom w:w="0" w:type="dxa"/>
              <w:right w:w="12" w:type="dxa"/>
            </w:tcMar>
            <w:vAlign w:val="center"/>
            <w:hideMark/>
          </w:tcPr>
          <w:p w14:paraId="421CF686"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471 [330-612]</w:t>
            </w:r>
          </w:p>
        </w:tc>
      </w:tr>
      <w:tr w:rsidR="00F806C6" w:rsidRPr="00F806C6" w14:paraId="00D2BB9B" w14:textId="77777777" w:rsidTr="0002537E">
        <w:trPr>
          <w:trHeight w:val="20"/>
        </w:trPr>
        <w:tc>
          <w:tcPr>
            <w:tcW w:w="4098"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2F27EC15" w14:textId="1883103B" w:rsidR="00F806C6" w:rsidRPr="00F806C6" w:rsidRDefault="00F806C6" w:rsidP="0002537E">
            <w:pPr>
              <w:spacing w:after="0" w:line="240" w:lineRule="auto"/>
              <w:jc w:val="right"/>
              <w:rPr>
                <w:sz w:val="20"/>
                <w:szCs w:val="20"/>
                <w:lang w:eastAsia="fr-FR"/>
              </w:rPr>
            </w:pPr>
            <w:r w:rsidRPr="00F806C6">
              <w:rPr>
                <w:b/>
                <w:bCs/>
                <w:i/>
                <w:iCs/>
                <w:sz w:val="20"/>
                <w:szCs w:val="20"/>
                <w:lang w:eastAsia="fr-FR"/>
              </w:rPr>
              <w:t>Dont pi</w:t>
            </w:r>
            <w:r w:rsidR="00E42BC7">
              <w:rPr>
                <w:b/>
                <w:bCs/>
                <w:i/>
                <w:iCs/>
                <w:sz w:val="20"/>
                <w:szCs w:val="20"/>
                <w:lang w:eastAsia="fr-FR"/>
              </w:rPr>
              <w:t>èces de</w:t>
            </w:r>
            <w:r w:rsidRPr="00F806C6">
              <w:rPr>
                <w:b/>
                <w:bCs/>
                <w:i/>
                <w:iCs/>
                <w:sz w:val="20"/>
                <w:szCs w:val="20"/>
                <w:lang w:eastAsia="fr-FR"/>
              </w:rPr>
              <w:t xml:space="preserve"> viandes</w:t>
            </w:r>
            <w:r w:rsidR="00E42BC7">
              <w:rPr>
                <w:b/>
                <w:bCs/>
                <w:i/>
                <w:iCs/>
                <w:sz w:val="20"/>
                <w:szCs w:val="20"/>
                <w:lang w:eastAsia="fr-FR"/>
              </w:rPr>
              <w:t xml:space="preserve"> crues et</w:t>
            </w:r>
            <w:r w:rsidRPr="00F806C6">
              <w:rPr>
                <w:b/>
                <w:bCs/>
                <w:i/>
                <w:iCs/>
                <w:sz w:val="20"/>
                <w:szCs w:val="20"/>
                <w:lang w:eastAsia="fr-FR"/>
              </w:rPr>
              <w:t xml:space="preserve"> </w:t>
            </w:r>
            <w:r w:rsidR="00E42BC7">
              <w:rPr>
                <w:b/>
                <w:bCs/>
                <w:i/>
                <w:iCs/>
                <w:sz w:val="20"/>
                <w:szCs w:val="20"/>
                <w:lang w:eastAsia="fr-FR"/>
              </w:rPr>
              <w:t>demi-sel</w:t>
            </w:r>
          </w:p>
        </w:tc>
        <w:tc>
          <w:tcPr>
            <w:tcW w:w="1709"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2998B2EE" w14:textId="1B8E73DC" w:rsidR="00F806C6" w:rsidRPr="00F806C6" w:rsidRDefault="00F806C6" w:rsidP="0002537E">
            <w:pPr>
              <w:spacing w:after="0" w:line="240" w:lineRule="auto"/>
              <w:jc w:val="left"/>
              <w:rPr>
                <w:sz w:val="20"/>
                <w:szCs w:val="20"/>
                <w:lang w:eastAsia="fr-FR"/>
              </w:rPr>
            </w:pPr>
            <w:r w:rsidRPr="00F806C6">
              <w:rPr>
                <w:b/>
                <w:bCs/>
                <w:sz w:val="20"/>
                <w:szCs w:val="20"/>
                <w:lang w:eastAsia="fr-FR"/>
              </w:rPr>
              <w:t>22 [18-26]</w:t>
            </w:r>
          </w:p>
        </w:tc>
        <w:tc>
          <w:tcPr>
            <w:tcW w:w="1522"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62150B02" w14:textId="05110161" w:rsidR="00F806C6" w:rsidRPr="0002537E" w:rsidRDefault="00F806C6" w:rsidP="0002537E">
            <w:pPr>
              <w:spacing w:after="0" w:line="240" w:lineRule="auto"/>
              <w:jc w:val="center"/>
              <w:rPr>
                <w:bCs/>
                <w:i/>
                <w:iCs/>
                <w:sz w:val="20"/>
                <w:szCs w:val="20"/>
                <w:lang w:eastAsia="fr-FR"/>
              </w:rPr>
            </w:pPr>
          </w:p>
        </w:tc>
        <w:tc>
          <w:tcPr>
            <w:tcW w:w="684"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5C542E8E" w14:textId="77777777" w:rsidR="00F806C6" w:rsidRPr="0002537E" w:rsidRDefault="00F806C6" w:rsidP="0002537E">
            <w:pPr>
              <w:spacing w:after="0" w:line="240" w:lineRule="auto"/>
              <w:jc w:val="left"/>
              <w:rPr>
                <w:bCs/>
                <w:i/>
                <w:iCs/>
                <w:sz w:val="20"/>
                <w:szCs w:val="20"/>
                <w:lang w:eastAsia="fr-FR"/>
              </w:rPr>
            </w:pPr>
            <w:r w:rsidRPr="0002537E">
              <w:rPr>
                <w:bCs/>
                <w:i/>
                <w:iCs/>
                <w:sz w:val="20"/>
                <w:szCs w:val="20"/>
                <w:lang w:eastAsia="fr-FR"/>
              </w:rPr>
              <w:t> </w:t>
            </w:r>
          </w:p>
        </w:tc>
        <w:tc>
          <w:tcPr>
            <w:tcW w:w="1763" w:type="dxa"/>
            <w:tcBorders>
              <w:top w:val="single" w:sz="4" w:space="0" w:color="auto"/>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248AEDD5" w14:textId="42C204DB" w:rsidR="00F806C6" w:rsidRPr="00F806C6" w:rsidRDefault="00F806C6" w:rsidP="0002537E">
            <w:pPr>
              <w:spacing w:after="0" w:line="240" w:lineRule="auto"/>
              <w:jc w:val="left"/>
              <w:rPr>
                <w:sz w:val="20"/>
                <w:szCs w:val="20"/>
                <w:lang w:eastAsia="fr-FR"/>
              </w:rPr>
            </w:pPr>
            <w:r w:rsidRPr="00F806C6">
              <w:rPr>
                <w:b/>
                <w:bCs/>
                <w:sz w:val="20"/>
                <w:szCs w:val="20"/>
                <w:lang w:eastAsia="fr-FR"/>
              </w:rPr>
              <w:t>29 [20-38]</w:t>
            </w:r>
          </w:p>
        </w:tc>
      </w:tr>
      <w:tr w:rsidR="00F806C6" w:rsidRPr="00F806C6" w14:paraId="42E3DB49"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F73D7C4" w14:textId="561253EF" w:rsidR="00F806C6" w:rsidRPr="00F806C6" w:rsidRDefault="00F806C6" w:rsidP="0002537E">
            <w:pPr>
              <w:spacing w:after="0" w:line="240" w:lineRule="auto"/>
              <w:jc w:val="right"/>
              <w:rPr>
                <w:sz w:val="20"/>
                <w:szCs w:val="20"/>
                <w:lang w:eastAsia="fr-FR"/>
              </w:rPr>
            </w:pPr>
            <w:r w:rsidRPr="00F806C6">
              <w:rPr>
                <w:sz w:val="20"/>
                <w:szCs w:val="20"/>
                <w:lang w:eastAsia="fr-FR"/>
              </w:rPr>
              <w:t>Pièces de porc crues, demi</w:t>
            </w:r>
            <w:r w:rsidR="0013216B">
              <w:rPr>
                <w:sz w:val="20"/>
                <w:szCs w:val="20"/>
                <w:lang w:eastAsia="fr-FR"/>
              </w:rPr>
              <w:t>-</w:t>
            </w:r>
            <w:r w:rsidRPr="00F806C6">
              <w:rPr>
                <w:sz w:val="20"/>
                <w:szCs w:val="20"/>
                <w:lang w:eastAsia="fr-FR"/>
              </w:rPr>
              <w:t xml:space="preserve">sel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A29455C" w14:textId="42FF8FEB" w:rsidR="00F806C6" w:rsidRPr="009C78FD" w:rsidRDefault="00F806C6" w:rsidP="0002537E">
            <w:pPr>
              <w:spacing w:after="0" w:line="240" w:lineRule="auto"/>
              <w:jc w:val="right"/>
              <w:rPr>
                <w:sz w:val="20"/>
                <w:szCs w:val="20"/>
                <w:lang w:eastAsia="fr-FR"/>
              </w:rPr>
            </w:pPr>
            <w:r w:rsidRPr="00713036">
              <w:rPr>
                <w:bCs/>
                <w:sz w:val="20"/>
                <w:szCs w:val="20"/>
                <w:lang w:eastAsia="fr-FR"/>
              </w:rPr>
              <w:t>8 [6-10]</w:t>
            </w:r>
          </w:p>
        </w:tc>
        <w:tc>
          <w:tcPr>
            <w:tcW w:w="1522" w:type="dxa"/>
            <w:vMerge w:val="restart"/>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6C56A084" w14:textId="786E95F7" w:rsidR="00F806C6" w:rsidRPr="009C78FD" w:rsidRDefault="00F806C6" w:rsidP="0002537E">
            <w:pPr>
              <w:spacing w:after="0" w:line="240" w:lineRule="auto"/>
              <w:jc w:val="right"/>
              <w:rPr>
                <w:sz w:val="20"/>
                <w:szCs w:val="20"/>
                <w:lang w:eastAsia="fr-FR"/>
              </w:rPr>
            </w:pPr>
            <w:r w:rsidRPr="00713036">
              <w:rPr>
                <w:bCs/>
                <w:sz w:val="20"/>
                <w:szCs w:val="20"/>
                <w:lang w:eastAsia="fr-FR"/>
              </w:rPr>
              <w:t>161 [129-193]</w:t>
            </w: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258D217" w14:textId="77777777" w:rsidR="00F806C6" w:rsidRPr="009C78FD" w:rsidRDefault="00F806C6" w:rsidP="0002537E">
            <w:pPr>
              <w:spacing w:after="0" w:line="240" w:lineRule="auto"/>
              <w:jc w:val="right"/>
              <w:rPr>
                <w:sz w:val="20"/>
                <w:szCs w:val="20"/>
                <w:lang w:eastAsia="fr-FR"/>
              </w:rPr>
            </w:pPr>
            <w:r w:rsidRPr="00713036">
              <w:rPr>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4808E67" w14:textId="10EDBAA0" w:rsidR="00F806C6" w:rsidRPr="009C78FD" w:rsidRDefault="00F806C6" w:rsidP="0002537E">
            <w:pPr>
              <w:spacing w:after="0" w:line="240" w:lineRule="auto"/>
              <w:jc w:val="right"/>
              <w:rPr>
                <w:sz w:val="20"/>
                <w:szCs w:val="20"/>
                <w:lang w:eastAsia="fr-FR"/>
              </w:rPr>
            </w:pPr>
            <w:r w:rsidRPr="00713036">
              <w:rPr>
                <w:bCs/>
                <w:sz w:val="20"/>
                <w:szCs w:val="20"/>
                <w:lang w:eastAsia="fr-FR"/>
              </w:rPr>
              <w:t>10 [7-13]</w:t>
            </w:r>
          </w:p>
        </w:tc>
      </w:tr>
      <w:tr w:rsidR="00F806C6" w:rsidRPr="00F806C6" w14:paraId="7377AD80"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A605F81" w14:textId="72FAADE6" w:rsidR="00F806C6" w:rsidRPr="00F806C6" w:rsidRDefault="00F806C6" w:rsidP="0002537E">
            <w:pPr>
              <w:spacing w:after="0" w:line="240" w:lineRule="auto"/>
              <w:jc w:val="right"/>
              <w:rPr>
                <w:sz w:val="20"/>
                <w:szCs w:val="20"/>
                <w:lang w:eastAsia="fr-FR"/>
              </w:rPr>
            </w:pPr>
            <w:r w:rsidRPr="00F806C6">
              <w:rPr>
                <w:sz w:val="20"/>
                <w:szCs w:val="20"/>
                <w:lang w:eastAsia="fr-FR"/>
              </w:rPr>
              <w:t>Pièces de porc crues découpées (rôti, escalopes, rouelle.</w:t>
            </w:r>
            <w:r>
              <w:rPr>
                <w:sz w:val="20"/>
                <w:szCs w:val="20"/>
                <w:lang w:eastAsia="fr-FR"/>
              </w:rPr>
              <w:t>.</w:t>
            </w:r>
            <w:r w:rsidRPr="00F806C6">
              <w:rPr>
                <w:sz w:val="20"/>
                <w:szCs w:val="20"/>
                <w:lang w:eastAsia="fr-FR"/>
              </w:rPr>
              <w:t>.)</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E3CA57E" w14:textId="614111C5" w:rsidR="00F806C6" w:rsidRPr="009C78FD" w:rsidRDefault="00F806C6" w:rsidP="0002537E">
            <w:pPr>
              <w:spacing w:after="0" w:line="240" w:lineRule="auto"/>
              <w:jc w:val="right"/>
              <w:rPr>
                <w:sz w:val="20"/>
                <w:szCs w:val="20"/>
                <w:lang w:eastAsia="fr-FR"/>
              </w:rPr>
            </w:pPr>
            <w:r w:rsidRPr="00713036">
              <w:rPr>
                <w:bCs/>
                <w:sz w:val="20"/>
                <w:szCs w:val="20"/>
                <w:lang w:eastAsia="fr-FR"/>
              </w:rPr>
              <w:t>10 [8-12]</w:t>
            </w:r>
          </w:p>
        </w:tc>
        <w:tc>
          <w:tcPr>
            <w:tcW w:w="15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7A58D25" w14:textId="77777777" w:rsidR="00F806C6" w:rsidRPr="009C78FD" w:rsidRDefault="00F806C6" w:rsidP="0002537E">
            <w:pPr>
              <w:spacing w:after="0" w:line="240" w:lineRule="auto"/>
              <w:jc w:val="right"/>
              <w:rPr>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45248B06" w14:textId="77777777" w:rsidR="00F806C6" w:rsidRPr="009C78FD" w:rsidRDefault="00F806C6" w:rsidP="0002537E">
            <w:pPr>
              <w:spacing w:after="0" w:line="240" w:lineRule="auto"/>
              <w:jc w:val="right"/>
              <w:rPr>
                <w:sz w:val="20"/>
                <w:szCs w:val="20"/>
                <w:lang w:eastAsia="fr-FR"/>
              </w:rPr>
            </w:pPr>
            <w:r w:rsidRPr="00713036">
              <w:rPr>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5F64311" w14:textId="469A351F" w:rsidR="00F806C6" w:rsidRPr="009C78FD" w:rsidRDefault="00F806C6" w:rsidP="0002537E">
            <w:pPr>
              <w:spacing w:after="0" w:line="240" w:lineRule="auto"/>
              <w:jc w:val="right"/>
              <w:rPr>
                <w:sz w:val="20"/>
                <w:szCs w:val="20"/>
                <w:lang w:eastAsia="fr-FR"/>
              </w:rPr>
            </w:pPr>
            <w:r w:rsidRPr="00713036">
              <w:rPr>
                <w:bCs/>
                <w:sz w:val="20"/>
                <w:szCs w:val="20"/>
                <w:lang w:eastAsia="fr-FR"/>
              </w:rPr>
              <w:t>12 [8-15]</w:t>
            </w:r>
          </w:p>
        </w:tc>
      </w:tr>
      <w:tr w:rsidR="00F806C6" w:rsidRPr="00F806C6" w14:paraId="200814E8"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1480EE5" w14:textId="77777777" w:rsidR="00F806C6" w:rsidRPr="00F806C6" w:rsidRDefault="00F806C6" w:rsidP="0002537E">
            <w:pPr>
              <w:spacing w:after="0" w:line="240" w:lineRule="auto"/>
              <w:jc w:val="right"/>
              <w:rPr>
                <w:sz w:val="20"/>
                <w:szCs w:val="20"/>
                <w:lang w:eastAsia="fr-FR"/>
              </w:rPr>
            </w:pPr>
            <w:r w:rsidRPr="00F806C6">
              <w:rPr>
                <w:sz w:val="20"/>
                <w:szCs w:val="20"/>
                <w:lang w:eastAsia="fr-FR"/>
              </w:rPr>
              <w:t xml:space="preserve">Jambonneau et autres pièces (rouelle, …) crue ou demi sel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47049B9" w14:textId="1853A5E2" w:rsidR="00F806C6" w:rsidRPr="009C78FD" w:rsidRDefault="00F806C6" w:rsidP="0002537E">
            <w:pPr>
              <w:spacing w:after="0" w:line="240" w:lineRule="auto"/>
              <w:jc w:val="right"/>
              <w:rPr>
                <w:sz w:val="20"/>
                <w:szCs w:val="20"/>
                <w:lang w:eastAsia="fr-FR"/>
              </w:rPr>
            </w:pPr>
            <w:r w:rsidRPr="00713036">
              <w:rPr>
                <w:bCs/>
                <w:sz w:val="20"/>
                <w:szCs w:val="20"/>
                <w:lang w:eastAsia="fr-FR"/>
              </w:rPr>
              <w:t>4 [3-5]</w:t>
            </w:r>
          </w:p>
        </w:tc>
        <w:tc>
          <w:tcPr>
            <w:tcW w:w="15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2C91293" w14:textId="77777777" w:rsidR="00F806C6" w:rsidRPr="009C78FD" w:rsidRDefault="00F806C6" w:rsidP="0002537E">
            <w:pPr>
              <w:spacing w:after="0" w:line="240" w:lineRule="auto"/>
              <w:jc w:val="right"/>
              <w:rPr>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6DA7F79" w14:textId="77777777" w:rsidR="00F806C6" w:rsidRPr="009C78FD" w:rsidRDefault="00F806C6" w:rsidP="0002537E">
            <w:pPr>
              <w:spacing w:after="0" w:line="240" w:lineRule="auto"/>
              <w:jc w:val="right"/>
              <w:rPr>
                <w:sz w:val="20"/>
                <w:szCs w:val="20"/>
                <w:lang w:eastAsia="fr-FR"/>
              </w:rPr>
            </w:pPr>
            <w:r w:rsidRPr="00713036">
              <w:rPr>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759185B" w14:textId="3F8D2E07" w:rsidR="00F806C6" w:rsidRPr="009C78FD" w:rsidRDefault="00F806C6" w:rsidP="0002537E">
            <w:pPr>
              <w:spacing w:after="0" w:line="240" w:lineRule="auto"/>
              <w:jc w:val="right"/>
              <w:rPr>
                <w:sz w:val="20"/>
                <w:szCs w:val="20"/>
                <w:lang w:eastAsia="fr-FR"/>
              </w:rPr>
            </w:pPr>
            <w:r w:rsidRPr="00713036">
              <w:rPr>
                <w:bCs/>
                <w:sz w:val="20"/>
                <w:szCs w:val="20"/>
                <w:lang w:eastAsia="fr-FR"/>
              </w:rPr>
              <w:t>7 [5-9]</w:t>
            </w:r>
          </w:p>
        </w:tc>
      </w:tr>
      <w:tr w:rsidR="00F806C6" w:rsidRPr="00F806C6" w14:paraId="76153128"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7116C472" w14:textId="77777777" w:rsidR="00F806C6" w:rsidRPr="00F806C6" w:rsidRDefault="00F806C6" w:rsidP="0002537E">
            <w:pPr>
              <w:spacing w:after="0" w:line="240" w:lineRule="auto"/>
              <w:rPr>
                <w:sz w:val="20"/>
                <w:szCs w:val="20"/>
                <w:lang w:eastAsia="fr-FR"/>
              </w:rPr>
            </w:pPr>
            <w:r w:rsidRPr="00F806C6">
              <w:rPr>
                <w:b/>
                <w:bCs/>
                <w:i/>
                <w:iCs/>
                <w:sz w:val="20"/>
                <w:szCs w:val="20"/>
                <w:lang w:eastAsia="fr-FR"/>
              </w:rPr>
              <w:t xml:space="preserve">Dont pièces saumurées, salées, séchées </w:t>
            </w:r>
          </w:p>
        </w:tc>
        <w:tc>
          <w:tcPr>
            <w:tcW w:w="1709" w:type="dxa"/>
            <w:tcBorders>
              <w:top w:val="single" w:sz="4" w:space="0" w:color="000000"/>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117B4426" w14:textId="5C0F977B" w:rsidR="00F806C6" w:rsidRPr="00F806C6" w:rsidRDefault="00F806C6" w:rsidP="0002537E">
            <w:pPr>
              <w:spacing w:after="0" w:line="240" w:lineRule="auto"/>
              <w:jc w:val="left"/>
              <w:rPr>
                <w:sz w:val="20"/>
                <w:szCs w:val="20"/>
                <w:lang w:eastAsia="fr-FR"/>
              </w:rPr>
            </w:pPr>
            <w:r w:rsidRPr="00F806C6">
              <w:rPr>
                <w:b/>
                <w:bCs/>
                <w:sz w:val="20"/>
                <w:szCs w:val="20"/>
                <w:lang w:eastAsia="fr-FR"/>
              </w:rPr>
              <w:t>273 [218-327]</w:t>
            </w:r>
          </w:p>
        </w:tc>
        <w:tc>
          <w:tcPr>
            <w:tcW w:w="1522" w:type="dxa"/>
            <w:vMerge/>
            <w:tcBorders>
              <w:top w:val="single" w:sz="4" w:space="0" w:color="000000"/>
              <w:left w:val="single" w:sz="4" w:space="0" w:color="000000"/>
              <w:bottom w:val="single" w:sz="4" w:space="0" w:color="000000"/>
              <w:right w:val="single" w:sz="4" w:space="0" w:color="000000"/>
            </w:tcBorders>
            <w:vAlign w:val="center"/>
            <w:hideMark/>
          </w:tcPr>
          <w:p w14:paraId="40F22DA9" w14:textId="77777777" w:rsidR="00F806C6" w:rsidRPr="00F806C6" w:rsidRDefault="00F806C6" w:rsidP="0002537E">
            <w:pPr>
              <w:spacing w:after="0" w:line="240" w:lineRule="auto"/>
              <w:jc w:val="left"/>
              <w:rPr>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25CE8DA7" w14:textId="199A2DF9" w:rsidR="00F806C6" w:rsidRPr="00F806C6" w:rsidRDefault="00F806C6" w:rsidP="0002537E">
            <w:pPr>
              <w:spacing w:after="0" w:line="240" w:lineRule="auto"/>
              <w:jc w:val="left"/>
              <w:rPr>
                <w:sz w:val="20"/>
                <w:szCs w:val="20"/>
                <w:lang w:eastAsia="fr-FR"/>
              </w:rPr>
            </w:pPr>
          </w:p>
        </w:tc>
        <w:tc>
          <w:tcPr>
            <w:tcW w:w="1763" w:type="dxa"/>
            <w:tcBorders>
              <w:top w:val="single" w:sz="4" w:space="0" w:color="000000"/>
              <w:left w:val="single" w:sz="4" w:space="0" w:color="000000"/>
              <w:bottom w:val="single" w:sz="4" w:space="0" w:color="000000"/>
              <w:right w:val="single" w:sz="4" w:space="0" w:color="000000"/>
            </w:tcBorders>
            <w:shd w:val="clear" w:color="auto" w:fill="A6A6A6"/>
            <w:tcMar>
              <w:top w:w="12" w:type="dxa"/>
              <w:left w:w="12" w:type="dxa"/>
              <w:bottom w:w="0" w:type="dxa"/>
              <w:right w:w="12" w:type="dxa"/>
            </w:tcMar>
            <w:vAlign w:val="center"/>
            <w:hideMark/>
          </w:tcPr>
          <w:p w14:paraId="001D10AB" w14:textId="77777777" w:rsidR="00F806C6" w:rsidRPr="00F806C6" w:rsidRDefault="00F806C6" w:rsidP="0002537E">
            <w:pPr>
              <w:spacing w:after="0" w:line="240" w:lineRule="auto"/>
              <w:jc w:val="left"/>
              <w:rPr>
                <w:sz w:val="20"/>
                <w:szCs w:val="20"/>
                <w:lang w:eastAsia="fr-FR"/>
              </w:rPr>
            </w:pPr>
            <w:r w:rsidRPr="00F806C6">
              <w:rPr>
                <w:b/>
                <w:bCs/>
                <w:sz w:val="20"/>
                <w:szCs w:val="20"/>
                <w:lang w:eastAsia="fr-FR"/>
              </w:rPr>
              <w:t>402 [281-523]</w:t>
            </w:r>
          </w:p>
        </w:tc>
      </w:tr>
      <w:tr w:rsidR="00F806C6" w:rsidRPr="009175CD" w14:paraId="503B2370"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60BBED9"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Jambon 5D saumuré ou salé</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BA561AD" w14:textId="5D33355B"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152 [122-182]</w:t>
            </w:r>
          </w:p>
        </w:tc>
        <w:tc>
          <w:tcPr>
            <w:tcW w:w="15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A0F155" w14:textId="77777777"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357084B" w14:textId="2BD9DEB4" w:rsidR="00F806C6" w:rsidRPr="009C78FD" w:rsidRDefault="00F806C6" w:rsidP="0002537E">
            <w:pPr>
              <w:spacing w:after="0" w:line="240" w:lineRule="auto"/>
              <w:jc w:val="right"/>
              <w:rPr>
                <w:rFonts w:cs="Arial"/>
                <w:sz w:val="20"/>
                <w:szCs w:val="20"/>
                <w:lang w:eastAsia="fr-FR"/>
              </w:rPr>
            </w:pP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6CE60AD9" w14:textId="1DD5D071"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275 [193 -358]</w:t>
            </w:r>
          </w:p>
        </w:tc>
      </w:tr>
      <w:tr w:rsidR="00F806C6" w:rsidRPr="009175CD" w14:paraId="398063B1"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7CB5C3A"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Jambon 4D saumuré ou salé</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F9DDD10" w14:textId="1092BE93"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11 [9-13]</w:t>
            </w:r>
          </w:p>
        </w:tc>
        <w:tc>
          <w:tcPr>
            <w:tcW w:w="152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3666F0" w14:textId="77777777"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017BA89" w14:textId="77777777"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95C0032" w14:textId="77777777"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30 [21-39]</w:t>
            </w:r>
          </w:p>
        </w:tc>
      </w:tr>
      <w:tr w:rsidR="00F806C6" w:rsidRPr="009175CD" w14:paraId="16068871"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D7D5BDD"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 xml:space="preserve">Jambon sans mouille saumuré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D39E99B" w14:textId="68A5D10F"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21 [17-25]</w:t>
            </w:r>
          </w:p>
        </w:tc>
        <w:tc>
          <w:tcPr>
            <w:tcW w:w="1522"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1C39B40" w14:textId="457C199E"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827CC14" w14:textId="1A3303F8" w:rsidR="00F806C6" w:rsidRPr="009C78FD" w:rsidRDefault="00F806C6" w:rsidP="0002537E">
            <w:pPr>
              <w:spacing w:after="0" w:line="240" w:lineRule="auto"/>
              <w:jc w:val="right"/>
              <w:rPr>
                <w:rFonts w:cs="Arial"/>
                <w:sz w:val="20"/>
                <w:szCs w:val="20"/>
                <w:lang w:eastAsia="fr-FR"/>
              </w:rPr>
            </w:pP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9CCEF57" w14:textId="58BE63D7"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15 [11-20]</w:t>
            </w:r>
          </w:p>
        </w:tc>
      </w:tr>
      <w:tr w:rsidR="00F806C6" w:rsidRPr="009175CD" w14:paraId="10B96E54"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13AD147F"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 xml:space="preserve">Jambon coupe S/S séché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1F7FD83" w14:textId="3C522D7A"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46 [37-55]</w:t>
            </w:r>
          </w:p>
        </w:tc>
        <w:tc>
          <w:tcPr>
            <w:tcW w:w="1522"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1C57F54" w14:textId="44EFAA06"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0B2935B" w14:textId="77777777"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DCBDBBA" w14:textId="49186A81"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41 [29-53]</w:t>
            </w:r>
          </w:p>
        </w:tc>
      </w:tr>
      <w:tr w:rsidR="00F806C6" w:rsidRPr="009175CD" w14:paraId="32BD3B4E"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34CA3474" w14:textId="77777777"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Jambon coupe Parme, séché</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4C4B18DC" w14:textId="37A772EB"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35 [28-42]</w:t>
            </w:r>
          </w:p>
        </w:tc>
        <w:tc>
          <w:tcPr>
            <w:tcW w:w="1522"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8059E23" w14:textId="395A8A09"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A90AC57" w14:textId="77777777" w:rsidR="00F806C6" w:rsidRPr="009C78FD" w:rsidRDefault="00F806C6" w:rsidP="0002537E">
            <w:pPr>
              <w:spacing w:after="0" w:line="240" w:lineRule="auto"/>
              <w:jc w:val="righ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6B303063" w14:textId="56BA4905"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31 [22-40]</w:t>
            </w:r>
          </w:p>
        </w:tc>
      </w:tr>
      <w:tr w:rsidR="00F806C6" w:rsidRPr="009175CD" w14:paraId="7BB481DC"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098E433" w14:textId="709CAA5A" w:rsidR="00F806C6" w:rsidRPr="009175CD" w:rsidRDefault="00F806C6" w:rsidP="0002537E">
            <w:pPr>
              <w:spacing w:after="0" w:line="240" w:lineRule="auto"/>
              <w:jc w:val="right"/>
              <w:rPr>
                <w:rFonts w:cs="Arial"/>
                <w:sz w:val="20"/>
                <w:szCs w:val="20"/>
                <w:lang w:eastAsia="fr-FR"/>
              </w:rPr>
            </w:pPr>
            <w:r w:rsidRPr="009175CD">
              <w:rPr>
                <w:rFonts w:cs="Arial"/>
                <w:sz w:val="20"/>
                <w:szCs w:val="20"/>
                <w:lang w:eastAsia="fr-FR"/>
              </w:rPr>
              <w:t>Jambonneau et autres pièces saumuré</w:t>
            </w:r>
            <w:r w:rsidR="00BB43F5">
              <w:rPr>
                <w:rFonts w:cs="Arial"/>
                <w:sz w:val="20"/>
                <w:szCs w:val="20"/>
                <w:lang w:eastAsia="fr-FR"/>
              </w:rPr>
              <w:t>e</w:t>
            </w:r>
            <w:r w:rsidRPr="009175CD">
              <w:rPr>
                <w:rFonts w:cs="Arial"/>
                <w:sz w:val="20"/>
                <w:szCs w:val="20"/>
                <w:lang w:eastAsia="fr-FR"/>
              </w:rPr>
              <w:t xml:space="preserve">s </w:t>
            </w:r>
          </w:p>
        </w:tc>
        <w:tc>
          <w:tcPr>
            <w:tcW w:w="1709"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2477293C" w14:textId="2DF073CB"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8 [6-10]</w:t>
            </w:r>
          </w:p>
        </w:tc>
        <w:tc>
          <w:tcPr>
            <w:tcW w:w="1522"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0A7598D3" w14:textId="616E5DA6" w:rsidR="00F806C6" w:rsidRPr="009C78FD" w:rsidRDefault="00F806C6" w:rsidP="0002537E">
            <w:pPr>
              <w:spacing w:after="0" w:line="240" w:lineRule="auto"/>
              <w:jc w:val="righ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5C7488B4" w14:textId="77777777" w:rsidR="00F806C6" w:rsidRPr="009C78FD" w:rsidRDefault="00F806C6" w:rsidP="0002537E">
            <w:pPr>
              <w:spacing w:after="0" w:line="240" w:lineRule="auto"/>
              <w:jc w:val="righ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auto"/>
            <w:tcMar>
              <w:top w:w="12" w:type="dxa"/>
              <w:left w:w="12" w:type="dxa"/>
              <w:bottom w:w="0" w:type="dxa"/>
              <w:right w:w="12" w:type="dxa"/>
            </w:tcMar>
            <w:vAlign w:val="center"/>
            <w:hideMark/>
          </w:tcPr>
          <w:p w14:paraId="7DAD481D" w14:textId="6CA21590" w:rsidR="00F806C6" w:rsidRPr="009C78FD" w:rsidRDefault="00F806C6" w:rsidP="0002537E">
            <w:pPr>
              <w:spacing w:after="0" w:line="240" w:lineRule="auto"/>
              <w:jc w:val="right"/>
              <w:rPr>
                <w:rFonts w:cs="Arial"/>
                <w:sz w:val="20"/>
                <w:szCs w:val="20"/>
                <w:lang w:eastAsia="fr-FR"/>
              </w:rPr>
            </w:pPr>
            <w:r w:rsidRPr="00713036">
              <w:rPr>
                <w:rFonts w:cs="Arial"/>
                <w:bCs/>
                <w:sz w:val="20"/>
                <w:szCs w:val="20"/>
                <w:lang w:eastAsia="fr-FR"/>
              </w:rPr>
              <w:t>10 [7-13]</w:t>
            </w:r>
          </w:p>
        </w:tc>
      </w:tr>
      <w:tr w:rsidR="00F806C6" w:rsidRPr="009175CD" w14:paraId="53505B54"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020C9562" w14:textId="77777777" w:rsidR="00F806C6" w:rsidRPr="009175CD" w:rsidRDefault="00F806C6" w:rsidP="0002537E">
            <w:pPr>
              <w:spacing w:after="0" w:line="240" w:lineRule="auto"/>
              <w:rPr>
                <w:rFonts w:cs="Arial"/>
                <w:sz w:val="20"/>
                <w:szCs w:val="20"/>
                <w:lang w:eastAsia="fr-FR"/>
              </w:rPr>
            </w:pPr>
            <w:r w:rsidRPr="009175CD">
              <w:rPr>
                <w:rFonts w:cs="Arial"/>
                <w:sz w:val="20"/>
                <w:szCs w:val="20"/>
                <w:lang w:eastAsia="fr-FR"/>
              </w:rPr>
              <w:t>Saumurage, autres dont additifs (+/-10%)</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37CB72FF" w14:textId="7C970517" w:rsidR="00F806C6" w:rsidRPr="009C78FD" w:rsidRDefault="00F806C6" w:rsidP="0002537E">
            <w:pPr>
              <w:spacing w:after="0" w:line="240" w:lineRule="auto"/>
              <w:jc w:val="left"/>
              <w:rPr>
                <w:rFonts w:cs="Arial"/>
                <w:sz w:val="20"/>
                <w:szCs w:val="20"/>
                <w:lang w:eastAsia="fr-FR"/>
              </w:rPr>
            </w:pPr>
            <w:r w:rsidRPr="00713036">
              <w:rPr>
                <w:rFonts w:cs="Arial"/>
                <w:bCs/>
                <w:sz w:val="20"/>
                <w:szCs w:val="20"/>
                <w:lang w:eastAsia="fr-FR"/>
              </w:rPr>
              <w:t>15 [12-18]</w:t>
            </w: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307626E" w14:textId="620B9619"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D57CC83"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4C4D7A0E" w14:textId="1271624D" w:rsidR="00F806C6" w:rsidRPr="009C78FD" w:rsidRDefault="00F806C6" w:rsidP="0002537E">
            <w:pPr>
              <w:spacing w:after="0" w:line="240" w:lineRule="auto"/>
              <w:jc w:val="left"/>
              <w:rPr>
                <w:rFonts w:cs="Arial"/>
                <w:sz w:val="20"/>
                <w:szCs w:val="20"/>
                <w:lang w:eastAsia="fr-FR"/>
              </w:rPr>
            </w:pPr>
          </w:p>
        </w:tc>
      </w:tr>
      <w:tr w:rsidR="00F806C6" w:rsidRPr="009175CD" w14:paraId="730D8163"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4CCC831A" w14:textId="77777777" w:rsidR="00F806C6" w:rsidRPr="009175CD" w:rsidRDefault="00F806C6" w:rsidP="0002537E">
            <w:pPr>
              <w:spacing w:after="0" w:line="240" w:lineRule="auto"/>
              <w:rPr>
                <w:rFonts w:cs="Arial"/>
                <w:sz w:val="20"/>
                <w:szCs w:val="20"/>
                <w:lang w:eastAsia="fr-FR"/>
              </w:rPr>
            </w:pPr>
            <w:r w:rsidRPr="009175CD">
              <w:rPr>
                <w:rFonts w:cs="Arial"/>
                <w:sz w:val="20"/>
                <w:szCs w:val="20"/>
                <w:lang w:eastAsia="fr-FR"/>
              </w:rPr>
              <w:t>Eau (maturation/évaporation (&lt;5%))</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5CCE5143" w14:textId="48AB3519" w:rsidR="00F806C6" w:rsidRPr="009C78FD" w:rsidRDefault="00F806C6" w:rsidP="0002537E">
            <w:pPr>
              <w:spacing w:after="0" w:line="240" w:lineRule="auto"/>
              <w:jc w:val="left"/>
              <w:rPr>
                <w:rFonts w:cs="Arial"/>
                <w:sz w:val="20"/>
                <w:szCs w:val="20"/>
                <w:lang w:eastAsia="fr-FR"/>
              </w:rPr>
            </w:pP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721068DA" w14:textId="718A3364"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7A937A83"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06CFF598" w14:textId="0DB804E4" w:rsidR="00F806C6" w:rsidRPr="009C78FD" w:rsidRDefault="00F806C6" w:rsidP="0002537E">
            <w:pPr>
              <w:spacing w:after="0" w:line="240" w:lineRule="auto"/>
              <w:jc w:val="left"/>
              <w:rPr>
                <w:rFonts w:cs="Arial"/>
                <w:sz w:val="20"/>
                <w:szCs w:val="20"/>
                <w:lang w:eastAsia="fr-FR"/>
              </w:rPr>
            </w:pPr>
            <w:r w:rsidRPr="00713036">
              <w:rPr>
                <w:rFonts w:cs="Arial"/>
                <w:bCs/>
                <w:sz w:val="20"/>
                <w:szCs w:val="20"/>
                <w:lang w:eastAsia="fr-FR"/>
              </w:rPr>
              <w:t>15 [10-20]</w:t>
            </w:r>
          </w:p>
        </w:tc>
      </w:tr>
      <w:tr w:rsidR="00F806C6" w:rsidRPr="009175CD" w14:paraId="0F89771C"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829A381" w14:textId="77777777" w:rsidR="00F806C6" w:rsidRPr="009175CD" w:rsidRDefault="00F806C6" w:rsidP="0002537E">
            <w:pPr>
              <w:spacing w:after="0" w:line="240" w:lineRule="auto"/>
              <w:rPr>
                <w:rFonts w:cs="Arial"/>
                <w:sz w:val="20"/>
                <w:szCs w:val="20"/>
                <w:lang w:eastAsia="fr-FR"/>
              </w:rPr>
            </w:pPr>
            <w:r w:rsidRPr="009175CD">
              <w:rPr>
                <w:rFonts w:cs="Arial"/>
                <w:sz w:val="20"/>
                <w:szCs w:val="20"/>
                <w:lang w:eastAsia="fr-FR"/>
              </w:rPr>
              <w:t>Gras (lard, graisse de porc non fondue) (5%)</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20728579" w14:textId="6B20CFBA" w:rsidR="00F806C6" w:rsidRPr="009C78FD" w:rsidRDefault="00F806C6" w:rsidP="0002537E">
            <w:pPr>
              <w:spacing w:after="0" w:line="240" w:lineRule="auto"/>
              <w:jc w:val="left"/>
              <w:rPr>
                <w:rFonts w:cs="Arial"/>
                <w:sz w:val="20"/>
                <w:szCs w:val="20"/>
                <w:lang w:eastAsia="fr-FR"/>
              </w:rPr>
            </w:pP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477453A" w14:textId="5DE27C43"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4EA7ACD8"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19EAE18" w14:textId="0FBE26C4" w:rsidR="00F806C6" w:rsidRPr="009C78FD" w:rsidRDefault="00F806C6" w:rsidP="0002537E">
            <w:pPr>
              <w:spacing w:after="0" w:line="240" w:lineRule="auto"/>
              <w:jc w:val="left"/>
              <w:rPr>
                <w:rFonts w:cs="Arial"/>
                <w:sz w:val="20"/>
                <w:szCs w:val="20"/>
                <w:lang w:eastAsia="fr-FR"/>
              </w:rPr>
            </w:pPr>
            <w:r w:rsidRPr="003456EA">
              <w:rPr>
                <w:rFonts w:cs="Arial"/>
                <w:sz w:val="20"/>
                <w:szCs w:val="20"/>
                <w:lang w:eastAsia="fr-FR"/>
              </w:rPr>
              <w:t>20 [14-26]</w:t>
            </w:r>
          </w:p>
        </w:tc>
      </w:tr>
      <w:tr w:rsidR="00F806C6" w:rsidRPr="009175CD" w14:paraId="3E044845" w14:textId="77777777" w:rsidTr="0002537E">
        <w:trPr>
          <w:trHeight w:val="20"/>
        </w:trPr>
        <w:tc>
          <w:tcPr>
            <w:tcW w:w="4098" w:type="dxa"/>
            <w:tcBorders>
              <w:top w:val="single" w:sz="4" w:space="0" w:color="000000"/>
              <w:left w:val="single" w:sz="4" w:space="0" w:color="000000"/>
              <w:bottom w:val="nil"/>
              <w:right w:val="single" w:sz="4" w:space="0" w:color="000000"/>
            </w:tcBorders>
            <w:shd w:val="clear" w:color="auto" w:fill="D9D9D9" w:themeFill="background1" w:themeFillShade="D9"/>
            <w:tcMar>
              <w:top w:w="12" w:type="dxa"/>
              <w:left w:w="12" w:type="dxa"/>
              <w:bottom w:w="0" w:type="dxa"/>
              <w:right w:w="12" w:type="dxa"/>
            </w:tcMar>
            <w:vAlign w:val="center"/>
            <w:hideMark/>
          </w:tcPr>
          <w:p w14:paraId="27AB1CFA" w14:textId="4540353B" w:rsidR="00F806C6" w:rsidRPr="009175CD" w:rsidRDefault="00F806C6" w:rsidP="0002537E">
            <w:pPr>
              <w:spacing w:after="0" w:line="240" w:lineRule="auto"/>
              <w:rPr>
                <w:rFonts w:cs="Arial"/>
                <w:sz w:val="20"/>
                <w:szCs w:val="20"/>
                <w:lang w:eastAsia="fr-FR"/>
              </w:rPr>
            </w:pPr>
            <w:r w:rsidRPr="009175CD">
              <w:rPr>
                <w:rFonts w:cs="Arial"/>
                <w:sz w:val="20"/>
                <w:szCs w:val="20"/>
                <w:lang w:eastAsia="fr-FR"/>
              </w:rPr>
              <w:t xml:space="preserve">Parage (petites viandes, aponévrose) </w:t>
            </w:r>
            <w:r w:rsidR="003456EA" w:rsidRPr="009175CD">
              <w:rPr>
                <w:rFonts w:cs="Arial"/>
                <w:sz w:val="20"/>
                <w:szCs w:val="20"/>
                <w:lang w:eastAsia="fr-FR"/>
              </w:rPr>
              <w:t>(10% à 12%) sur les pièces crues</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A837850" w14:textId="64CE15FE" w:rsidR="00F806C6" w:rsidRPr="009C78FD" w:rsidRDefault="00F806C6" w:rsidP="0002537E">
            <w:pPr>
              <w:spacing w:after="0" w:line="240" w:lineRule="auto"/>
              <w:jc w:val="left"/>
              <w:rPr>
                <w:rFonts w:cs="Arial"/>
                <w:sz w:val="20"/>
                <w:szCs w:val="20"/>
                <w:lang w:eastAsia="fr-FR"/>
              </w:rPr>
            </w:pP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50AB7891" w14:textId="54C5F6C6"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5D3D34E8"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0238725" w14:textId="2F67BB1E" w:rsidR="00F806C6" w:rsidRPr="009C78FD" w:rsidRDefault="00F806C6" w:rsidP="0002537E">
            <w:pPr>
              <w:spacing w:after="0" w:line="240" w:lineRule="auto"/>
              <w:jc w:val="left"/>
              <w:rPr>
                <w:rFonts w:cs="Arial"/>
                <w:sz w:val="20"/>
                <w:szCs w:val="20"/>
                <w:lang w:eastAsia="fr-FR"/>
              </w:rPr>
            </w:pPr>
            <w:r w:rsidRPr="003456EA">
              <w:rPr>
                <w:rFonts w:cs="Arial"/>
                <w:sz w:val="20"/>
                <w:szCs w:val="20"/>
                <w:lang w:eastAsia="fr-FR"/>
              </w:rPr>
              <w:t>5 [3-6]</w:t>
            </w:r>
          </w:p>
        </w:tc>
      </w:tr>
      <w:tr w:rsidR="00F806C6" w:rsidRPr="009175CD" w14:paraId="299B837A" w14:textId="77777777" w:rsidTr="0002537E">
        <w:trPr>
          <w:trHeight w:val="20"/>
        </w:trPr>
        <w:tc>
          <w:tcPr>
            <w:tcW w:w="409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ED986C7" w14:textId="77777777" w:rsidR="00F806C6" w:rsidRPr="009175CD" w:rsidRDefault="00F806C6" w:rsidP="0002537E">
            <w:pPr>
              <w:spacing w:after="0" w:line="240" w:lineRule="auto"/>
              <w:rPr>
                <w:rFonts w:cs="Arial"/>
                <w:sz w:val="20"/>
                <w:szCs w:val="20"/>
                <w:lang w:eastAsia="fr-FR"/>
              </w:rPr>
            </w:pPr>
            <w:r w:rsidRPr="0002537E">
              <w:rPr>
                <w:rFonts w:cs="Arial"/>
                <w:sz w:val="20"/>
                <w:szCs w:val="20"/>
                <w:lang w:eastAsia="fr-FR"/>
              </w:rPr>
              <w:t xml:space="preserve">Part os désossage </w:t>
            </w:r>
          </w:p>
        </w:tc>
        <w:tc>
          <w:tcPr>
            <w:tcW w:w="170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2A147868" w14:textId="512EA231" w:rsidR="00F806C6" w:rsidRPr="009C78FD" w:rsidRDefault="00F806C6" w:rsidP="0002537E">
            <w:pPr>
              <w:spacing w:after="0" w:line="240" w:lineRule="auto"/>
              <w:jc w:val="left"/>
              <w:rPr>
                <w:rFonts w:cs="Arial"/>
                <w:sz w:val="20"/>
                <w:szCs w:val="20"/>
                <w:lang w:eastAsia="fr-FR"/>
              </w:rPr>
            </w:pP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6E5BE7D9" w14:textId="4998DB00" w:rsidR="00F806C6" w:rsidRPr="009C78FD" w:rsidRDefault="00F806C6" w:rsidP="0002537E">
            <w:pPr>
              <w:spacing w:after="0" w:line="240" w:lineRule="auto"/>
              <w:jc w:val="left"/>
              <w:rPr>
                <w:rFonts w:cs="Arial"/>
                <w:sz w:val="20"/>
                <w:szCs w:val="20"/>
                <w:lang w:eastAsia="fr-FR"/>
              </w:rPr>
            </w:pPr>
          </w:p>
        </w:tc>
        <w:tc>
          <w:tcPr>
            <w:tcW w:w="68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56DA6744" w14:textId="77777777" w:rsidR="00F806C6" w:rsidRPr="009C78FD" w:rsidRDefault="00F806C6" w:rsidP="0002537E">
            <w:pPr>
              <w:spacing w:after="0" w:line="240" w:lineRule="auto"/>
              <w:jc w:val="left"/>
              <w:rPr>
                <w:rFonts w:cs="Arial"/>
                <w:sz w:val="20"/>
                <w:szCs w:val="20"/>
                <w:lang w:eastAsia="fr-FR"/>
              </w:rPr>
            </w:pPr>
            <w:r w:rsidRPr="009C78FD">
              <w:rPr>
                <w:rFonts w:cs="Arial"/>
                <w:sz w:val="20"/>
                <w:szCs w:val="20"/>
                <w:lang w:eastAsia="fr-FR"/>
              </w:rPr>
              <w:t> </w:t>
            </w:r>
          </w:p>
        </w:tc>
        <w:tc>
          <w:tcPr>
            <w:tcW w:w="17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2" w:type="dxa"/>
              <w:left w:w="12" w:type="dxa"/>
              <w:bottom w:w="0" w:type="dxa"/>
              <w:right w:w="12" w:type="dxa"/>
            </w:tcMar>
            <w:vAlign w:val="center"/>
            <w:hideMark/>
          </w:tcPr>
          <w:p w14:paraId="13B88A3A" w14:textId="3982444B" w:rsidR="00F806C6" w:rsidRPr="009C78FD" w:rsidRDefault="00F806C6" w:rsidP="0002537E">
            <w:pPr>
              <w:spacing w:after="0" w:line="240" w:lineRule="auto"/>
              <w:jc w:val="left"/>
              <w:rPr>
                <w:rFonts w:cs="Arial"/>
                <w:sz w:val="20"/>
                <w:szCs w:val="20"/>
                <w:lang w:eastAsia="fr-FR"/>
              </w:rPr>
            </w:pPr>
            <w:r w:rsidRPr="0002537E">
              <w:rPr>
                <w:rFonts w:cs="Arial"/>
                <w:sz w:val="20"/>
                <w:szCs w:val="20"/>
                <w:lang w:eastAsia="fr-FR"/>
              </w:rPr>
              <w:t>Déjà comptabilisé</w:t>
            </w:r>
          </w:p>
        </w:tc>
      </w:tr>
    </w:tbl>
    <w:p w14:paraId="605ABEEB" w14:textId="4B2DFDB4" w:rsidR="00F93328" w:rsidRPr="0002537E" w:rsidRDefault="00EF0EE8" w:rsidP="0002537E">
      <w:pPr>
        <w:pStyle w:val="figure"/>
        <w:rPr>
          <w:i/>
        </w:rPr>
      </w:pPr>
      <w:bookmarkStart w:id="365" w:name="_Toc72143422"/>
      <w:r w:rsidRPr="00EF0EE8">
        <w:t>Tableau</w:t>
      </w:r>
      <w:r>
        <w:t xml:space="preserve"> </w:t>
      </w:r>
      <w:r w:rsidRPr="00D54EC4">
        <w:fldChar w:fldCharType="begin"/>
      </w:r>
      <w:r w:rsidRPr="00EF0EE8">
        <w:instrText xml:space="preserve"> SEQ Tableau \* ARABIC </w:instrText>
      </w:r>
      <w:r w:rsidRPr="00D54EC4">
        <w:fldChar w:fldCharType="separate"/>
      </w:r>
      <w:r w:rsidR="0007597F">
        <w:rPr>
          <w:i/>
          <w:noProof/>
        </w:rPr>
        <w:t>75</w:t>
      </w:r>
      <w:r w:rsidRPr="00D54EC4">
        <w:fldChar w:fldCharType="end"/>
      </w:r>
      <w:r w:rsidR="007538FF">
        <w:rPr>
          <w:i/>
        </w:rPr>
        <w:t> :</w:t>
      </w:r>
      <w:r>
        <w:t xml:space="preserve"> </w:t>
      </w:r>
      <w:r w:rsidR="003E41D6" w:rsidRPr="00E42BC7">
        <w:rPr>
          <w:iCs w:val="0"/>
        </w:rPr>
        <w:t>T</w:t>
      </w:r>
      <w:r w:rsidR="00F806C6" w:rsidRPr="00E42BC7">
        <w:rPr>
          <w:iCs w:val="0"/>
        </w:rPr>
        <w:t xml:space="preserve">ableau emploi ressource </w:t>
      </w:r>
      <w:r w:rsidR="00F3050C" w:rsidRPr="00E42BC7">
        <w:rPr>
          <w:iCs w:val="0"/>
        </w:rPr>
        <w:t xml:space="preserve">du jambon </w:t>
      </w:r>
      <w:r w:rsidR="00F806C6" w:rsidRPr="00E42BC7">
        <w:rPr>
          <w:iCs w:val="0"/>
        </w:rPr>
        <w:t>au stade d</w:t>
      </w:r>
      <w:r w:rsidR="00F3050C" w:rsidRPr="00E42BC7">
        <w:rPr>
          <w:iCs w:val="0"/>
        </w:rPr>
        <w:t xml:space="preserve">u piéçage, salage en viande de porc fraîche et de </w:t>
      </w:r>
      <w:r w:rsidR="00F806C6" w:rsidRPr="00E42BC7">
        <w:rPr>
          <w:iCs w:val="0"/>
        </w:rPr>
        <w:t xml:space="preserve">la </w:t>
      </w:r>
      <w:r w:rsidR="00B621B9" w:rsidRPr="00E42BC7">
        <w:rPr>
          <w:iCs w:val="0"/>
        </w:rPr>
        <w:t>transformation en charcuterie salaison</w:t>
      </w:r>
      <w:bookmarkEnd w:id="365"/>
      <w:r w:rsidR="00F3050C" w:rsidRPr="00E42BC7">
        <w:rPr>
          <w:iCs w:val="0"/>
        </w:rPr>
        <w:t xml:space="preserve"> </w:t>
      </w:r>
    </w:p>
    <w:p w14:paraId="6173C65D" w14:textId="3D972D32" w:rsidR="003456EA" w:rsidRDefault="003456EA" w:rsidP="003456EA">
      <w:pPr>
        <w:rPr>
          <w:lang w:eastAsia="fr-FR"/>
        </w:rPr>
      </w:pPr>
      <w:r w:rsidRPr="00713036">
        <w:rPr>
          <w:lang w:eastAsia="fr-FR"/>
        </w:rPr>
        <w:t xml:space="preserve">L’importation s’effectue principalement en </w:t>
      </w:r>
      <w:r>
        <w:rPr>
          <w:lang w:eastAsia="fr-FR"/>
        </w:rPr>
        <w:t xml:space="preserve">jambon </w:t>
      </w:r>
      <w:r w:rsidRPr="00713036">
        <w:rPr>
          <w:lang w:eastAsia="fr-FR"/>
        </w:rPr>
        <w:t>désossé (</w:t>
      </w:r>
      <w:r>
        <w:rPr>
          <w:lang w:eastAsia="fr-FR"/>
        </w:rPr>
        <w:t xml:space="preserve">majoritairement </w:t>
      </w:r>
      <w:r w:rsidRPr="00713036">
        <w:rPr>
          <w:lang w:eastAsia="fr-FR"/>
        </w:rPr>
        <w:t>5D)</w:t>
      </w:r>
      <w:r>
        <w:rPr>
          <w:lang w:eastAsia="fr-FR"/>
        </w:rPr>
        <w:t xml:space="preserve"> correspondant à une part des produits importés en désossé (02031955 et 02032955 ; Désossées FR et C) estimée à 161kt</w:t>
      </w:r>
      <w:r w:rsidRPr="00713036">
        <w:rPr>
          <w:lang w:eastAsia="fr-FR"/>
        </w:rPr>
        <w:t>.</w:t>
      </w:r>
      <w:r w:rsidR="00BB43F5">
        <w:rPr>
          <w:lang w:eastAsia="fr-FR"/>
        </w:rPr>
        <w:t xml:space="preserve"> Ces pièces d’importation sont en provenance d’Espagne et à destination de la transformation en jambon cuit pour les marchés de la restauration hors domicile et de la consommation à domicile au travers de marques nationales. </w:t>
      </w:r>
      <w:r w:rsidRPr="009175CD">
        <w:rPr>
          <w:lang w:eastAsia="fr-FR"/>
        </w:rPr>
        <w:t>C</w:t>
      </w:r>
      <w:r>
        <w:rPr>
          <w:lang w:eastAsia="fr-FR"/>
        </w:rPr>
        <w:t>omme précédemment</w:t>
      </w:r>
      <w:r w:rsidR="00BB43F5">
        <w:rPr>
          <w:lang w:eastAsia="fr-FR"/>
        </w:rPr>
        <w:t>,</w:t>
      </w:r>
      <w:r w:rsidRPr="009175CD">
        <w:rPr>
          <w:lang w:eastAsia="fr-FR"/>
        </w:rPr>
        <w:t xml:space="preserve"> </w:t>
      </w:r>
      <w:r>
        <w:rPr>
          <w:lang w:eastAsia="fr-FR"/>
        </w:rPr>
        <w:t xml:space="preserve">la part de minerai générée </w:t>
      </w:r>
      <w:r w:rsidRPr="009175CD">
        <w:rPr>
          <w:lang w:eastAsia="fr-FR"/>
        </w:rPr>
        <w:t xml:space="preserve">peut </w:t>
      </w:r>
      <w:r>
        <w:rPr>
          <w:lang w:eastAsia="fr-FR"/>
        </w:rPr>
        <w:t>atteindre</w:t>
      </w:r>
      <w:r w:rsidRPr="009175CD">
        <w:rPr>
          <w:lang w:eastAsia="fr-FR"/>
        </w:rPr>
        <w:t xml:space="preserve"> jusqu’à </w:t>
      </w:r>
      <w:r w:rsidRPr="00713036">
        <w:rPr>
          <w:bCs/>
          <w:lang w:eastAsia="fr-FR"/>
        </w:rPr>
        <w:t xml:space="preserve">45 à 50% </w:t>
      </w:r>
      <w:r w:rsidRPr="009175CD">
        <w:rPr>
          <w:lang w:eastAsia="fr-FR"/>
        </w:rPr>
        <w:t xml:space="preserve">pour des productions de jambon premium </w:t>
      </w:r>
      <w:r w:rsidRPr="009175CD">
        <w:rPr>
          <w:lang w:eastAsia="fr-FR"/>
        </w:rPr>
        <w:lastRenderedPageBreak/>
        <w:t>(</w:t>
      </w:r>
      <w:r w:rsidR="00E42BC7">
        <w:rPr>
          <w:lang w:eastAsia="fr-FR"/>
        </w:rPr>
        <w:t xml:space="preserve">supérieur </w:t>
      </w:r>
      <w:r w:rsidRPr="009175CD">
        <w:rPr>
          <w:lang w:eastAsia="fr-FR"/>
        </w:rPr>
        <w:t xml:space="preserve">label, « sans »). </w:t>
      </w:r>
      <w:r w:rsidRPr="00713036">
        <w:rPr>
          <w:lang w:eastAsia="fr-FR"/>
        </w:rPr>
        <w:t>La destination principale d</w:t>
      </w:r>
      <w:r w:rsidR="00E42BC7">
        <w:rPr>
          <w:lang w:eastAsia="fr-FR"/>
        </w:rPr>
        <w:t>u</w:t>
      </w:r>
      <w:r w:rsidRPr="00713036">
        <w:rPr>
          <w:lang w:eastAsia="fr-FR"/>
        </w:rPr>
        <w:t xml:space="preserve"> minerai </w:t>
      </w:r>
      <w:r w:rsidR="00E42BC7">
        <w:rPr>
          <w:lang w:eastAsia="fr-FR"/>
        </w:rPr>
        <w:t xml:space="preserve">issu de la transformation de jambon </w:t>
      </w:r>
      <w:r>
        <w:rPr>
          <w:lang w:eastAsia="fr-FR"/>
        </w:rPr>
        <w:t xml:space="preserve">sont les </w:t>
      </w:r>
      <w:r w:rsidRPr="00713036">
        <w:rPr>
          <w:lang w:eastAsia="fr-FR"/>
        </w:rPr>
        <w:t>produits de type pâte fine (knacks, cervelas, saucisses blanches).</w:t>
      </w:r>
    </w:p>
    <w:p w14:paraId="67FF6959" w14:textId="19932840" w:rsidR="00BB43F5" w:rsidRDefault="003456EA" w:rsidP="0002537E">
      <w:pPr>
        <w:spacing w:after="0"/>
        <w:rPr>
          <w:bCs/>
          <w:lang w:eastAsia="fr-FR"/>
        </w:rPr>
      </w:pPr>
      <w:r>
        <w:rPr>
          <w:bCs/>
          <w:lang w:eastAsia="fr-FR"/>
        </w:rPr>
        <w:t xml:space="preserve">Les incertitudes en entrée </w:t>
      </w:r>
      <w:r w:rsidR="00BB43F5">
        <w:rPr>
          <w:bCs/>
          <w:lang w:eastAsia="fr-FR"/>
        </w:rPr>
        <w:t xml:space="preserve">et sortie </w:t>
      </w:r>
      <w:r>
        <w:rPr>
          <w:bCs/>
          <w:lang w:eastAsia="fr-FR"/>
        </w:rPr>
        <w:t xml:space="preserve">de tableau </w:t>
      </w:r>
      <w:r w:rsidR="00BB43F5">
        <w:rPr>
          <w:bCs/>
          <w:lang w:eastAsia="fr-FR"/>
        </w:rPr>
        <w:t xml:space="preserve">emploi ressource </w:t>
      </w:r>
      <w:r>
        <w:rPr>
          <w:bCs/>
          <w:lang w:eastAsia="fr-FR"/>
        </w:rPr>
        <w:t>sont de 20% compte tenu des source</w:t>
      </w:r>
      <w:r w:rsidR="007C2FAB">
        <w:rPr>
          <w:bCs/>
          <w:lang w:eastAsia="fr-FR"/>
        </w:rPr>
        <w:t>s</w:t>
      </w:r>
      <w:r>
        <w:rPr>
          <w:bCs/>
          <w:lang w:eastAsia="fr-FR"/>
        </w:rPr>
        <w:t xml:space="preserve"> de données et des modes d’estimation.</w:t>
      </w:r>
    </w:p>
    <w:p w14:paraId="67604276" w14:textId="53B94FC0" w:rsidR="00015509" w:rsidRPr="005827CD" w:rsidRDefault="00015509" w:rsidP="0002537E">
      <w:pPr>
        <w:pStyle w:val="Titre3"/>
        <w:spacing w:before="120"/>
        <w:rPr>
          <w:szCs w:val="20"/>
        </w:rPr>
      </w:pPr>
      <w:bookmarkStart w:id="366" w:name="_Toc78131686"/>
      <w:r>
        <w:rPr>
          <w:rFonts w:eastAsiaTheme="minorEastAsia"/>
        </w:rPr>
        <w:t>2.2.</w:t>
      </w:r>
      <w:r w:rsidR="007C2FAB">
        <w:rPr>
          <w:rFonts w:eastAsiaTheme="minorEastAsia"/>
        </w:rPr>
        <w:t>4</w:t>
      </w:r>
      <w:r>
        <w:rPr>
          <w:rFonts w:eastAsiaTheme="minorEastAsia"/>
        </w:rPr>
        <w:t xml:space="preserve">. </w:t>
      </w:r>
      <w:r w:rsidRPr="009175CD">
        <w:rPr>
          <w:rFonts w:eastAsiaTheme="minorEastAsia"/>
        </w:rPr>
        <w:t xml:space="preserve">Destination </w:t>
      </w:r>
      <w:r w:rsidR="00135C39">
        <w:rPr>
          <w:rFonts w:eastAsiaTheme="minorEastAsia"/>
        </w:rPr>
        <w:t xml:space="preserve">des </w:t>
      </w:r>
      <w:r w:rsidRPr="009175CD">
        <w:rPr>
          <w:rFonts w:eastAsiaTheme="minorEastAsia"/>
        </w:rPr>
        <w:t xml:space="preserve">pièces </w:t>
      </w:r>
      <w:r w:rsidR="00135C39">
        <w:rPr>
          <w:rFonts w:eastAsiaTheme="minorEastAsia"/>
        </w:rPr>
        <w:t>traitées en salaison cuite ou sèche</w:t>
      </w:r>
      <w:bookmarkEnd w:id="366"/>
      <w:r w:rsidR="00135C39">
        <w:rPr>
          <w:rFonts w:eastAsiaTheme="minorEastAsia"/>
        </w:rPr>
        <w:t xml:space="preserve"> </w:t>
      </w:r>
    </w:p>
    <w:p w14:paraId="01BA8C2B" w14:textId="79EC1C78" w:rsidR="00CB7D9A" w:rsidRDefault="00135C39" w:rsidP="00015509">
      <w:r>
        <w:t>L</w:t>
      </w:r>
      <w:r w:rsidR="007C2FAB">
        <w:t>’analyse confirme que les jambons cuits avec 3</w:t>
      </w:r>
      <w:r w:rsidR="005E6E16">
        <w:t>20</w:t>
      </w:r>
      <w:r w:rsidR="007C2FAB">
        <w:t> kt</w:t>
      </w:r>
      <w:r w:rsidR="005E6E16">
        <w:t xml:space="preserve"> (dont 17 kt en fumé, salé)</w:t>
      </w:r>
      <w:r w:rsidR="00260368">
        <w:t xml:space="preserve"> </w:t>
      </w:r>
      <w:r w:rsidR="007C2FAB">
        <w:t>dominent en termes de destination de</w:t>
      </w:r>
      <w:r w:rsidR="005E6E16">
        <w:t>s</w:t>
      </w:r>
      <w:r w:rsidR="007C2FAB">
        <w:t xml:space="preserve"> pièces primaires loin devant les autres cuits (jambonneaux…) </w:t>
      </w:r>
      <w:r w:rsidR="00260368">
        <w:t xml:space="preserve">(&lt;10kt) </w:t>
      </w:r>
      <w:r w:rsidR="007C2FAB">
        <w:t>et le jambon sec (72 kt).</w:t>
      </w:r>
      <w:r w:rsidR="00260368">
        <w:t xml:space="preserve"> La part des exportations</w:t>
      </w:r>
      <w:r w:rsidR="00436ACE">
        <w:t xml:space="preserve"> représente un total de 8kt soient préparations et conserves de jambons</w:t>
      </w:r>
      <w:r w:rsidR="00260368">
        <w:t xml:space="preserve"> (16024110; 7 kt</w:t>
      </w:r>
      <w:r w:rsidR="00436ACE">
        <w:t>)</w:t>
      </w:r>
      <w:r w:rsidR="00260368">
        <w:t xml:space="preserve"> et </w:t>
      </w:r>
      <w:r w:rsidR="00436ACE">
        <w:t>p</w:t>
      </w:r>
      <w:r w:rsidR="00260368">
        <w:t>réparations et conserves de viande</w:t>
      </w:r>
      <w:r w:rsidR="00436ACE">
        <w:t xml:space="preserve"> tels que jambon de Reims, de Bourgogne (16024919 ; estimé à env. 1kt</w:t>
      </w:r>
      <w:r w:rsidR="00260368">
        <w:t>). A noter, ces</w:t>
      </w:r>
      <w:r w:rsidR="00436ACE">
        <w:t xml:space="preserve"> derniers</w:t>
      </w:r>
      <w:r w:rsidR="00260368">
        <w:t xml:space="preserve"> produits conformément au code des usages font partie des produits de salaison en gelée.</w:t>
      </w:r>
      <w:r w:rsidR="00CB7D9A">
        <w:t xml:space="preserve"> </w:t>
      </w:r>
      <w:r w:rsidR="00436ACE">
        <w:t xml:space="preserve">Par ailleurs, les produits finis importés soient préparations et conserves de jambons (16024110; </w:t>
      </w:r>
      <w:r w:rsidR="00A02A22">
        <w:t>24kt</w:t>
      </w:r>
      <w:r w:rsidR="00436ACE">
        <w:t>)</w:t>
      </w:r>
      <w:r w:rsidR="00A02A22">
        <w:t xml:space="preserve"> et en partie les viandes désossées SF (02101981 ; 16 kt) </w:t>
      </w:r>
      <w:r w:rsidR="000A1886">
        <w:t>représentent</w:t>
      </w:r>
      <w:r w:rsidR="00A02A22">
        <w:t xml:space="preserve"> un total de 40 kt.</w:t>
      </w:r>
    </w:p>
    <w:p w14:paraId="47BB5CBC" w14:textId="77777777" w:rsidR="009E3CC5" w:rsidRDefault="00015509" w:rsidP="00015509">
      <w:r w:rsidRPr="00713036">
        <w:t xml:space="preserve">Les </w:t>
      </w:r>
      <w:r w:rsidRPr="00713036">
        <w:rPr>
          <w:bCs/>
        </w:rPr>
        <w:t>opérat</w:t>
      </w:r>
      <w:r w:rsidR="007C2FAB">
        <w:rPr>
          <w:bCs/>
        </w:rPr>
        <w:t xml:space="preserve">ions de tranchage portées par les transformateurs </w:t>
      </w:r>
      <w:r w:rsidR="00260368">
        <w:rPr>
          <w:bCs/>
        </w:rPr>
        <w:t xml:space="preserve">en charcuterie salaison </w:t>
      </w:r>
      <w:r w:rsidR="007C2FAB">
        <w:rPr>
          <w:bCs/>
        </w:rPr>
        <w:t>et les</w:t>
      </w:r>
      <w:r w:rsidRPr="00713036">
        <w:rPr>
          <w:bCs/>
        </w:rPr>
        <w:t xml:space="preserve"> spécialistes du tranchage à façon pour le </w:t>
      </w:r>
      <w:r w:rsidRPr="00713036">
        <w:t>frais emballé de la GMS</w:t>
      </w:r>
      <w:r w:rsidR="007C2FAB">
        <w:t xml:space="preserve"> et une partie du libre-service ne sont pas prises en compte dans l’analyse. </w:t>
      </w:r>
      <w:r w:rsidR="009E3CC5">
        <w:t>Si la part des produits tranchés libre-service peut être comptabilisée dans la plupart des marchés dont les grandes surfaces alimentaires, le</w:t>
      </w:r>
      <w:r w:rsidRPr="00713036">
        <w:t xml:space="preserve"> frais emballé </w:t>
      </w:r>
      <w:r w:rsidR="007C2FAB">
        <w:t xml:space="preserve">tranché en </w:t>
      </w:r>
      <w:r w:rsidRPr="00713036">
        <w:t>jambon</w:t>
      </w:r>
      <w:r w:rsidR="007C2FAB">
        <w:t xml:space="preserve"> </w:t>
      </w:r>
      <w:r w:rsidR="00260368">
        <w:t>c</w:t>
      </w:r>
      <w:r w:rsidR="007C2FAB">
        <w:t>uit et sec</w:t>
      </w:r>
      <w:r w:rsidRPr="00713036">
        <w:t xml:space="preserve"> peut représenter jusqu’à </w:t>
      </w:r>
      <w:r w:rsidR="007C2FAB">
        <w:t>30 à 4</w:t>
      </w:r>
      <w:r w:rsidRPr="00713036">
        <w:t>0%</w:t>
      </w:r>
      <w:r w:rsidR="007C2FAB">
        <w:t xml:space="preserve"> des volumes de l’univers coupe et frais emballé </w:t>
      </w:r>
      <w:r w:rsidR="00260368">
        <w:t>des grandes surfaces alimentaires.</w:t>
      </w:r>
      <w:r w:rsidR="00A02A22">
        <w:t xml:space="preserve"> </w:t>
      </w:r>
    </w:p>
    <w:p w14:paraId="4017A681" w14:textId="08588A39" w:rsidR="008E09FB" w:rsidRPr="00A02A22" w:rsidRDefault="008E09FB" w:rsidP="00015509">
      <w:pPr>
        <w:rPr>
          <w:bCs/>
        </w:rPr>
      </w:pPr>
      <w:r w:rsidRPr="0002537E">
        <w:rPr>
          <w:bCs/>
        </w:rPr>
        <w:t>Les incertitudes en entrée de tableau sont de 10% et de 20% en sortie compte tenu des sources de données et des modes d’estimation.</w:t>
      </w:r>
    </w:p>
    <w:tbl>
      <w:tblPr>
        <w:tblW w:w="9209" w:type="dxa"/>
        <w:tblCellMar>
          <w:left w:w="0" w:type="dxa"/>
          <w:right w:w="0" w:type="dxa"/>
        </w:tblCellMar>
        <w:tblLook w:val="0600" w:firstRow="0" w:lastRow="0" w:firstColumn="0" w:lastColumn="0" w:noHBand="1" w:noVBand="1"/>
      </w:tblPr>
      <w:tblGrid>
        <w:gridCol w:w="4106"/>
        <w:gridCol w:w="1559"/>
        <w:gridCol w:w="993"/>
        <w:gridCol w:w="708"/>
        <w:gridCol w:w="1843"/>
      </w:tblGrid>
      <w:tr w:rsidR="00015509" w:rsidRPr="00516B38" w14:paraId="0F7F9447" w14:textId="77777777" w:rsidTr="0002537E">
        <w:trPr>
          <w:trHeight w:val="20"/>
        </w:trPr>
        <w:tc>
          <w:tcPr>
            <w:tcW w:w="410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C9C87C9" w14:textId="77777777" w:rsidR="00015509" w:rsidRPr="00713036" w:rsidRDefault="00015509" w:rsidP="0002537E">
            <w:pPr>
              <w:pStyle w:val="ValrieN1"/>
              <w:spacing w:after="0" w:line="240" w:lineRule="auto"/>
              <w:ind w:left="-17"/>
              <w:jc w:val="left"/>
              <w:rPr>
                <w:sz w:val="20"/>
                <w:szCs w:val="20"/>
              </w:rPr>
            </w:pPr>
            <w:r w:rsidRPr="00713036">
              <w:rPr>
                <w:bCs/>
                <w:sz w:val="20"/>
                <w:szCs w:val="20"/>
              </w:rPr>
              <w:t>Libellé </w:t>
            </w:r>
          </w:p>
        </w:tc>
        <w:tc>
          <w:tcPr>
            <w:tcW w:w="155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C1222E2" w14:textId="77777777" w:rsidR="00015509" w:rsidRPr="00713036" w:rsidRDefault="00015509" w:rsidP="0002537E">
            <w:pPr>
              <w:pStyle w:val="ValrieN1"/>
              <w:spacing w:after="0" w:line="240" w:lineRule="auto"/>
              <w:ind w:left="15"/>
              <w:jc w:val="center"/>
              <w:rPr>
                <w:sz w:val="20"/>
                <w:szCs w:val="20"/>
              </w:rPr>
            </w:pPr>
            <w:r w:rsidRPr="00713036">
              <w:rPr>
                <w:bCs/>
                <w:sz w:val="20"/>
                <w:szCs w:val="20"/>
              </w:rPr>
              <w:t>Production</w:t>
            </w:r>
          </w:p>
        </w:tc>
        <w:tc>
          <w:tcPr>
            <w:tcW w:w="99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ED0EB20" w14:textId="77777777" w:rsidR="00015509" w:rsidRPr="00713036" w:rsidRDefault="00015509" w:rsidP="0002537E">
            <w:pPr>
              <w:pStyle w:val="ValrieN1"/>
              <w:spacing w:after="0" w:line="240" w:lineRule="auto"/>
              <w:ind w:left="0"/>
              <w:jc w:val="left"/>
              <w:rPr>
                <w:sz w:val="20"/>
                <w:szCs w:val="20"/>
              </w:rPr>
            </w:pPr>
            <w:r w:rsidRPr="00713036">
              <w:rPr>
                <w:bCs/>
                <w:sz w:val="20"/>
                <w:szCs w:val="20"/>
              </w:rPr>
              <w:t>I</w:t>
            </w:r>
          </w:p>
        </w:tc>
        <w:tc>
          <w:tcPr>
            <w:tcW w:w="70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FD91F37" w14:textId="77777777" w:rsidR="00015509" w:rsidRPr="00713036" w:rsidRDefault="00015509" w:rsidP="0002537E">
            <w:pPr>
              <w:pStyle w:val="ValrieN1"/>
              <w:spacing w:after="0" w:line="240" w:lineRule="auto"/>
              <w:jc w:val="center"/>
              <w:rPr>
                <w:sz w:val="20"/>
                <w:szCs w:val="20"/>
              </w:rPr>
            </w:pPr>
            <w:r w:rsidRPr="00713036">
              <w:rPr>
                <w:bCs/>
                <w:sz w:val="20"/>
                <w:szCs w:val="20"/>
              </w:rPr>
              <w:t>Ex</w:t>
            </w:r>
          </w:p>
        </w:tc>
        <w:tc>
          <w:tcPr>
            <w:tcW w:w="184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78F4CBC" w14:textId="77777777" w:rsidR="00015509" w:rsidRPr="00713036" w:rsidRDefault="00015509" w:rsidP="0002537E">
            <w:pPr>
              <w:pStyle w:val="ValrieN1"/>
              <w:spacing w:after="0" w:line="240" w:lineRule="auto"/>
              <w:ind w:left="0"/>
              <w:jc w:val="center"/>
              <w:rPr>
                <w:sz w:val="20"/>
                <w:szCs w:val="20"/>
              </w:rPr>
            </w:pPr>
            <w:r w:rsidRPr="00713036">
              <w:rPr>
                <w:bCs/>
                <w:sz w:val="20"/>
                <w:szCs w:val="20"/>
              </w:rPr>
              <w:t>Consommation</w:t>
            </w:r>
          </w:p>
        </w:tc>
      </w:tr>
      <w:tr w:rsidR="00015509" w:rsidRPr="00516B38" w14:paraId="1136712B" w14:textId="77777777" w:rsidTr="0002537E">
        <w:trPr>
          <w:trHeight w:val="20"/>
        </w:trPr>
        <w:tc>
          <w:tcPr>
            <w:tcW w:w="410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C682250" w14:textId="77777777" w:rsidR="00015509" w:rsidRPr="0002537E" w:rsidRDefault="00015509" w:rsidP="0002537E">
            <w:pPr>
              <w:pStyle w:val="ValrieN1"/>
              <w:spacing w:after="0" w:line="240" w:lineRule="auto"/>
              <w:ind w:left="-17"/>
              <w:jc w:val="left"/>
              <w:rPr>
                <w:sz w:val="20"/>
                <w:szCs w:val="20"/>
              </w:rPr>
            </w:pPr>
            <w:r w:rsidRPr="0002537E">
              <w:rPr>
                <w:bCs/>
                <w:sz w:val="20"/>
                <w:szCs w:val="20"/>
              </w:rPr>
              <w:t xml:space="preserve">Total </w:t>
            </w:r>
          </w:p>
        </w:tc>
        <w:tc>
          <w:tcPr>
            <w:tcW w:w="155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1F92B95" w14:textId="77777777" w:rsidR="00015509" w:rsidRPr="0002537E" w:rsidRDefault="00015509" w:rsidP="0002537E">
            <w:pPr>
              <w:pStyle w:val="ValrieN1"/>
              <w:spacing w:after="0" w:line="240" w:lineRule="auto"/>
              <w:ind w:left="15"/>
              <w:jc w:val="center"/>
              <w:rPr>
                <w:sz w:val="20"/>
                <w:szCs w:val="20"/>
              </w:rPr>
            </w:pPr>
            <w:r w:rsidRPr="0002537E">
              <w:rPr>
                <w:bCs/>
                <w:sz w:val="20"/>
                <w:szCs w:val="20"/>
              </w:rPr>
              <w:t>402 [281-523]</w:t>
            </w:r>
          </w:p>
        </w:tc>
        <w:tc>
          <w:tcPr>
            <w:tcW w:w="99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F09C8C6" w14:textId="6D7DE4BE" w:rsidR="00015509" w:rsidRPr="0002537E" w:rsidRDefault="00015509" w:rsidP="0002537E">
            <w:pPr>
              <w:pStyle w:val="ValrieN1"/>
              <w:spacing w:after="0" w:line="240" w:lineRule="auto"/>
              <w:jc w:val="center"/>
              <w:rPr>
                <w:sz w:val="20"/>
                <w:szCs w:val="20"/>
              </w:rPr>
            </w:pPr>
          </w:p>
        </w:tc>
        <w:tc>
          <w:tcPr>
            <w:tcW w:w="70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5681F01" w14:textId="77777777" w:rsidR="00015509" w:rsidRPr="0002537E" w:rsidRDefault="00015509" w:rsidP="0002537E">
            <w:pPr>
              <w:pStyle w:val="ValrieN1"/>
              <w:spacing w:after="0" w:line="240" w:lineRule="auto"/>
              <w:jc w:val="center"/>
              <w:rPr>
                <w:sz w:val="20"/>
                <w:szCs w:val="20"/>
              </w:rPr>
            </w:pPr>
            <w:r w:rsidRPr="0002537E">
              <w:rPr>
                <w:bCs/>
                <w:sz w:val="20"/>
                <w:szCs w:val="20"/>
              </w:rPr>
              <w:t>8</w:t>
            </w:r>
          </w:p>
        </w:tc>
        <w:tc>
          <w:tcPr>
            <w:tcW w:w="184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67A69B7" w14:textId="77777777" w:rsidR="00015509" w:rsidRPr="0002537E" w:rsidRDefault="00015509" w:rsidP="0002537E">
            <w:pPr>
              <w:pStyle w:val="ValrieN1"/>
              <w:spacing w:after="0" w:line="240" w:lineRule="auto"/>
              <w:ind w:left="0"/>
              <w:jc w:val="center"/>
              <w:rPr>
                <w:sz w:val="20"/>
                <w:szCs w:val="20"/>
              </w:rPr>
            </w:pPr>
            <w:r w:rsidRPr="0002537E">
              <w:rPr>
                <w:bCs/>
                <w:sz w:val="20"/>
                <w:szCs w:val="20"/>
              </w:rPr>
              <w:t>394</w:t>
            </w:r>
          </w:p>
        </w:tc>
      </w:tr>
      <w:tr w:rsidR="00015509" w:rsidRPr="00516B38" w14:paraId="2E94BF3F" w14:textId="77777777" w:rsidTr="0002537E">
        <w:trPr>
          <w:trHeight w:val="20"/>
        </w:trPr>
        <w:tc>
          <w:tcPr>
            <w:tcW w:w="4106"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70A0305F" w14:textId="0806DDD5" w:rsidR="00015509" w:rsidRPr="00713036" w:rsidRDefault="00015509" w:rsidP="0002537E">
            <w:pPr>
              <w:pStyle w:val="ValrieN1"/>
              <w:spacing w:after="0" w:line="240" w:lineRule="auto"/>
              <w:ind w:left="-17"/>
              <w:rPr>
                <w:b w:val="0"/>
                <w:sz w:val="20"/>
                <w:szCs w:val="20"/>
              </w:rPr>
            </w:pPr>
            <w:r w:rsidRPr="00713036">
              <w:rPr>
                <w:b w:val="0"/>
                <w:bCs/>
                <w:sz w:val="20"/>
                <w:szCs w:val="20"/>
              </w:rPr>
              <w:t>Salaison cuite, sèche</w:t>
            </w:r>
            <w:r w:rsidR="00135C39">
              <w:rPr>
                <w:b w:val="0"/>
                <w:bCs/>
                <w:sz w:val="20"/>
                <w:szCs w:val="20"/>
              </w:rPr>
              <w:t xml:space="preserve"> </w:t>
            </w:r>
          </w:p>
        </w:tc>
        <w:tc>
          <w:tcPr>
            <w:tcW w:w="1559"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4C6C9DBA" w14:textId="77777777" w:rsidR="00015509" w:rsidRPr="00713036" w:rsidRDefault="00015509" w:rsidP="0002537E">
            <w:pPr>
              <w:pStyle w:val="ValrieN1"/>
              <w:spacing w:after="0" w:line="240" w:lineRule="auto"/>
              <w:ind w:left="15"/>
              <w:jc w:val="center"/>
              <w:rPr>
                <w:b w:val="0"/>
                <w:sz w:val="20"/>
                <w:szCs w:val="20"/>
              </w:rPr>
            </w:pPr>
            <w:r w:rsidRPr="00713036">
              <w:rPr>
                <w:b w:val="0"/>
                <w:bCs/>
                <w:sz w:val="20"/>
                <w:szCs w:val="20"/>
              </w:rPr>
              <w:t>402 [281-523]</w:t>
            </w:r>
          </w:p>
        </w:tc>
        <w:tc>
          <w:tcPr>
            <w:tcW w:w="993"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7DEBD417" w14:textId="11BD44D6" w:rsidR="00015509" w:rsidRPr="00713036" w:rsidRDefault="00015509" w:rsidP="0002537E">
            <w:pPr>
              <w:pStyle w:val="ValrieN1"/>
              <w:spacing w:after="0" w:line="240" w:lineRule="auto"/>
              <w:jc w:val="center"/>
              <w:rPr>
                <w:b w:val="0"/>
                <w:sz w:val="20"/>
                <w:szCs w:val="20"/>
              </w:rPr>
            </w:pPr>
          </w:p>
        </w:tc>
        <w:tc>
          <w:tcPr>
            <w:tcW w:w="708"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5B34694B" w14:textId="6539A2C5" w:rsidR="00015509" w:rsidRPr="00713036" w:rsidRDefault="00015509" w:rsidP="0002537E">
            <w:pPr>
              <w:pStyle w:val="ValrieN1"/>
              <w:spacing w:after="0" w:line="240" w:lineRule="auto"/>
              <w:jc w:val="center"/>
              <w:rPr>
                <w:b w:val="0"/>
                <w:sz w:val="20"/>
                <w:szCs w:val="20"/>
              </w:rPr>
            </w:pPr>
            <w:r w:rsidRPr="00713036">
              <w:rPr>
                <w:b w:val="0"/>
                <w:bCs/>
                <w:sz w:val="20"/>
                <w:szCs w:val="20"/>
              </w:rPr>
              <w:t>8</w:t>
            </w:r>
          </w:p>
        </w:tc>
        <w:tc>
          <w:tcPr>
            <w:tcW w:w="1843" w:type="dxa"/>
            <w:tcBorders>
              <w:top w:val="single" w:sz="4" w:space="0" w:color="auto"/>
              <w:left w:val="single" w:sz="4" w:space="0" w:color="000000"/>
              <w:bottom w:val="single" w:sz="4" w:space="0" w:color="000000"/>
              <w:right w:val="single" w:sz="4" w:space="0" w:color="000000"/>
            </w:tcBorders>
            <w:shd w:val="clear" w:color="auto" w:fill="A6A6A6" w:themeFill="background1" w:themeFillShade="A6"/>
            <w:tcMar>
              <w:top w:w="15" w:type="dxa"/>
              <w:left w:w="15" w:type="dxa"/>
              <w:bottom w:w="0" w:type="dxa"/>
              <w:right w:w="15" w:type="dxa"/>
            </w:tcMar>
            <w:vAlign w:val="center"/>
            <w:hideMark/>
          </w:tcPr>
          <w:p w14:paraId="04B854AA" w14:textId="77777777" w:rsidR="00015509" w:rsidRPr="00713036" w:rsidRDefault="00015509" w:rsidP="0002537E">
            <w:pPr>
              <w:pStyle w:val="ValrieN1"/>
              <w:spacing w:after="0" w:line="240" w:lineRule="auto"/>
              <w:ind w:left="0"/>
              <w:jc w:val="center"/>
              <w:rPr>
                <w:b w:val="0"/>
                <w:sz w:val="20"/>
                <w:szCs w:val="20"/>
              </w:rPr>
            </w:pPr>
            <w:r w:rsidRPr="00713036">
              <w:rPr>
                <w:b w:val="0"/>
                <w:bCs/>
                <w:sz w:val="20"/>
                <w:szCs w:val="20"/>
              </w:rPr>
              <w:t>356 [250-463]</w:t>
            </w:r>
          </w:p>
        </w:tc>
      </w:tr>
      <w:tr w:rsidR="00015509" w:rsidRPr="00516B38" w14:paraId="54AD73FD"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B79A44A" w14:textId="0CDC77AF" w:rsidR="00015509" w:rsidRPr="00713036" w:rsidRDefault="00015509" w:rsidP="0002537E">
            <w:pPr>
              <w:pStyle w:val="ValrieN1"/>
              <w:spacing w:after="0" w:line="240" w:lineRule="auto"/>
              <w:ind w:left="-17"/>
              <w:jc w:val="right"/>
              <w:rPr>
                <w:b w:val="0"/>
                <w:sz w:val="20"/>
                <w:szCs w:val="20"/>
              </w:rPr>
            </w:pPr>
            <w:r w:rsidRPr="00713036">
              <w:rPr>
                <w:b w:val="0"/>
                <w:sz w:val="20"/>
                <w:szCs w:val="20"/>
              </w:rPr>
              <w:t>Jambon cru, jambon cru de pays,</w:t>
            </w:r>
            <w:r w:rsidR="00851129">
              <w:rPr>
                <w:b w:val="0"/>
                <w:sz w:val="20"/>
                <w:szCs w:val="20"/>
              </w:rPr>
              <w:t xml:space="preserve"> sel sec</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A05A8A" w14:textId="1155F79B" w:rsidR="00015509" w:rsidRPr="00713036" w:rsidRDefault="00851129" w:rsidP="0002537E">
            <w:pPr>
              <w:pStyle w:val="ValrieN1"/>
              <w:spacing w:after="0" w:line="240" w:lineRule="auto"/>
              <w:ind w:left="15"/>
              <w:jc w:val="right"/>
              <w:rPr>
                <w:b w:val="0"/>
                <w:sz w:val="20"/>
                <w:szCs w:val="20"/>
              </w:rPr>
            </w:pPr>
            <w:r>
              <w:rPr>
                <w:b w:val="0"/>
                <w:bCs/>
                <w:sz w:val="20"/>
                <w:szCs w:val="20"/>
              </w:rPr>
              <w:t>72</w:t>
            </w:r>
            <w:r w:rsidR="00015509" w:rsidRPr="00713036">
              <w:rPr>
                <w:b w:val="0"/>
                <w:bCs/>
                <w:sz w:val="20"/>
                <w:szCs w:val="20"/>
              </w:rPr>
              <w:t xml:space="preserve"> [</w:t>
            </w:r>
            <w:r w:rsidR="004A33D5">
              <w:rPr>
                <w:b w:val="0"/>
                <w:bCs/>
                <w:sz w:val="20"/>
                <w:szCs w:val="20"/>
              </w:rPr>
              <w:t>50</w:t>
            </w:r>
            <w:r w:rsidR="00015509" w:rsidRPr="00713036">
              <w:rPr>
                <w:b w:val="0"/>
                <w:bCs/>
                <w:sz w:val="20"/>
                <w:szCs w:val="20"/>
              </w:rPr>
              <w:t>-</w:t>
            </w:r>
            <w:r w:rsidR="004A33D5">
              <w:rPr>
                <w:b w:val="0"/>
                <w:bCs/>
                <w:sz w:val="20"/>
                <w:szCs w:val="20"/>
              </w:rPr>
              <w:t>9</w:t>
            </w:r>
            <w:r w:rsidR="00015509" w:rsidRPr="00713036">
              <w:rPr>
                <w:b w:val="0"/>
                <w:bCs/>
                <w:sz w:val="20"/>
                <w:szCs w:val="20"/>
              </w:rPr>
              <w:t>4]</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6BE27B1" w14:textId="25068A4E" w:rsidR="00015509" w:rsidRPr="00713036" w:rsidRDefault="00015509" w:rsidP="0002537E">
            <w:pPr>
              <w:pStyle w:val="ValrieN1"/>
              <w:spacing w:after="0" w:line="240" w:lineRule="auto"/>
              <w:jc w:val="right"/>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80576AF" w14:textId="6DCE44C0" w:rsidR="00015509" w:rsidRPr="00713036" w:rsidRDefault="00015509" w:rsidP="0002537E">
            <w:pPr>
              <w:pStyle w:val="ValrieN1"/>
              <w:spacing w:after="0" w:line="240" w:lineRule="auto"/>
              <w:jc w:val="right"/>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4A6F90E" w14:textId="6B238324" w:rsidR="00015509" w:rsidRPr="00713036" w:rsidRDefault="00851129" w:rsidP="0002537E">
            <w:pPr>
              <w:pStyle w:val="ValrieN1"/>
              <w:spacing w:after="0" w:line="240" w:lineRule="auto"/>
              <w:ind w:left="0"/>
              <w:jc w:val="right"/>
              <w:rPr>
                <w:b w:val="0"/>
                <w:sz w:val="20"/>
                <w:szCs w:val="20"/>
              </w:rPr>
            </w:pPr>
            <w:r>
              <w:rPr>
                <w:b w:val="0"/>
                <w:bCs/>
                <w:sz w:val="20"/>
                <w:szCs w:val="20"/>
              </w:rPr>
              <w:t>46</w:t>
            </w:r>
            <w:r w:rsidR="00015509" w:rsidRPr="00713036">
              <w:rPr>
                <w:b w:val="0"/>
                <w:bCs/>
                <w:sz w:val="20"/>
                <w:szCs w:val="20"/>
              </w:rPr>
              <w:t xml:space="preserve"> [</w:t>
            </w:r>
            <w:r w:rsidR="004A33D5">
              <w:rPr>
                <w:b w:val="0"/>
                <w:bCs/>
                <w:sz w:val="20"/>
                <w:szCs w:val="20"/>
              </w:rPr>
              <w:t>32</w:t>
            </w:r>
            <w:r w:rsidR="00015509" w:rsidRPr="00713036">
              <w:rPr>
                <w:b w:val="0"/>
                <w:bCs/>
                <w:sz w:val="20"/>
                <w:szCs w:val="20"/>
              </w:rPr>
              <w:t>-</w:t>
            </w:r>
            <w:r w:rsidR="004A33D5">
              <w:rPr>
                <w:b w:val="0"/>
                <w:bCs/>
                <w:sz w:val="20"/>
                <w:szCs w:val="20"/>
              </w:rPr>
              <w:t>60</w:t>
            </w:r>
            <w:r w:rsidR="00015509" w:rsidRPr="00713036">
              <w:rPr>
                <w:b w:val="0"/>
                <w:bCs/>
                <w:sz w:val="20"/>
                <w:szCs w:val="20"/>
              </w:rPr>
              <w:t>]</w:t>
            </w:r>
          </w:p>
        </w:tc>
      </w:tr>
      <w:tr w:rsidR="00015509" w:rsidRPr="00516B38" w14:paraId="70305C78"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F97979D" w14:textId="77777777" w:rsidR="00015509" w:rsidRPr="00713036" w:rsidRDefault="00015509" w:rsidP="0002537E">
            <w:pPr>
              <w:pStyle w:val="ValrieN1"/>
              <w:spacing w:after="0" w:line="240" w:lineRule="auto"/>
              <w:ind w:left="-17"/>
              <w:jc w:val="right"/>
              <w:rPr>
                <w:b w:val="0"/>
                <w:sz w:val="20"/>
                <w:szCs w:val="20"/>
              </w:rPr>
            </w:pPr>
            <w:r w:rsidRPr="00713036">
              <w:rPr>
                <w:b w:val="0"/>
                <w:sz w:val="20"/>
                <w:szCs w:val="20"/>
              </w:rPr>
              <w:t xml:space="preserve">Jambon cuit salé, fumé </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5A05DAB" w14:textId="77777777" w:rsidR="00015509" w:rsidRPr="00713036" w:rsidRDefault="00015509" w:rsidP="0002537E">
            <w:pPr>
              <w:pStyle w:val="ValrieN1"/>
              <w:spacing w:after="0" w:line="240" w:lineRule="auto"/>
              <w:ind w:left="15"/>
              <w:jc w:val="right"/>
              <w:rPr>
                <w:b w:val="0"/>
                <w:sz w:val="20"/>
                <w:szCs w:val="20"/>
              </w:rPr>
            </w:pPr>
            <w:r w:rsidRPr="00713036">
              <w:rPr>
                <w:b w:val="0"/>
                <w:bCs/>
                <w:sz w:val="20"/>
                <w:szCs w:val="20"/>
              </w:rPr>
              <w:t>17 [12-22]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43637E0" w14:textId="06F48D88" w:rsidR="00015509" w:rsidRPr="00713036" w:rsidRDefault="00015509" w:rsidP="0002537E">
            <w:pPr>
              <w:pStyle w:val="ValrieN1"/>
              <w:spacing w:after="0" w:line="240" w:lineRule="auto"/>
              <w:jc w:val="right"/>
              <w:rPr>
                <w:b w:val="0"/>
                <w:sz w:val="20"/>
                <w:szCs w:val="20"/>
              </w:rPr>
            </w:pPr>
          </w:p>
        </w:tc>
        <w:tc>
          <w:tcPr>
            <w:tcW w:w="708"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F0A3C2D" w14:textId="77777777" w:rsidR="00015509" w:rsidRPr="00713036" w:rsidRDefault="00015509" w:rsidP="0002537E">
            <w:pPr>
              <w:pStyle w:val="ValrieN1"/>
              <w:spacing w:after="0" w:line="240" w:lineRule="auto"/>
              <w:jc w:val="center"/>
              <w:rPr>
                <w:b w:val="0"/>
                <w:sz w:val="20"/>
                <w:szCs w:val="20"/>
              </w:rPr>
            </w:pPr>
            <w:r w:rsidRPr="00713036">
              <w:rPr>
                <w:b w:val="0"/>
                <w:bCs/>
                <w:sz w:val="20"/>
                <w:szCs w:val="20"/>
              </w:rPr>
              <w:t>8</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6B38634" w14:textId="1DE152DD" w:rsidR="00015509" w:rsidRPr="00713036" w:rsidRDefault="00015509" w:rsidP="0002537E">
            <w:pPr>
              <w:pStyle w:val="ValrieN1"/>
              <w:spacing w:after="0" w:line="240" w:lineRule="auto"/>
              <w:ind w:left="0"/>
              <w:jc w:val="right"/>
              <w:rPr>
                <w:b w:val="0"/>
                <w:sz w:val="20"/>
                <w:szCs w:val="20"/>
              </w:rPr>
            </w:pPr>
            <w:r w:rsidRPr="00713036">
              <w:rPr>
                <w:b w:val="0"/>
                <w:bCs/>
                <w:sz w:val="20"/>
                <w:szCs w:val="20"/>
              </w:rPr>
              <w:t>14 [10-</w:t>
            </w:r>
            <w:r w:rsidR="004A33D5">
              <w:rPr>
                <w:b w:val="0"/>
                <w:bCs/>
                <w:sz w:val="20"/>
                <w:szCs w:val="20"/>
              </w:rPr>
              <w:t>20</w:t>
            </w:r>
            <w:r w:rsidRPr="00713036">
              <w:rPr>
                <w:b w:val="0"/>
                <w:bCs/>
                <w:sz w:val="20"/>
                <w:szCs w:val="20"/>
              </w:rPr>
              <w:t>]</w:t>
            </w:r>
          </w:p>
        </w:tc>
      </w:tr>
      <w:tr w:rsidR="00015509" w:rsidRPr="00516B38" w14:paraId="4000745E"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A5850CC" w14:textId="6FFFE09B" w:rsidR="00015509" w:rsidRPr="00713036" w:rsidRDefault="00851129" w:rsidP="0002537E">
            <w:pPr>
              <w:pStyle w:val="ValrieN1"/>
              <w:spacing w:after="0" w:line="240" w:lineRule="auto"/>
              <w:ind w:left="-17"/>
              <w:jc w:val="right"/>
              <w:rPr>
                <w:b w:val="0"/>
                <w:sz w:val="20"/>
                <w:szCs w:val="20"/>
              </w:rPr>
            </w:pPr>
            <w:r>
              <w:rPr>
                <w:b w:val="0"/>
                <w:sz w:val="20"/>
                <w:szCs w:val="20"/>
              </w:rPr>
              <w:t xml:space="preserve">Jambon cuit </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20567B" w14:textId="0E455FF7" w:rsidR="00015509" w:rsidRPr="00713036" w:rsidRDefault="00851129" w:rsidP="0002537E">
            <w:pPr>
              <w:pStyle w:val="ValrieN1"/>
              <w:spacing w:after="0" w:line="240" w:lineRule="auto"/>
              <w:ind w:left="15"/>
              <w:jc w:val="right"/>
              <w:rPr>
                <w:b w:val="0"/>
                <w:sz w:val="20"/>
                <w:szCs w:val="20"/>
              </w:rPr>
            </w:pPr>
            <w:r>
              <w:rPr>
                <w:b w:val="0"/>
                <w:bCs/>
                <w:sz w:val="20"/>
                <w:szCs w:val="20"/>
              </w:rPr>
              <w:t>303</w:t>
            </w:r>
            <w:r w:rsidR="00015509" w:rsidRPr="00713036">
              <w:rPr>
                <w:b w:val="0"/>
                <w:bCs/>
                <w:sz w:val="20"/>
                <w:szCs w:val="20"/>
              </w:rPr>
              <w:t xml:space="preserve"> [</w:t>
            </w:r>
            <w:r w:rsidR="004A33D5">
              <w:rPr>
                <w:b w:val="0"/>
                <w:bCs/>
                <w:sz w:val="20"/>
                <w:szCs w:val="20"/>
              </w:rPr>
              <w:t>212</w:t>
            </w:r>
            <w:r w:rsidR="00015509" w:rsidRPr="00713036">
              <w:rPr>
                <w:b w:val="0"/>
                <w:bCs/>
                <w:sz w:val="20"/>
                <w:szCs w:val="20"/>
              </w:rPr>
              <w:t>-</w:t>
            </w:r>
            <w:r w:rsidR="004A33D5">
              <w:rPr>
                <w:b w:val="0"/>
                <w:bCs/>
                <w:sz w:val="20"/>
                <w:szCs w:val="20"/>
              </w:rPr>
              <w:t>394</w:t>
            </w:r>
            <w:r w:rsidR="00015509" w:rsidRPr="00713036">
              <w:rPr>
                <w:b w:val="0"/>
                <w:bCs/>
                <w:sz w:val="20"/>
                <w:szCs w:val="20"/>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8A2AB9C" w14:textId="6EE660E9" w:rsidR="00015509" w:rsidRPr="00713036" w:rsidRDefault="00015509" w:rsidP="0002537E">
            <w:pPr>
              <w:pStyle w:val="ValrieN1"/>
              <w:spacing w:after="0" w:line="240" w:lineRule="auto"/>
              <w:jc w:val="right"/>
              <w:rPr>
                <w:b w:val="0"/>
                <w:sz w:val="20"/>
                <w:szCs w:val="20"/>
              </w:rPr>
            </w:pPr>
          </w:p>
        </w:tc>
        <w:tc>
          <w:tcPr>
            <w:tcW w:w="70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39E747C" w14:textId="77777777" w:rsidR="00015509" w:rsidRPr="00713036" w:rsidRDefault="00015509" w:rsidP="0002537E">
            <w:pPr>
              <w:pStyle w:val="ValrieN1"/>
              <w:spacing w:after="0" w:line="240" w:lineRule="auto"/>
              <w:jc w:val="right"/>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0E799B5" w14:textId="366E9F58" w:rsidR="00015509" w:rsidRPr="00713036" w:rsidRDefault="00851129" w:rsidP="0002537E">
            <w:pPr>
              <w:pStyle w:val="ValrieN1"/>
              <w:spacing w:after="0" w:line="240" w:lineRule="auto"/>
              <w:ind w:left="0"/>
              <w:jc w:val="right"/>
              <w:rPr>
                <w:b w:val="0"/>
                <w:sz w:val="20"/>
                <w:szCs w:val="20"/>
              </w:rPr>
            </w:pPr>
            <w:r>
              <w:rPr>
                <w:b w:val="0"/>
                <w:bCs/>
                <w:sz w:val="20"/>
                <w:szCs w:val="20"/>
              </w:rPr>
              <w:t>286</w:t>
            </w:r>
            <w:r w:rsidR="00015509" w:rsidRPr="00713036">
              <w:rPr>
                <w:b w:val="0"/>
                <w:bCs/>
                <w:sz w:val="20"/>
                <w:szCs w:val="20"/>
              </w:rPr>
              <w:t xml:space="preserve"> [</w:t>
            </w:r>
            <w:r w:rsidR="004A33D5">
              <w:rPr>
                <w:b w:val="0"/>
                <w:bCs/>
                <w:sz w:val="20"/>
                <w:szCs w:val="20"/>
              </w:rPr>
              <w:t>200</w:t>
            </w:r>
            <w:r w:rsidR="00015509" w:rsidRPr="00713036">
              <w:rPr>
                <w:b w:val="0"/>
                <w:bCs/>
                <w:sz w:val="20"/>
                <w:szCs w:val="20"/>
              </w:rPr>
              <w:t>-</w:t>
            </w:r>
            <w:r w:rsidR="004A33D5">
              <w:rPr>
                <w:b w:val="0"/>
                <w:bCs/>
                <w:sz w:val="20"/>
                <w:szCs w:val="20"/>
              </w:rPr>
              <w:t>220</w:t>
            </w:r>
            <w:r w:rsidR="00015509" w:rsidRPr="00713036">
              <w:rPr>
                <w:b w:val="0"/>
                <w:bCs/>
                <w:sz w:val="20"/>
                <w:szCs w:val="20"/>
              </w:rPr>
              <w:t>]</w:t>
            </w:r>
          </w:p>
        </w:tc>
      </w:tr>
      <w:tr w:rsidR="00015509" w:rsidRPr="00516B38" w14:paraId="4CE03ABA"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7393D3" w14:textId="77777777" w:rsidR="00015509" w:rsidRPr="00713036" w:rsidRDefault="00015509" w:rsidP="0002537E">
            <w:pPr>
              <w:pStyle w:val="ValrieN1"/>
              <w:spacing w:after="0" w:line="240" w:lineRule="auto"/>
              <w:ind w:left="-17"/>
              <w:jc w:val="right"/>
              <w:rPr>
                <w:b w:val="0"/>
                <w:sz w:val="20"/>
                <w:szCs w:val="20"/>
              </w:rPr>
            </w:pPr>
            <w:r w:rsidRPr="00713036">
              <w:rPr>
                <w:b w:val="0"/>
                <w:sz w:val="20"/>
                <w:szCs w:val="20"/>
              </w:rPr>
              <w:t>Autres dont jambon persillé, de Reims </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0FAF4D9" w14:textId="77777777" w:rsidR="00015509" w:rsidRPr="00713036" w:rsidRDefault="00015509" w:rsidP="0002537E">
            <w:pPr>
              <w:pStyle w:val="ValrieN1"/>
              <w:spacing w:after="0" w:line="240" w:lineRule="auto"/>
              <w:ind w:left="15"/>
              <w:jc w:val="right"/>
              <w:rPr>
                <w:b w:val="0"/>
                <w:sz w:val="20"/>
                <w:szCs w:val="20"/>
              </w:rPr>
            </w:pPr>
            <w:r w:rsidRPr="00713036">
              <w:rPr>
                <w:b w:val="0"/>
                <w:bCs/>
                <w:sz w:val="20"/>
                <w:szCs w:val="20"/>
              </w:rPr>
              <w:t>1,5 [1 -2]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68FF197" w14:textId="1720C7ED" w:rsidR="00015509" w:rsidRPr="00713036" w:rsidRDefault="00015509" w:rsidP="0002537E">
            <w:pPr>
              <w:pStyle w:val="ValrieN1"/>
              <w:spacing w:after="0" w:line="240" w:lineRule="auto"/>
              <w:jc w:val="right"/>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B33EFA4" w14:textId="1D306B92" w:rsidR="00015509" w:rsidRPr="00713036" w:rsidRDefault="00015509" w:rsidP="0002537E">
            <w:pPr>
              <w:pStyle w:val="ValrieN1"/>
              <w:spacing w:after="0" w:line="240" w:lineRule="auto"/>
              <w:jc w:val="right"/>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27D52D9" w14:textId="77777777" w:rsidR="00015509" w:rsidRPr="00713036" w:rsidRDefault="00015509" w:rsidP="0002537E">
            <w:pPr>
              <w:pStyle w:val="ValrieN1"/>
              <w:spacing w:after="0" w:line="240" w:lineRule="auto"/>
              <w:ind w:left="0"/>
              <w:jc w:val="right"/>
              <w:rPr>
                <w:b w:val="0"/>
                <w:sz w:val="20"/>
                <w:szCs w:val="20"/>
              </w:rPr>
            </w:pPr>
            <w:r w:rsidRPr="00713036">
              <w:rPr>
                <w:b w:val="0"/>
                <w:bCs/>
                <w:sz w:val="20"/>
                <w:szCs w:val="20"/>
              </w:rPr>
              <w:t>1,5 [1 -2]</w:t>
            </w:r>
          </w:p>
        </w:tc>
      </w:tr>
      <w:tr w:rsidR="00015509" w:rsidRPr="00516B38" w14:paraId="5EA7A644"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139E0FD" w14:textId="77777777" w:rsidR="00015509" w:rsidRPr="00713036" w:rsidRDefault="00015509" w:rsidP="0002537E">
            <w:pPr>
              <w:pStyle w:val="ValrieN1"/>
              <w:spacing w:after="0" w:line="240" w:lineRule="auto"/>
              <w:ind w:left="-17"/>
              <w:jc w:val="right"/>
              <w:rPr>
                <w:b w:val="0"/>
                <w:sz w:val="20"/>
                <w:szCs w:val="20"/>
              </w:rPr>
            </w:pPr>
            <w:r w:rsidRPr="00713036">
              <w:rPr>
                <w:b w:val="0"/>
                <w:sz w:val="20"/>
                <w:szCs w:val="20"/>
              </w:rPr>
              <w:t>Jambonneau et autres produits piècés saumurés (rôtis…)</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4792792" w14:textId="77777777" w:rsidR="00015509" w:rsidRPr="00713036" w:rsidRDefault="00015509" w:rsidP="0002537E">
            <w:pPr>
              <w:pStyle w:val="ValrieN1"/>
              <w:spacing w:after="0" w:line="240" w:lineRule="auto"/>
              <w:ind w:left="15"/>
              <w:jc w:val="right"/>
              <w:rPr>
                <w:b w:val="0"/>
                <w:sz w:val="20"/>
                <w:szCs w:val="20"/>
              </w:rPr>
            </w:pPr>
            <w:r w:rsidRPr="00713036">
              <w:rPr>
                <w:b w:val="0"/>
                <w:bCs/>
                <w:sz w:val="20"/>
                <w:szCs w:val="20"/>
              </w:rPr>
              <w:t>8,5 [6-11]</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6EFE7D4" w14:textId="5FA29D8C" w:rsidR="00015509" w:rsidRPr="00713036" w:rsidRDefault="00015509" w:rsidP="0002537E">
            <w:pPr>
              <w:pStyle w:val="ValrieN1"/>
              <w:spacing w:after="0" w:line="240" w:lineRule="auto"/>
              <w:jc w:val="right"/>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C9D770C" w14:textId="659B7037" w:rsidR="00015509" w:rsidRPr="00713036" w:rsidRDefault="00015509" w:rsidP="0002537E">
            <w:pPr>
              <w:pStyle w:val="ValrieN1"/>
              <w:spacing w:after="0" w:line="240" w:lineRule="auto"/>
              <w:jc w:val="right"/>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FECE8B2" w14:textId="77777777" w:rsidR="00015509" w:rsidRPr="00713036" w:rsidRDefault="00015509" w:rsidP="0002537E">
            <w:pPr>
              <w:pStyle w:val="ValrieN1"/>
              <w:spacing w:after="0" w:line="240" w:lineRule="auto"/>
              <w:ind w:left="0"/>
              <w:jc w:val="right"/>
              <w:rPr>
                <w:b w:val="0"/>
                <w:sz w:val="20"/>
                <w:szCs w:val="20"/>
              </w:rPr>
            </w:pPr>
            <w:r w:rsidRPr="00713036">
              <w:rPr>
                <w:b w:val="0"/>
                <w:bCs/>
                <w:sz w:val="20"/>
                <w:szCs w:val="20"/>
              </w:rPr>
              <w:t>8,5 [6-11]</w:t>
            </w:r>
          </w:p>
        </w:tc>
      </w:tr>
      <w:tr w:rsidR="00015509" w:rsidRPr="00516B38" w14:paraId="287CEFE7"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60A261FB" w14:textId="77777777" w:rsidR="00015509" w:rsidRPr="00713036" w:rsidRDefault="00015509" w:rsidP="0002537E">
            <w:pPr>
              <w:pStyle w:val="ValrieN1"/>
              <w:spacing w:after="0" w:line="240" w:lineRule="auto"/>
              <w:ind w:left="-17"/>
              <w:rPr>
                <w:b w:val="0"/>
                <w:sz w:val="20"/>
                <w:szCs w:val="20"/>
              </w:rPr>
            </w:pPr>
            <w:r w:rsidRPr="00713036">
              <w:rPr>
                <w:b w:val="0"/>
                <w:sz w:val="20"/>
                <w:szCs w:val="20"/>
              </w:rPr>
              <w:t>Eau (maturation/évaporation dont sec (35%))</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095CDDF" w14:textId="77777777" w:rsidR="00015509" w:rsidRPr="00713036" w:rsidRDefault="00015509" w:rsidP="0002537E">
            <w:pPr>
              <w:pStyle w:val="ValrieN1"/>
              <w:spacing w:after="0" w:line="240" w:lineRule="auto"/>
              <w:jc w:val="center"/>
              <w:rPr>
                <w:b w:val="0"/>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1E07CF3D" w14:textId="7C82E483" w:rsidR="00015509" w:rsidRPr="00713036" w:rsidRDefault="00015509" w:rsidP="0002537E">
            <w:pPr>
              <w:pStyle w:val="ValrieN1"/>
              <w:spacing w:after="0" w:line="240" w:lineRule="auto"/>
              <w:jc w:val="center"/>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2CA607DD" w14:textId="172CE651" w:rsidR="00015509" w:rsidRPr="00713036" w:rsidRDefault="00015509" w:rsidP="0002537E">
            <w:pPr>
              <w:pStyle w:val="ValrieN1"/>
              <w:spacing w:after="0" w:line="240" w:lineRule="auto"/>
              <w:jc w:val="center"/>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88885AB" w14:textId="77777777" w:rsidR="00015509" w:rsidRPr="00713036" w:rsidRDefault="00015509" w:rsidP="0002537E">
            <w:pPr>
              <w:pStyle w:val="ValrieN1"/>
              <w:spacing w:after="0" w:line="240" w:lineRule="auto"/>
              <w:ind w:left="0"/>
              <w:jc w:val="center"/>
              <w:rPr>
                <w:b w:val="0"/>
                <w:sz w:val="20"/>
                <w:szCs w:val="20"/>
              </w:rPr>
            </w:pPr>
            <w:r w:rsidRPr="00713036">
              <w:rPr>
                <w:b w:val="0"/>
                <w:bCs/>
                <w:sz w:val="20"/>
                <w:szCs w:val="20"/>
              </w:rPr>
              <w:t>36 [25-47]</w:t>
            </w:r>
          </w:p>
        </w:tc>
      </w:tr>
      <w:tr w:rsidR="00015509" w:rsidRPr="00516B38" w14:paraId="05AEC66C"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C0C3148" w14:textId="77777777" w:rsidR="00015509" w:rsidRPr="00713036" w:rsidRDefault="00015509" w:rsidP="0002537E">
            <w:pPr>
              <w:pStyle w:val="ValrieN1"/>
              <w:spacing w:after="0" w:line="240" w:lineRule="auto"/>
              <w:ind w:left="-17"/>
              <w:rPr>
                <w:b w:val="0"/>
                <w:sz w:val="20"/>
                <w:szCs w:val="20"/>
              </w:rPr>
            </w:pPr>
            <w:r w:rsidRPr="00713036">
              <w:rPr>
                <w:b w:val="0"/>
                <w:sz w:val="20"/>
                <w:szCs w:val="20"/>
              </w:rPr>
              <w:t>Parage (2% sur 30% des volumes)</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ACB721E" w14:textId="77777777" w:rsidR="00015509" w:rsidRPr="00713036" w:rsidRDefault="00015509" w:rsidP="0002537E">
            <w:pPr>
              <w:pStyle w:val="ValrieN1"/>
              <w:spacing w:after="0" w:line="240" w:lineRule="auto"/>
              <w:jc w:val="center"/>
              <w:rPr>
                <w:b w:val="0"/>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9E5D65E" w14:textId="448581EE" w:rsidR="00015509" w:rsidRPr="00713036" w:rsidRDefault="00015509" w:rsidP="0002537E">
            <w:pPr>
              <w:pStyle w:val="ValrieN1"/>
              <w:spacing w:after="0" w:line="240" w:lineRule="auto"/>
              <w:jc w:val="center"/>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115DBC74" w14:textId="308C8054" w:rsidR="00015509" w:rsidRPr="00713036" w:rsidRDefault="00015509" w:rsidP="0002537E">
            <w:pPr>
              <w:pStyle w:val="ValrieN1"/>
              <w:spacing w:after="0" w:line="240" w:lineRule="auto"/>
              <w:jc w:val="center"/>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4135B9F" w14:textId="77777777" w:rsidR="00015509" w:rsidRPr="00713036" w:rsidRDefault="00015509" w:rsidP="0002537E">
            <w:pPr>
              <w:pStyle w:val="ValrieN1"/>
              <w:spacing w:after="0" w:line="240" w:lineRule="auto"/>
              <w:ind w:left="0"/>
              <w:jc w:val="center"/>
              <w:rPr>
                <w:b w:val="0"/>
                <w:sz w:val="20"/>
                <w:szCs w:val="20"/>
              </w:rPr>
            </w:pPr>
            <w:r w:rsidRPr="00713036">
              <w:rPr>
                <w:b w:val="0"/>
                <w:bCs/>
                <w:sz w:val="20"/>
                <w:szCs w:val="20"/>
              </w:rPr>
              <w:t>2 [1-3]</w:t>
            </w:r>
          </w:p>
        </w:tc>
      </w:tr>
      <w:tr w:rsidR="00015509" w:rsidRPr="00516B38" w14:paraId="51075169" w14:textId="77777777" w:rsidTr="0002537E">
        <w:trPr>
          <w:trHeight w:val="20"/>
        </w:trPr>
        <w:tc>
          <w:tcPr>
            <w:tcW w:w="410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1CFEC0AE" w14:textId="77777777" w:rsidR="00015509" w:rsidRPr="00713036" w:rsidRDefault="00015509" w:rsidP="0002537E">
            <w:pPr>
              <w:pStyle w:val="ValrieN1"/>
              <w:spacing w:after="0" w:line="240" w:lineRule="auto"/>
              <w:ind w:left="-17"/>
              <w:rPr>
                <w:b w:val="0"/>
                <w:sz w:val="20"/>
                <w:szCs w:val="20"/>
              </w:rPr>
            </w:pPr>
            <w:r w:rsidRPr="00713036">
              <w:rPr>
                <w:b w:val="0"/>
                <w:sz w:val="20"/>
                <w:szCs w:val="20"/>
              </w:rPr>
              <w:t>Part os désossage </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4328376" w14:textId="77777777" w:rsidR="00015509" w:rsidRPr="00713036" w:rsidRDefault="00015509" w:rsidP="0002537E">
            <w:pPr>
              <w:pStyle w:val="ValrieN1"/>
              <w:spacing w:after="0" w:line="240" w:lineRule="auto"/>
              <w:jc w:val="center"/>
              <w:rPr>
                <w:b w:val="0"/>
                <w:sz w:val="20"/>
                <w:szCs w:val="20"/>
              </w:rPr>
            </w:pPr>
          </w:p>
        </w:tc>
        <w:tc>
          <w:tcPr>
            <w:tcW w:w="99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50EA452B" w14:textId="50D6698B" w:rsidR="00015509" w:rsidRPr="00713036" w:rsidRDefault="00015509" w:rsidP="0002537E">
            <w:pPr>
              <w:pStyle w:val="ValrieN1"/>
              <w:spacing w:after="0" w:line="240" w:lineRule="auto"/>
              <w:jc w:val="center"/>
              <w:rPr>
                <w:b w:val="0"/>
                <w:sz w:val="20"/>
                <w:szCs w:val="20"/>
              </w:rPr>
            </w:pPr>
          </w:p>
        </w:tc>
        <w:tc>
          <w:tcPr>
            <w:tcW w:w="70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66C73D6" w14:textId="1923D442" w:rsidR="00015509" w:rsidRPr="00713036" w:rsidRDefault="00015509" w:rsidP="0002537E">
            <w:pPr>
              <w:pStyle w:val="ValrieN1"/>
              <w:spacing w:after="0" w:line="240" w:lineRule="auto"/>
              <w:jc w:val="center"/>
              <w:rPr>
                <w:b w:val="0"/>
                <w:sz w:val="20"/>
                <w:szCs w:val="20"/>
              </w:rPr>
            </w:pPr>
          </w:p>
        </w:tc>
        <w:tc>
          <w:tcPr>
            <w:tcW w:w="184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9A4C430" w14:textId="77777777" w:rsidR="00015509" w:rsidRPr="00713036" w:rsidRDefault="00015509" w:rsidP="0002537E">
            <w:pPr>
              <w:pStyle w:val="ValrieN1"/>
              <w:spacing w:after="0" w:line="240" w:lineRule="auto"/>
              <w:ind w:left="0"/>
              <w:jc w:val="center"/>
              <w:rPr>
                <w:b w:val="0"/>
                <w:sz w:val="20"/>
                <w:szCs w:val="20"/>
              </w:rPr>
            </w:pPr>
            <w:r w:rsidRPr="00713036">
              <w:rPr>
                <w:b w:val="0"/>
                <w:bCs/>
                <w:i/>
                <w:iCs/>
                <w:sz w:val="20"/>
                <w:szCs w:val="20"/>
              </w:rPr>
              <w:t>Déjà comptabilisé</w:t>
            </w:r>
          </w:p>
        </w:tc>
      </w:tr>
    </w:tbl>
    <w:p w14:paraId="6E708AD0" w14:textId="2195A028" w:rsidR="004A53CE" w:rsidRPr="004A53CE" w:rsidRDefault="00EF0EE8" w:rsidP="0002537E">
      <w:pPr>
        <w:pStyle w:val="figure"/>
      </w:pPr>
      <w:bookmarkStart w:id="367" w:name="_Toc72143423"/>
      <w:r w:rsidRPr="00EF0EE8">
        <w:t xml:space="preserve">Tableau </w:t>
      </w:r>
      <w:r w:rsidRPr="00D54EC4">
        <w:fldChar w:fldCharType="begin"/>
      </w:r>
      <w:r w:rsidRPr="00EF0EE8">
        <w:instrText xml:space="preserve"> SEQ Tableau \* ARABIC </w:instrText>
      </w:r>
      <w:r w:rsidRPr="00D54EC4">
        <w:fldChar w:fldCharType="separate"/>
      </w:r>
      <w:r w:rsidR="0007597F">
        <w:rPr>
          <w:i/>
          <w:noProof/>
        </w:rPr>
        <w:t>76</w:t>
      </w:r>
      <w:r w:rsidRPr="00D54EC4">
        <w:fldChar w:fldCharType="end"/>
      </w:r>
      <w:r w:rsidR="007538FF">
        <w:rPr>
          <w:i/>
        </w:rPr>
        <w:t xml:space="preserve"> : </w:t>
      </w:r>
      <w:r w:rsidR="00015509" w:rsidRPr="00926407">
        <w:t>Représentation tableau emploi ressource au stade de la transformation des produits en charcuterie de salaison</w:t>
      </w:r>
      <w:r>
        <w:rPr>
          <w:i/>
        </w:rPr>
        <w:t>.</w:t>
      </w:r>
      <w:bookmarkEnd w:id="367"/>
    </w:p>
    <w:p w14:paraId="27E31CD6" w14:textId="324B1C0B" w:rsidR="00FC14F1" w:rsidRPr="00FC14F1" w:rsidRDefault="00B7267D" w:rsidP="00713036">
      <w:pPr>
        <w:rPr>
          <w:lang w:eastAsia="fr-FR"/>
        </w:rPr>
      </w:pPr>
      <w:r>
        <w:rPr>
          <w:lang w:eastAsia="fr-FR"/>
        </w:rPr>
        <w:t>L</w:t>
      </w:r>
      <w:r w:rsidR="00260368">
        <w:rPr>
          <w:lang w:eastAsia="fr-FR"/>
        </w:rPr>
        <w:t>es</w:t>
      </w:r>
      <w:r w:rsidR="00FC14F1" w:rsidRPr="00B621B9">
        <w:rPr>
          <w:lang w:eastAsia="fr-FR"/>
        </w:rPr>
        <w:t xml:space="preserve"> jambons cuits</w:t>
      </w:r>
      <w:r w:rsidR="00260368">
        <w:rPr>
          <w:lang w:eastAsia="fr-FR"/>
        </w:rPr>
        <w:t xml:space="preserve"> sont la première destination du jambon et</w:t>
      </w:r>
      <w:r w:rsidR="00FC14F1" w:rsidRPr="00B621B9">
        <w:rPr>
          <w:lang w:eastAsia="fr-FR"/>
        </w:rPr>
        <w:t xml:space="preserve"> absorbent environ 75% du total de la consommation</w:t>
      </w:r>
      <w:r w:rsidR="00FC14F1">
        <w:rPr>
          <w:lang w:eastAsia="fr-FR"/>
        </w:rPr>
        <w:t xml:space="preserve">. </w:t>
      </w:r>
    </w:p>
    <w:p w14:paraId="4EA99811" w14:textId="2C7EB7E4" w:rsidR="00CD5287" w:rsidRDefault="00CD5287" w:rsidP="0002537E">
      <w:pPr>
        <w:pStyle w:val="ValrieN1"/>
        <w:keepNext/>
        <w:ind w:left="0"/>
        <w:jc w:val="center"/>
        <w:rPr>
          <w:b w:val="0"/>
          <w:sz w:val="20"/>
          <w:szCs w:val="20"/>
          <w:lang w:val="fr-CA"/>
        </w:rPr>
      </w:pPr>
      <w:r>
        <w:rPr>
          <w:noProof/>
        </w:rPr>
        <w:lastRenderedPageBreak/>
        <w:drawing>
          <wp:inline distT="0" distB="0" distL="0" distR="0" wp14:anchorId="4CEB54B1" wp14:editId="4CE3D13A">
            <wp:extent cx="5509057" cy="1836116"/>
            <wp:effectExtent l="0" t="0" r="15875" b="12065"/>
            <wp:docPr id="265" name="Graphique 265">
              <a:extLst xmlns:a="http://schemas.openxmlformats.org/drawingml/2006/main">
                <a:ext uri="{FF2B5EF4-FFF2-40B4-BE49-F238E27FC236}">
                  <a16:creationId xmlns:a16="http://schemas.microsoft.com/office/drawing/2014/main" id="{CD2FB795-A738-4CF7-9FC5-C97C6C84764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14:paraId="32DFCF57" w14:textId="089965F3" w:rsidR="00CD5287" w:rsidRPr="00B12329" w:rsidRDefault="00CD5287" w:rsidP="0002537E">
      <w:pPr>
        <w:pStyle w:val="figure"/>
      </w:pPr>
      <w:r w:rsidRPr="00CD5287">
        <w:t xml:space="preserve">Figure </w:t>
      </w:r>
      <w:r w:rsidRPr="00D54EC4">
        <w:fldChar w:fldCharType="begin"/>
      </w:r>
      <w:r w:rsidRPr="00CD5287">
        <w:instrText xml:space="preserve"> SEQ Figure \* ARABIC </w:instrText>
      </w:r>
      <w:r w:rsidRPr="00D54EC4">
        <w:fldChar w:fldCharType="separate"/>
      </w:r>
      <w:r w:rsidR="0007597F">
        <w:rPr>
          <w:noProof/>
        </w:rPr>
        <w:t>33</w:t>
      </w:r>
      <w:r w:rsidRPr="00D54EC4">
        <w:fldChar w:fldCharType="end"/>
      </w:r>
      <w:r w:rsidR="007538FF">
        <w:t xml:space="preserve"> : </w:t>
      </w:r>
      <w:r w:rsidRPr="00B12329">
        <w:t>Part relative des catégories de produits consommées (hors coproduits)</w:t>
      </w:r>
    </w:p>
    <w:p w14:paraId="3A0BD225" w14:textId="2B129D8E" w:rsidR="00FC14F1" w:rsidRPr="00A06B55" w:rsidRDefault="00FC14F1" w:rsidP="0002537E">
      <w:pPr>
        <w:pStyle w:val="Titre3"/>
        <w:rPr>
          <w:rFonts w:eastAsiaTheme="minorHAnsi"/>
          <w:szCs w:val="20"/>
        </w:rPr>
      </w:pPr>
      <w:bookmarkStart w:id="368" w:name="_Toc78131687"/>
      <w:r>
        <w:rPr>
          <w:rFonts w:eastAsiaTheme="minorEastAsia"/>
        </w:rPr>
        <w:t>2.</w:t>
      </w:r>
      <w:r w:rsidR="00037198">
        <w:rPr>
          <w:rFonts w:eastAsiaTheme="minorEastAsia"/>
        </w:rPr>
        <w:t>2.</w:t>
      </w:r>
      <w:r w:rsidR="00690992">
        <w:rPr>
          <w:rFonts w:eastAsiaTheme="minorEastAsia"/>
        </w:rPr>
        <w:t>5</w:t>
      </w:r>
      <w:r w:rsidR="00037198">
        <w:rPr>
          <w:rFonts w:eastAsiaTheme="minorEastAsia"/>
        </w:rPr>
        <w:t>.</w:t>
      </w:r>
      <w:r>
        <w:rPr>
          <w:rFonts w:eastAsiaTheme="minorEastAsia"/>
        </w:rPr>
        <w:t xml:space="preserve"> Représentation des flux en jambon au travers du diagramme de Sankey</w:t>
      </w:r>
      <w:bookmarkEnd w:id="368"/>
      <w:r>
        <w:rPr>
          <w:rFonts w:eastAsiaTheme="minorEastAsia"/>
        </w:rPr>
        <w:t xml:space="preserve"> </w:t>
      </w:r>
    </w:p>
    <w:p w14:paraId="0E26DF4E" w14:textId="5FD0AB58" w:rsidR="008279D3" w:rsidRDefault="00DA55C2" w:rsidP="0002537E">
      <w:pPr>
        <w:rPr>
          <w:lang w:val="fr-CA"/>
        </w:rPr>
      </w:pPr>
      <w:r w:rsidRPr="0002537E">
        <w:rPr>
          <w:lang w:val="fr-CA"/>
        </w:rPr>
        <w:t>A noter</w:t>
      </w:r>
      <w:r w:rsidR="00D80D25">
        <w:rPr>
          <w:lang w:val="fr-CA"/>
        </w:rPr>
        <w:t>,</w:t>
      </w:r>
      <w:r w:rsidRPr="0002537E">
        <w:rPr>
          <w:lang w:val="fr-CA"/>
        </w:rPr>
        <w:t xml:space="preserve"> le</w:t>
      </w:r>
      <w:r>
        <w:rPr>
          <w:lang w:val="fr-CA"/>
        </w:rPr>
        <w:t xml:space="preserve"> segment des</w:t>
      </w:r>
      <w:r w:rsidRPr="0002537E">
        <w:rPr>
          <w:lang w:val="fr-CA"/>
        </w:rPr>
        <w:t xml:space="preserve"> </w:t>
      </w:r>
      <w:r>
        <w:rPr>
          <w:lang w:val="fr-CA"/>
        </w:rPr>
        <w:t xml:space="preserve">PAI </w:t>
      </w:r>
      <w:r w:rsidRPr="0002537E">
        <w:rPr>
          <w:lang w:val="fr-CA"/>
        </w:rPr>
        <w:t>désigne des mélanges de</w:t>
      </w:r>
      <w:r w:rsidR="004A33D5">
        <w:rPr>
          <w:lang w:val="fr-CA"/>
        </w:rPr>
        <w:t xml:space="preserve"> </w:t>
      </w:r>
      <w:r w:rsidRPr="0002537E">
        <w:rPr>
          <w:lang w:val="fr-CA"/>
        </w:rPr>
        <w:t>produits</w:t>
      </w:r>
      <w:r w:rsidR="004A33D5">
        <w:rPr>
          <w:lang w:val="fr-CA"/>
        </w:rPr>
        <w:t xml:space="preserve"> </w:t>
      </w:r>
      <w:r w:rsidRPr="0002537E">
        <w:rPr>
          <w:lang w:val="fr-CA"/>
        </w:rPr>
        <w:t>issus de l'industrie</w:t>
      </w:r>
      <w:r w:rsidR="004A33D5">
        <w:rPr>
          <w:lang w:val="fr-CA"/>
        </w:rPr>
        <w:t xml:space="preserve"> </w:t>
      </w:r>
      <w:r w:rsidRPr="0002537E">
        <w:rPr>
          <w:lang w:val="fr-CA"/>
        </w:rPr>
        <w:t>alimentaire</w:t>
      </w:r>
      <w:r w:rsidR="004A33D5">
        <w:rPr>
          <w:lang w:val="fr-CA"/>
        </w:rPr>
        <w:t xml:space="preserve"> </w:t>
      </w:r>
      <w:r w:rsidRPr="0002537E">
        <w:rPr>
          <w:lang w:val="fr-CA"/>
        </w:rPr>
        <w:t>ayant subi un traitement ou une transformation.</w:t>
      </w:r>
      <w:r>
        <w:rPr>
          <w:lang w:val="fr-CA"/>
        </w:rPr>
        <w:t xml:space="preserve"> Dans le cas présent, il s’agit de</w:t>
      </w:r>
      <w:r w:rsidR="00D80D25">
        <w:rPr>
          <w:lang w:val="fr-CA"/>
        </w:rPr>
        <w:t xml:space="preserve">s </w:t>
      </w:r>
      <w:r>
        <w:rPr>
          <w:lang w:val="fr-CA"/>
        </w:rPr>
        <w:t xml:space="preserve">produits de transformation de la charcuterie salaison à destination du marché du traiteur. Les gras tels que le saindoux ne sont pas considérés comme des PAI mais comme des sous-produits ou coproduits au même titre que les autres coproduits supportant des étapes </w:t>
      </w:r>
      <w:r w:rsidR="004A33D5">
        <w:rPr>
          <w:lang w:val="fr-CA"/>
        </w:rPr>
        <w:t>d’extraction</w:t>
      </w:r>
      <w:r>
        <w:rPr>
          <w:lang w:val="fr-CA"/>
        </w:rPr>
        <w:t xml:space="preserve"> </w:t>
      </w:r>
      <w:r w:rsidR="00D80D25">
        <w:rPr>
          <w:lang w:val="fr-CA"/>
        </w:rPr>
        <w:t xml:space="preserve">dont une fraction est à </w:t>
      </w:r>
      <w:r>
        <w:rPr>
          <w:lang w:val="fr-CA"/>
        </w:rPr>
        <w:t>destination de la consommation humaine.</w:t>
      </w:r>
    </w:p>
    <w:p w14:paraId="634A3A90" w14:textId="31B5A039" w:rsidR="004A33D5" w:rsidRDefault="004A33D5" w:rsidP="0002537E">
      <w:pPr>
        <w:rPr>
          <w:lang w:val="fr-CA"/>
        </w:rPr>
      </w:pPr>
    </w:p>
    <w:p w14:paraId="1FD0727E" w14:textId="1AC4FFB4" w:rsidR="004A33D5" w:rsidRDefault="004A33D5" w:rsidP="0002537E">
      <w:pPr>
        <w:rPr>
          <w:lang w:val="fr-CA"/>
        </w:rPr>
      </w:pPr>
    </w:p>
    <w:p w14:paraId="12924B26" w14:textId="1159B179" w:rsidR="004A33D5" w:rsidRDefault="004A33D5" w:rsidP="0002537E">
      <w:pPr>
        <w:rPr>
          <w:lang w:val="fr-CA"/>
        </w:rPr>
      </w:pPr>
    </w:p>
    <w:p w14:paraId="38FA1911" w14:textId="6DA07E29" w:rsidR="004A33D5" w:rsidRDefault="004A33D5" w:rsidP="0002537E">
      <w:pPr>
        <w:rPr>
          <w:lang w:val="fr-CA"/>
        </w:rPr>
      </w:pPr>
    </w:p>
    <w:p w14:paraId="4114D4B2" w14:textId="5730766C" w:rsidR="004A33D5" w:rsidRDefault="004A33D5" w:rsidP="0002537E">
      <w:pPr>
        <w:rPr>
          <w:lang w:val="fr-CA"/>
        </w:rPr>
      </w:pPr>
    </w:p>
    <w:p w14:paraId="793BEB31" w14:textId="0ABAAE77" w:rsidR="004A33D5" w:rsidRDefault="004A33D5" w:rsidP="0002537E">
      <w:pPr>
        <w:rPr>
          <w:lang w:val="fr-CA"/>
        </w:rPr>
      </w:pPr>
    </w:p>
    <w:p w14:paraId="36C3C1DB" w14:textId="0EF0B1FF" w:rsidR="004A33D5" w:rsidRDefault="004A33D5" w:rsidP="0002537E">
      <w:pPr>
        <w:rPr>
          <w:lang w:val="fr-CA"/>
        </w:rPr>
      </w:pPr>
    </w:p>
    <w:p w14:paraId="42E94965" w14:textId="0AB185A8" w:rsidR="004A33D5" w:rsidRDefault="004A33D5" w:rsidP="0002537E">
      <w:pPr>
        <w:rPr>
          <w:lang w:val="fr-CA"/>
        </w:rPr>
      </w:pPr>
    </w:p>
    <w:p w14:paraId="576128F7" w14:textId="456D68A4" w:rsidR="004A33D5" w:rsidRDefault="004A33D5" w:rsidP="0002537E">
      <w:pPr>
        <w:rPr>
          <w:lang w:val="fr-CA"/>
        </w:rPr>
      </w:pPr>
    </w:p>
    <w:p w14:paraId="11543E69" w14:textId="67EB0C06" w:rsidR="004A33D5" w:rsidRDefault="004A33D5" w:rsidP="0002537E">
      <w:pPr>
        <w:rPr>
          <w:lang w:val="fr-CA"/>
        </w:rPr>
      </w:pPr>
    </w:p>
    <w:p w14:paraId="3F391FC4" w14:textId="0D847706" w:rsidR="004A33D5" w:rsidRDefault="004A33D5" w:rsidP="0002537E">
      <w:pPr>
        <w:rPr>
          <w:lang w:val="fr-CA"/>
        </w:rPr>
      </w:pPr>
    </w:p>
    <w:p w14:paraId="2DD6EC56" w14:textId="293559D6" w:rsidR="004A33D5" w:rsidRDefault="004A33D5" w:rsidP="0002537E">
      <w:pPr>
        <w:rPr>
          <w:lang w:val="fr-CA"/>
        </w:rPr>
      </w:pPr>
    </w:p>
    <w:p w14:paraId="7EC4423A" w14:textId="4A2DA2F5" w:rsidR="004A33D5" w:rsidRDefault="004A33D5" w:rsidP="0002537E">
      <w:pPr>
        <w:rPr>
          <w:lang w:val="fr-CA"/>
        </w:rPr>
      </w:pPr>
    </w:p>
    <w:p w14:paraId="53D15C75" w14:textId="77777777" w:rsidR="004A33D5" w:rsidRPr="0002537E" w:rsidRDefault="004A33D5" w:rsidP="0002537E">
      <w:pPr>
        <w:rPr>
          <w:lang w:val="fr-CA"/>
        </w:rPr>
      </w:pPr>
    </w:p>
    <w:p w14:paraId="5272FEEE" w14:textId="4B88EAE3" w:rsidR="006A22F6" w:rsidRDefault="006A22F6" w:rsidP="0002537E">
      <w:pPr>
        <w:pStyle w:val="figure"/>
        <w:rPr>
          <w:bCs w:val="0"/>
          <w:i/>
          <w:iCs w:val="0"/>
        </w:rPr>
        <w:sectPr w:rsidR="006A22F6" w:rsidSect="00B73F4D">
          <w:pgSz w:w="11906" w:h="16838" w:code="9"/>
          <w:pgMar w:top="1304" w:right="1133" w:bottom="1304" w:left="1418" w:header="567" w:footer="709" w:gutter="0"/>
          <w:cols w:space="708"/>
          <w:docGrid w:linePitch="360"/>
        </w:sectPr>
      </w:pPr>
    </w:p>
    <w:p w14:paraId="20F5ECC8" w14:textId="1A90023D" w:rsidR="00696C97" w:rsidRDefault="00D80D25" w:rsidP="00E232E9">
      <w:pPr>
        <w:pStyle w:val="ValrieN1"/>
        <w:ind w:left="0"/>
      </w:pPr>
      <w:r>
        <w:rPr>
          <w:noProof/>
        </w:rPr>
        <w:lastRenderedPageBreak/>
        <w:drawing>
          <wp:anchor distT="0" distB="0" distL="114300" distR="114300" simplePos="0" relativeHeight="251670585" behindDoc="0" locked="0" layoutInCell="1" allowOverlap="1" wp14:anchorId="3B66DCE7" wp14:editId="2D777075">
            <wp:simplePos x="0" y="0"/>
            <wp:positionH relativeFrom="margin">
              <wp:posOffset>-380365</wp:posOffset>
            </wp:positionH>
            <wp:positionV relativeFrom="paragraph">
              <wp:posOffset>-273244</wp:posOffset>
            </wp:positionV>
            <wp:extent cx="9591675" cy="4557395"/>
            <wp:effectExtent l="0" t="0" r="9525" b="0"/>
            <wp:wrapNone/>
            <wp:docPr id="305" name="Image 6">
              <a:extLst xmlns:a="http://schemas.openxmlformats.org/drawingml/2006/main">
                <a:ext uri="{FF2B5EF4-FFF2-40B4-BE49-F238E27FC236}">
                  <a16:creationId xmlns:a16="http://schemas.microsoft.com/office/drawing/2014/main" id="{5C02A09F-05EB-4BB2-A11E-00049C7DF8D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5C02A09F-05EB-4BB2-A11E-00049C7DF8D1}"/>
                        </a:ext>
                      </a:extLst>
                    </pic:cNvPr>
                    <pic:cNvPicPr>
                      <a:picLocks noChangeAspect="1"/>
                    </pic:cNvPicPr>
                  </pic:nvPicPr>
                  <pic:blipFill>
                    <a:blip r:embed="rId66"/>
                    <a:stretch>
                      <a:fillRect/>
                    </a:stretch>
                  </pic:blipFill>
                  <pic:spPr>
                    <a:xfrm>
                      <a:off x="0" y="0"/>
                      <a:ext cx="9591675" cy="4557395"/>
                    </a:xfrm>
                    <a:prstGeom prst="rect">
                      <a:avLst/>
                    </a:prstGeom>
                  </pic:spPr>
                </pic:pic>
              </a:graphicData>
            </a:graphic>
            <wp14:sizeRelH relativeFrom="margin">
              <wp14:pctWidth>0</wp14:pctWidth>
            </wp14:sizeRelH>
            <wp14:sizeRelV relativeFrom="margin">
              <wp14:pctHeight>0</wp14:pctHeight>
            </wp14:sizeRelV>
          </wp:anchor>
        </w:drawing>
      </w:r>
      <w:r w:rsidR="00FE4937">
        <w:rPr>
          <w:noProof/>
        </w:rPr>
        <mc:AlternateContent>
          <mc:Choice Requires="wps">
            <w:drawing>
              <wp:anchor distT="0" distB="0" distL="114300" distR="114300" simplePos="0" relativeHeight="251677753" behindDoc="0" locked="0" layoutInCell="1" allowOverlap="1" wp14:anchorId="206B399A" wp14:editId="4E17476E">
                <wp:simplePos x="0" y="0"/>
                <wp:positionH relativeFrom="column">
                  <wp:posOffset>1295078</wp:posOffset>
                </wp:positionH>
                <wp:positionV relativeFrom="paragraph">
                  <wp:posOffset>-53975</wp:posOffset>
                </wp:positionV>
                <wp:extent cx="0" cy="5357495"/>
                <wp:effectExtent l="0" t="0" r="38100" b="33655"/>
                <wp:wrapNone/>
                <wp:docPr id="288" name="Connecteur droit 16"/>
                <wp:cNvGraphicFramePr/>
                <a:graphic xmlns:a="http://schemas.openxmlformats.org/drawingml/2006/main">
                  <a:graphicData uri="http://schemas.microsoft.com/office/word/2010/wordprocessingShape">
                    <wps:wsp>
                      <wps:cNvCnPr/>
                      <wps:spPr>
                        <a:xfrm>
                          <a:off x="0" y="0"/>
                          <a:ext cx="0" cy="535749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60A9EC7A" id="Connecteur droit 16" o:spid="_x0000_s1026" style="position:absolute;z-index:251677753;visibility:visible;mso-wrap-style:square;mso-wrap-distance-left:9pt;mso-wrap-distance-top:0;mso-wrap-distance-right:9pt;mso-wrap-distance-bottom:0;mso-position-horizontal:absolute;mso-position-horizontal-relative:text;mso-position-vertical:absolute;mso-position-vertical-relative:text" from="101.95pt,-4.25pt" to="101.95pt,4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0kCOQIAAOcEAAAOAAAAZHJzL2Uyb0RvYy54bWysVMmO2zAMvRfoPwi6N3bSejpjxJlD0uml&#10;S9DlAxQttgBtkJTt70vRTtLl0il6kSWK75l8JLV8PFlDDjIm7V1H57OaEum4F9r1Hf3+7enVPSUp&#10;MyeY8U529CwTfVy9fLE8hlYu/OCNkJEAiUvtMXR0yDm0VZX4IC1LMx+kg0vlo2UZjrGvRGRHYLem&#10;WtT1XXX0UYTouUwJrJvxkq6QXynJ82elkszEdBRiy7hGXHdlrVZL1vaRhUHzKQz2D1FYph389Eq1&#10;YZmRfdR/UFnNo09e5Rn3tvJKaS4xB8hmXv+WzdeBBYm5gDgpXGVK/4+WfzpsI9Gio4t7KJVjFoq0&#10;9s6BcnIfiYheZzK/w+TkKX9IGSSrjiG1CC1C43btthFuyimFbSxanFS05QtZkhNKfr5KDlSEj0YO&#10;1uZ18/bNQ1PKUd2AIab8XnpLyqajRruiBmvZYQqDtReXYjaOHDv60CwaSjiDZlKGZdjaAOkl11PC&#10;TA9dynNEmuSNFk/amALGjpNrE8mBQa/s+jn6mL396MVou2vqGjsGQry6Y8C/MJWQNiwNI0jAbuyy&#10;6PdOYL8Nkol3TpB8DqC2g8GgJXIrBSVGQoRlh56ZafM3nhCRcVNdRvmxEPls5KjMF6mgyij4mG3s&#10;dyXZcRRgVmE4LgOBZAAojgrkeSZ2ghS0xAl8Jv4Kwv97l694q52fSlfeh1u18mk+tY4a/S9SjAIU&#10;LXZenLFDsXdhmrBw0+SXcf35jPDb+7T6AQAA//8DAFBLAwQUAAYACAAAACEAAwaps90AAAAKAQAA&#10;DwAAAGRycy9kb3ducmV2LnhtbEyPwU7DMAyG70i8Q2QkbltCq21dV3dCTLtNmhhwTxuvqWiSqsna&#10;8vYEcYCj7U+/v7/Yz6ZjIw2+dRbhaSmAka2dam2D8P52XGTAfJBWyc5ZQvgiD/vy/q6QuXKTfaXx&#10;EhoWQ6zPJYIOoc8597UmI/3S9WTj7eoGI0Mch4arQU4x3HQ8EWLNjWxt/KBlTy+a6s/LzSCI82Z9&#10;kOfTB52mg762xyrdjBXi48P8vAMWaA5/MPzoR3Uoo1PlblZ51iEkIt1GFGGRrYBF4HdRIWTpKgFe&#10;Fvx/hfIbAAD//wMAUEsBAi0AFAAGAAgAAAAhALaDOJL+AAAA4QEAABMAAAAAAAAAAAAAAAAAAAAA&#10;AFtDb250ZW50X1R5cGVzXS54bWxQSwECLQAUAAYACAAAACEAOP0h/9YAAACUAQAACwAAAAAAAAAA&#10;AAAAAAAvAQAAX3JlbHMvLnJlbHNQSwECLQAUAAYACAAAACEABDNJAjkCAADnBAAADgAAAAAAAAAA&#10;AAAAAAAuAgAAZHJzL2Uyb0RvYy54bWxQSwECLQAUAAYACAAAACEAAwaps90AAAAKAQAADwAAAAAA&#10;AAAAAAAAAACTBAAAZHJzL2Rvd25yZXYueG1sUEsFBgAAAAAEAAQA8wAAAJ0FAAAAAA==&#10;" strokecolor="#a5a5a5 [2092]">
                <v:stroke dashstyle="dash"/>
              </v:line>
            </w:pict>
          </mc:Fallback>
        </mc:AlternateContent>
      </w:r>
      <w:r w:rsidR="00FE4937">
        <w:rPr>
          <w:noProof/>
        </w:rPr>
        <mc:AlternateContent>
          <mc:Choice Requires="wps">
            <w:drawing>
              <wp:anchor distT="0" distB="0" distL="114300" distR="114300" simplePos="0" relativeHeight="251676729" behindDoc="0" locked="0" layoutInCell="1" allowOverlap="1" wp14:anchorId="74666FDC" wp14:editId="00861AE9">
                <wp:simplePos x="0" y="0"/>
                <wp:positionH relativeFrom="column">
                  <wp:posOffset>3783017</wp:posOffset>
                </wp:positionH>
                <wp:positionV relativeFrom="paragraph">
                  <wp:posOffset>-53975</wp:posOffset>
                </wp:positionV>
                <wp:extent cx="0" cy="5357495"/>
                <wp:effectExtent l="0" t="0" r="38100" b="33655"/>
                <wp:wrapNone/>
                <wp:docPr id="43" name="Connecteur droit 15"/>
                <wp:cNvGraphicFramePr/>
                <a:graphic xmlns:a="http://schemas.openxmlformats.org/drawingml/2006/main">
                  <a:graphicData uri="http://schemas.microsoft.com/office/word/2010/wordprocessingShape">
                    <wps:wsp>
                      <wps:cNvCnPr/>
                      <wps:spPr>
                        <a:xfrm>
                          <a:off x="0" y="0"/>
                          <a:ext cx="0" cy="535749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0753CF9F" id="Connecteur droit 15" o:spid="_x0000_s1026" style="position:absolute;z-index:251676729;visibility:visible;mso-wrap-style:square;mso-wrap-distance-left:9pt;mso-wrap-distance-top:0;mso-wrap-distance-right:9pt;mso-wrap-distance-bottom:0;mso-position-horizontal:absolute;mso-position-horizontal-relative:text;mso-position-vertical:absolute;mso-position-vertical-relative:text" from="297.9pt,-4.25pt" to="297.9pt,4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JIaOQIAAOYEAAAOAAAAZHJzL2Uyb0RvYy54bWysVMlu2zAQvRfoPxC8N7KdKG0EyznYTS9d&#10;jLT9AJqLRIAbSHr7+w5Hstzl0hS9UORw3tPMmxkuH0/WkIOMSXvX0vnNjBLpuBfadS39/u3pzTtK&#10;UmZOMOOdbOlZJvq4ev1qeQyNXPjeGyEjARKXmmNoaZ9zaKoq8V5alm58kA4ulY+WZTjGrhKRHYHd&#10;mmoxm91XRx9FiJ7LlMC6GS7pCvmVkjx/USrJTExLIbaMa8R1V9ZqtWRNF1noNR/DYP8QhWXawU8n&#10;qg3LjOyj/oPKah598irfcG8rr5TmEnOAbOaz37L52rMgMRcQJ4VJpvT/aPnnwzYSLVp6d0uJYxZq&#10;tPbOgXByH4mIXmcyrzE3ecofUwbFqmNIDSKLzrhdu22Em3JKYRuLFCcVbflCkuSEip8nxYGK8MHI&#10;wVrf1m/vHupSjeoKDDHlD9JbUjYtNdoVMVjDDmMYrLm4FLNx5NjSh3pRU8IZ9JIyLMPWBsguuY4S&#10;ZjpoUp4j0iRvtHjSxhQwNpxcm0gODFpl183Rx+ztJy8G2309m2HDQIiTOwb8C1MJacNSP4AE7IYm&#10;i37vBLZbL5l47wTJ5wBqO5gLWiK3UlBiJERYduiZmTZ/4wkRGTfWZZAfC5HPRg7KPEsFRUbBh2xj&#10;tyvJDpMAowqzcZkHJANAcVQgzwuxI6SgJQ7gC/ETCP/vXZ7wVjs/lq48D9dq5dN8bB01+F+kGAQo&#10;Wuy8OGOHYu/CMGHhxsEv0/rzGeHX52n1AwAA//8DAFBLAwQUAAYACAAAACEABeHIU90AAAAKAQAA&#10;DwAAAGRycy9kb3ducmV2LnhtbEyPwU7DMBBE70j8g7VI3FqHVmlDyKZCVL1Vqihw38TbOCK2o9hN&#10;wt9jxAGOOzuaeVPsZtOJkQffOovwsExAsK2dam2D8P52WGQgfCCrqHOWEb7Yw668vSkoV26yrzye&#10;QyNiiPU5IegQ+lxKX2s25JeuZxt/FzcYCvEcGqkGmmK46eQqSTbSUGtjg6aeXzTXn+erQUhO282e&#10;TscPPk57fWkP1Xo7Voj3d/PzE4jAc/gzww9+RIcyMlXuapUXHUL6mEb0gLDIUhDR8CtUCNk6XYEs&#10;C/l/QvkNAAD//wMAUEsBAi0AFAAGAAgAAAAhALaDOJL+AAAA4QEAABMAAAAAAAAAAAAAAAAAAAAA&#10;AFtDb250ZW50X1R5cGVzXS54bWxQSwECLQAUAAYACAAAACEAOP0h/9YAAACUAQAACwAAAAAAAAAA&#10;AAAAAAAvAQAAX3JlbHMvLnJlbHNQSwECLQAUAAYACAAAACEAabSSGjkCAADmBAAADgAAAAAAAAAA&#10;AAAAAAAuAgAAZHJzL2Uyb0RvYy54bWxQSwECLQAUAAYACAAAACEABeHIU90AAAAKAQAADwAAAAAA&#10;AAAAAAAAAACTBAAAZHJzL2Rvd25yZXYueG1sUEsFBgAAAAAEAAQA8wAAAJ0FAAAAAA==&#10;" strokecolor="#a5a5a5 [2092]">
                <v:stroke dashstyle="dash"/>
              </v:line>
            </w:pict>
          </mc:Fallback>
        </mc:AlternateContent>
      </w:r>
      <w:r w:rsidR="00FE4937">
        <w:rPr>
          <w:noProof/>
        </w:rPr>
        <mc:AlternateContent>
          <mc:Choice Requires="wps">
            <w:drawing>
              <wp:anchor distT="0" distB="0" distL="114300" distR="114300" simplePos="0" relativeHeight="251695161" behindDoc="0" locked="0" layoutInCell="1" allowOverlap="1" wp14:anchorId="1DE59B1E" wp14:editId="0D6F0DE9">
                <wp:simplePos x="0" y="0"/>
                <wp:positionH relativeFrom="column">
                  <wp:posOffset>6514152</wp:posOffset>
                </wp:positionH>
                <wp:positionV relativeFrom="paragraph">
                  <wp:posOffset>-52705</wp:posOffset>
                </wp:positionV>
                <wp:extent cx="0" cy="5358009"/>
                <wp:effectExtent l="0" t="0" r="38100" b="33655"/>
                <wp:wrapNone/>
                <wp:docPr id="311" name="Connecteur droit 15"/>
                <wp:cNvGraphicFramePr/>
                <a:graphic xmlns:a="http://schemas.openxmlformats.org/drawingml/2006/main">
                  <a:graphicData uri="http://schemas.microsoft.com/office/word/2010/wordprocessingShape">
                    <wps:wsp>
                      <wps:cNvCnPr/>
                      <wps:spPr>
                        <a:xfrm>
                          <a:off x="0" y="0"/>
                          <a:ext cx="0" cy="5358009"/>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1B7C2EA3" id="Connecteur droit 15" o:spid="_x0000_s1026" style="position:absolute;z-index:251695161;visibility:visible;mso-wrap-style:square;mso-wrap-distance-left:9pt;mso-wrap-distance-top:0;mso-wrap-distance-right:9pt;mso-wrap-distance-bottom:0;mso-position-horizontal:absolute;mso-position-horizontal-relative:text;mso-position-vertical:absolute;mso-position-vertical-relative:text" from="512.95pt,-4.15pt" to="512.95pt,41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jl+OQIAAOcEAAAOAAAAZHJzL2Uyb0RvYy54bWysVMmO2zAMvRfoPwi6N7YzyGDGiDOHpNNL&#10;l6DTfoCixRagDZKy/X0p2km6XDpFL7JE8T2Tj6SWTydryEHGpL3raDOrKZGOe6Fd39Hv357fPVCS&#10;MnOCGe9kR88y0afV2zfLY2jl3A/eCBkJkLjUHkNHh5xDW1WJD9KyNPNBOrhUPlqW4Rj7SkR2BHZr&#10;qnld31dHH0WInsuUwLoZL+kK+ZWSPH9RKslMTEchtoxrxHVX1mq1ZG0fWRg0n8Jg/xCFZdrBT69U&#10;G5YZ2Uf9B5XVPPrkVZ5xbyuvlOYSc4Bsmvq3bF4GFiTmAuKkcJUp/T9a/vmwjUSLjt41DSWOWSjS&#10;2jsHysl9JCJ6nUmzwOTkKX9MGSSrjiG1CC1C43btthFuyimFbSxanFS05QtZkhNKfr5KDlSEj0YO&#10;1sXd4qGuH0s5qhswxJQ/SG9J2XTUaFfUYC07TGGw9uJSzMaRY0cfF/MFJZxBMynDMmxtgPSS6ylh&#10;pocu5TkiTfJGi2dtTAFjx8m1ieTAoFd2fYM+Zm8/eTHa7hd1jR0DIV7dMeBfmEpIG5aGESRgN3ZZ&#10;9HsnsN8GycR7J0g+B1DbwWDQErmVghIjIcKyQ8/MtPkbT4jIuKkuo/xYiHw2clTmq1RQZRR8zDb2&#10;u5LsOAowqzAcl4FAMgAURwXyvBI7QQpa4gS+En8F4f+9y1e81c5PpSvvw61a+dRMraNG/4sUowBF&#10;i50XZ+xQ7F2YJizcNPllXH8+I/z2Pq1+AAAA//8DAFBLAwQUAAYACAAAACEAdfXNLd4AAAAMAQAA&#10;DwAAAGRycy9kb3ducmV2LnhtbEyPwU7DMAyG70i8Q2QkblvCqm6lNJ0Q026TJgbc3cZrKpqkarK2&#10;vD2ZOLDjb3/6/bnYzqZjIw2+dVbC01IAI1s71dpGwufHfpEB8wGtws5ZkvBDHrbl/V2BuXKTfafx&#10;FBoWS6zPUYIOoc8597Umg37perJxd3aDwRDj0HA14BTLTcdXQqy5wdbGCxp7etNUf58uRoI4btY7&#10;PB6+6DDt9LndV8lmrKR8fJhfX4AFmsM/DFf9qA5ldKrcxSrPupjFKn2OrIRFlgC7En+TSkKWpCnw&#10;suC3T5S/AAAA//8DAFBLAQItABQABgAIAAAAIQC2gziS/gAAAOEBAAATAAAAAAAAAAAAAAAAAAAA&#10;AABbQ29udGVudF9UeXBlc10ueG1sUEsBAi0AFAAGAAgAAAAhADj9If/WAAAAlAEAAAsAAAAAAAAA&#10;AAAAAAAALwEAAF9yZWxzLy5yZWxzUEsBAi0AFAAGAAgAAAAhAFy+OX45AgAA5wQAAA4AAAAAAAAA&#10;AAAAAAAALgIAAGRycy9lMm9Eb2MueG1sUEsBAi0AFAAGAAgAAAAhAHX1zS3eAAAADAEAAA8AAAAA&#10;AAAAAAAAAAAAkwQAAGRycy9kb3ducmV2LnhtbFBLBQYAAAAABAAEAPMAAACeBQAAAAA=&#10;" strokecolor="#a5a5a5 [2092]">
                <v:stroke dashstyle="dash"/>
              </v:line>
            </w:pict>
          </mc:Fallback>
        </mc:AlternateContent>
      </w:r>
      <w:r w:rsidR="00696C97">
        <w:rPr>
          <w:noProof/>
        </w:rPr>
        <mc:AlternateContent>
          <mc:Choice Requires="wps">
            <w:drawing>
              <wp:anchor distT="0" distB="0" distL="114300" distR="114300" simplePos="0" relativeHeight="251669561" behindDoc="0" locked="0" layoutInCell="1" allowOverlap="1" wp14:anchorId="3506EC1A" wp14:editId="40C0DEE3">
                <wp:simplePos x="0" y="0"/>
                <wp:positionH relativeFrom="column">
                  <wp:posOffset>9997440</wp:posOffset>
                </wp:positionH>
                <wp:positionV relativeFrom="paragraph">
                  <wp:posOffset>5382895</wp:posOffset>
                </wp:positionV>
                <wp:extent cx="656216" cy="365125"/>
                <wp:effectExtent l="0" t="0" r="0" b="0"/>
                <wp:wrapNone/>
                <wp:docPr id="286" name="Espace réservé du numéro de diapositive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656216" cy="365125"/>
                        </a:xfrm>
                        <a:prstGeom prst="rect">
                          <a:avLst/>
                        </a:prstGeom>
                      </wps:spPr>
                      <wps:txbx>
                        <w:txbxContent>
                          <w:p w14:paraId="53E22E5E" w14:textId="77777777" w:rsidR="00741BFF" w:rsidRDefault="00741BFF" w:rsidP="00696C97">
                            <w:pPr>
                              <w:jc w:val="right"/>
                              <w:rPr>
                                <w:sz w:val="24"/>
                                <w:szCs w:val="24"/>
                              </w:rPr>
                            </w:pPr>
                            <w:r>
                              <w:rPr>
                                <w:rFonts w:asciiTheme="minorHAnsi" w:hAnsi="Calibri"/>
                                <w:color w:val="DDE0E3"/>
                                <w:kern w:val="24"/>
                                <w:sz w:val="28"/>
                                <w:szCs w:val="28"/>
                              </w:rPr>
                              <w:t>6</w:t>
                            </w:r>
                          </w:p>
                        </w:txbxContent>
                      </wps:txbx>
                      <wps:bodyPr vert="horz" lIns="91440" tIns="45720" rIns="91440" bIns="45720" rtlCol="0" anchor="ctr"/>
                    </wps:wsp>
                  </a:graphicData>
                </a:graphic>
              </wp:anchor>
            </w:drawing>
          </mc:Choice>
          <mc:Fallback>
            <w:pict>
              <v:rect w14:anchorId="3506EC1A" id="Espace réservé du numéro de diapositive 5" o:spid="_x0000_s1057" style="position:absolute;left:0;text-align:left;margin-left:787.2pt;margin-top:423.85pt;width:51.65pt;height:28.75pt;z-index:25166956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lMozQEAAGwDAAAOAAAAZHJzL2Uyb0RvYy54bWysU0Fu2zAQvBfoHwjea1mKraaC5RyaNigQ&#10;tAGSPoCmKIuoyCWWtCT3R36HP9Yl7bhJeyt6IbTc5ezszGp1M5meDQq9BlvzfDbnTFkJjbbbmn9/&#10;+vzumjMfhG1ED1bVfK88v1m/fbMaXaUK6KBvFDICsb4aXc27EFyVZV52ygg/A6csJVtAIwKFuM0a&#10;FCOhmz4r5vMyGwEbhyCV93R7e0rydcJvWyXDt7b1KrC+5sQtpBPTuYlntl6JaovCdVqeaYh/YGGE&#10;ttT0AnUrgmA71H9BGS0RPLRhJsFk0LZaqjQDTZPP/5jmsRNOpVlIHO8uMvn/Byu/Dg/IdFPz4rrk&#10;zApDJn3yTkjF8HjwCofjgTU7ZnfmeEBgjWKNFg68DnpQbBkVHJ2vCOjRPWDUwLt7kD88s3CHZGke&#10;S7JXNTHw5+qpRRNfkRZsSsbsL8aoKTBJl+WyLHKiJyl1VS7zIrXNRPX82KEPdwoMix81R/I92SGG&#10;ex9ie1E9l5y5nNpHImHaTEmBq8Q0Xm2g2ZMstNcE1gH+5Kz/Ykn2D/liEdcoBYvl+4ICfJnZvMqE&#10;/iOcFk9YSTg1lwEvcpClidl5/eLOvIwT0d8/yfoXAAAA//8DAFBLAwQUAAYACAAAACEALCnJYN4A&#10;AAANAQAADwAAAGRycy9kb3ducmV2LnhtbEyPy07DMBBF90j8gzVI7KidKm1KGqeCom7YUZDYTuNp&#10;HNWPKHbT8Pc4K9jN1RzdOVPtJmvYSEPovJOQLQQwco1XnWslfH0enjbAQkSn0HhHEn4owK6+v6uw&#10;VP7mPmg8xpalEhdKlKBj7EvOQ6PJYlj4nlzanf1gMaY4tFwNeEvl1vClEGtusXPpgsae9pqay/Fq&#10;JUyv38i90XRGbsX7eMjesr2R8vFhetkCizTFPxhm/aQOdXI6+atTgZmUV0WeJ1bCJi8KYDOyLubp&#10;JOFZrJbA64r//6L+BQAA//8DAFBLAQItABQABgAIAAAAIQC2gziS/gAAAOEBAAATAAAAAAAAAAAA&#10;AAAAAAAAAABbQ29udGVudF9UeXBlc10ueG1sUEsBAi0AFAAGAAgAAAAhADj9If/WAAAAlAEAAAsA&#10;AAAAAAAAAAAAAAAALwEAAF9yZWxzLy5yZWxzUEsBAi0AFAAGAAgAAAAhADjOUyjNAQAAbAMAAA4A&#10;AAAAAAAAAAAAAAAALgIAAGRycy9lMm9Eb2MueG1sUEsBAi0AFAAGAAgAAAAhACwpyWDeAAAADQEA&#10;AA8AAAAAAAAAAAAAAAAAJwQAAGRycy9kb3ducmV2LnhtbFBLBQYAAAAABAAEAPMAAAAyBQAAAAA=&#10;" filled="f" stroked="f">
                <o:lock v:ext="edit" grouping="t"/>
                <v:textbox>
                  <w:txbxContent>
                    <w:p w14:paraId="53E22E5E" w14:textId="77777777" w:rsidR="00741BFF" w:rsidRDefault="00741BFF" w:rsidP="00696C97">
                      <w:pPr>
                        <w:jc w:val="right"/>
                        <w:rPr>
                          <w:sz w:val="24"/>
                          <w:szCs w:val="24"/>
                        </w:rPr>
                      </w:pPr>
                      <w:r>
                        <w:rPr>
                          <w:rFonts w:asciiTheme="minorHAnsi" w:hAnsi="Calibri"/>
                          <w:color w:val="DDE0E3"/>
                          <w:kern w:val="24"/>
                          <w:sz w:val="28"/>
                          <w:szCs w:val="28"/>
                        </w:rPr>
                        <w:t>6</w:t>
                      </w:r>
                    </w:p>
                  </w:txbxContent>
                </v:textbox>
              </v:rect>
            </w:pict>
          </mc:Fallback>
        </mc:AlternateContent>
      </w:r>
      <w:r w:rsidR="00696C97">
        <w:rPr>
          <w:noProof/>
        </w:rPr>
        <mc:AlternateContent>
          <mc:Choice Requires="wps">
            <w:drawing>
              <wp:anchor distT="0" distB="0" distL="114300" distR="114300" simplePos="0" relativeHeight="251684921" behindDoc="0" locked="0" layoutInCell="1" allowOverlap="1" wp14:anchorId="218E0283" wp14:editId="6B9FA56B">
                <wp:simplePos x="0" y="0"/>
                <wp:positionH relativeFrom="column">
                  <wp:posOffset>11105515</wp:posOffset>
                </wp:positionH>
                <wp:positionV relativeFrom="paragraph">
                  <wp:posOffset>4845050</wp:posOffset>
                </wp:positionV>
                <wp:extent cx="750526" cy="246221"/>
                <wp:effectExtent l="0" t="0" r="0" b="0"/>
                <wp:wrapNone/>
                <wp:docPr id="299" name="ZoneTexte 26"/>
                <wp:cNvGraphicFramePr/>
                <a:graphic xmlns:a="http://schemas.openxmlformats.org/drawingml/2006/main">
                  <a:graphicData uri="http://schemas.microsoft.com/office/word/2010/wordprocessingShape">
                    <wps:wsp>
                      <wps:cNvSpPr txBox="1"/>
                      <wps:spPr>
                        <a:xfrm>
                          <a:off x="0" y="0"/>
                          <a:ext cx="750526" cy="246221"/>
                        </a:xfrm>
                        <a:prstGeom prst="rect">
                          <a:avLst/>
                        </a:prstGeom>
                        <a:noFill/>
                      </wps:spPr>
                      <wps:txbx>
                        <w:txbxContent>
                          <w:p w14:paraId="7BA639C7" w14:textId="77777777" w:rsidR="00741BFF" w:rsidRDefault="00741BFF" w:rsidP="00696C97">
                            <w:pPr>
                              <w:rPr>
                                <w:sz w:val="24"/>
                                <w:szCs w:val="24"/>
                              </w:rPr>
                            </w:pPr>
                            <w:r>
                              <w:rPr>
                                <w:rFonts w:cs="Arial"/>
                                <w:i/>
                                <w:iCs/>
                                <w:color w:val="000000" w:themeColor="text1"/>
                                <w:kern w:val="24"/>
                                <w:sz w:val="20"/>
                                <w:szCs w:val="20"/>
                              </w:rPr>
                              <w:t xml:space="preserve">Total 419 </w:t>
                            </w:r>
                          </w:p>
                        </w:txbxContent>
                      </wps:txbx>
                      <wps:bodyPr wrap="none" rtlCol="0">
                        <a:spAutoFit/>
                      </wps:bodyPr>
                    </wps:wsp>
                  </a:graphicData>
                </a:graphic>
              </wp:anchor>
            </w:drawing>
          </mc:Choice>
          <mc:Fallback>
            <w:pict>
              <v:shape w14:anchorId="218E0283" id="ZoneTexte 26" o:spid="_x0000_s1058" type="#_x0000_t202" style="position:absolute;left:0;text-align:left;margin-left:874.45pt;margin-top:381.5pt;width:59.1pt;height:19.4pt;z-index:25168492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A0hmgEAABcDAAAOAAAAZHJzL2Uyb0RvYy54bWysUstu2zAQvBfIPxC815LV2k0Ey0aTwL0U&#10;bQC7l95oirQIiFyCy1jy33dJv4L0VvTCx+5ydmaWi9Voe3ZQAQ24hk8nJWfKSWiN2zf813b98Z4z&#10;jMK1ogenGn5UyFfLuw+Lwdeqgg76VgVGIA7rwTe8i9HXRYGyU1bgBLxylNQQrIh0DfuiDWIgdNsX&#10;VVnOiwFC6wNIhUjR51OSLzO+1krGn1qjiqxvOHGLeQ153aW1WC5EvQ/Cd0aeaYh/YGGFcdT0CvUs&#10;omCvwfwFZY0MgKDjRIItQGsjVdZAaqblOzWbTniVtZA56K824f+DlT8OL4GZtuHVwwNnTlga0m8a&#10;1VaNUbFqnhwaPNZUuPFUGsdHGGnSlzhSMAkfdbBpJ0mM8uT18eovQTFJwS+zckaITFKq+jyvqoxS&#10;3B77gPGbAsvSoeGBxpddFYfvGIkIlV5KUi8Ha9P3KZ4YnpikUxx3Y9b0qbrQ3EF7JPYDTbrhjvRx&#10;FmL/BPlbJCz0X18j4eU2CeT04oxN7ufu55+Sxvv2nqtu/3n5BwAA//8DAFBLAwQUAAYACAAAACEA&#10;ur9Vo94AAAANAQAADwAAAGRycy9kb3ducmV2LnhtbEyPwU7DMBBE70j8g7VI3KiTUhI3jVOhAmeg&#10;8AFubOI08TqK3Tbw9WxOcBzNaOZNuZ1cz85mDK1HCekiAWaw9rrFRsLnx8udABaiQq16j0bCtwmw&#10;ra6vSlVof8F3c97HhlEJhkJJsDEOBeehtsapsPCDQfK+/OhUJDk2XI/qQuWu58skybhTLdKCVYPZ&#10;WVN3+5OTIBL32nXr5Vtwq5/0we6e/PNwlPL2ZnrcAItmin9hmPEJHSpiOvgT6sB60vlKrCkrIc/u&#10;6dUcEVmeAjvMA6kAXpX8/4vqFwAA//8DAFBLAQItABQABgAIAAAAIQC2gziS/gAAAOEBAAATAAAA&#10;AAAAAAAAAAAAAAAAAABbQ29udGVudF9UeXBlc10ueG1sUEsBAi0AFAAGAAgAAAAhADj9If/WAAAA&#10;lAEAAAsAAAAAAAAAAAAAAAAALwEAAF9yZWxzLy5yZWxzUEsBAi0AFAAGAAgAAAAhAAecDSGaAQAA&#10;FwMAAA4AAAAAAAAAAAAAAAAALgIAAGRycy9lMm9Eb2MueG1sUEsBAi0AFAAGAAgAAAAhALq/VaPe&#10;AAAADQEAAA8AAAAAAAAAAAAAAAAA9AMAAGRycy9kb3ducmV2LnhtbFBLBQYAAAAABAAEAPMAAAD/&#10;BAAAAAA=&#10;" filled="f" stroked="f">
                <v:textbox style="mso-fit-shape-to-text:t">
                  <w:txbxContent>
                    <w:p w14:paraId="7BA639C7" w14:textId="77777777" w:rsidR="00741BFF" w:rsidRDefault="00741BFF" w:rsidP="00696C97">
                      <w:pPr>
                        <w:rPr>
                          <w:sz w:val="24"/>
                          <w:szCs w:val="24"/>
                        </w:rPr>
                      </w:pPr>
                      <w:r>
                        <w:rPr>
                          <w:rFonts w:cs="Arial"/>
                          <w:i/>
                          <w:iCs/>
                          <w:color w:val="000000" w:themeColor="text1"/>
                          <w:kern w:val="24"/>
                          <w:sz w:val="20"/>
                          <w:szCs w:val="20"/>
                        </w:rPr>
                        <w:t xml:space="preserve">Total 419 </w:t>
                      </w:r>
                    </w:p>
                  </w:txbxContent>
                </v:textbox>
              </v:shape>
            </w:pict>
          </mc:Fallback>
        </mc:AlternateContent>
      </w:r>
    </w:p>
    <w:p w14:paraId="54AEA38A" w14:textId="4AC4BD53" w:rsidR="00696C97" w:rsidRDefault="00696C97" w:rsidP="00E232E9">
      <w:pPr>
        <w:pStyle w:val="ValrieN1"/>
        <w:ind w:left="0"/>
      </w:pPr>
    </w:p>
    <w:p w14:paraId="789FEAF9" w14:textId="4826FAFE" w:rsidR="00696C97" w:rsidRDefault="00696C97" w:rsidP="00E232E9">
      <w:pPr>
        <w:pStyle w:val="ValrieN1"/>
        <w:ind w:left="0"/>
      </w:pPr>
    </w:p>
    <w:p w14:paraId="4BE39A14" w14:textId="0D874B49" w:rsidR="00696C97" w:rsidRDefault="00696C97" w:rsidP="00E232E9">
      <w:pPr>
        <w:pStyle w:val="ValrieN1"/>
        <w:ind w:left="0"/>
      </w:pPr>
    </w:p>
    <w:p w14:paraId="41F2AFD3" w14:textId="44D21CDE" w:rsidR="008279D3" w:rsidRDefault="00B373DA" w:rsidP="00E232E9">
      <w:pPr>
        <w:pStyle w:val="ValrieN1"/>
        <w:ind w:left="0"/>
      </w:pPr>
      <w:r>
        <w:rPr>
          <w:noProof/>
        </w:rPr>
        <mc:AlternateContent>
          <mc:Choice Requires="wps">
            <w:drawing>
              <wp:anchor distT="0" distB="0" distL="114300" distR="114300" simplePos="0" relativeHeight="251832377" behindDoc="0" locked="0" layoutInCell="1" allowOverlap="1" wp14:anchorId="3585BB7D" wp14:editId="4BAA3F66">
                <wp:simplePos x="0" y="0"/>
                <wp:positionH relativeFrom="page">
                  <wp:posOffset>388620</wp:posOffset>
                </wp:positionH>
                <wp:positionV relativeFrom="paragraph">
                  <wp:posOffset>134188</wp:posOffset>
                </wp:positionV>
                <wp:extent cx="554355" cy="330200"/>
                <wp:effectExtent l="0" t="0" r="0" b="0"/>
                <wp:wrapSquare wrapText="bothSides"/>
                <wp:docPr id="377" name="Zone de texte 377"/>
                <wp:cNvGraphicFramePr/>
                <a:graphic xmlns:a="http://schemas.openxmlformats.org/drawingml/2006/main">
                  <a:graphicData uri="http://schemas.microsoft.com/office/word/2010/wordprocessingShape">
                    <wps:wsp>
                      <wps:cNvSpPr txBox="1"/>
                      <wps:spPr>
                        <a:xfrm>
                          <a:off x="0" y="0"/>
                          <a:ext cx="554355" cy="330200"/>
                        </a:xfrm>
                        <a:prstGeom prst="rect">
                          <a:avLst/>
                        </a:prstGeom>
                        <a:solidFill>
                          <a:schemeClr val="bg1"/>
                        </a:solidFill>
                        <a:ln w="6350">
                          <a:noFill/>
                        </a:ln>
                      </wps:spPr>
                      <wps:txbx>
                        <w:txbxContent>
                          <w:p w14:paraId="6FD2B246" w14:textId="42C38173" w:rsidR="00741BFF" w:rsidRPr="0002537E" w:rsidRDefault="00741BFF" w:rsidP="00E232E9">
                            <w:pPr>
                              <w:pStyle w:val="ValrieN1"/>
                              <w:ind w:left="0"/>
                              <w:rPr>
                                <w:b w:val="0"/>
                                <w:sz w:val="14"/>
                                <w:szCs w:val="14"/>
                              </w:rPr>
                            </w:pPr>
                            <w:r w:rsidRPr="0002537E">
                              <w:rPr>
                                <w:b w:val="0"/>
                                <w:sz w:val="14"/>
                                <w:szCs w:val="14"/>
                              </w:rPr>
                              <w:t>Abattage découpe</w:t>
                            </w:r>
                          </w:p>
                          <w:p w14:paraId="010E2CA8" w14:textId="77777777" w:rsidR="00741BFF" w:rsidRPr="00895B1E" w:rsidRDefault="00741BFF" w:rsidP="004C1022">
                            <w:pPr>
                              <w:pStyle w:val="ValrieN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85BB7D" id="Zone de texte 377" o:spid="_x0000_s1059" type="#_x0000_t202" style="position:absolute;left:0;text-align:left;margin-left:30.6pt;margin-top:10.55pt;width:43.65pt;height:26pt;z-index:25183237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EGRSwIAAIkEAAAOAAAAZHJzL2Uyb0RvYy54bWysVFFv2jAQfp+0/2D5fSQQaLeIUDEqpkmo&#10;rUSnSnszjkMi2T7PNiTs1+/sEMq6PU17cc6+8+e777vL/K5TkhyFdQ3ogo5HKSVCcygbvS/ot+f1&#10;h4+UOM90ySRoUdCTcPRu8f7dvDW5mEANshSWIIh2eWsKWntv8iRxvBaKuREYodFZgVXM49buk9Ky&#10;FtGVTCZpepO0YEtjgQvn8PS+d9JFxK8qwf1jVTnhiSwo5ubjauO6C2uymLN8b5mpG35Og/1DFoo1&#10;Gh+9QN0zz8jBNn9AqYZbcFD5EQeVQFU1XMQasJpx+qaabc2MiLUgOc5caHL/D5Y/HJ8sacqCZre3&#10;lGimUKTvKBUpBfGi84IEB9LUGpdj9NZgvO8+Q4dyD+cOD0P1XWVV+GJdBP1I+OlCMmIRjoez2TSb&#10;zSjh6MqyFEUMKMnrZWOd/yJAkWAU1KKGkVp23Djfhw4h4S0HsinXjZRxE/pGrKQlR4aK7/YxRQT/&#10;LUpq0hb0JpulEVhDuN4jS425hFL7koLlu13XM5QN9e6gPCENFvp+coavG0x2w5x/YhYbCCvHofCP&#10;uFQS8DE4W5TUYH/+7TzEo67opaTFhiyo+3FgVlAiv2pU/NN4Og0dHDfT2e0EN/bas7v26INaATIw&#10;xvEzPJoh3svBrCyoF5ydZXgVXUxzfLugfjBXvh8TnD0ulssYhD1rmN/oreEBOjAepHjuXpg1Z71C&#10;0zzA0LosfyNbHxtualgePFRN1DQQ3bN65h/7PXbFeTbDQF3vY9TrH2TxCwAA//8DAFBLAwQUAAYA&#10;CAAAACEA6vl0CNwAAAAIAQAADwAAAGRycy9kb3ducmV2LnhtbEyPwU7DMBBE70j8g7VI3KjjQEsV&#10;4lQF0TMi4cDRjZckNF5HsduGfD3bExxHM5p5k28m14sTjqHzpEEtEhBItbcdNRo+qt3dGkSIhqzp&#10;PaGGHwywKa6vcpNZf6Z3PJWxEVxCITMa2hiHTMpQt+hMWPgBib0vPzoTWY6NtKM5c7nrZZokK+lM&#10;R7zQmgFfWqwP5dHxrq9eD/M2ympXY/lsl/P32+es9e3NtH0CEXGKf2G44DM6FMy090eyQfQaVirl&#10;pIZUKRAX/2G9BLHX8HivQBa5/H+g+AUAAP//AwBQSwECLQAUAAYACAAAACEAtoM4kv4AAADhAQAA&#10;EwAAAAAAAAAAAAAAAAAAAAAAW0NvbnRlbnRfVHlwZXNdLnhtbFBLAQItABQABgAIAAAAIQA4/SH/&#10;1gAAAJQBAAALAAAAAAAAAAAAAAAAAC8BAABfcmVscy8ucmVsc1BLAQItABQABgAIAAAAIQBhfEGR&#10;SwIAAIkEAAAOAAAAAAAAAAAAAAAAAC4CAABkcnMvZTJvRG9jLnhtbFBLAQItABQABgAIAAAAIQDq&#10;+XQI3AAAAAgBAAAPAAAAAAAAAAAAAAAAAKUEAABkcnMvZG93bnJldi54bWxQSwUGAAAAAAQABADz&#10;AAAArgUAAAAA&#10;" fillcolor="white [3212]" stroked="f" strokeweight=".5pt">
                <v:textbox>
                  <w:txbxContent>
                    <w:p w14:paraId="6FD2B246" w14:textId="42C38173" w:rsidR="00741BFF" w:rsidRPr="0002537E" w:rsidRDefault="00741BFF" w:rsidP="00E232E9">
                      <w:pPr>
                        <w:pStyle w:val="ValrieN1"/>
                        <w:ind w:left="0"/>
                        <w:rPr>
                          <w:b w:val="0"/>
                          <w:sz w:val="14"/>
                          <w:szCs w:val="14"/>
                        </w:rPr>
                      </w:pPr>
                      <w:r w:rsidRPr="0002537E">
                        <w:rPr>
                          <w:b w:val="0"/>
                          <w:sz w:val="14"/>
                          <w:szCs w:val="14"/>
                        </w:rPr>
                        <w:t>Abattage découpe</w:t>
                      </w:r>
                    </w:p>
                    <w:p w14:paraId="010E2CA8" w14:textId="77777777" w:rsidR="00741BFF" w:rsidRPr="00895B1E" w:rsidRDefault="00741BFF" w:rsidP="004C1022">
                      <w:pPr>
                        <w:pStyle w:val="ValrieN1"/>
                      </w:pPr>
                    </w:p>
                  </w:txbxContent>
                </v:textbox>
                <w10:wrap type="square" anchorx="page"/>
              </v:shape>
            </w:pict>
          </mc:Fallback>
        </mc:AlternateContent>
      </w:r>
    </w:p>
    <w:p w14:paraId="19F4FA01" w14:textId="0429DD19" w:rsidR="008279D3" w:rsidRDefault="008279D3" w:rsidP="00E232E9">
      <w:pPr>
        <w:pStyle w:val="ValrieN1"/>
        <w:ind w:left="0"/>
      </w:pPr>
    </w:p>
    <w:p w14:paraId="1EE91B63" w14:textId="512DBA5D" w:rsidR="008279D3" w:rsidRDefault="008279D3" w:rsidP="00E232E9">
      <w:pPr>
        <w:pStyle w:val="ValrieN1"/>
        <w:ind w:left="0"/>
      </w:pPr>
    </w:p>
    <w:p w14:paraId="0F0A85F9" w14:textId="3676C9BF" w:rsidR="008279D3" w:rsidRDefault="008279D3" w:rsidP="00E232E9">
      <w:pPr>
        <w:pStyle w:val="ValrieN1"/>
        <w:ind w:left="0"/>
      </w:pPr>
    </w:p>
    <w:p w14:paraId="32C5826F" w14:textId="30933526" w:rsidR="008279D3" w:rsidRDefault="008279D3" w:rsidP="00E232E9">
      <w:pPr>
        <w:pStyle w:val="ValrieN1"/>
        <w:ind w:left="0"/>
      </w:pPr>
    </w:p>
    <w:p w14:paraId="7E9219B5" w14:textId="5CA093D5" w:rsidR="008279D3" w:rsidRDefault="008279D3" w:rsidP="00E232E9">
      <w:pPr>
        <w:pStyle w:val="ValrieN1"/>
        <w:ind w:left="0"/>
      </w:pPr>
    </w:p>
    <w:p w14:paraId="4EFA0A3D" w14:textId="2D39F731" w:rsidR="008279D3" w:rsidRDefault="004C1022" w:rsidP="00E232E9">
      <w:pPr>
        <w:pStyle w:val="ValrieN1"/>
        <w:ind w:left="0"/>
      </w:pPr>
      <w:r>
        <w:rPr>
          <w:noProof/>
        </w:rPr>
        <mc:AlternateContent>
          <mc:Choice Requires="wpg">
            <w:drawing>
              <wp:anchor distT="0" distB="0" distL="114300" distR="114300" simplePos="0" relativeHeight="251678777" behindDoc="0" locked="0" layoutInCell="1" allowOverlap="1" wp14:anchorId="6D7D4F4A" wp14:editId="0D94B0DC">
                <wp:simplePos x="0" y="0"/>
                <wp:positionH relativeFrom="column">
                  <wp:posOffset>-361315</wp:posOffset>
                </wp:positionH>
                <wp:positionV relativeFrom="paragraph">
                  <wp:posOffset>87630</wp:posOffset>
                </wp:positionV>
                <wp:extent cx="1171575" cy="335899"/>
                <wp:effectExtent l="0" t="0" r="47625" b="26670"/>
                <wp:wrapNone/>
                <wp:docPr id="289" name="Groupe 17"/>
                <wp:cNvGraphicFramePr/>
                <a:graphic xmlns:a="http://schemas.openxmlformats.org/drawingml/2006/main">
                  <a:graphicData uri="http://schemas.microsoft.com/office/word/2010/wordprocessingGroup">
                    <wpg:wgp>
                      <wpg:cNvGrpSpPr/>
                      <wpg:grpSpPr>
                        <a:xfrm>
                          <a:off x="0" y="0"/>
                          <a:ext cx="1171575" cy="335899"/>
                          <a:chOff x="77466" y="3934514"/>
                          <a:chExt cx="1810089" cy="565432"/>
                        </a:xfrm>
                      </wpg:grpSpPr>
                      <wps:wsp>
                        <wps:cNvPr id="292" name="Flèche : pentagone 292"/>
                        <wps:cNvSpPr/>
                        <wps:spPr>
                          <a:xfrm>
                            <a:off x="118917" y="3934514"/>
                            <a:ext cx="1768638" cy="565432"/>
                          </a:xfrm>
                          <a:prstGeom prst="homePlate">
                            <a:avLst/>
                          </a:prstGeom>
                          <a:gradFill flip="none" rotWithShape="1">
                            <a:gsLst>
                              <a:gs pos="0">
                                <a:schemeClr val="bg1">
                                  <a:lumMod val="65000"/>
                                  <a:tint val="66000"/>
                                  <a:satMod val="160000"/>
                                </a:schemeClr>
                              </a:gs>
                              <a:gs pos="50000">
                                <a:schemeClr val="bg1">
                                  <a:lumMod val="65000"/>
                                  <a:tint val="44500"/>
                                  <a:satMod val="160000"/>
                                </a:schemeClr>
                              </a:gs>
                              <a:gs pos="100000">
                                <a:schemeClr val="bg1">
                                  <a:lumMod val="65000"/>
                                  <a:tint val="23500"/>
                                  <a:satMod val="160000"/>
                                </a:schemeClr>
                              </a:gs>
                            </a:gsLst>
                            <a:lin ang="5400000" scaled="1"/>
                            <a:tileRect/>
                          </a:gradFill>
                          <a:ln>
                            <a:solidFill>
                              <a:schemeClr val="bg1">
                                <a:lumMod val="75000"/>
                              </a:schemeClr>
                            </a:solidFill>
                          </a:ln>
                        </wps:spPr>
                        <wps:style>
                          <a:lnRef idx="1">
                            <a:schemeClr val="accent1"/>
                          </a:lnRef>
                          <a:fillRef idx="3">
                            <a:schemeClr val="accent1"/>
                          </a:fillRef>
                          <a:effectRef idx="2">
                            <a:schemeClr val="accent1"/>
                          </a:effectRef>
                          <a:fontRef idx="minor">
                            <a:schemeClr val="lt1"/>
                          </a:fontRef>
                        </wps:style>
                        <wps:bodyPr rtlCol="0" anchor="ctr"/>
                      </wps:wsp>
                      <wps:wsp>
                        <wps:cNvPr id="293" name="ZoneTexte 19"/>
                        <wps:cNvSpPr txBox="1"/>
                        <wps:spPr>
                          <a:xfrm>
                            <a:off x="77466" y="4017996"/>
                            <a:ext cx="1588365" cy="384811"/>
                          </a:xfrm>
                          <a:prstGeom prst="rect">
                            <a:avLst/>
                          </a:prstGeom>
                          <a:noFill/>
                        </wps:spPr>
                        <wps:txbx>
                          <w:txbxContent>
                            <w:p w14:paraId="7634839A" w14:textId="77777777" w:rsidR="00741BFF" w:rsidRPr="0002537E" w:rsidRDefault="00741BFF" w:rsidP="00696C97">
                              <w:pPr>
                                <w:rPr>
                                  <w:sz w:val="18"/>
                                  <w:szCs w:val="18"/>
                                </w:rPr>
                              </w:pPr>
                              <w:r w:rsidRPr="0002537E">
                                <w:rPr>
                                  <w:rFonts w:cs="Arial"/>
                                  <w:b/>
                                  <w:bCs/>
                                  <w:i/>
                                  <w:iCs/>
                                  <w:color w:val="595959" w:themeColor="text1" w:themeTint="A6"/>
                                  <w:kern w:val="24"/>
                                  <w:sz w:val="18"/>
                                  <w:szCs w:val="18"/>
                                </w:rPr>
                                <w:t xml:space="preserve">Sens de lecture </w:t>
                              </w:r>
                            </w:p>
                          </w:txbxContent>
                        </wps:txbx>
                        <wps:bodyPr wrap="none" rtlCol="0">
                          <a:noAutofit/>
                        </wps:bodyPr>
                      </wps:wsp>
                    </wpg:wgp>
                  </a:graphicData>
                </a:graphic>
                <wp14:sizeRelH relativeFrom="margin">
                  <wp14:pctWidth>0</wp14:pctWidth>
                </wp14:sizeRelH>
                <wp14:sizeRelV relativeFrom="margin">
                  <wp14:pctHeight>0</wp14:pctHeight>
                </wp14:sizeRelV>
              </wp:anchor>
            </w:drawing>
          </mc:Choice>
          <mc:Fallback>
            <w:pict>
              <v:group w14:anchorId="6D7D4F4A" id="Groupe 17" o:spid="_x0000_s1060" style="position:absolute;left:0;text-align:left;margin-left:-28.45pt;margin-top:6.9pt;width:92.25pt;height:26.45pt;z-index:251678777;mso-width-relative:margin;mso-height-relative:margin" coordorigin="774,39345" coordsize="18100,5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E21aQMAACIJAAAOAAAAZHJzL2Uyb0RvYy54bWy8Vs1u3DgMvhfoOwi+N7bHP+MxMim67SaX&#10;djdIWxToTZFljwFZMiQlM3mbHvscuy+2JG0r2SZpgQToxWNTJEV+JD/O8evDoNi1tK43ehulR0nE&#10;pBam6XW3jT5/On1VRcx5rhuujJbb6Ea66PXJyxfH+7GWK7MzqpGWgRPt6v24jXbej3UcO7GTA3dH&#10;ZpQaDltjB+7h03ZxY/kevA8qXiVJGe+NbUZrhHQOpO+mw+iE/LetFP7vtnXSM7WNIDZPT0vPS3zG&#10;J8e87iwfd72Yw+BPiGLgvYZLg6t33HN2Zft7roZeWONM64+EGWLTtr2QlANkkyY/ZHNmzdVIuXT1&#10;vhsDTADtDzg92a346/rcsr7ZRqtqEzHNBygS3StZukZ49mNXg9aZHT+O53YWdNMXZnxo7YC/kAs7&#10;ELA3AVh58EyAME3XabEuIibgLMuKarOZkBc7KA+ardd5WUYMjzdZXqT5cv7n4qJKkwRDRBdFWeTZ&#10;ClXiJYAY4wxh7UdoJ3eLmHseYh93fJRUCIdYLIhtVgtip+rf79Cy/3yrGXSs5x00O1vBOeFFRgE9&#10;VzsA8gHo0rTaAOb3QAgorsuqzGCgHoGA16N1/kyageELpGwGea64x9B5za/fOz9BtuihGJq/Oe2V&#10;Yq3qYQA1RB4xa/yX3u8obygf2XcO7MnCsdEAogmJaVTlW2XZNYchu+wmbXU1fDDNJCuLJJlHzffa&#10;z8IyCB33QTdFMSlDaYNvKnTn7t6OPp8XQZ6Dj6nPnhQBNORzQ1hlTwkBkAnFUL1mHMm2yKdwmBNc&#10;SRjodErN90peAA9OlV+qjUgqjU9nVE8NQB/Iuz8v5nop5r363PEEZ+gdhnLpdnrzN0pON1/IFlgH&#10;qeGhJuJCwBRRAuQJtNGshTYNhtmvDWd9NJW0C4Lx6tfGwYJuNtoH46HXxj7kQIWQ20l/QWDKGyG4&#10;NM0N0If16q2ZVhLXYmdgIwlvidBm6kLi/S0cli0c9hUm/xNwDRA/sTPeD2SHvMX84Q9DxZr57BEG&#10;u2XxPEnXm005tWAgsKKqsnJZA1VepUuJlyWyENNMYBb6loB+hLu0QebCzsZgp6DwzR8uD7TUMtoj&#10;KJqB38OqDyQXioAl1ubNlTdtT4NyazH7hmVCb7SI4e1/m/7uN2nd/rU5+Q8AAP//AwBQSwMEFAAG&#10;AAgAAAAhACMurtXfAAAACQEAAA8AAABkcnMvZG93bnJldi54bWxMj0FrwkAQhe+F/odlCr3pJoqx&#10;TbMRkbYnKVQL4m3NjkkwOxuyaxL/fcdTexzex5vvZavRNqLHzteOFMTTCARS4UxNpYKf/cfkBYQP&#10;moxuHKGCG3pY5Y8PmU6NG+gb+10oBZeQT7WCKoQ2ldIXFVrtp65F4uzsOqsDn10pTacHLreNnEVR&#10;Iq2uiT9UusVNhcVld7UKPgc9rOfxe7+9nDe3437xddjGqNTz07h+AxFwDH8w3PVZHXJ2OrkrGS8a&#10;BZNF8sooB3OecAdmywTESUGSLEHmmfy/IP8FAAD//wMAUEsBAi0AFAAGAAgAAAAhALaDOJL+AAAA&#10;4QEAABMAAAAAAAAAAAAAAAAAAAAAAFtDb250ZW50X1R5cGVzXS54bWxQSwECLQAUAAYACAAAACEA&#10;OP0h/9YAAACUAQAACwAAAAAAAAAAAAAAAAAvAQAAX3JlbHMvLnJlbHNQSwECLQAUAAYACAAAACEA&#10;tJRNtWkDAAAiCQAADgAAAAAAAAAAAAAAAAAuAgAAZHJzL2Uyb0RvYy54bWxQSwECLQAUAAYACAAA&#10;ACEAIy6u1d8AAAAJAQAADwAAAAAAAAAAAAAAAADDBQAAZHJzL2Rvd25yZXYueG1sUEsFBgAAAAAE&#10;AAQA8wAAAM8GAAAAAA==&#10;">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Flèche : pentagone 292" o:spid="_x0000_s1061" type="#_x0000_t15" style="position:absolute;left:1189;top:39345;width:17686;height:5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AKQxAAAANwAAAAPAAAAZHJzL2Rvd25yZXYueG1sRI9Ba8JA&#10;FITvBf/D8gRvdeMqpUZXEVHozTbWg7dH9pmEZN+G7Brjv+8WCj0OM/MNs94OthE9db5yrGE2TUAQ&#10;585UXGj4Ph9f30H4gGywcUwanuRhuxm9rDE17sFf1GehEBHCPkUNZQhtKqXPS7Lop64ljt7NdRZD&#10;lF0hTYePCLeNVEnyJi1WHBdKbGlfUl5nd6vhmszqxVyd7rf283mpz01/UFmv9WQ87FYgAg3hP/zX&#10;/jAa1FLB75l4BOTmBwAA//8DAFBLAQItABQABgAIAAAAIQDb4fbL7gAAAIUBAAATAAAAAAAAAAAA&#10;AAAAAAAAAABbQ29udGVudF9UeXBlc10ueG1sUEsBAi0AFAAGAAgAAAAhAFr0LFu/AAAAFQEAAAsA&#10;AAAAAAAAAAAAAAAAHwEAAF9yZWxzLy5yZWxzUEsBAi0AFAAGAAgAAAAhAIhIApDEAAAA3AAAAA8A&#10;AAAAAAAAAAAAAAAABwIAAGRycy9kb3ducmV2LnhtbFBLBQYAAAAAAwADALcAAAD4AgAAAAA=&#10;" adj="18147" fillcolor="#a5a5a5 [2092]" strokecolor="#bfbfbf [2412]" strokeweight=".5pt">
                  <v:fill color2="#a5a5a5 [2092]" rotate="t" colors="0 #cacaca;.5 #ddd;1 #eee" focus="100%" type="gradient"/>
                </v:shape>
                <v:shape id="ZoneTexte 19" o:spid="_x0000_s1062" type="#_x0000_t202" style="position:absolute;left:774;top:40179;width:15884;height:384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cG+yAAAANwAAAAPAAAAZHJzL2Rvd25yZXYueG1sRI9Pa8JA&#10;FMTvhX6H5Qm9FN0YodToKqWlUqhY/HPw+Mw+k7TZt2F3jdFP7xYKPQ4z8xtmOu9MLVpyvrKsYDhI&#10;QBDnVldcKNht3/vPIHxA1lhbJgUX8jCf3d9NMdP2zGtqN6EQEcI+QwVlCE0mpc9LMugHtiGO3tE6&#10;gyFKV0jt8BzhppZpkjxJgxXHhRIbei0p/9mcjILrl1vaNF0uhof9qGrD2+P36nOl1EOve5mACNSF&#10;//Bf+0MrSMcj+D0Tj4Cc3QAAAP//AwBQSwECLQAUAAYACAAAACEA2+H2y+4AAACFAQAAEwAAAAAA&#10;AAAAAAAAAAAAAAAAW0NvbnRlbnRfVHlwZXNdLnhtbFBLAQItABQABgAIAAAAIQBa9CxbvwAAABUB&#10;AAALAAAAAAAAAAAAAAAAAB8BAABfcmVscy8ucmVsc1BLAQItABQABgAIAAAAIQAbccG+yAAAANwA&#10;AAAPAAAAAAAAAAAAAAAAAAcCAABkcnMvZG93bnJldi54bWxQSwUGAAAAAAMAAwC3AAAA/AIAAAAA&#10;" filled="f" stroked="f">
                  <v:textbox>
                    <w:txbxContent>
                      <w:p w14:paraId="7634839A" w14:textId="77777777" w:rsidR="00741BFF" w:rsidRPr="0002537E" w:rsidRDefault="00741BFF" w:rsidP="00696C97">
                        <w:pPr>
                          <w:rPr>
                            <w:sz w:val="18"/>
                            <w:szCs w:val="18"/>
                          </w:rPr>
                        </w:pPr>
                        <w:r w:rsidRPr="0002537E">
                          <w:rPr>
                            <w:rFonts w:cs="Arial"/>
                            <w:b/>
                            <w:bCs/>
                            <w:i/>
                            <w:iCs/>
                            <w:color w:val="595959" w:themeColor="text1" w:themeTint="A6"/>
                            <w:kern w:val="24"/>
                            <w:sz w:val="18"/>
                            <w:szCs w:val="18"/>
                          </w:rPr>
                          <w:t xml:space="preserve">Sens de lecture </w:t>
                        </w:r>
                      </w:p>
                    </w:txbxContent>
                  </v:textbox>
                </v:shape>
              </v:group>
            </w:pict>
          </mc:Fallback>
        </mc:AlternateContent>
      </w:r>
    </w:p>
    <w:p w14:paraId="4580A80C" w14:textId="4F4D65BB" w:rsidR="008279D3" w:rsidRDefault="004C1022" w:rsidP="00E232E9">
      <w:pPr>
        <w:pStyle w:val="ValrieN1"/>
        <w:ind w:left="0"/>
      </w:pPr>
      <w:r>
        <w:rPr>
          <w:noProof/>
        </w:rPr>
        <mc:AlternateContent>
          <mc:Choice Requires="wps">
            <w:drawing>
              <wp:anchor distT="0" distB="0" distL="114300" distR="114300" simplePos="0" relativeHeight="251673657" behindDoc="0" locked="0" layoutInCell="1" allowOverlap="1" wp14:anchorId="3B3821CB" wp14:editId="275532F2">
                <wp:simplePos x="0" y="0"/>
                <wp:positionH relativeFrom="column">
                  <wp:posOffset>-395605</wp:posOffset>
                </wp:positionH>
                <wp:positionV relativeFrom="paragraph">
                  <wp:posOffset>238125</wp:posOffset>
                </wp:positionV>
                <wp:extent cx="1900052" cy="249110"/>
                <wp:effectExtent l="0" t="0" r="0" b="0"/>
                <wp:wrapNone/>
                <wp:docPr id="37" name="ZoneTexte 10"/>
                <wp:cNvGraphicFramePr/>
                <a:graphic xmlns:a="http://schemas.openxmlformats.org/drawingml/2006/main">
                  <a:graphicData uri="http://schemas.microsoft.com/office/word/2010/wordprocessingShape">
                    <wps:wsp>
                      <wps:cNvSpPr txBox="1"/>
                      <wps:spPr>
                        <a:xfrm>
                          <a:off x="0" y="0"/>
                          <a:ext cx="1900052" cy="249110"/>
                        </a:xfrm>
                        <a:prstGeom prst="rect">
                          <a:avLst/>
                        </a:prstGeom>
                        <a:noFill/>
                      </wps:spPr>
                      <wps:txbx>
                        <w:txbxContent>
                          <w:p w14:paraId="1D411540" w14:textId="559B8049" w:rsidR="00741BFF" w:rsidRPr="0002537E" w:rsidRDefault="00741BFF" w:rsidP="00696C97">
                            <w:pPr>
                              <w:rPr>
                                <w:sz w:val="18"/>
                                <w:szCs w:val="18"/>
                              </w:rPr>
                            </w:pPr>
                            <w:r w:rsidRPr="0002537E">
                              <w:rPr>
                                <w:rFonts w:cs="Arial"/>
                                <w:i/>
                                <w:iCs/>
                                <w:color w:val="000000" w:themeColor="text1"/>
                                <w:kern w:val="24"/>
                                <w:sz w:val="18"/>
                                <w:szCs w:val="18"/>
                                <w:u w:val="single"/>
                              </w:rPr>
                              <w:t xml:space="preserve">Données exprimées </w:t>
                            </w:r>
                            <w:r w:rsidR="00B373DA">
                              <w:rPr>
                                <w:rFonts w:cs="Arial"/>
                                <w:i/>
                                <w:iCs/>
                                <w:color w:val="000000" w:themeColor="text1"/>
                                <w:kern w:val="24"/>
                                <w:sz w:val="18"/>
                                <w:szCs w:val="18"/>
                                <w:u w:val="single"/>
                              </w:rPr>
                              <w:t>en k</w:t>
                            </w:r>
                            <w:r w:rsidRPr="0002537E">
                              <w:rPr>
                                <w:rFonts w:cs="Arial"/>
                                <w:i/>
                                <w:iCs/>
                                <w:color w:val="000000" w:themeColor="text1"/>
                                <w:kern w:val="24"/>
                                <w:sz w:val="18"/>
                                <w:szCs w:val="18"/>
                                <w:u w:val="single"/>
                              </w:rPr>
                              <w:t>T</w:t>
                            </w:r>
                          </w:p>
                          <w:p w14:paraId="64D8F2D8" w14:textId="77777777" w:rsidR="00741BFF" w:rsidRPr="0002537E" w:rsidRDefault="00741BFF" w:rsidP="00696C97">
                            <w:pPr>
                              <w:rPr>
                                <w:sz w:val="18"/>
                                <w:szCs w:val="18"/>
                              </w:rPr>
                            </w:pPr>
                            <w:r w:rsidRPr="0002537E">
                              <w:rPr>
                                <w:rFonts w:cs="Arial"/>
                                <w:color w:val="000000" w:themeColor="text1"/>
                                <w:kern w:val="24"/>
                                <w:sz w:val="18"/>
                                <w:szCs w:val="18"/>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3B3821CB" id="ZoneTexte 10" o:spid="_x0000_s1063" type="#_x0000_t202" style="position:absolute;left:0;text-align:left;margin-left:-31.15pt;margin-top:18.75pt;width:149.6pt;height:19.6pt;z-index:2516736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5mgEAABkDAAAOAAAAZHJzL2Uyb0RvYy54bWysUk1vEzEQvSPxHyzfyW4CBbrKpgKqckFQ&#10;qe2Fm+MdZy2tPcbjZDf/nrE3TRDcKi5jez7ezHvj9c3kBnGASBZ9K5eLWgrwGjvrd618erx781EK&#10;Ssp3akAPrTwCyZvN61frMTSwwh6HDqJgEE/NGFrZpxSaqiLdg1O0wACegwajU4mfcVd1UY2M7oZq&#10;VdfvqxFjFyJqIGLv7RyUm4JvDOj0wxiCJIZW8myp2FjsNttqs1bNLqrQW30aQ71gCqes56ZnqFuV&#10;lNhH+w+UszoioUkLja5CY6yGwoHZLOu/2Dz0KkDhwuJQOMtE/w9Wfz/cR2G7Vr79IIVXjnf0kzf1&#10;CFMCsSwCjYEaznsInJmmzzjxorNw2U/szLwnE10+mZHgOEt9PMvLUELnouu6rq9WUmiOrd5dL2f4&#10;6lIdIqWvgE7kSysjr6+oqg7fKHFHTn1Oyc083tlhyP7LKPmWpu00c7p6nnOL3ZHHH3nTraRfexVB&#10;ipiGL1g+xoz2aZ/Q2NIow8w1J3TWv/Q//ZW84D/fJevyoze/AQAA//8DAFBLAwQUAAYACAAAACEA&#10;h7bIPd4AAAAJAQAADwAAAGRycy9kb3ducmV2LnhtbEyPwU7DMBBE70j8g7VI3FqbhCY0ZFMhEFcQ&#10;hVbi5sbbJCJeR7HbhL/HnOC4mqeZt+Vmtr040+g7xwg3SwWCuHam4wbh4/15cQfCB81G944J4Zs8&#10;bKrLi1IXxk38RudtaEQsYV9ohDaEoZDS1y1Z7ZduII7Z0Y1Wh3iOjTSjnmK57WWiVCat7jgutHqg&#10;x5bqr+3JIuxejp/7W/XaPNnVMLlZSbZriXh9NT/cgwg0hz8YfvWjOlTR6eBObLzoERZZkkYUIc1X&#10;ICKQpNkaxAEhz3KQVSn/f1D9AAAA//8DAFBLAQItABQABgAIAAAAIQC2gziS/gAAAOEBAAATAAAA&#10;AAAAAAAAAAAAAAAAAABbQ29udGVudF9UeXBlc10ueG1sUEsBAi0AFAAGAAgAAAAhADj9If/WAAAA&#10;lAEAAAsAAAAAAAAAAAAAAAAALwEAAF9yZWxzLy5yZWxzUEsBAi0AFAAGAAgAAAAhAD/9/nmaAQAA&#10;GQMAAA4AAAAAAAAAAAAAAAAALgIAAGRycy9lMm9Eb2MueG1sUEsBAi0AFAAGAAgAAAAhAIe2yD3e&#10;AAAACQEAAA8AAAAAAAAAAAAAAAAA9AMAAGRycy9kb3ducmV2LnhtbFBLBQYAAAAABAAEAPMAAAD/&#10;BAAAAAA=&#10;" filled="f" stroked="f">
                <v:textbox>
                  <w:txbxContent>
                    <w:p w14:paraId="1D411540" w14:textId="559B8049" w:rsidR="00741BFF" w:rsidRPr="0002537E" w:rsidRDefault="00741BFF" w:rsidP="00696C97">
                      <w:pPr>
                        <w:rPr>
                          <w:sz w:val="18"/>
                          <w:szCs w:val="18"/>
                        </w:rPr>
                      </w:pPr>
                      <w:r w:rsidRPr="0002537E">
                        <w:rPr>
                          <w:rFonts w:cs="Arial"/>
                          <w:i/>
                          <w:iCs/>
                          <w:color w:val="000000" w:themeColor="text1"/>
                          <w:kern w:val="24"/>
                          <w:sz w:val="18"/>
                          <w:szCs w:val="18"/>
                          <w:u w:val="single"/>
                        </w:rPr>
                        <w:t xml:space="preserve">Données exprimées </w:t>
                      </w:r>
                      <w:r w:rsidR="00B373DA">
                        <w:rPr>
                          <w:rFonts w:cs="Arial"/>
                          <w:i/>
                          <w:iCs/>
                          <w:color w:val="000000" w:themeColor="text1"/>
                          <w:kern w:val="24"/>
                          <w:sz w:val="18"/>
                          <w:szCs w:val="18"/>
                          <w:u w:val="single"/>
                        </w:rPr>
                        <w:t>en k</w:t>
                      </w:r>
                      <w:r w:rsidRPr="0002537E">
                        <w:rPr>
                          <w:rFonts w:cs="Arial"/>
                          <w:i/>
                          <w:iCs/>
                          <w:color w:val="000000" w:themeColor="text1"/>
                          <w:kern w:val="24"/>
                          <w:sz w:val="18"/>
                          <w:szCs w:val="18"/>
                          <w:u w:val="single"/>
                        </w:rPr>
                        <w:t>T</w:t>
                      </w:r>
                    </w:p>
                    <w:p w14:paraId="64D8F2D8" w14:textId="77777777" w:rsidR="00741BFF" w:rsidRPr="0002537E" w:rsidRDefault="00741BFF" w:rsidP="00696C97">
                      <w:pPr>
                        <w:rPr>
                          <w:sz w:val="18"/>
                          <w:szCs w:val="18"/>
                        </w:rPr>
                      </w:pPr>
                      <w:r w:rsidRPr="0002537E">
                        <w:rPr>
                          <w:rFonts w:cs="Arial"/>
                          <w:color w:val="000000" w:themeColor="text1"/>
                          <w:kern w:val="24"/>
                          <w:sz w:val="18"/>
                          <w:szCs w:val="18"/>
                        </w:rPr>
                        <w:t xml:space="preserve"> </w:t>
                      </w:r>
                    </w:p>
                  </w:txbxContent>
                </v:textbox>
              </v:shape>
            </w:pict>
          </mc:Fallback>
        </mc:AlternateContent>
      </w:r>
    </w:p>
    <w:p w14:paraId="7FA12885" w14:textId="6B228D91" w:rsidR="008279D3" w:rsidRDefault="008279D3" w:rsidP="00E232E9">
      <w:pPr>
        <w:pStyle w:val="ValrieN1"/>
        <w:ind w:left="0"/>
      </w:pPr>
    </w:p>
    <w:p w14:paraId="5EB2BE22" w14:textId="202997AD" w:rsidR="008279D3" w:rsidRDefault="008279D3" w:rsidP="00E232E9">
      <w:pPr>
        <w:pStyle w:val="ValrieN1"/>
        <w:ind w:left="0"/>
      </w:pPr>
    </w:p>
    <w:p w14:paraId="31CB2BCE" w14:textId="64333D6A" w:rsidR="008279D3" w:rsidRDefault="00466892" w:rsidP="00E232E9">
      <w:pPr>
        <w:pStyle w:val="ValrieN1"/>
        <w:ind w:left="0"/>
      </w:pPr>
      <w:r>
        <w:rPr>
          <w:noProof/>
        </w:rPr>
        <mc:AlternateContent>
          <mc:Choice Requires="wps">
            <w:drawing>
              <wp:anchor distT="0" distB="0" distL="114300" distR="114300" simplePos="0" relativeHeight="251686969" behindDoc="0" locked="0" layoutInCell="1" allowOverlap="1" wp14:anchorId="022710A7" wp14:editId="37F5E684">
                <wp:simplePos x="0" y="0"/>
                <wp:positionH relativeFrom="column">
                  <wp:posOffset>4547042</wp:posOffset>
                </wp:positionH>
                <wp:positionV relativeFrom="paragraph">
                  <wp:posOffset>149860</wp:posOffset>
                </wp:positionV>
                <wp:extent cx="1248355" cy="850265"/>
                <wp:effectExtent l="0" t="0" r="28575" b="26035"/>
                <wp:wrapNone/>
                <wp:docPr id="301" name="Rectangle : coins arrondis 28"/>
                <wp:cNvGraphicFramePr/>
                <a:graphic xmlns:a="http://schemas.openxmlformats.org/drawingml/2006/main">
                  <a:graphicData uri="http://schemas.microsoft.com/office/word/2010/wordprocessingShape">
                    <wps:wsp>
                      <wps:cNvSpPr/>
                      <wps:spPr>
                        <a:xfrm>
                          <a:off x="0" y="0"/>
                          <a:ext cx="1248355" cy="85026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52361B0F"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Piéçage viande</w:t>
                            </w:r>
                          </w:p>
                          <w:p w14:paraId="00B8FFAC"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 xml:space="preserve">Et salage séchage, </w:t>
                            </w:r>
                          </w:p>
                          <w:p w14:paraId="54350834"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 xml:space="preserve">saumurage, fumage </w:t>
                            </w:r>
                          </w:p>
                          <w:p w14:paraId="11889EDE" w14:textId="775C2261" w:rsidR="00741BFF" w:rsidRPr="00D54EBD" w:rsidRDefault="00741BFF" w:rsidP="00696C97">
                            <w:pPr>
                              <w:jc w:val="center"/>
                              <w:rPr>
                                <w:sz w:val="18"/>
                                <w:szCs w:val="18"/>
                              </w:rPr>
                            </w:pPr>
                            <w:r w:rsidRPr="00D54EBD">
                              <w:rPr>
                                <w:rFonts w:cs="Arial"/>
                                <w:color w:val="FFFFFF" w:themeColor="light1"/>
                                <w:kern w:val="24"/>
                                <w:sz w:val="18"/>
                                <w:szCs w:val="18"/>
                              </w:rPr>
                              <w:t>Cuisson, moulage, maturation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022710A7" id="Rectangle : coins arrondis 28" o:spid="_x0000_s1064" style="position:absolute;left:0;text-align:left;margin-left:358.05pt;margin-top:11.8pt;width:98.3pt;height:66.95pt;z-index:2516869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tI9PAIAABUFAAAOAAAAZHJzL2Uyb0RvYy54bWysVEtu2zAQ3RfoHQjuG8ly7RqC5aBIkG76&#10;CZL0ADRFWgQojkrSlnybnqUn65CUlPSDBgi64Wc4783M45Dby6HV5CSsU2AqurjIKRGGQ63MoaJf&#10;H27ebChxnpmaaTCiomfh6OXu9att35WigAZ0LSxBEuPKvqto431XZpnjjWiZu4BOGDyUYFvmcWsP&#10;WW1Zj+ytzoo8X2c92LqzwIVzaL1Oh3QX+aUU3H+R0glPdEUxNx9HG8d9GLPdlpUHy7pG8TEN9oIs&#10;WqYMBp2prpln5GjVH1St4hYcSH/Boc1ASsVFrAGrWeS/VXPfsE7EWlAc180yuf9Hyz+fbi1RdUWX&#10;+YISw1q8pDuUjZmDFj++l4SDMo4wa8HUypFiEzTrO1ci9L67tePO4TIIMEjbhhlLI0PU+TzrLAZP&#10;OBoXxdvNcrWihOPZZpUX61UgzR7RnXX+g4CWhEVFLRxNHbKKGrPTR+eT/+QXIjrQqr5RWsdNaCBx&#10;pS05Mbx6PywiVB/bT1An23qV52MDoBnbJJmXkxnTiW0YWGJyvwTQ5iUx303krHwas5jM/4qJZyFo&#10;FrRPaseVP2sRUtHmTki8yaBvrHVOPtXFOBfGL0aho3eASRRsBi6fB47+ASri+5rBxfPgGREjg/Ez&#10;uFUG7N8I9JyyTP6TAqnuIIEf9kNq4fXUm3uoz9jXPT7sirpvR2YFJdbrK0j/ADO8AfwGuE9BDbw/&#10;epAqtlXgTARjLHx7sQHGfyI87qf76PX4m+1+AgAA//8DAFBLAwQUAAYACAAAACEAfSMnLN8AAAAK&#10;AQAADwAAAGRycy9kb3ducmV2LnhtbEyPQU+EMBCF7yb+h2ZMvLkFFHCRsllNTLypuAePXToLKJ0S&#10;2mXRX+940uPkfXnvm3Kz2EHMOPnekYJ4FYFAapzpqVWwe3u8ugXhgyajB0eo4As9bKrzs1IXxp3o&#10;Fec6tIJLyBdaQRfCWEjpmw6t9is3InF2cJPVgc+plWbSJy63g0yiKJNW98QLnR7xocPmsz5aBc3T&#10;ku2+39Pe9NuP6J6eX+abulXq8mLZ3oEIuIQ/GH71WR0qdtq7IxkvBgV5nMWMKkiuMxAMrOMkB7Fn&#10;Ms1TkFUp/79Q/QAAAP//AwBQSwECLQAUAAYACAAAACEAtoM4kv4AAADhAQAAEwAAAAAAAAAAAAAA&#10;AAAAAAAAW0NvbnRlbnRfVHlwZXNdLnhtbFBLAQItABQABgAIAAAAIQA4/SH/1gAAAJQBAAALAAAA&#10;AAAAAAAAAAAAAC8BAABfcmVscy8ucmVsc1BLAQItABQABgAIAAAAIQCEYtI9PAIAABUFAAAOAAAA&#10;AAAAAAAAAAAAAC4CAABkcnMvZTJvRG9jLnhtbFBLAQItABQABgAIAAAAIQB9Iycs3wAAAAoBAAAP&#10;AAAAAAAAAAAAAAAAAJYEAABkcnMvZG93bnJldi54bWxQSwUGAAAAAAQABADzAAAAogUAAAAA&#10;" fillcolor="#5a5a5a [2109]" strokecolor="#404040 [2429]" strokeweight=".5pt">
                <v:stroke joinstyle="miter"/>
                <v:textbox>
                  <w:txbxContent>
                    <w:p w14:paraId="52361B0F"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Piéçage viande</w:t>
                      </w:r>
                    </w:p>
                    <w:p w14:paraId="00B8FFAC"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 xml:space="preserve">Et salage séchage, </w:t>
                      </w:r>
                    </w:p>
                    <w:p w14:paraId="54350834" w14:textId="77777777" w:rsidR="00741BFF" w:rsidRPr="00D54EBD" w:rsidRDefault="00741BFF" w:rsidP="00713036">
                      <w:pPr>
                        <w:spacing w:after="0"/>
                        <w:jc w:val="center"/>
                        <w:rPr>
                          <w:rFonts w:cs="Arial"/>
                          <w:color w:val="FFFFFF" w:themeColor="light1"/>
                          <w:kern w:val="24"/>
                          <w:sz w:val="18"/>
                          <w:szCs w:val="18"/>
                        </w:rPr>
                      </w:pPr>
                      <w:r w:rsidRPr="00D54EBD">
                        <w:rPr>
                          <w:rFonts w:cs="Arial"/>
                          <w:color w:val="FFFFFF" w:themeColor="light1"/>
                          <w:kern w:val="24"/>
                          <w:sz w:val="18"/>
                          <w:szCs w:val="18"/>
                        </w:rPr>
                        <w:t xml:space="preserve">saumurage, fumage </w:t>
                      </w:r>
                    </w:p>
                    <w:p w14:paraId="11889EDE" w14:textId="775C2261" w:rsidR="00741BFF" w:rsidRPr="00D54EBD" w:rsidRDefault="00741BFF" w:rsidP="00696C97">
                      <w:pPr>
                        <w:jc w:val="center"/>
                        <w:rPr>
                          <w:sz w:val="18"/>
                          <w:szCs w:val="18"/>
                        </w:rPr>
                      </w:pPr>
                      <w:r w:rsidRPr="00D54EBD">
                        <w:rPr>
                          <w:rFonts w:cs="Arial"/>
                          <w:color w:val="FFFFFF" w:themeColor="light1"/>
                          <w:kern w:val="24"/>
                          <w:sz w:val="18"/>
                          <w:szCs w:val="18"/>
                        </w:rPr>
                        <w:t>Cuisson, moulage, maturation</w:t>
                      </w:r>
                    </w:p>
                  </w:txbxContent>
                </v:textbox>
              </v:roundrect>
            </w:pict>
          </mc:Fallback>
        </mc:AlternateContent>
      </w:r>
      <w:r w:rsidR="004A33D5">
        <w:rPr>
          <w:noProof/>
        </w:rPr>
        <mc:AlternateContent>
          <mc:Choice Requires="wps">
            <w:drawing>
              <wp:anchor distT="0" distB="0" distL="114300" distR="114300" simplePos="0" relativeHeight="251693113" behindDoc="0" locked="0" layoutInCell="1" allowOverlap="1" wp14:anchorId="17631CF4" wp14:editId="1754842B">
                <wp:simplePos x="0" y="0"/>
                <wp:positionH relativeFrom="margin">
                  <wp:posOffset>7039610</wp:posOffset>
                </wp:positionH>
                <wp:positionV relativeFrom="paragraph">
                  <wp:posOffset>100026</wp:posOffset>
                </wp:positionV>
                <wp:extent cx="1432560" cy="704850"/>
                <wp:effectExtent l="0" t="0" r="15240" b="19050"/>
                <wp:wrapNone/>
                <wp:docPr id="32" name="Rectangle : coins arrondis 9"/>
                <wp:cNvGraphicFramePr/>
                <a:graphic xmlns:a="http://schemas.openxmlformats.org/drawingml/2006/main">
                  <a:graphicData uri="http://schemas.microsoft.com/office/word/2010/wordprocessingShape">
                    <wps:wsp>
                      <wps:cNvSpPr/>
                      <wps:spPr>
                        <a:xfrm>
                          <a:off x="0" y="0"/>
                          <a:ext cx="1432560" cy="704850"/>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2719A0F8" w14:textId="6064FBA1" w:rsidR="00741BFF" w:rsidRPr="0002537E" w:rsidRDefault="00741BFF" w:rsidP="00696C97">
                            <w:pPr>
                              <w:jc w:val="center"/>
                              <w:rPr>
                                <w:sz w:val="20"/>
                                <w:szCs w:val="20"/>
                              </w:rPr>
                            </w:pPr>
                            <w:r w:rsidRPr="0002537E">
                              <w:rPr>
                                <w:rFonts w:cs="Arial"/>
                                <w:color w:val="FFFFFF" w:themeColor="light1"/>
                                <w:kern w:val="24"/>
                                <w:sz w:val="20"/>
                                <w:szCs w:val="20"/>
                              </w:rPr>
                              <w:t xml:space="preserve">Tranchage, Assemblage, Conditionnement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17631CF4" id="Rectangle : coins arrondis 9" o:spid="_x0000_s1065" style="position:absolute;left:0;text-align:left;margin-left:554.3pt;margin-top:7.9pt;width:112.8pt;height:55.5pt;z-index:25169311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oXoPQIAABMFAAAOAAAAZHJzL2Uyb0RvYy54bWysVEtu2zAQ3RfoHQjua8lybKeC5aBIkG76&#10;CZL2ADRFWgRIjkrSlnybnqUn65CylPSDBgi6ocThzHszb4bcXPVGk6NwXoGt6HyWUyIsh1rZfUW/&#10;frl9c0mJD8zWTIMVFT0JT6+2r19turYUBTSga+EIglhfdm1FmxDaMss8b4RhfgatsHgowRkWcOv2&#10;We1Yh+hGZ0Wer7IOXN064MJ7tN4Mh3Sb8KUUPHyW0otAdEUxt5BWl9ZdXLPthpV7x9pG8XMa7AVZ&#10;GKYskk5QNywwcnDqDyijuAMPMsw4mAykVFykGrCaef5bNQ8Na0WqBcXx7SST/3+w/NPxzhFVV3RR&#10;UGKZwR7do2rM7rX48b0kHJT1hDkHtlaevI2Kda0vMfChvXPnncffWH4vnYlfLIz0SeXTpLLoA+Fo&#10;nF8siuUKm8HxbJ1fXC5TG7LH6Nb58F6AIfGnog4Oto5JJYXZ8YMPSIv+o19k9KBVfau0Tps4PuJa&#10;O3Jk2PjQz1OoPpiPUA+21TLPz+1HMw7JYF6MZoRPQxhREtkvBNq+hHM9grPyKWcxmv/FiWeRNIva&#10;D2qnv3DSIqai7b2Q2Meob6p1Sn6oi3EubJjH7iUk9I5hEgWbAhfPB579Y6hIt2sKLp4PniISM9gw&#10;BRtlwf0NQE8py8F/VGCoO0oQ+l0/DPB6nM0d1Cec6g6vdUX9twNzghIX9DUMrwCzvAF8BHgYSC28&#10;OwSQKo1VxBwAzlx485Jo51ciXu2n++T1+JZtfwIAAP//AwBQSwMEFAAGAAgAAAAhAGYOWRzfAAAA&#10;DAEAAA8AAABkcnMvZG93bnJldi54bWxMj8FOwzAQRO9I/IO1SNyo3bSNohCnKkhI3IDQA0c3XpJA&#10;vI5iNw18PdsTvc1on2Zniu3sejHhGDpPGpYLBQKp9rajRsP+/ekuAxGiIWt6T6jhBwNsy+urwuTW&#10;n+gNpyo2gkMo5EZDG+OQSxnqFp0JCz8g8e3Tj85EtmMj7WhOHO56mSiVSmc64g+tGfCxxfq7OjoN&#10;9fOc7n8/Np3tdl/qgV5ep3XVaH17M+/uQUSc4z8M5/pcHUrudPBHskH07JcqS5llteENZ2K1Wicg&#10;DqySNANZFvJyRPkHAAD//wMAUEsBAi0AFAAGAAgAAAAhALaDOJL+AAAA4QEAABMAAAAAAAAAAAAA&#10;AAAAAAAAAFtDb250ZW50X1R5cGVzXS54bWxQSwECLQAUAAYACAAAACEAOP0h/9YAAACUAQAACwAA&#10;AAAAAAAAAAAAAAAvAQAAX3JlbHMvLnJlbHNQSwECLQAUAAYACAAAACEA9yKF6D0CAAATBQAADgAA&#10;AAAAAAAAAAAAAAAuAgAAZHJzL2Uyb0RvYy54bWxQSwECLQAUAAYACAAAACEAZg5ZHN8AAAAMAQAA&#10;DwAAAAAAAAAAAAAAAACXBAAAZHJzL2Rvd25yZXYueG1sUEsFBgAAAAAEAAQA8wAAAKMFAAAAAA==&#10;" fillcolor="#5a5a5a [2109]" strokecolor="#404040 [2429]" strokeweight=".5pt">
                <v:stroke joinstyle="miter"/>
                <v:textbox>
                  <w:txbxContent>
                    <w:p w14:paraId="2719A0F8" w14:textId="6064FBA1" w:rsidR="00741BFF" w:rsidRPr="0002537E" w:rsidRDefault="00741BFF" w:rsidP="00696C97">
                      <w:pPr>
                        <w:jc w:val="center"/>
                        <w:rPr>
                          <w:sz w:val="20"/>
                          <w:szCs w:val="20"/>
                        </w:rPr>
                      </w:pPr>
                      <w:r w:rsidRPr="0002537E">
                        <w:rPr>
                          <w:rFonts w:cs="Arial"/>
                          <w:color w:val="FFFFFF" w:themeColor="light1"/>
                          <w:kern w:val="24"/>
                          <w:sz w:val="20"/>
                          <w:szCs w:val="20"/>
                        </w:rPr>
                        <w:t xml:space="preserve">Tranchage, Assemblage, Conditionnement </w:t>
                      </w:r>
                    </w:p>
                  </w:txbxContent>
                </v:textbox>
                <w10:wrap anchorx="margin"/>
              </v:roundrect>
            </w:pict>
          </mc:Fallback>
        </mc:AlternateContent>
      </w:r>
    </w:p>
    <w:p w14:paraId="203560B5" w14:textId="1AF50C49" w:rsidR="008279D3" w:rsidRDefault="00466892" w:rsidP="00E232E9">
      <w:pPr>
        <w:pStyle w:val="ValrieN1"/>
        <w:ind w:left="0"/>
      </w:pPr>
      <w:r>
        <w:rPr>
          <w:noProof/>
        </w:rPr>
        <mc:AlternateContent>
          <mc:Choice Requires="wps">
            <w:drawing>
              <wp:anchor distT="0" distB="0" distL="114300" distR="114300" simplePos="0" relativeHeight="251679801" behindDoc="0" locked="0" layoutInCell="1" allowOverlap="1" wp14:anchorId="6E6CC84A" wp14:editId="7094203F">
                <wp:simplePos x="0" y="0"/>
                <wp:positionH relativeFrom="column">
                  <wp:posOffset>1031875</wp:posOffset>
                </wp:positionH>
                <wp:positionV relativeFrom="paragraph">
                  <wp:posOffset>47929</wp:posOffset>
                </wp:positionV>
                <wp:extent cx="715010" cy="238125"/>
                <wp:effectExtent l="0" t="0" r="0" b="0"/>
                <wp:wrapNone/>
                <wp:docPr id="294" name="ZoneTexte 21"/>
                <wp:cNvGraphicFramePr/>
                <a:graphic xmlns:a="http://schemas.openxmlformats.org/drawingml/2006/main">
                  <a:graphicData uri="http://schemas.microsoft.com/office/word/2010/wordprocessingShape">
                    <wps:wsp>
                      <wps:cNvSpPr txBox="1"/>
                      <wps:spPr>
                        <a:xfrm>
                          <a:off x="0" y="0"/>
                          <a:ext cx="715010" cy="238125"/>
                        </a:xfrm>
                        <a:prstGeom prst="rect">
                          <a:avLst/>
                        </a:prstGeom>
                        <a:noFill/>
                      </wps:spPr>
                      <wps:txbx>
                        <w:txbxContent>
                          <w:p w14:paraId="20DE9317" w14:textId="77777777" w:rsidR="00741BFF" w:rsidRPr="003906DF" w:rsidRDefault="00741BFF" w:rsidP="00696C97">
                            <w:pPr>
                              <w:rPr>
                                <w:sz w:val="18"/>
                                <w:szCs w:val="18"/>
                              </w:rPr>
                            </w:pPr>
                            <w:r w:rsidRPr="003906DF">
                              <w:rPr>
                                <w:rFonts w:cs="Arial"/>
                                <w:i/>
                                <w:iCs/>
                                <w:color w:val="000000" w:themeColor="text1"/>
                                <w:kern w:val="24"/>
                                <w:sz w:val="18"/>
                                <w:szCs w:val="18"/>
                              </w:rPr>
                              <w:t>Total 391</w:t>
                            </w:r>
                          </w:p>
                        </w:txbxContent>
                      </wps:txbx>
                      <wps:bodyPr wrap="none" rtlCol="0">
                        <a:noAutofit/>
                      </wps:bodyPr>
                    </wps:wsp>
                  </a:graphicData>
                </a:graphic>
                <wp14:sizeRelV relativeFrom="margin">
                  <wp14:pctHeight>0</wp14:pctHeight>
                </wp14:sizeRelV>
              </wp:anchor>
            </w:drawing>
          </mc:Choice>
          <mc:Fallback>
            <w:pict>
              <v:shape w14:anchorId="6E6CC84A" id="ZoneTexte 21" o:spid="_x0000_s1066" type="#_x0000_t202" style="position:absolute;left:0;text-align:left;margin-left:81.25pt;margin-top:3.75pt;width:56.3pt;height:18.75pt;z-index:25167980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VlDlgEAABcDAAAOAAAAZHJzL2Uyb0RvYy54bWysUk1PAyEQvZv4Hwh3u93Vat102/gRvRg1&#10;qV68URa6JAtDALvbf+/A9sPozXgZYGZ4vPeG2aLXLdkI5xWYiuajMSXCcKiVWVf0/e3hbEqJD8zU&#10;rAUjKroVni7mpyezzpaigAbaWjiCIMaXna1oE4Its8zzRmjmR2CFwaIEp1nAo1tntWMdous2K8bj&#10;y6wDV1sHXHiP2fuhSOcJX0rBw4uUXgTSVhS5hRRdiqsYs/mMlWvHbKP4jgb7AwvNlMFHD1D3LDDy&#10;6dQvKK24Aw8yjDjoDKRUXCQNqCYf/1CzbJgVSQua4+3BJv9/sPx58+qIqitaXF9QYpjGIX3gqN5E&#10;HwQp8uhQZ32JjUuLraG/hR4nvc97TEbhvXQ6riiJYB293h78RSjCMXmVT1AkJRxLxfk0LyYRJTte&#10;ts6HRwGaxE1FHY4vuco2Tz4MrfuW+JaBB9W2MR8ZDkziLvSrPmk6n+5prqDeIvsOJ11Rg/oocaG9&#10;g/QtBqybzwBSpWciyHBjh43uJ6K7nxLH+/2cuo7/ef4FAAD//wMAUEsDBBQABgAIAAAAIQAWs+FA&#10;4AAAAAgBAAAPAAAAZHJzL2Rvd25yZXYueG1sTI/BTsMwEETvSPyDtUhcEHViSItCnAqB4EJVROHA&#10;0YmXJBCvo9hNA1/PcoLTajSj2TfFena9mHAMnScN6SIBgVR721Gj4fXl/vwKRIiGrOk9oYYvDLAu&#10;j48Kk1t/oGecdrERXEIhNxraGIdcylC36ExY+AGJvXc/OhNZjo20ozlwueulSpKldKYj/tCaAW9b&#10;rD93e6fh+2nceKU2D2n1dtFN8e7sY/u41fr0ZL65BhFxjn9h+MVndCiZqfJ7skH0rJcq46iGFR/2&#10;1SpLQVQaLrMEZFnI/wPKHwAAAP//AwBQSwECLQAUAAYACAAAACEAtoM4kv4AAADhAQAAEwAAAAAA&#10;AAAAAAAAAAAAAAAAW0NvbnRlbnRfVHlwZXNdLnhtbFBLAQItABQABgAIAAAAIQA4/SH/1gAAAJQB&#10;AAALAAAAAAAAAAAAAAAAAC8BAABfcmVscy8ucmVsc1BLAQItABQABgAIAAAAIQDMPVlDlgEAABcD&#10;AAAOAAAAAAAAAAAAAAAAAC4CAABkcnMvZTJvRG9jLnhtbFBLAQItABQABgAIAAAAIQAWs+FA4AAA&#10;AAgBAAAPAAAAAAAAAAAAAAAAAPADAABkcnMvZG93bnJldi54bWxQSwUGAAAAAAQABADzAAAA/QQA&#10;AAAA&#10;" filled="f" stroked="f">
                <v:textbox>
                  <w:txbxContent>
                    <w:p w14:paraId="20DE9317" w14:textId="77777777" w:rsidR="00741BFF" w:rsidRPr="003906DF" w:rsidRDefault="00741BFF" w:rsidP="00696C97">
                      <w:pPr>
                        <w:rPr>
                          <w:sz w:val="18"/>
                          <w:szCs w:val="18"/>
                        </w:rPr>
                      </w:pPr>
                      <w:r w:rsidRPr="003906DF">
                        <w:rPr>
                          <w:rFonts w:cs="Arial"/>
                          <w:i/>
                          <w:iCs/>
                          <w:color w:val="000000" w:themeColor="text1"/>
                          <w:kern w:val="24"/>
                          <w:sz w:val="18"/>
                          <w:szCs w:val="18"/>
                        </w:rPr>
                        <w:t>Total 391</w:t>
                      </w:r>
                    </w:p>
                  </w:txbxContent>
                </v:textbox>
              </v:shape>
            </w:pict>
          </mc:Fallback>
        </mc:AlternateContent>
      </w:r>
      <w:r>
        <w:rPr>
          <w:noProof/>
        </w:rPr>
        <mc:AlternateContent>
          <mc:Choice Requires="wps">
            <w:drawing>
              <wp:anchor distT="0" distB="0" distL="114300" distR="114300" simplePos="0" relativeHeight="251681849" behindDoc="0" locked="0" layoutInCell="1" allowOverlap="1" wp14:anchorId="70CACE7C" wp14:editId="08C5BB69">
                <wp:simplePos x="0" y="0"/>
                <wp:positionH relativeFrom="column">
                  <wp:posOffset>3082925</wp:posOffset>
                </wp:positionH>
                <wp:positionV relativeFrom="paragraph">
                  <wp:posOffset>33351</wp:posOffset>
                </wp:positionV>
                <wp:extent cx="749935" cy="245745"/>
                <wp:effectExtent l="0" t="0" r="0" b="0"/>
                <wp:wrapNone/>
                <wp:docPr id="24" name="ZoneTexte 23">
                  <a:extLst xmlns:a="http://schemas.openxmlformats.org/drawingml/2006/main">
                    <a:ext uri="{FF2B5EF4-FFF2-40B4-BE49-F238E27FC236}">
                      <a16:creationId xmlns:a16="http://schemas.microsoft.com/office/drawing/2014/main" id="{7713CAB6-0D69-4512-9554-0FB4E7392A82}"/>
                    </a:ext>
                  </a:extLst>
                </wp:docPr>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0CBDD5FF" w14:textId="63BCFDE5" w:rsidR="00741BFF" w:rsidRPr="003906DF" w:rsidRDefault="00741BFF" w:rsidP="00696C97">
                            <w:pPr>
                              <w:rPr>
                                <w:sz w:val="18"/>
                                <w:szCs w:val="18"/>
                              </w:rPr>
                            </w:pPr>
                            <w:r w:rsidRPr="003906DF">
                              <w:rPr>
                                <w:rFonts w:cs="Arial"/>
                                <w:i/>
                                <w:iCs/>
                                <w:color w:val="000000" w:themeColor="text1"/>
                                <w:kern w:val="24"/>
                                <w:sz w:val="18"/>
                                <w:szCs w:val="18"/>
                              </w:rPr>
                              <w:t xml:space="preserve">Total </w:t>
                            </w:r>
                            <w:r>
                              <w:rPr>
                                <w:rFonts w:cs="Arial"/>
                                <w:i/>
                                <w:iCs/>
                                <w:color w:val="000000" w:themeColor="text1"/>
                                <w:kern w:val="24"/>
                                <w:sz w:val="18"/>
                                <w:szCs w:val="18"/>
                              </w:rPr>
                              <w:t>471</w:t>
                            </w:r>
                          </w:p>
                        </w:txbxContent>
                      </wps:txbx>
                      <wps:bodyPr wrap="none" rtlCol="0">
                        <a:noAutofit/>
                      </wps:bodyPr>
                    </wps:wsp>
                  </a:graphicData>
                </a:graphic>
              </wp:anchor>
            </w:drawing>
          </mc:Choice>
          <mc:Fallback>
            <w:pict>
              <v:shape w14:anchorId="70CACE7C" id="ZoneTexte 23" o:spid="_x0000_s1067" type="#_x0000_t202" style="position:absolute;left:0;text-align:left;margin-left:242.75pt;margin-top:2.65pt;width:59.05pt;height:19.35pt;z-index:251681849;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VPQlwEAABYDAAAOAAAAZHJzL2Uyb0RvYy54bWysUk1PAyEQvZv4Hwh3u+22Vbvp1viRejFq&#10;0nrxRlnokiwMAexu/70D21ajN+NlgJnh8d4b5jedbshOOK/AlHQ0GFIiDIdKmW1J39bLi2tKfGCm&#10;Yg0YUdK98PRmcX42b20hcqihqYQjCGJ80dqS1iHYIss8r4VmfgBWGCxKcJoFPLptVjnWIrpusnw4&#10;vMxacJV1wIX3mH3oi3SR8KUUPLxI6UUgTUmRW0jRpbiJMVvMWbF1zNaKH2iwP7DQTBl89AT1wAIj&#10;H079gtKKO/Agw4CDzkBKxUXSgGpGwx9qVjWzImlBc7w92eT/D5Y/714dUVVJ8wklhmmc0TtOai26&#10;IEg+jga11hfYt7LYGbo76HDQx7zHZNTdSafjiooI1tHq/clehCIck1eT2Ww8pYRjKZ9MrybTiJJ9&#10;XbbOh0cBmsRNSR1OL5nKdk8+9K3HlviWgaVqmpiPDHsmcRe6TZckjWdHmhuo9si+xUGX1KA+Slxo&#10;7iH9ih7r9iOAVOmZCNLfOGCj+Yno4aPE6X4/p66v77z4BAAA//8DAFBLAwQUAAYACAAAACEAu2xt&#10;DOAAAAAIAQAADwAAAGRycy9kb3ducmV2LnhtbEyPwU7DMBBE70j8g7VIXBC1mzRRFeJUCAQXqiIK&#10;B45OvCSB2I5sNw18fZcTHFdvNPO23MxmYBP60DsrYbkQwNA2Tve2lfD2+nC9BhaisloNzqKEbwyw&#10;qc7PSlVod7QvOO1jy6jEhkJJ6GIcC85D06FRYeFGtMQ+nDcq0ulbrr06UrkZeCJEzo3qLS10asS7&#10;Dpuv/cFI+Hn2W5ck28dl/Z72U7y/+tw97aS8vJhvb4BFnONfGH71SR0qcqrdwerABgmrdZZRVEKW&#10;AiOeizQHVhNYCeBVyf8/UJ0AAAD//wMAUEsBAi0AFAAGAAgAAAAhALaDOJL+AAAA4QEAABMAAAAA&#10;AAAAAAAAAAAAAAAAAFtDb250ZW50X1R5cGVzXS54bWxQSwECLQAUAAYACAAAACEAOP0h/9YAAACU&#10;AQAACwAAAAAAAAAAAAAAAAAvAQAAX3JlbHMvLnJlbHNQSwECLQAUAAYACAAAACEAmNFT0JcBAAAW&#10;AwAADgAAAAAAAAAAAAAAAAAuAgAAZHJzL2Uyb0RvYy54bWxQSwECLQAUAAYACAAAACEAu2xtDOAA&#10;AAAIAQAADwAAAAAAAAAAAAAAAADxAwAAZHJzL2Rvd25yZXYueG1sUEsFBgAAAAAEAAQA8wAAAP4E&#10;AAAAAA==&#10;" filled="f" stroked="f">
                <v:textbox>
                  <w:txbxContent>
                    <w:p w14:paraId="0CBDD5FF" w14:textId="63BCFDE5" w:rsidR="00741BFF" w:rsidRPr="003906DF" w:rsidRDefault="00741BFF" w:rsidP="00696C97">
                      <w:pPr>
                        <w:rPr>
                          <w:sz w:val="18"/>
                          <w:szCs w:val="18"/>
                        </w:rPr>
                      </w:pPr>
                      <w:r w:rsidRPr="003906DF">
                        <w:rPr>
                          <w:rFonts w:cs="Arial"/>
                          <w:i/>
                          <w:iCs/>
                          <w:color w:val="000000" w:themeColor="text1"/>
                          <w:kern w:val="24"/>
                          <w:sz w:val="18"/>
                          <w:szCs w:val="18"/>
                        </w:rPr>
                        <w:t xml:space="preserve">Total </w:t>
                      </w:r>
                      <w:r>
                        <w:rPr>
                          <w:rFonts w:cs="Arial"/>
                          <w:i/>
                          <w:iCs/>
                          <w:color w:val="000000" w:themeColor="text1"/>
                          <w:kern w:val="24"/>
                          <w:sz w:val="18"/>
                          <w:szCs w:val="18"/>
                        </w:rPr>
                        <w:t>471</w:t>
                      </w:r>
                    </w:p>
                  </w:txbxContent>
                </v:textbox>
              </v:shape>
            </w:pict>
          </mc:Fallback>
        </mc:AlternateContent>
      </w:r>
      <w:r>
        <w:rPr>
          <w:noProof/>
        </w:rPr>
        <mc:AlternateContent>
          <mc:Choice Requires="wps">
            <w:drawing>
              <wp:anchor distT="0" distB="0" distL="114300" distR="114300" simplePos="0" relativeHeight="251680825" behindDoc="0" locked="0" layoutInCell="1" allowOverlap="1" wp14:anchorId="4129024B" wp14:editId="0DC25680">
                <wp:simplePos x="0" y="0"/>
                <wp:positionH relativeFrom="column">
                  <wp:posOffset>3810966</wp:posOffset>
                </wp:positionH>
                <wp:positionV relativeFrom="paragraph">
                  <wp:posOffset>26035</wp:posOffset>
                </wp:positionV>
                <wp:extent cx="715010" cy="245745"/>
                <wp:effectExtent l="0" t="0" r="0" b="0"/>
                <wp:wrapNone/>
                <wp:docPr id="296" name="ZoneTexte 22"/>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23F037A1" w14:textId="283D11A6" w:rsidR="00741BFF" w:rsidRPr="003906DF" w:rsidRDefault="00741BFF" w:rsidP="00696C97">
                            <w:pPr>
                              <w:rPr>
                                <w:sz w:val="18"/>
                                <w:szCs w:val="18"/>
                              </w:rPr>
                            </w:pPr>
                            <w:r w:rsidRPr="003906DF">
                              <w:rPr>
                                <w:rFonts w:cs="Arial"/>
                                <w:i/>
                                <w:iCs/>
                                <w:color w:val="000000" w:themeColor="text1"/>
                                <w:kern w:val="24"/>
                                <w:sz w:val="18"/>
                                <w:szCs w:val="18"/>
                              </w:rPr>
                              <w:t xml:space="preserve">Total </w:t>
                            </w:r>
                            <w:r>
                              <w:rPr>
                                <w:rFonts w:cs="Arial"/>
                                <w:i/>
                                <w:iCs/>
                                <w:color w:val="000000" w:themeColor="text1"/>
                                <w:kern w:val="24"/>
                                <w:sz w:val="18"/>
                                <w:szCs w:val="18"/>
                              </w:rPr>
                              <w:t>295</w:t>
                            </w:r>
                          </w:p>
                        </w:txbxContent>
                      </wps:txbx>
                      <wps:bodyPr wrap="none" rtlCol="0">
                        <a:spAutoFit/>
                      </wps:bodyPr>
                    </wps:wsp>
                  </a:graphicData>
                </a:graphic>
              </wp:anchor>
            </w:drawing>
          </mc:Choice>
          <mc:Fallback>
            <w:pict>
              <v:shape w14:anchorId="4129024B" id="ZoneTexte 22" o:spid="_x0000_s1068" type="#_x0000_t202" style="position:absolute;left:0;text-align:left;margin-left:300.1pt;margin-top:2.05pt;width:56.3pt;height:19.35pt;z-index:25168082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ZRglQEAABcDAAAOAAAAZHJzL2Uyb0RvYy54bWysUktPAyEQvpv4Hwh3u+2m9bHp1viIXoya&#10;qBdvlIUuycIQBrvbf+9Aa2v0Zrywy8zw8T2YXw62Y2sV0ICr+WQ05kw5CY1xq5q/vd6dnHOGUbhG&#10;dOBUzTcK+eXi+Gje+0qV0ELXqMAIxGHV+5q3MfqqKFC2ygocgVeOmhqCFZG2YVU0QfSEbruiHI9P&#10;ix5C4wNIhUjV222TLzK+1krGJ61RRdbVnLjFvIa8LtNaLOaiWgXhWyN3NMQfWFhhHF26h7oVUbCP&#10;YH5BWSMDIOg4kmAL0NpIlTWQmsn4h5qXVniVtZA56Pc24f/Bysf1c2CmqXl5ccqZE5ZCeqeoXtUQ&#10;FSvL5FDvsaLBF0+jcbiGgZL+qiMVk/BBB5u+JIlRn7ze7P0lKCapeDaZkUjOJLXK6exsOksoxeGw&#10;DxjvFViWfmoeKL7sqlg/YNyOfo2kuxzcma5L9cRwyyT9xWE5ZE3THHAqLaHZEPuekq65I32chdjd&#10;QH4WCQv91UckvHzN4cQOm9zPRHcvJcX7fZ+nDu958QkAAP//AwBQSwMEFAAGAAgAAAAhAEIcs4Pb&#10;AAAACAEAAA8AAABkcnMvZG93bnJldi54bWxMj8FOwzAQRO9I/QdrK3GjdqJSSohTVS2cgcIHuPES&#10;h8TrKHbbwNeznOC0Gs1o9k25mXwvzjjGNpCGbKFAINXBttRoeH97ulmDiMmQNX0g1PCFETbV7Ko0&#10;hQ0XesXzITWCSygWRoNLaSikjLVDb+IiDEjsfYTRm8RybKQdzYXLfS9zpVbSm5b4gzMD7hzW3eHk&#10;NayVf+66+/wl+uV3dut2+/A4fGp9PZ+2DyASTukvDL/4jA4VMx3DiWwUvYaVUjlHNSwzEOzfZTlP&#10;ObLmK6tS/h9Q/QAAAP//AwBQSwECLQAUAAYACAAAACEAtoM4kv4AAADhAQAAEwAAAAAAAAAAAAAA&#10;AAAAAAAAW0NvbnRlbnRfVHlwZXNdLnhtbFBLAQItABQABgAIAAAAIQA4/SH/1gAAAJQBAAALAAAA&#10;AAAAAAAAAAAAAC8BAABfcmVscy8ucmVsc1BLAQItABQABgAIAAAAIQCeAZRglQEAABcDAAAOAAAA&#10;AAAAAAAAAAAAAC4CAABkcnMvZTJvRG9jLnhtbFBLAQItABQABgAIAAAAIQBCHLOD2wAAAAgBAAAP&#10;AAAAAAAAAAAAAAAAAO8DAABkcnMvZG93bnJldi54bWxQSwUGAAAAAAQABADzAAAA9wQAAAAA&#10;" filled="f" stroked="f">
                <v:textbox style="mso-fit-shape-to-text:t">
                  <w:txbxContent>
                    <w:p w14:paraId="23F037A1" w14:textId="283D11A6" w:rsidR="00741BFF" w:rsidRPr="003906DF" w:rsidRDefault="00741BFF" w:rsidP="00696C97">
                      <w:pPr>
                        <w:rPr>
                          <w:sz w:val="18"/>
                          <w:szCs w:val="18"/>
                        </w:rPr>
                      </w:pPr>
                      <w:r w:rsidRPr="003906DF">
                        <w:rPr>
                          <w:rFonts w:cs="Arial"/>
                          <w:i/>
                          <w:iCs/>
                          <w:color w:val="000000" w:themeColor="text1"/>
                          <w:kern w:val="24"/>
                          <w:sz w:val="18"/>
                          <w:szCs w:val="18"/>
                        </w:rPr>
                        <w:t xml:space="preserve">Total </w:t>
                      </w:r>
                      <w:r>
                        <w:rPr>
                          <w:rFonts w:cs="Arial"/>
                          <w:i/>
                          <w:iCs/>
                          <w:color w:val="000000" w:themeColor="text1"/>
                          <w:kern w:val="24"/>
                          <w:sz w:val="18"/>
                          <w:szCs w:val="18"/>
                        </w:rPr>
                        <w:t>295</w:t>
                      </w:r>
                    </w:p>
                  </w:txbxContent>
                </v:textbox>
              </v:shape>
            </w:pict>
          </mc:Fallback>
        </mc:AlternateContent>
      </w:r>
      <w:r>
        <w:rPr>
          <w:noProof/>
        </w:rPr>
        <mc:AlternateContent>
          <mc:Choice Requires="wps">
            <w:drawing>
              <wp:anchor distT="0" distB="0" distL="114300" distR="114300" simplePos="0" relativeHeight="251682873" behindDoc="0" locked="0" layoutInCell="1" allowOverlap="1" wp14:anchorId="1F86B8DE" wp14:editId="7A750FB0">
                <wp:simplePos x="0" y="0"/>
                <wp:positionH relativeFrom="column">
                  <wp:posOffset>5766131</wp:posOffset>
                </wp:positionH>
                <wp:positionV relativeFrom="paragraph">
                  <wp:posOffset>31115</wp:posOffset>
                </wp:positionV>
                <wp:extent cx="715010" cy="225425"/>
                <wp:effectExtent l="0" t="0" r="0" b="0"/>
                <wp:wrapNone/>
                <wp:docPr id="297" name="ZoneTexte 24"/>
                <wp:cNvGraphicFramePr/>
                <a:graphic xmlns:a="http://schemas.openxmlformats.org/drawingml/2006/main">
                  <a:graphicData uri="http://schemas.microsoft.com/office/word/2010/wordprocessingShape">
                    <wps:wsp>
                      <wps:cNvSpPr txBox="1"/>
                      <wps:spPr>
                        <a:xfrm>
                          <a:off x="0" y="0"/>
                          <a:ext cx="715010" cy="225425"/>
                        </a:xfrm>
                        <a:prstGeom prst="rect">
                          <a:avLst/>
                        </a:prstGeom>
                        <a:noFill/>
                      </wps:spPr>
                      <wps:txbx>
                        <w:txbxContent>
                          <w:p w14:paraId="1B6EA22B" w14:textId="6AB8EDD7" w:rsidR="00741BFF" w:rsidRPr="00466892" w:rsidRDefault="00741BFF" w:rsidP="00696C97">
                            <w:pPr>
                              <w:rPr>
                                <w:rFonts w:cs="Arial"/>
                                <w:i/>
                                <w:iCs/>
                                <w:color w:val="000000" w:themeColor="text1"/>
                                <w:kern w:val="24"/>
                                <w:sz w:val="18"/>
                                <w:szCs w:val="18"/>
                              </w:rPr>
                            </w:pPr>
                            <w:r w:rsidRPr="00466892">
                              <w:rPr>
                                <w:rFonts w:cs="Arial"/>
                                <w:i/>
                                <w:iCs/>
                                <w:color w:val="000000" w:themeColor="text1"/>
                                <w:kern w:val="24"/>
                                <w:sz w:val="18"/>
                                <w:szCs w:val="18"/>
                              </w:rPr>
                              <w:t>Total 356</w:t>
                            </w:r>
                          </w:p>
                        </w:txbxContent>
                      </wps:txbx>
                      <wps:bodyPr wrap="none" rtlCol="0">
                        <a:noAutofit/>
                      </wps:bodyPr>
                    </wps:wsp>
                  </a:graphicData>
                </a:graphic>
                <wp14:sizeRelV relativeFrom="margin">
                  <wp14:pctHeight>0</wp14:pctHeight>
                </wp14:sizeRelV>
              </wp:anchor>
            </w:drawing>
          </mc:Choice>
          <mc:Fallback>
            <w:pict>
              <v:shape w14:anchorId="1F86B8DE" id="ZoneTexte 24" o:spid="_x0000_s1069" type="#_x0000_t202" style="position:absolute;left:0;text-align:left;margin-left:454.05pt;margin-top:2.45pt;width:56.3pt;height:17.75pt;z-index:251682873;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gmhlQEAABcDAAAOAAAAZHJzL2Uyb0RvYy54bWysUk1PAyEQvZv4Hwh3u+2mtbrptlEbvRg1&#10;ab14oyx0SRaGAHa3/96B7YfRm/EywMzweO8Ns0WnG7ITziswJR0NhpQIw6FSZlvS9/Xj1Q0lPjBT&#10;sQaMKOleeLqYX17MWluIHGpoKuEIghhftLakdQi2yDLPa6GZH4AVBosSnGYBj26bVY61iK6bLB8O&#10;r7MWXGUdcOE9Zpd9kc4TvpSCh1cpvQikKSlyCym6FDcxZvMZK7aO2VrxAw32BxaaKYOPnqCWLDDy&#10;6dQvKK24Aw8yDDjoDKRUXCQNqGY0/KFmVTMrkhY0x9uTTf7/YPnL7s0RVZU0v51SYpjGIX3gqNai&#10;C4Lk4+hQa32BjSuLraG7hw4nfcx7TEbhnXQ6riiJYB293p/8RSjCMTkdTVAkJRxLeT4Z55OIkp0v&#10;W+fDkwBN4qakDseXXGW7Zx/61mNLfMvAo2qamI8MeyZxF7pNlzSNTzQ3UO2RfYuTLqlBfZS40DxA&#10;+hY91t1nAKnSMxGkv3HARvcT0cNPieP9fk5d5/88/wIAAP//AwBQSwMEFAAGAAgAAAAhAPi3Jkfh&#10;AAAACQEAAA8AAABkcnMvZG93bnJldi54bWxMj8FOwzAQRO+V+AdrkbggaidU0KZxKgSCC1URhQNH&#10;J94mgXgd2W4a+Pq6J3qcndHM23w1mo4N6HxrSUIyFcCQKqtbqiV8fjzfzIH5oEirzhJK+EUPq+Ji&#10;kqtM2wO947ANNYsl5DMloQmhzzj3VYNG+antkaK3s86oEKWruXbqEMtNx1Mh7rhRLcWFRvX42GD1&#10;s90bCX9vbm3TdP2SlF+37RCerr83rxspry7HhyWwgGP4D8MJP6JDEZlKuyftWSdhIeZJjEqYLYCd&#10;fJGKe2BlPIgZ8CLn5x8URwAAAP//AwBQSwECLQAUAAYACAAAACEAtoM4kv4AAADhAQAAEwAAAAAA&#10;AAAAAAAAAAAAAAAAW0NvbnRlbnRfVHlwZXNdLnhtbFBLAQItABQABgAIAAAAIQA4/SH/1gAAAJQB&#10;AAALAAAAAAAAAAAAAAAAAC8BAABfcmVscy8ucmVsc1BLAQItABQABgAIAAAAIQDNagmhlQEAABcD&#10;AAAOAAAAAAAAAAAAAAAAAC4CAABkcnMvZTJvRG9jLnhtbFBLAQItABQABgAIAAAAIQD4tyZH4QAA&#10;AAkBAAAPAAAAAAAAAAAAAAAAAO8DAABkcnMvZG93bnJldi54bWxQSwUGAAAAAAQABADzAAAA/QQA&#10;AAAA&#10;" filled="f" stroked="f">
                <v:textbox>
                  <w:txbxContent>
                    <w:p w14:paraId="1B6EA22B" w14:textId="6AB8EDD7" w:rsidR="00741BFF" w:rsidRPr="00466892" w:rsidRDefault="00741BFF" w:rsidP="00696C97">
                      <w:pPr>
                        <w:rPr>
                          <w:rFonts w:cs="Arial"/>
                          <w:i/>
                          <w:iCs/>
                          <w:color w:val="000000" w:themeColor="text1"/>
                          <w:kern w:val="24"/>
                          <w:sz w:val="18"/>
                          <w:szCs w:val="18"/>
                        </w:rPr>
                      </w:pPr>
                      <w:r w:rsidRPr="00466892">
                        <w:rPr>
                          <w:rFonts w:cs="Arial"/>
                          <w:i/>
                          <w:iCs/>
                          <w:color w:val="000000" w:themeColor="text1"/>
                          <w:kern w:val="24"/>
                          <w:sz w:val="18"/>
                          <w:szCs w:val="18"/>
                        </w:rPr>
                        <w:t>Total 356</w:t>
                      </w:r>
                    </w:p>
                  </w:txbxContent>
                </v:textbox>
              </v:shape>
            </w:pict>
          </mc:Fallback>
        </mc:AlternateContent>
      </w:r>
      <w:r>
        <w:rPr>
          <w:noProof/>
        </w:rPr>
        <mc:AlternateContent>
          <mc:Choice Requires="wps">
            <w:drawing>
              <wp:anchor distT="0" distB="0" distL="114300" distR="114300" simplePos="0" relativeHeight="251897913" behindDoc="0" locked="0" layoutInCell="1" allowOverlap="1" wp14:anchorId="2CBF5C5C" wp14:editId="7C1C792A">
                <wp:simplePos x="0" y="0"/>
                <wp:positionH relativeFrom="column">
                  <wp:posOffset>6401241</wp:posOffset>
                </wp:positionH>
                <wp:positionV relativeFrom="paragraph">
                  <wp:posOffset>28382</wp:posOffset>
                </wp:positionV>
                <wp:extent cx="715010" cy="225425"/>
                <wp:effectExtent l="0" t="0" r="0" b="0"/>
                <wp:wrapNone/>
                <wp:docPr id="71" name="ZoneTexte 24"/>
                <wp:cNvGraphicFramePr/>
                <a:graphic xmlns:a="http://schemas.openxmlformats.org/drawingml/2006/main">
                  <a:graphicData uri="http://schemas.microsoft.com/office/word/2010/wordprocessingShape">
                    <wps:wsp>
                      <wps:cNvSpPr txBox="1"/>
                      <wps:spPr>
                        <a:xfrm>
                          <a:off x="0" y="0"/>
                          <a:ext cx="715010" cy="225425"/>
                        </a:xfrm>
                        <a:prstGeom prst="rect">
                          <a:avLst/>
                        </a:prstGeom>
                        <a:noFill/>
                      </wps:spPr>
                      <wps:txbx>
                        <w:txbxContent>
                          <w:p w14:paraId="11E375ED" w14:textId="66F48225" w:rsidR="00741BFF" w:rsidRPr="00466892" w:rsidRDefault="00741BFF" w:rsidP="00466892">
                            <w:pPr>
                              <w:rPr>
                                <w:rFonts w:cs="Arial"/>
                                <w:i/>
                                <w:iCs/>
                                <w:color w:val="000000" w:themeColor="text1"/>
                                <w:kern w:val="24"/>
                                <w:sz w:val="18"/>
                                <w:szCs w:val="18"/>
                              </w:rPr>
                            </w:pPr>
                            <w:r w:rsidRPr="00466892">
                              <w:rPr>
                                <w:rFonts w:cs="Arial"/>
                                <w:i/>
                                <w:iCs/>
                                <w:color w:val="000000" w:themeColor="text1"/>
                                <w:kern w:val="24"/>
                                <w:sz w:val="18"/>
                                <w:szCs w:val="18"/>
                              </w:rPr>
                              <w:t xml:space="preserve">Total </w:t>
                            </w:r>
                            <w:r>
                              <w:rPr>
                                <w:rFonts w:cs="Arial"/>
                                <w:i/>
                                <w:iCs/>
                                <w:color w:val="000000" w:themeColor="text1"/>
                                <w:kern w:val="24"/>
                                <w:sz w:val="18"/>
                                <w:szCs w:val="18"/>
                              </w:rPr>
                              <w:t>425</w:t>
                            </w:r>
                          </w:p>
                        </w:txbxContent>
                      </wps:txbx>
                      <wps:bodyPr wrap="none" rtlCol="0">
                        <a:noAutofit/>
                      </wps:bodyPr>
                    </wps:wsp>
                  </a:graphicData>
                </a:graphic>
                <wp14:sizeRelV relativeFrom="margin">
                  <wp14:pctHeight>0</wp14:pctHeight>
                </wp14:sizeRelV>
              </wp:anchor>
            </w:drawing>
          </mc:Choice>
          <mc:Fallback>
            <w:pict>
              <v:shape w14:anchorId="2CBF5C5C" id="_x0000_s1070" type="#_x0000_t202" style="position:absolute;left:0;text-align:left;margin-left:504.05pt;margin-top:2.25pt;width:56.3pt;height:17.75pt;z-index:251897913;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IxMlQEAABYDAAAOAAAAZHJzL2Uyb0RvYy54bWysUk1PAyEQvZv4Hwh3u+2mtWbTbaM29WLU&#10;xHrxRlnokiwMAdrd/nsHth9Gb8bLADPD4703zBadbsheOK/AlHQ0GFIiDIdKmW1JP9armztKfGCm&#10;Yg0YUdKD8HQxv76atbYQOdTQVMIRBDG+aG1J6xBskWWe10IzPwArDBYlOM0CHt02qxxrEV03WT4c&#10;3mYtuMo64MJ7zC77Ip0nfCkFD69SehFIU1LkFlJ0KW5izOYzVmwds7XiRxrsDyw0UwYfPUMtWWBk&#10;59QvKK24Aw8yDDjoDKRUXCQNqGY0/KHmvWZWJC1ojrdnm/z/wfKX/ZsjqirpdESJYRpn9ImTWosu&#10;CJKPo0Gt9QX2vVvsDN0DdDjoU95jMurupNNxRUUE62j14WwvQhGOyeloghop4VjK88k4n0SU7HLZ&#10;Oh+eBGgSNyV1OL1kKts/+9C3nlriWwZWqmliPjLsmcRd6DZdkjTOTzQ3UB2QfYuDLqlBfZS40DxC&#10;+hU91v0ugFTpmQjS3zhio/mJ6PGjxOl+P6euy3eefwEAAP//AwBQSwMEFAAGAAgAAAAhABpPWl7g&#10;AAAACgEAAA8AAABkcnMvZG93bnJldi54bWxMj01PwzAMhu9I/IfISFzQlrR8TaXphEBwYRpi48Ax&#10;bUxbaJyqybrCr593guNrP3r9OF9OrhMjDqH1pCGZKxBIlbct1Rret0+zBYgQDVnTeUINPxhgWZye&#10;5Cazfk9vOG5iLbiEQmY0NDH2mZShatCZMPc9Eu8+/eBM5DjU0g5mz+Wuk6lSN9KZlvhCY3p8aLD6&#10;3uycht/XYeXTdPWclB+X7RgfL77WL2utz8+m+zsQEaf4B8NRn9WhYKfS78gG0XFWapEwq+HqGsQR&#10;SFJ1C6LkgVIgi1z+f6E4AAAA//8DAFBLAQItABQABgAIAAAAIQC2gziS/gAAAOEBAAATAAAAAAAA&#10;AAAAAAAAAAAAAABbQ29udGVudF9UeXBlc10ueG1sUEsBAi0AFAAGAAgAAAAhADj9If/WAAAAlAEA&#10;AAsAAAAAAAAAAAAAAAAALwEAAF9yZWxzLy5yZWxzUEsBAi0AFAAGAAgAAAAhABPIjEyVAQAAFgMA&#10;AA4AAAAAAAAAAAAAAAAALgIAAGRycy9lMm9Eb2MueG1sUEsBAi0AFAAGAAgAAAAhABpPWl7gAAAA&#10;CgEAAA8AAAAAAAAAAAAAAAAA7wMAAGRycy9kb3ducmV2LnhtbFBLBQYAAAAABAAEAPMAAAD8BAAA&#10;AAA=&#10;" filled="f" stroked="f">
                <v:textbox>
                  <w:txbxContent>
                    <w:p w14:paraId="11E375ED" w14:textId="66F48225" w:rsidR="00741BFF" w:rsidRPr="00466892" w:rsidRDefault="00741BFF" w:rsidP="00466892">
                      <w:pPr>
                        <w:rPr>
                          <w:rFonts w:cs="Arial"/>
                          <w:i/>
                          <w:iCs/>
                          <w:color w:val="000000" w:themeColor="text1"/>
                          <w:kern w:val="24"/>
                          <w:sz w:val="18"/>
                          <w:szCs w:val="18"/>
                        </w:rPr>
                      </w:pPr>
                      <w:r w:rsidRPr="00466892">
                        <w:rPr>
                          <w:rFonts w:cs="Arial"/>
                          <w:i/>
                          <w:iCs/>
                          <w:color w:val="000000" w:themeColor="text1"/>
                          <w:kern w:val="24"/>
                          <w:sz w:val="18"/>
                          <w:szCs w:val="18"/>
                        </w:rPr>
                        <w:t xml:space="preserve">Total </w:t>
                      </w:r>
                      <w:r>
                        <w:rPr>
                          <w:rFonts w:cs="Arial"/>
                          <w:i/>
                          <w:iCs/>
                          <w:color w:val="000000" w:themeColor="text1"/>
                          <w:kern w:val="24"/>
                          <w:sz w:val="18"/>
                          <w:szCs w:val="18"/>
                        </w:rPr>
                        <w:t>425</w:t>
                      </w:r>
                    </w:p>
                  </w:txbxContent>
                </v:textbox>
              </v:shape>
            </w:pict>
          </mc:Fallback>
        </mc:AlternateContent>
      </w:r>
      <w:r>
        <w:rPr>
          <w:noProof/>
        </w:rPr>
        <mc:AlternateContent>
          <mc:Choice Requires="wps">
            <w:drawing>
              <wp:anchor distT="0" distB="0" distL="114300" distR="114300" simplePos="0" relativeHeight="251683897" behindDoc="0" locked="0" layoutInCell="1" allowOverlap="1" wp14:anchorId="4C8C494A" wp14:editId="45E50637">
                <wp:simplePos x="0" y="0"/>
                <wp:positionH relativeFrom="column">
                  <wp:posOffset>8475980</wp:posOffset>
                </wp:positionH>
                <wp:positionV relativeFrom="paragraph">
                  <wp:posOffset>18525</wp:posOffset>
                </wp:positionV>
                <wp:extent cx="749935" cy="245745"/>
                <wp:effectExtent l="0" t="0" r="0" b="0"/>
                <wp:wrapNone/>
                <wp:docPr id="298" name="ZoneTexte 25"/>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621EE408" w14:textId="54F55621" w:rsidR="00741BFF" w:rsidRPr="00466892" w:rsidRDefault="00741BFF" w:rsidP="00696C97">
                            <w:pPr>
                              <w:rPr>
                                <w:rFonts w:cs="Arial"/>
                                <w:i/>
                                <w:iCs/>
                                <w:color w:val="000000" w:themeColor="text1"/>
                                <w:kern w:val="24"/>
                                <w:sz w:val="18"/>
                                <w:szCs w:val="18"/>
                              </w:rPr>
                            </w:pPr>
                            <w:r w:rsidRPr="00466892">
                              <w:rPr>
                                <w:rFonts w:cs="Arial"/>
                                <w:i/>
                                <w:iCs/>
                                <w:color w:val="000000" w:themeColor="text1"/>
                                <w:kern w:val="24"/>
                                <w:sz w:val="18"/>
                                <w:szCs w:val="18"/>
                              </w:rPr>
                              <w:t xml:space="preserve">Total 423 </w:t>
                            </w:r>
                          </w:p>
                        </w:txbxContent>
                      </wps:txbx>
                      <wps:bodyPr wrap="none" rtlCol="0">
                        <a:spAutoFit/>
                      </wps:bodyPr>
                    </wps:wsp>
                  </a:graphicData>
                </a:graphic>
              </wp:anchor>
            </w:drawing>
          </mc:Choice>
          <mc:Fallback>
            <w:pict>
              <v:shape w14:anchorId="4C8C494A" id="ZoneTexte 25" o:spid="_x0000_s1071" type="#_x0000_t202" style="position:absolute;left:0;text-align:left;margin-left:667.4pt;margin-top:1.45pt;width:59.05pt;height:19.35pt;z-index:25168389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QPQnAEAABcDAAAOAAAAZHJzL2Uyb0RvYy54bWysUstu2zAQvBfoPxC813Jku6kFS0GbwLkU&#10;bQA7l95oirQIiFyCy1jy33dJv4r2VuTCx+5ydmaHq4fR9uygAhpwNb+bTDlTTkJr3L7mr9v1py+c&#10;YRSuFT04VfOjQv7QfPywGnylSuigb1VgBOKwGnzNuxh9VRQoO2UFTsArR0kNwYpI17Av2iAGQrd9&#10;UU6nn4sBQusDSIVI0adTkjcZX2sl40+tUUXW15y4xbyGvO7SWjQrUe2D8J2RZxriP1hYYRw1vUI9&#10;iSjYWzD/QFkjAyDoOJFgC9DaSJU1kJq76V9qNp3wKmuh4aC/jgnfD1b+OLwEZtqal0uyyglLJv0i&#10;q7ZqjIqVizShwWNFhRtPpXH8BiM5fYkjBZPwUQebdpLEKE+zPl7nS1BMUvB+vlzOFpxJSpXzxf08&#10;oxe3xz5gfFZgWTrUPJB9eari8B0jEaHSS0nq5WBt+j7FE8MTk3SK427MmuazC80dtEdiP5DTNXek&#10;j7MQ+0fI3yJhof/6Fgkvt0kgpxdnbJp+7n7+KcneP++56vafm98AAAD//wMAUEsDBBQABgAIAAAA&#10;IQCxl7MY3QAAAAoBAAAPAAAAZHJzL2Rvd25yZXYueG1sTI/BTsMwEETvSPyDtUjcqJM0rdqQTYUK&#10;nIHCB7jxEofE6yh228DX45zgNqMZzb4td5PtxZlG3zpGSBcJCOLa6ZYbhI/357sNCB8Ua9U7JoRv&#10;8rCrrq9KVWh34Tc6H0Ij4gj7QiGYEIZCSl8bssov3EAcs083WhWiHRupR3WJ47aXWZKspVUtxwtG&#10;DbQ3VHeHk0XYJPal67bZq7f5T7oy+0f3NHwh3t5MD/cgAk3hrwwzfkSHKjId3Ym1F330y2Ue2QNC&#10;tgUxF/LVrI4IeboGWZXy/wvVLwAAAP//AwBQSwECLQAUAAYACAAAACEAtoM4kv4AAADhAQAAEwAA&#10;AAAAAAAAAAAAAAAAAAAAW0NvbnRlbnRfVHlwZXNdLnhtbFBLAQItABQABgAIAAAAIQA4/SH/1gAA&#10;AJQBAAALAAAAAAAAAAAAAAAAAC8BAABfcmVscy8ucmVsc1BLAQItABQABgAIAAAAIQBymQPQnAEA&#10;ABcDAAAOAAAAAAAAAAAAAAAAAC4CAABkcnMvZTJvRG9jLnhtbFBLAQItABQABgAIAAAAIQCxl7MY&#10;3QAAAAoBAAAPAAAAAAAAAAAAAAAAAPYDAABkcnMvZG93bnJldi54bWxQSwUGAAAAAAQABADzAAAA&#10;AAUAAAAA&#10;" filled="f" stroked="f">
                <v:textbox style="mso-fit-shape-to-text:t">
                  <w:txbxContent>
                    <w:p w14:paraId="621EE408" w14:textId="54F55621" w:rsidR="00741BFF" w:rsidRPr="00466892" w:rsidRDefault="00741BFF" w:rsidP="00696C97">
                      <w:pPr>
                        <w:rPr>
                          <w:rFonts w:cs="Arial"/>
                          <w:i/>
                          <w:iCs/>
                          <w:color w:val="000000" w:themeColor="text1"/>
                          <w:kern w:val="24"/>
                          <w:sz w:val="18"/>
                          <w:szCs w:val="18"/>
                        </w:rPr>
                      </w:pPr>
                      <w:r w:rsidRPr="00466892">
                        <w:rPr>
                          <w:rFonts w:cs="Arial"/>
                          <w:i/>
                          <w:iCs/>
                          <w:color w:val="000000" w:themeColor="text1"/>
                          <w:kern w:val="24"/>
                          <w:sz w:val="18"/>
                          <w:szCs w:val="18"/>
                        </w:rPr>
                        <w:t xml:space="preserve">Total 423 </w:t>
                      </w:r>
                    </w:p>
                  </w:txbxContent>
                </v:textbox>
              </v:shape>
            </w:pict>
          </mc:Fallback>
        </mc:AlternateContent>
      </w:r>
      <w:r w:rsidR="00D54EBD">
        <w:rPr>
          <w:noProof/>
        </w:rPr>
        <mc:AlternateContent>
          <mc:Choice Requires="wps">
            <w:drawing>
              <wp:anchor distT="0" distB="0" distL="114300" distR="114300" simplePos="0" relativeHeight="251675705" behindDoc="0" locked="0" layoutInCell="1" allowOverlap="1" wp14:anchorId="4CE7BC54" wp14:editId="5573C220">
                <wp:simplePos x="0" y="0"/>
                <wp:positionH relativeFrom="column">
                  <wp:posOffset>1732280</wp:posOffset>
                </wp:positionH>
                <wp:positionV relativeFrom="paragraph">
                  <wp:posOffset>23937</wp:posOffset>
                </wp:positionV>
                <wp:extent cx="1368425" cy="492981"/>
                <wp:effectExtent l="0" t="0" r="22225" b="21590"/>
                <wp:wrapNone/>
                <wp:docPr id="40" name="Rectangle : coins arrondis 13"/>
                <wp:cNvGraphicFramePr/>
                <a:graphic xmlns:a="http://schemas.openxmlformats.org/drawingml/2006/main">
                  <a:graphicData uri="http://schemas.microsoft.com/office/word/2010/wordprocessingShape">
                    <wps:wsp>
                      <wps:cNvSpPr/>
                      <wps:spPr>
                        <a:xfrm>
                          <a:off x="0" y="0"/>
                          <a:ext cx="1368425" cy="492981"/>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18153F87" w14:textId="0F2A33B2" w:rsidR="00741BFF" w:rsidRPr="00D54EBD" w:rsidRDefault="00741BFF" w:rsidP="00696C97">
                            <w:pPr>
                              <w:jc w:val="center"/>
                              <w:rPr>
                                <w:sz w:val="18"/>
                                <w:szCs w:val="18"/>
                              </w:rPr>
                            </w:pPr>
                            <w:r w:rsidRPr="00D54EBD">
                              <w:rPr>
                                <w:rFonts w:cs="Arial"/>
                                <w:color w:val="FFFFFF" w:themeColor="light1"/>
                                <w:kern w:val="24"/>
                                <w:sz w:val="18"/>
                                <w:szCs w:val="18"/>
                              </w:rPr>
                              <w:t xml:space="preserve">Découpe, </w:t>
                            </w:r>
                            <w:r>
                              <w:rPr>
                                <w:rFonts w:cs="Arial"/>
                                <w:color w:val="FFFFFF" w:themeColor="light1"/>
                                <w:kern w:val="24"/>
                                <w:sz w:val="18"/>
                                <w:szCs w:val="18"/>
                              </w:rPr>
                              <w:t>d</w:t>
                            </w:r>
                            <w:r w:rsidRPr="00D54EBD">
                              <w:rPr>
                                <w:rFonts w:cs="Arial"/>
                                <w:color w:val="FFFFFF" w:themeColor="light1"/>
                                <w:kern w:val="24"/>
                                <w:sz w:val="18"/>
                                <w:szCs w:val="18"/>
                              </w:rPr>
                              <w:t xml:space="preserve">ésossage, </w:t>
                            </w:r>
                            <w:r>
                              <w:rPr>
                                <w:rFonts w:cs="Arial"/>
                                <w:color w:val="FFFFFF" w:themeColor="light1"/>
                                <w:kern w:val="24"/>
                                <w:sz w:val="18"/>
                                <w:szCs w:val="18"/>
                              </w:rPr>
                              <w:t>d</w:t>
                            </w:r>
                            <w:r w:rsidRPr="00D54EBD">
                              <w:rPr>
                                <w:rFonts w:cs="Arial"/>
                                <w:color w:val="FFFFFF" w:themeColor="light1"/>
                                <w:kern w:val="24"/>
                                <w:sz w:val="18"/>
                                <w:szCs w:val="18"/>
                              </w:rPr>
                              <w:t xml:space="preserve">écouennage </w:t>
                            </w:r>
                          </w:p>
                        </w:txbxContent>
                      </wps:txbx>
                      <wps:bodyPr rtlCol="0" anchor="ctr">
                        <a:noAutofit/>
                      </wps:bodyPr>
                    </wps:wsp>
                  </a:graphicData>
                </a:graphic>
                <wp14:sizeRelV relativeFrom="margin">
                  <wp14:pctHeight>0</wp14:pctHeight>
                </wp14:sizeRelV>
              </wp:anchor>
            </w:drawing>
          </mc:Choice>
          <mc:Fallback>
            <w:pict>
              <v:roundrect w14:anchorId="4CE7BC54" id="Rectangle : coins arrondis 13" o:spid="_x0000_s1072" style="position:absolute;left:0;text-align:left;margin-left:136.4pt;margin-top:1.9pt;width:107.75pt;height:38.8pt;z-index:25167570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vZgMQIAAAYFAAAOAAAAZHJzL2Uyb0RvYy54bWysVF1u2zAMfh+wOwh+X+w4aZYacYqhRfey&#10;n6LdDqDIUixAEg1JSZzb7Cw72SjJdtttWIFiL7JE8ftIfiK9ueq1IkdunQRTZ/NZkRFuGDTS7Ovs&#10;+7fbd+uMOE9NQxUYXmdn7rKr7ds3m1NX8RJaUA23BEmMq05dnbXed1WeO9ZyTd0MOm7wUoDV1OPR&#10;7vPG0hOya5WXRbHKT2CbzgLjzqH1Jl1m28gvBGf+qxCOe6LqDHPzcbVx3YU1325otbe0ayUb0qCv&#10;yEJTaTDoRHVDPSUHK/+g0pJZcCD8jIHOQQjJeKwBq5kXv1Xz0NKOx1pQHNdNMrn/R8u+HO8skU2d&#10;LVEeQzW+0T2qRs1e8Z8/KsJAGkeotWAa6ch8ESQ7da5C5EN3Z4eTw22ovxdWhy9WRvoo83mSmfee&#10;MDTOF6v1srzICMO75WV5uZ4H0vwR3VnnP3LQJGzqzMLBNCGrKDE9fnI++Y9+IaIDJZtbqVQ8hP7h&#10;18qSI8WX9/08QtVBf4Ym2VYXRTG8P5qxS5J5MZoxndiFgSUm9yyAMq+J+X4kp9XTmOVo/ldMvAtB&#10;86B9Ujvu/FnxkIoy91zgQwZ9Y61T8qkuyhg3fhQ6egeYQMEm4OJl4OAfoDyO1wQuXwZPiBgZjJ/A&#10;WhqwfyNQU8oi+Y8KpLqDBL7f9amDl2Nv7qA5Y1tbr64hDT41rAWce+ZTGAMfDh6EjI0UWBJkYMdh&#10;i08+/BjCND89R6/H39f2FwAAAP//AwBQSwMEFAAGAAgAAAAhAJxJ6E3fAAAACAEAAA8AAABkcnMv&#10;ZG93bnJldi54bWxMj8FOwzAQRO9I/IO1SNyo0zSUKMSpChISt0LogaMbL4khXkexmwa+vssJTqvR&#10;jGbelpvZ9WLCMVhPCpaLBARS442lVsH+7ekmBxGiJqN7T6jgGwNsqsuLUhfGn+gVpzq2gksoFFpB&#10;F+NQSBmaDp0OCz8gsffhR6cjy7GVZtQnLne9TJNkLZ22xAudHvCxw+arPjoFzfO83v+831pjt5/J&#10;A+1epqxulbq+mrf3ICLO8S8Mv/iMDhUzHfyRTBC9gvQuZfSoYMWH/SzPVyAOCvJlBrIq5f8HqjMA&#10;AAD//wMAUEsBAi0AFAAGAAgAAAAhALaDOJL+AAAA4QEAABMAAAAAAAAAAAAAAAAAAAAAAFtDb250&#10;ZW50X1R5cGVzXS54bWxQSwECLQAUAAYACAAAACEAOP0h/9YAAACUAQAACwAAAAAAAAAAAAAAAAAv&#10;AQAAX3JlbHMvLnJlbHNQSwECLQAUAAYACAAAACEA6I72YDECAAAGBQAADgAAAAAAAAAAAAAAAAAu&#10;AgAAZHJzL2Uyb0RvYy54bWxQSwECLQAUAAYACAAAACEAnEnoTd8AAAAIAQAADwAAAAAAAAAAAAAA&#10;AACLBAAAZHJzL2Rvd25yZXYueG1sUEsFBgAAAAAEAAQA8wAAAJcFAAAAAA==&#10;" fillcolor="#5a5a5a [2109]" strokecolor="#404040 [2429]" strokeweight=".5pt">
                <v:stroke joinstyle="miter"/>
                <v:textbox>
                  <w:txbxContent>
                    <w:p w14:paraId="18153F87" w14:textId="0F2A33B2" w:rsidR="00741BFF" w:rsidRPr="00D54EBD" w:rsidRDefault="00741BFF" w:rsidP="00696C97">
                      <w:pPr>
                        <w:jc w:val="center"/>
                        <w:rPr>
                          <w:sz w:val="18"/>
                          <w:szCs w:val="18"/>
                        </w:rPr>
                      </w:pPr>
                      <w:r w:rsidRPr="00D54EBD">
                        <w:rPr>
                          <w:rFonts w:cs="Arial"/>
                          <w:color w:val="FFFFFF" w:themeColor="light1"/>
                          <w:kern w:val="24"/>
                          <w:sz w:val="18"/>
                          <w:szCs w:val="18"/>
                        </w:rPr>
                        <w:t xml:space="preserve">Découpe, </w:t>
                      </w:r>
                      <w:r>
                        <w:rPr>
                          <w:rFonts w:cs="Arial"/>
                          <w:color w:val="FFFFFF" w:themeColor="light1"/>
                          <w:kern w:val="24"/>
                          <w:sz w:val="18"/>
                          <w:szCs w:val="18"/>
                        </w:rPr>
                        <w:t>d</w:t>
                      </w:r>
                      <w:r w:rsidRPr="00D54EBD">
                        <w:rPr>
                          <w:rFonts w:cs="Arial"/>
                          <w:color w:val="FFFFFF" w:themeColor="light1"/>
                          <w:kern w:val="24"/>
                          <w:sz w:val="18"/>
                          <w:szCs w:val="18"/>
                        </w:rPr>
                        <w:t xml:space="preserve">ésossage, </w:t>
                      </w:r>
                      <w:r>
                        <w:rPr>
                          <w:rFonts w:cs="Arial"/>
                          <w:color w:val="FFFFFF" w:themeColor="light1"/>
                          <w:kern w:val="24"/>
                          <w:sz w:val="18"/>
                          <w:szCs w:val="18"/>
                        </w:rPr>
                        <w:t>d</w:t>
                      </w:r>
                      <w:r w:rsidRPr="00D54EBD">
                        <w:rPr>
                          <w:rFonts w:cs="Arial"/>
                          <w:color w:val="FFFFFF" w:themeColor="light1"/>
                          <w:kern w:val="24"/>
                          <w:sz w:val="18"/>
                          <w:szCs w:val="18"/>
                        </w:rPr>
                        <w:t xml:space="preserve">écouennage </w:t>
                      </w:r>
                    </w:p>
                  </w:txbxContent>
                </v:textbox>
              </v:roundrect>
            </w:pict>
          </mc:Fallback>
        </mc:AlternateContent>
      </w:r>
    </w:p>
    <w:p w14:paraId="62F6B7F2" w14:textId="04701BE9" w:rsidR="004A33D5" w:rsidRDefault="004A33D5" w:rsidP="00713036">
      <w:pPr>
        <w:pStyle w:val="ValrieN1"/>
        <w:tabs>
          <w:tab w:val="left" w:pos="4678"/>
        </w:tabs>
        <w:ind w:left="0"/>
      </w:pPr>
      <w:r>
        <w:rPr>
          <w:noProof/>
        </w:rPr>
        <mc:AlternateContent>
          <mc:Choice Requires="wps">
            <w:drawing>
              <wp:anchor distT="0" distB="0" distL="114300" distR="114300" simplePos="0" relativeHeight="251671609" behindDoc="0" locked="0" layoutInCell="1" allowOverlap="1" wp14:anchorId="40F5C77E" wp14:editId="708F9DE6">
                <wp:simplePos x="0" y="0"/>
                <wp:positionH relativeFrom="column">
                  <wp:posOffset>3808399</wp:posOffset>
                </wp:positionH>
                <wp:positionV relativeFrom="paragraph">
                  <wp:posOffset>26035</wp:posOffset>
                </wp:positionV>
                <wp:extent cx="2735580" cy="0"/>
                <wp:effectExtent l="38100" t="76200" r="26670" b="95250"/>
                <wp:wrapNone/>
                <wp:docPr id="287" name="Connecteur droit avec flèch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73558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B7DB9C5" id="_x0000_t32" coordsize="21600,21600" o:spt="32" o:oned="t" path="m,l21600,21600e" filled="f">
                <v:path arrowok="t" fillok="f" o:connecttype="none"/>
                <o:lock v:ext="edit" shapetype="t"/>
              </v:shapetype>
              <v:shape id="Connecteur droit avec flèche 7" o:spid="_x0000_s1026" type="#_x0000_t32" style="position:absolute;margin-left:299.85pt;margin-top:2.05pt;width:215.4pt;height:0;z-index:2516716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a0tJwIAAK0EAAAOAAAAZHJzL2Uyb0RvYy54bWysVM1uEzEQviPxDpbvZDep0kSrbHpIKZcC&#10;ES0P4NrjrIXXtmzn7414D16MsZ1dKFQgIS7Wema+mfm+Ge/q5tRrcgAflDUtnU5qSsBwK5TZtfTz&#10;492bJSUhMiOYtgZaeoZAb9avX62OroGZ7awW4AkmMaE5upZ2MbqmqgLvoGdhYh0YdErrexbx6neV&#10;8OyI2Xtdzer6ujpaL5y3HEJA621x0nXOLyXw+FHKAJHolmJvMZ8+n0/prNYr1uw8c53ilzbYP3TR&#10;M2Ww6JjqlkVG9l79lqpX3NtgZZxw21dWSsUhc0A20/oXNg8dc5C5oDjBjTKF/5eWfzhsPVGipbPl&#10;ghLDehzSxhqDysHeE+GtioQdgBOpv33FsZBFEu3oQoPYjdn6RJufzIO7t/xLQF/1zJkuwZWwk/R9&#10;Ckfe5JSHcB6HAKdIOBpni6v5fImz4oOvYs0AdD7Ed2B7kj5aGqJnatfFS8PWT/MQ2OE+xNQIawZA&#10;qqpNOoPVStwprfMl7RlstCcHhhsSTyWB3vfvrSi263ldX/YEzbhNxXw1mLFI3taUJZd8VqADJt4a&#10;QeLZobDRK2Z2GsraRab0yz7MmZrNQhbtsorxrKEQ+QQSh5bUyoTHBkpvjHMwcZqq5EwYnWASSY/A&#10;+u/AS3yCQn5KI7io9MeqIyJXtiaO4F4Z61+qntQvLcsSPyhQeCcJnqw4b/2wY/gmMsPL+02P7ud7&#10;hv/4y6y/AwAA//8DAFBLAwQUAAYACAAAACEAcQA3M9sAAAAIAQAADwAAAGRycy9kb3ducmV2Lnht&#10;bEyPwU7DMBBE70j8g7VI3KjdQoCEOFULQuoNUfiATbwkFvE6it029OvrcoHj7oxm3pTLyfViT2Ow&#10;njXMZwoEceON5VbD58frzSOIEJEN9p5Jww8FWFaXFyUWxh/4nfbb2IoUwqFADV2MQyFlaDpyGGZ+&#10;IE7alx8dxnSOrTQjHlK46+VCqXvp0HJq6HCg546a7+3OpV4bkVhazo51s17XbpO/vWy0vr6aVk8g&#10;Ik3xzwxn/IQOVWKq/Y5NEL2GLM8fklXD3RzEWVe3KgNR/z5kVcr/A6oTAAAA//8DAFBLAQItABQA&#10;BgAIAAAAIQC2gziS/gAAAOEBAAATAAAAAAAAAAAAAAAAAAAAAABbQ29udGVudF9UeXBlc10ueG1s&#10;UEsBAi0AFAAGAAgAAAAhADj9If/WAAAAlAEAAAsAAAAAAAAAAAAAAAAALwEAAF9yZWxzLy5yZWxz&#10;UEsBAi0AFAAGAAgAAAAhALi5rS0nAgAArQQAAA4AAAAAAAAAAAAAAAAALgIAAGRycy9lMm9Eb2Mu&#10;eG1sUEsBAi0AFAAGAAgAAAAhAHEANzPbAAAACAEAAA8AAAAAAAAAAAAAAAAAgQQAAGRycy9kb3du&#10;cmV2LnhtbFBLBQYAAAAABAAEAPMAAACJBQAAAAA=&#10;" strokecolor="#5a5a5a [2109]" strokeweight="1pt">
                <v:stroke startarrow="block" endarrow="block" joinstyle="miter"/>
                <o:lock v:ext="edit" shapetype="f"/>
              </v:shape>
            </w:pict>
          </mc:Fallback>
        </mc:AlternateContent>
      </w:r>
      <w:r>
        <w:rPr>
          <w:noProof/>
        </w:rPr>
        <mc:AlternateContent>
          <mc:Choice Requires="wps">
            <w:drawing>
              <wp:anchor distT="0" distB="0" distL="114300" distR="114300" simplePos="0" relativeHeight="251692089" behindDoc="0" locked="0" layoutInCell="1" allowOverlap="1" wp14:anchorId="44DCAB8C" wp14:editId="65C6924C">
                <wp:simplePos x="0" y="0"/>
                <wp:positionH relativeFrom="page">
                  <wp:posOffset>7391014</wp:posOffset>
                </wp:positionH>
                <wp:positionV relativeFrom="paragraph">
                  <wp:posOffset>27581</wp:posOffset>
                </wp:positionV>
                <wp:extent cx="2771775" cy="0"/>
                <wp:effectExtent l="38100" t="76200" r="9525" b="95250"/>
                <wp:wrapNone/>
                <wp:docPr id="310"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771775"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31E3E3" id="Connecteur droit avec flèche 12" o:spid="_x0000_s1026" type="#_x0000_t32" style="position:absolute;margin-left:581.95pt;margin-top:2.15pt;width:218.25pt;height:0;flip:y;z-index:25169208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DKcLAIAALgEAAAOAAAAZHJzL2Uyb0RvYy54bWysVMFuEzEQvSPxD5bvZHdTtUGrbHpIKZcC&#10;EQXurj3OWnhty3aSzR/xH/wYYzvZUqhAQlxG6xm/NzNvxru8HgdN9uCDsqajzaymBAy3QpltRz9/&#10;un31mpIQmRFMWwMdPUKg16uXL5YH18Lc9lYL8ARJTGgPrqN9jK6tqsB7GFiYWQcGg9L6gUU8+m0l&#10;PDsg+6CreV1fVQfrhfOWQwjovSlBusr8UgKPH6QMEInuKNYWs/XZPiRbrZas3XrmesVPZbB/qGJg&#10;ymDSieqGRUZ2Xv1GNSjubbAyzrgdKiul4pB7wG6a+pdu7nvmIPeC4gQ3yRT+Hy1/v994okRHLxrU&#10;x7ABh7S2xqBysPNEeKsiYXvgROrv33AspJkn1Q4utAhem41PffPR3Ls7y78GjFVPgukQXLk2Sj8g&#10;kXJfcFmyYCgBGfM8jtM8YIyEo3O+WDSLxSUl/ByrWJsoUkbnQ3wLdiDpo6Mheqa2fTzVbn2hZ/u7&#10;EFNJj4AE1ibZYLUSt0rrfEgrB2vtyZ7hssSxEOjd8M6K4ru6rOvTyqAbF6u4L85uTJIXN7HklE8S&#10;9MDEGyNIPDrUOHrFzFZD2cDIlH4+hpyp2CxpUTHrGY8aSiMfQeL8klpZz6mAUhvjHExsUpbMhLcT&#10;TGLTE7D+O/B0P0Ehv6oJXFT6Y9YJkTNbEyfwoIz1z2VP6peSZbl/VqD0nSR4sOK48edtw+eROzw9&#10;5fT+fj5n+OMPZ/UDAAD//wMAUEsDBBQABgAIAAAAIQCPqOKc3wAAAAkBAAAPAAAAZHJzL2Rvd25y&#10;ZXYueG1sTI/BTsMwDIbvSLxDZCRuLGk3VVCaTlNRNWmHoRU4cMsa01Y0TtVkW/f2ZLuM429/+v05&#10;W06mZ0ccXWdJQjQTwJBqqztqJHx+lE/PwJxXpFVvCSWc0cEyv7/LVKrtiXZ4rHzDQgm5VElovR9S&#10;zl3dolFuZgeksPuxo1E+xLHhelSnUG56HguRcKM6ChdaNWDRYv1bHYyE1dd7HO3eRFmsN9tSbJtK&#10;xN+FlI8P0+oVmMfJ32C46Ad1yIPT3h5IO9aHHCXzl8BKWMyBXYBEiAWw/XXA84z//yD/AwAA//8D&#10;AFBLAQItABQABgAIAAAAIQC2gziS/gAAAOEBAAATAAAAAAAAAAAAAAAAAAAAAABbQ29udGVudF9U&#10;eXBlc10ueG1sUEsBAi0AFAAGAAgAAAAhADj9If/WAAAAlAEAAAsAAAAAAAAAAAAAAAAALwEAAF9y&#10;ZWxzLy5yZWxzUEsBAi0AFAAGAAgAAAAhACyIMpwsAgAAuAQAAA4AAAAAAAAAAAAAAAAALgIAAGRy&#10;cy9lMm9Eb2MueG1sUEsBAi0AFAAGAAgAAAAhAI+o4pzfAAAACQEAAA8AAAAAAAAAAAAAAAAAhgQA&#10;AGRycy9kb3ducmV2LnhtbFBLBQYAAAAABAAEAPMAAACSBQAAAAA=&#10;" strokecolor="#5a5a5a [2109]" strokeweight="1pt">
                <v:stroke startarrow="block" endarrow="block" joinstyle="miter"/>
                <o:lock v:ext="edit" shapetype="f"/>
                <w10:wrap anchorx="page"/>
              </v:shape>
            </w:pict>
          </mc:Fallback>
        </mc:AlternateContent>
      </w:r>
      <w:r>
        <w:rPr>
          <w:noProof/>
        </w:rPr>
        <mc:AlternateContent>
          <mc:Choice Requires="wps">
            <w:drawing>
              <wp:anchor distT="0" distB="0" distL="114300" distR="114300" simplePos="0" relativeHeight="251674681" behindDoc="0" locked="0" layoutInCell="1" allowOverlap="1" wp14:anchorId="71356C71" wp14:editId="2F52FE63">
                <wp:simplePos x="0" y="0"/>
                <wp:positionH relativeFrom="column">
                  <wp:posOffset>1280795</wp:posOffset>
                </wp:positionH>
                <wp:positionV relativeFrom="paragraph">
                  <wp:posOffset>23495</wp:posOffset>
                </wp:positionV>
                <wp:extent cx="2500630" cy="0"/>
                <wp:effectExtent l="38100" t="76200" r="13970" b="95250"/>
                <wp:wrapNone/>
                <wp:docPr id="39"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0063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D4D8338" id="Connecteur droit avec flèche 12" o:spid="_x0000_s1026" type="#_x0000_t32" style="position:absolute;margin-left:100.85pt;margin-top:1.85pt;width:196.9pt;height:0;z-index:2516746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MBsJAIAAK0EAAAOAAAAZHJzL2Uyb0RvYy54bWysVEuOEzEQ3SNxB8t70vmIEbTSmUWGYTNA&#10;xMABPHY5beGfbCfp3Ih7cDHKdrphYAQSYmO1q+pV1XtV7vX1YDQ5QojK2Y4uZnNKwHInlN139POn&#10;2xevKImJWcG0s9DRM0R6vXn+bH3yLSxd77SAQDCJje3Jd7RPybdNE3kPhsWZ82DRKV0wLOE17BsR&#10;2AmzG90s5/Or5uSC8MFxiBGtN9VJNyW/lMDTBykjJKI7ir2lcoZyPuSz2axZuw/M94pf2mD/0IVh&#10;ymLRKdUNS4wcgvotlVE8uOhkmnFnGiel4lA4IJvF/Bc29z3zULigONFPMsX/l5a/P+4CUaKjq9eU&#10;WGZwRltnLQoHh0BEcCoRdgROpP72FadCFsss2snHFrFbuwuZNh/svb9z/EtEX/PImS/R17BBBpPD&#10;kTcZyhDO0xBgSISjcfkSx7rCWfHR17B2BPoQ01twhuSPjsYUmNr36dKxC4syBHa8iyk3wtoRkKtq&#10;m8/otBK3SutyyXsGWx3IkeGGpKEm0Afzzolqu8J+LnuCZtymal6NZixStjVnKSUfFeiBiTdWkHT2&#10;qGwKitm9hrp2iSn9tA9z5maLkFW7omI6a6hEPoLEoWW1CuGpgdob4xxsWuQqJRNGZ5hE0hNw/nfg&#10;JT5DoTylCVxV+mPVCVEqO5smsFHWhaeqZ/Vry7LGjwpU3lmCByfOuzDuGL6JwvDyfvOj+/le4D/+&#10;MpvvAAAA//8DAFBLAwQUAAYACAAAACEAeyYomdkAAAAHAQAADwAAAGRycy9kb3ducmV2LnhtbEyO&#10;wU7DMBBE70j8g7VI3KjTogBN41QUhNQbauEDNvE2sYjXUey2ga9n4QKn0WhGM69cT75XJxqjC2xg&#10;PstAETfBOm4NvL+93DyAignZYh+YDHxShHV1eVFiYcOZd3Tap1bJCMcCDXQpDYXWsenIY5yFgViy&#10;Qxg9JrFjq+2IZxn3vV5k2Z326FgeOhzoqaPmY3/08usSEmvH+VfdbDa13y5fn7fGXF9NjytQiab0&#10;V4YffEGHSpjqcGQbVW9gkc3vpWrgVkTyfJnnoOpfr6tS/+evvgEAAP//AwBQSwECLQAUAAYACAAA&#10;ACEAtoM4kv4AAADhAQAAEwAAAAAAAAAAAAAAAAAAAAAAW0NvbnRlbnRfVHlwZXNdLnhtbFBLAQIt&#10;ABQABgAIAAAAIQA4/SH/1gAAAJQBAAALAAAAAAAAAAAAAAAAAC8BAABfcmVscy8ucmVsc1BLAQIt&#10;ABQABgAIAAAAIQAxpMBsJAIAAK0EAAAOAAAAAAAAAAAAAAAAAC4CAABkcnMvZTJvRG9jLnhtbFBL&#10;AQItABQABgAIAAAAIQB7JiiZ2QAAAAcBAAAPAAAAAAAAAAAAAAAAAH4EAABkcnMvZG93bnJldi54&#10;bWxQSwUGAAAAAAQABADzAAAAhAUAAAAA&#10;" strokecolor="#5a5a5a [2109]" strokeweight="1pt">
                <v:stroke startarrow="block" endarrow="block" joinstyle="miter"/>
                <o:lock v:ext="edit" shapetype="f"/>
              </v:shape>
            </w:pict>
          </mc:Fallback>
        </mc:AlternateContent>
      </w:r>
    </w:p>
    <w:p w14:paraId="10E42C1A" w14:textId="71C4FC75" w:rsidR="004A33D5" w:rsidRDefault="00466892" w:rsidP="00713036">
      <w:pPr>
        <w:pStyle w:val="ValrieN1"/>
        <w:tabs>
          <w:tab w:val="left" w:pos="4678"/>
        </w:tabs>
        <w:ind w:left="0"/>
      </w:pPr>
      <w:r>
        <w:rPr>
          <w:noProof/>
        </w:rPr>
        <mc:AlternateContent>
          <mc:Choice Requires="wps">
            <w:drawing>
              <wp:anchor distT="0" distB="0" distL="114300" distR="114300" simplePos="0" relativeHeight="251895865" behindDoc="0" locked="0" layoutInCell="1" allowOverlap="1" wp14:anchorId="0C99AE1B" wp14:editId="0784197D">
                <wp:simplePos x="0" y="0"/>
                <wp:positionH relativeFrom="column">
                  <wp:posOffset>7639575</wp:posOffset>
                </wp:positionH>
                <wp:positionV relativeFrom="paragraph">
                  <wp:posOffset>128022</wp:posOffset>
                </wp:positionV>
                <wp:extent cx="715010" cy="225425"/>
                <wp:effectExtent l="0" t="0" r="0" b="0"/>
                <wp:wrapNone/>
                <wp:docPr id="65" name="ZoneTexte 24"/>
                <wp:cNvGraphicFramePr/>
                <a:graphic xmlns:a="http://schemas.openxmlformats.org/drawingml/2006/main">
                  <a:graphicData uri="http://schemas.microsoft.com/office/word/2010/wordprocessingShape">
                    <wps:wsp>
                      <wps:cNvSpPr txBox="1"/>
                      <wps:spPr>
                        <a:xfrm>
                          <a:off x="0" y="0"/>
                          <a:ext cx="715010" cy="225425"/>
                        </a:xfrm>
                        <a:prstGeom prst="rect">
                          <a:avLst/>
                        </a:prstGeom>
                        <a:noFill/>
                      </wps:spPr>
                      <wps:txbx>
                        <w:txbxContent>
                          <w:p w14:paraId="0EF98243" w14:textId="55799096" w:rsidR="00741BFF" w:rsidRPr="00466892" w:rsidRDefault="00741BFF" w:rsidP="00466892">
                            <w:pPr>
                              <w:rPr>
                                <w:rFonts w:cs="Arial"/>
                                <w:i/>
                                <w:iCs/>
                                <w:color w:val="000000" w:themeColor="text1"/>
                                <w:kern w:val="24"/>
                                <w:sz w:val="18"/>
                                <w:szCs w:val="18"/>
                              </w:rPr>
                            </w:pPr>
                            <w:r w:rsidRPr="00466892">
                              <w:rPr>
                                <w:rFonts w:cs="Arial"/>
                                <w:i/>
                                <w:iCs/>
                                <w:color w:val="000000" w:themeColor="text1"/>
                                <w:kern w:val="24"/>
                                <w:sz w:val="18"/>
                                <w:szCs w:val="18"/>
                              </w:rPr>
                              <w:t xml:space="preserve">Total </w:t>
                            </w:r>
                            <w:r>
                              <w:rPr>
                                <w:rFonts w:cs="Arial"/>
                                <w:i/>
                                <w:iCs/>
                                <w:color w:val="000000" w:themeColor="text1"/>
                                <w:kern w:val="24"/>
                                <w:sz w:val="18"/>
                                <w:szCs w:val="18"/>
                              </w:rPr>
                              <w:t>425</w:t>
                            </w:r>
                          </w:p>
                        </w:txbxContent>
                      </wps:txbx>
                      <wps:bodyPr wrap="none" rtlCol="0">
                        <a:noAutofit/>
                      </wps:bodyPr>
                    </wps:wsp>
                  </a:graphicData>
                </a:graphic>
                <wp14:sizeRelV relativeFrom="margin">
                  <wp14:pctHeight>0</wp14:pctHeight>
                </wp14:sizeRelV>
              </wp:anchor>
            </w:drawing>
          </mc:Choice>
          <mc:Fallback>
            <w:pict>
              <v:shape w14:anchorId="0C99AE1B" id="_x0000_s1073" type="#_x0000_t202" style="position:absolute;left:0;text-align:left;margin-left:601.55pt;margin-top:10.1pt;width:56.3pt;height:17.75pt;z-index:251895865;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6u2lAEAABYDAAAOAAAAZHJzL2Uyb0RvYy54bWysUstOwzAQvCPxD5bvNGnUFhQ1rYCqXBAg&#10;US7cXMduLMVey3ab9O9Zuy8EN8TFj9317Mysp/Net2QnnFdgKjoc5JQIw6FWZlPRj9Xy5o4SH5ip&#10;WQtGVHQvPJ3Prq+mnS1FAQ20tXAEQYwvO1vRJgRbZpnnjdDMD8AKg0kJTrOAV7fJasc6RNdtVuT5&#10;JOvA1dYBF95jdHFI0lnCl1Lw8CqlF4G0FUVuIa0ureu4ZrMpKzeO2UbxIw32BxaaKYNNz1ALFhjZ&#10;OvULSivuwIMMAw46AykVF0kDqhnmP9S8N8yKpAXN8fZsk/8/WP6ye3NE1RWdjCkxTOOMPnFSK9EH&#10;QYpRNKizvsS6d4uVoX+AHgd9insMRt29dDruqIhgHq3en+1FKMIxeDsco0ZKOKaKYjwqxhEluzy2&#10;zocnAZrEQ0UdTi+ZynbPPhxKTyWxl4GlatsYjwwPTOIp9Os+SRqlBjG0hnqP7DscdEUN6qPEhfYR&#10;0q84YN1vA0iV2lxeHLHR/ET0+FHidL/fU9XlO8++AAAA//8DAFBLAwQUAAYACAAAACEAPfh8PuEA&#10;AAALAQAADwAAAGRycy9kb3ducmV2LnhtbEyPwU7DMAyG70i8Q2QkLoglTTVApemEQHBhGmJw4Jg2&#10;pi00SZVkXeHp553gZP3yp9+fy9VsBzZhiL13CrKFAIau8aZ3rYL3t8fLG2AxaWf04B0q+MEIq+r0&#10;pNSF8Xv3itM2tYxKXCy0gi6lseA8Nh1aHRd+REe7Tx+sThRDy03Qeyq3A5dCXHGre0cXOj3ifYfN&#10;93ZnFfy+hLWXcv2U1R95P6WHi6/N80ap87P57hZYwjn9wXDUJ3WoyKn2O2ciGyhLkWfEKpBCAjsS&#10;eba8BlYrWNLkVcn//1AdAAAA//8DAFBLAQItABQABgAIAAAAIQC2gziS/gAAAOEBAAATAAAAAAAA&#10;AAAAAAAAAAAAAABbQ29udGVudF9UeXBlc10ueG1sUEsBAi0AFAAGAAgAAAAhADj9If/WAAAAlAEA&#10;AAsAAAAAAAAAAAAAAAAALwEAAF9yZWxzLy5yZWxzUEsBAi0AFAAGAAgAAAAhAF+/q7aUAQAAFgMA&#10;AA4AAAAAAAAAAAAAAAAALgIAAGRycy9lMm9Eb2MueG1sUEsBAi0AFAAGAAgAAAAhAD34fD7hAAAA&#10;CwEAAA8AAAAAAAAAAAAAAAAA7gMAAGRycy9kb3ducmV2LnhtbFBLBQYAAAAABAAEAPMAAAD8BAAA&#10;AAA=&#10;" filled="f" stroked="f">
                <v:textbox>
                  <w:txbxContent>
                    <w:p w14:paraId="0EF98243" w14:textId="55799096" w:rsidR="00741BFF" w:rsidRPr="00466892" w:rsidRDefault="00741BFF" w:rsidP="00466892">
                      <w:pPr>
                        <w:rPr>
                          <w:rFonts w:cs="Arial"/>
                          <w:i/>
                          <w:iCs/>
                          <w:color w:val="000000" w:themeColor="text1"/>
                          <w:kern w:val="24"/>
                          <w:sz w:val="18"/>
                          <w:szCs w:val="18"/>
                        </w:rPr>
                      </w:pPr>
                      <w:r w:rsidRPr="00466892">
                        <w:rPr>
                          <w:rFonts w:cs="Arial"/>
                          <w:i/>
                          <w:iCs/>
                          <w:color w:val="000000" w:themeColor="text1"/>
                          <w:kern w:val="24"/>
                          <w:sz w:val="18"/>
                          <w:szCs w:val="18"/>
                        </w:rPr>
                        <w:t xml:space="preserve">Total </w:t>
                      </w:r>
                      <w:r>
                        <w:rPr>
                          <w:rFonts w:cs="Arial"/>
                          <w:i/>
                          <w:iCs/>
                          <w:color w:val="000000" w:themeColor="text1"/>
                          <w:kern w:val="24"/>
                          <w:sz w:val="18"/>
                          <w:szCs w:val="18"/>
                        </w:rPr>
                        <w:t>425</w:t>
                      </w:r>
                    </w:p>
                  </w:txbxContent>
                </v:textbox>
              </v:shape>
            </w:pict>
          </mc:Fallback>
        </mc:AlternateContent>
      </w:r>
    </w:p>
    <w:p w14:paraId="36BE2C8B" w14:textId="309341AE" w:rsidR="008279D3" w:rsidRPr="004A33D5" w:rsidRDefault="004A33D5" w:rsidP="004A33D5">
      <w:pPr>
        <w:pStyle w:val="ValrieN1"/>
        <w:tabs>
          <w:tab w:val="left" w:pos="4678"/>
        </w:tabs>
        <w:ind w:left="0"/>
        <w:jc w:val="center"/>
        <w:rPr>
          <w:sz w:val="22"/>
          <w:szCs w:val="22"/>
        </w:rPr>
      </w:pPr>
      <w:r w:rsidRPr="004A33D5">
        <w:rPr>
          <w:sz w:val="22"/>
          <w:szCs w:val="22"/>
        </w:rPr>
        <w:t xml:space="preserve">Figure </w:t>
      </w:r>
      <w:r w:rsidRPr="004A33D5">
        <w:rPr>
          <w:sz w:val="22"/>
          <w:szCs w:val="22"/>
        </w:rPr>
        <w:fldChar w:fldCharType="begin"/>
      </w:r>
      <w:r w:rsidRPr="004A33D5">
        <w:rPr>
          <w:sz w:val="22"/>
          <w:szCs w:val="22"/>
        </w:rPr>
        <w:instrText xml:space="preserve"> SEQ Figure \* ARABIC </w:instrText>
      </w:r>
      <w:r w:rsidRPr="004A33D5">
        <w:rPr>
          <w:sz w:val="22"/>
          <w:szCs w:val="22"/>
        </w:rPr>
        <w:fldChar w:fldCharType="separate"/>
      </w:r>
      <w:r w:rsidRPr="004A33D5">
        <w:rPr>
          <w:i/>
          <w:noProof/>
          <w:sz w:val="22"/>
          <w:szCs w:val="22"/>
        </w:rPr>
        <w:t>34</w:t>
      </w:r>
      <w:r w:rsidRPr="004A33D5">
        <w:rPr>
          <w:i/>
          <w:noProof/>
          <w:sz w:val="22"/>
          <w:szCs w:val="22"/>
        </w:rPr>
        <w:fldChar w:fldCharType="end"/>
      </w:r>
      <w:r w:rsidRPr="004A33D5">
        <w:rPr>
          <w:i/>
          <w:sz w:val="22"/>
          <w:szCs w:val="22"/>
        </w:rPr>
        <w:t xml:space="preserve"> : </w:t>
      </w:r>
      <w:r w:rsidRPr="004A33D5">
        <w:rPr>
          <w:sz w:val="22"/>
          <w:szCs w:val="22"/>
        </w:rPr>
        <w:t>Représentation des flux de jambon au travers d’un graphe de Sankey</w:t>
      </w:r>
    </w:p>
    <w:bookmarkEnd w:id="357"/>
    <w:p w14:paraId="65C57DC6" w14:textId="77777777" w:rsidR="00FE4937" w:rsidRDefault="00FE4937" w:rsidP="00E232E9">
      <w:pPr>
        <w:pStyle w:val="ValrieN1"/>
        <w:ind w:left="0"/>
      </w:pPr>
    </w:p>
    <w:p w14:paraId="4A98ADD2" w14:textId="740B04D6" w:rsidR="004A33D5" w:rsidRDefault="004A33D5" w:rsidP="00E232E9">
      <w:pPr>
        <w:pStyle w:val="ValrieN1"/>
        <w:ind w:left="0"/>
        <w:sectPr w:rsidR="004A33D5" w:rsidSect="00B73F4D">
          <w:pgSz w:w="16838" w:h="11906" w:orient="landscape" w:code="9"/>
          <w:pgMar w:top="1418" w:right="1304" w:bottom="1133" w:left="1304" w:header="567" w:footer="709" w:gutter="0"/>
          <w:cols w:space="708"/>
          <w:docGrid w:linePitch="360"/>
        </w:sectPr>
      </w:pPr>
    </w:p>
    <w:p w14:paraId="3D71A5C0" w14:textId="2CB71982" w:rsidR="00FE4937" w:rsidRDefault="00FE4937" w:rsidP="00A63F35">
      <w:pPr>
        <w:pStyle w:val="Titre2"/>
        <w:numPr>
          <w:ilvl w:val="0"/>
          <w:numId w:val="0"/>
        </w:numPr>
        <w:ind w:left="568"/>
      </w:pPr>
      <w:bookmarkStart w:id="369" w:name="_Toc78131688"/>
      <w:bookmarkStart w:id="370" w:name="_Hlk71126725"/>
      <w:bookmarkStart w:id="371" w:name="_Hlk78538796"/>
      <w:bookmarkEnd w:id="356"/>
      <w:r>
        <w:lastRenderedPageBreak/>
        <w:t>2</w:t>
      </w:r>
      <w:r w:rsidRPr="008150C6">
        <w:t>.</w:t>
      </w:r>
      <w:r>
        <w:t>3.</w:t>
      </w:r>
      <w:r w:rsidRPr="008150C6">
        <w:tab/>
        <w:t xml:space="preserve">Analyse </w:t>
      </w:r>
      <w:r w:rsidR="00F3050C">
        <w:t>des flux à partir de la pièce primaire d’épaule</w:t>
      </w:r>
      <w:bookmarkEnd w:id="369"/>
      <w:r w:rsidR="00F3050C">
        <w:t> </w:t>
      </w:r>
      <w:r w:rsidR="00F3050C" w:rsidRPr="008150C6" w:rsidDel="00F3050C">
        <w:t xml:space="preserve"> </w:t>
      </w:r>
    </w:p>
    <w:p w14:paraId="65EACDE8" w14:textId="3A32D9B4" w:rsidR="00FE4937" w:rsidRDefault="00FE4937" w:rsidP="0002537E">
      <w:pPr>
        <w:pStyle w:val="Titre3"/>
        <w:rPr>
          <w:lang w:eastAsia="en-US"/>
        </w:rPr>
      </w:pPr>
      <w:bookmarkStart w:id="372" w:name="_Toc78131689"/>
      <w:r>
        <w:t>2.</w:t>
      </w:r>
      <w:r w:rsidR="009175CD">
        <w:t>3</w:t>
      </w:r>
      <w:r>
        <w:t>.1.</w:t>
      </w:r>
      <w:r w:rsidR="00B85557" w:rsidRPr="00B85557">
        <w:t xml:space="preserve"> </w:t>
      </w:r>
      <w:r w:rsidR="00B85557" w:rsidRPr="00F93328">
        <w:t>D</w:t>
      </w:r>
      <w:r w:rsidR="00B85557">
        <w:t>e</w:t>
      </w:r>
      <w:r w:rsidR="00B85557" w:rsidRPr="00F93328">
        <w:t>s</w:t>
      </w:r>
      <w:r w:rsidR="00B85557">
        <w:t>tination des pièces issues de la carcasse en équivalent pièces primaires</w:t>
      </w:r>
      <w:bookmarkEnd w:id="372"/>
      <w:r w:rsidR="00B85557">
        <w:t> </w:t>
      </w:r>
      <w:r w:rsidR="00B85557" w:rsidDel="00F3050C">
        <w:t xml:space="preserve"> </w:t>
      </w:r>
    </w:p>
    <w:p w14:paraId="79DD3B88" w14:textId="2693E93F" w:rsidR="00C1491D" w:rsidRDefault="00B85557" w:rsidP="0066746F">
      <w:pPr>
        <w:rPr>
          <w:lang w:eastAsia="fr-FR"/>
        </w:rPr>
      </w:pPr>
      <w:r w:rsidRPr="00B85557">
        <w:rPr>
          <w:lang w:eastAsia="fr-FR"/>
        </w:rPr>
        <w:t xml:space="preserve">Cette </w:t>
      </w:r>
      <w:r w:rsidR="00816018">
        <w:rPr>
          <w:lang w:eastAsia="fr-FR"/>
        </w:rPr>
        <w:t>phase</w:t>
      </w:r>
      <w:r w:rsidRPr="00B85557">
        <w:rPr>
          <w:lang w:eastAsia="fr-FR"/>
        </w:rPr>
        <w:t xml:space="preserve"> décrit l’obtention </w:t>
      </w:r>
      <w:r w:rsidR="00816018">
        <w:rPr>
          <w:lang w:eastAsia="fr-FR"/>
        </w:rPr>
        <w:t>de</w:t>
      </w:r>
      <w:r w:rsidRPr="00B85557">
        <w:rPr>
          <w:lang w:eastAsia="fr-FR"/>
        </w:rPr>
        <w:t xml:space="preserve"> pièce primaire</w:t>
      </w:r>
      <w:r w:rsidR="00816018">
        <w:rPr>
          <w:lang w:eastAsia="fr-FR"/>
        </w:rPr>
        <w:t xml:space="preserve"> issue</w:t>
      </w:r>
      <w:r w:rsidRPr="00B85557">
        <w:rPr>
          <w:lang w:eastAsia="fr-FR"/>
        </w:rPr>
        <w:t xml:space="preserve"> de la fraction </w:t>
      </w:r>
      <w:r w:rsidR="00816018">
        <w:rPr>
          <w:lang w:eastAsia="fr-FR"/>
        </w:rPr>
        <w:t xml:space="preserve">d’épaule </w:t>
      </w:r>
      <w:r w:rsidRPr="00B85557">
        <w:rPr>
          <w:lang w:eastAsia="fr-FR"/>
        </w:rPr>
        <w:t>comestible d</w:t>
      </w:r>
      <w:r w:rsidR="00816018">
        <w:rPr>
          <w:lang w:eastAsia="fr-FR"/>
        </w:rPr>
        <w:t xml:space="preserve">éterminée </w:t>
      </w:r>
      <w:r w:rsidRPr="00B85557">
        <w:rPr>
          <w:lang w:eastAsia="fr-FR"/>
        </w:rPr>
        <w:t xml:space="preserve">par calcul </w:t>
      </w:r>
      <w:r w:rsidR="00CE7057">
        <w:rPr>
          <w:lang w:eastAsia="fr-FR"/>
        </w:rPr>
        <w:t xml:space="preserve">à partir de la carcasse </w:t>
      </w:r>
      <w:r w:rsidRPr="00B85557">
        <w:rPr>
          <w:lang w:eastAsia="fr-FR"/>
        </w:rPr>
        <w:t>et exprimée en équivalent pièce primaire (partie 2, paragraphe 1.3.).</w:t>
      </w:r>
    </w:p>
    <w:p w14:paraId="768415E5" w14:textId="1BEC2940" w:rsidR="008279D3" w:rsidRDefault="009175CD" w:rsidP="0066746F">
      <w:r w:rsidRPr="00713036">
        <w:t>L</w:t>
      </w:r>
      <w:r w:rsidR="00CA217D">
        <w:t>a fraction de départ en équivalent pièce primaire d’épaule est de 418</w:t>
      </w:r>
      <w:r w:rsidR="00A713D2">
        <w:t> </w:t>
      </w:r>
      <w:r w:rsidR="00CA217D">
        <w:t xml:space="preserve">kt </w:t>
      </w:r>
      <w:r w:rsidR="00C1491D">
        <w:t>et donne</w:t>
      </w:r>
      <w:r w:rsidR="00CA217D">
        <w:t xml:space="preserve"> en sortie de découpe </w:t>
      </w:r>
      <w:r w:rsidR="00C1491D">
        <w:t>primaire</w:t>
      </w:r>
      <w:r w:rsidR="00D80D25">
        <w:t xml:space="preserve">, </w:t>
      </w:r>
      <w:r w:rsidR="00D80D25">
        <w:rPr>
          <w:lang w:eastAsia="fr-FR"/>
        </w:rPr>
        <w:t>un disponible net après importation et exportation</w:t>
      </w:r>
      <w:r w:rsidR="00CE7057">
        <w:rPr>
          <w:lang w:eastAsia="fr-FR"/>
        </w:rPr>
        <w:t xml:space="preserve"> de</w:t>
      </w:r>
      <w:r w:rsidR="00C1491D">
        <w:t xml:space="preserve"> </w:t>
      </w:r>
      <w:r w:rsidR="00CA217D">
        <w:t>332</w:t>
      </w:r>
      <w:r w:rsidR="00A713D2">
        <w:t> </w:t>
      </w:r>
      <w:r w:rsidR="00CA217D">
        <w:t>kt</w:t>
      </w:r>
      <w:r w:rsidR="003941D8">
        <w:t xml:space="preserve"> qui s’articule entre frais et surgelé </w:t>
      </w:r>
      <w:r w:rsidR="00C30E6B">
        <w:t>respectivement de</w:t>
      </w:r>
      <w:r w:rsidR="003941D8">
        <w:t xml:space="preserve"> </w:t>
      </w:r>
      <w:r w:rsidRPr="00713036">
        <w:t>60</w:t>
      </w:r>
      <w:r w:rsidR="00C061E4">
        <w:t> </w:t>
      </w:r>
      <w:r w:rsidRPr="00713036">
        <w:t xml:space="preserve">% </w:t>
      </w:r>
      <w:r w:rsidR="00C30E6B">
        <w:t>et</w:t>
      </w:r>
      <w:r w:rsidRPr="00713036">
        <w:t xml:space="preserve"> 40</w:t>
      </w:r>
      <w:r w:rsidR="00C061E4">
        <w:t> </w:t>
      </w:r>
      <w:r w:rsidRPr="00713036">
        <w:t xml:space="preserve">%. </w:t>
      </w:r>
      <w:r w:rsidR="003941D8">
        <w:t>Il faut noter que moins</w:t>
      </w:r>
      <w:r w:rsidRPr="00713036">
        <w:t xml:space="preserve"> les produits sont valorisés</w:t>
      </w:r>
      <w:r w:rsidR="003941D8">
        <w:t>,</w:t>
      </w:r>
      <w:r w:rsidRPr="00713036">
        <w:t xml:space="preserve"> plus la part de congelé est importante.</w:t>
      </w:r>
    </w:p>
    <w:p w14:paraId="35A6D329" w14:textId="53674302" w:rsidR="00C1491D" w:rsidRPr="00713036" w:rsidRDefault="00C1491D" w:rsidP="0002537E">
      <w:pPr>
        <w:rPr>
          <w:lang w:eastAsia="fr-FR"/>
        </w:rPr>
      </w:pPr>
      <w:r>
        <w:rPr>
          <w:lang w:eastAsia="fr-FR"/>
        </w:rPr>
        <w:t xml:space="preserve">Les importations correspondent aux équivalents </w:t>
      </w:r>
      <w:r w:rsidR="00D80D25">
        <w:rPr>
          <w:lang w:eastAsia="fr-FR"/>
        </w:rPr>
        <w:t>épaule</w:t>
      </w:r>
      <w:r>
        <w:rPr>
          <w:lang w:eastAsia="fr-FR"/>
        </w:rPr>
        <w:t xml:space="preserve"> issus des carcasses importées (02031110 et 02032110 ; carcasse, demi</w:t>
      </w:r>
      <w:r w:rsidR="00A713D2">
        <w:rPr>
          <w:lang w:eastAsia="fr-FR"/>
        </w:rPr>
        <w:t>-</w:t>
      </w:r>
      <w:r>
        <w:rPr>
          <w:lang w:eastAsia="fr-FR"/>
        </w:rPr>
        <w:t>carcasse fraîche ou réfrigérée et carcasse ou demi-carcasse congelée)</w:t>
      </w:r>
      <w:r w:rsidR="00DA55C2">
        <w:rPr>
          <w:lang w:eastAsia="fr-FR"/>
        </w:rPr>
        <w:t>. Le</w:t>
      </w:r>
      <w:r>
        <w:rPr>
          <w:lang w:eastAsia="fr-FR"/>
        </w:rPr>
        <w:t>s exportations sont à rapprocher des exportations des pièces primaires fraîches et congelées (02031219 et 02032219</w:t>
      </w:r>
      <w:r w:rsidR="003941D8">
        <w:rPr>
          <w:lang w:eastAsia="fr-FR"/>
        </w:rPr>
        <w:t xml:space="preserve"> </w:t>
      </w:r>
      <w:r>
        <w:rPr>
          <w:lang w:eastAsia="fr-FR"/>
        </w:rPr>
        <w:t xml:space="preserve">; épaule </w:t>
      </w:r>
      <w:r w:rsidR="00DA55C2">
        <w:rPr>
          <w:lang w:eastAsia="fr-FR"/>
        </w:rPr>
        <w:t>fraîche</w:t>
      </w:r>
      <w:r>
        <w:rPr>
          <w:lang w:eastAsia="fr-FR"/>
        </w:rPr>
        <w:t xml:space="preserve"> et épaule </w:t>
      </w:r>
      <w:r w:rsidR="00DA55C2">
        <w:rPr>
          <w:lang w:eastAsia="fr-FR"/>
        </w:rPr>
        <w:t>congelé</w:t>
      </w:r>
      <w:r w:rsidR="0046756D">
        <w:rPr>
          <w:lang w:eastAsia="fr-FR"/>
        </w:rPr>
        <w:t>e</w:t>
      </w:r>
      <w:r>
        <w:rPr>
          <w:lang w:eastAsia="fr-FR"/>
        </w:rPr>
        <w:t>) auxquelles s’</w:t>
      </w:r>
      <w:r w:rsidR="00FE03FE">
        <w:rPr>
          <w:lang w:eastAsia="fr-FR"/>
        </w:rPr>
        <w:t>additionnent</w:t>
      </w:r>
      <w:r>
        <w:rPr>
          <w:lang w:eastAsia="fr-FR"/>
        </w:rPr>
        <w:t xml:space="preserve"> les parties avant (02031911 et 02032911 ; partie avant </w:t>
      </w:r>
      <w:r w:rsidR="00FE03FE">
        <w:rPr>
          <w:lang w:eastAsia="fr-FR"/>
        </w:rPr>
        <w:t>fraîche</w:t>
      </w:r>
      <w:r>
        <w:rPr>
          <w:lang w:eastAsia="fr-FR"/>
        </w:rPr>
        <w:t xml:space="preserve"> et partie avant </w:t>
      </w:r>
      <w:r w:rsidR="00FE03FE">
        <w:rPr>
          <w:lang w:eastAsia="fr-FR"/>
        </w:rPr>
        <w:t>congelée</w:t>
      </w:r>
      <w:r>
        <w:rPr>
          <w:lang w:eastAsia="fr-FR"/>
        </w:rPr>
        <w:t>)</w:t>
      </w:r>
      <w:r w:rsidR="00D80D25">
        <w:rPr>
          <w:lang w:eastAsia="fr-FR"/>
        </w:rPr>
        <w:t xml:space="preserve"> pour un total de 58</w:t>
      </w:r>
      <w:r w:rsidR="00C061E4">
        <w:rPr>
          <w:lang w:eastAsia="fr-FR"/>
        </w:rPr>
        <w:t> </w:t>
      </w:r>
      <w:r w:rsidR="00D80D25">
        <w:rPr>
          <w:lang w:eastAsia="fr-FR"/>
        </w:rPr>
        <w:t>kt</w:t>
      </w:r>
      <w:r>
        <w:rPr>
          <w:lang w:eastAsia="fr-FR"/>
        </w:rPr>
        <w:t>.</w:t>
      </w:r>
      <w:r w:rsidR="00FE03FE">
        <w:rPr>
          <w:lang w:eastAsia="fr-FR"/>
        </w:rPr>
        <w:t xml:space="preserve"> </w:t>
      </w:r>
      <w:r>
        <w:rPr>
          <w:lang w:eastAsia="fr-FR"/>
        </w:rPr>
        <w:t>L</w:t>
      </w:r>
      <w:r w:rsidRPr="00152AA9">
        <w:rPr>
          <w:lang w:eastAsia="fr-FR"/>
        </w:rPr>
        <w:t xml:space="preserve">a part d’exportation </w:t>
      </w:r>
      <w:r>
        <w:rPr>
          <w:lang w:eastAsia="fr-FR"/>
        </w:rPr>
        <w:t>est estimée à</w:t>
      </w:r>
      <w:r w:rsidR="003941D8">
        <w:rPr>
          <w:lang w:eastAsia="fr-FR"/>
        </w:rPr>
        <w:t xml:space="preserve"> un peu</w:t>
      </w:r>
      <w:r w:rsidRPr="00152AA9">
        <w:rPr>
          <w:lang w:eastAsia="fr-FR"/>
        </w:rPr>
        <w:t xml:space="preserve"> </w:t>
      </w:r>
      <w:r>
        <w:rPr>
          <w:lang w:eastAsia="fr-FR"/>
        </w:rPr>
        <w:t xml:space="preserve">moins de </w:t>
      </w:r>
      <w:r w:rsidR="00D80D25">
        <w:rPr>
          <w:lang w:eastAsia="fr-FR"/>
        </w:rPr>
        <w:t>14</w:t>
      </w:r>
      <w:r w:rsidR="00A713D2">
        <w:rPr>
          <w:lang w:eastAsia="fr-FR"/>
        </w:rPr>
        <w:t> </w:t>
      </w:r>
      <w:r w:rsidRPr="00152AA9">
        <w:rPr>
          <w:lang w:eastAsia="fr-FR"/>
        </w:rPr>
        <w:t xml:space="preserve">% </w:t>
      </w:r>
      <w:r>
        <w:rPr>
          <w:lang w:eastAsia="fr-FR"/>
        </w:rPr>
        <w:t xml:space="preserve">du total </w:t>
      </w:r>
      <w:r w:rsidR="00D80D25">
        <w:rPr>
          <w:lang w:eastAsia="fr-FR"/>
        </w:rPr>
        <w:t>épaule</w:t>
      </w:r>
      <w:r>
        <w:rPr>
          <w:lang w:eastAsia="fr-FR"/>
        </w:rPr>
        <w:t xml:space="preserve"> </w:t>
      </w:r>
      <w:r w:rsidR="00D80D25">
        <w:rPr>
          <w:lang w:eastAsia="fr-FR"/>
        </w:rPr>
        <w:t xml:space="preserve">brut </w:t>
      </w:r>
      <w:r>
        <w:rPr>
          <w:lang w:eastAsia="fr-FR"/>
        </w:rPr>
        <w:t>produit. La</w:t>
      </w:r>
      <w:r w:rsidR="003941D8">
        <w:rPr>
          <w:lang w:eastAsia="fr-FR"/>
        </w:rPr>
        <w:t xml:space="preserve"> fraction </w:t>
      </w:r>
      <w:r>
        <w:rPr>
          <w:lang w:eastAsia="fr-FR"/>
        </w:rPr>
        <w:t>des gras et du minerai issus de cette étape ont été estimés à partir de données croisées par enquête et de l’expertise du pôle viande de l’Ifip.</w:t>
      </w:r>
    </w:p>
    <w:tbl>
      <w:tblPr>
        <w:tblW w:w="9420" w:type="dxa"/>
        <w:tblCellMar>
          <w:left w:w="0" w:type="dxa"/>
          <w:right w:w="0" w:type="dxa"/>
        </w:tblCellMar>
        <w:tblLook w:val="0600" w:firstRow="0" w:lastRow="0" w:firstColumn="0" w:lastColumn="0" w:noHBand="1" w:noVBand="1"/>
      </w:tblPr>
      <w:tblGrid>
        <w:gridCol w:w="3720"/>
        <w:gridCol w:w="1540"/>
        <w:gridCol w:w="1000"/>
        <w:gridCol w:w="1180"/>
        <w:gridCol w:w="1980"/>
      </w:tblGrid>
      <w:tr w:rsidR="009175CD" w:rsidRPr="009175CD" w14:paraId="3B581121" w14:textId="77777777" w:rsidTr="00713036">
        <w:trPr>
          <w:trHeight w:val="254"/>
        </w:trPr>
        <w:tc>
          <w:tcPr>
            <w:tcW w:w="372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2A08D83" w14:textId="77777777" w:rsidR="009175CD" w:rsidRPr="0002537E" w:rsidRDefault="009175CD" w:rsidP="00713036">
            <w:pPr>
              <w:pStyle w:val="ValrieN1"/>
              <w:ind w:left="0"/>
              <w:rPr>
                <w:sz w:val="20"/>
                <w:szCs w:val="20"/>
              </w:rPr>
            </w:pPr>
            <w:r w:rsidRPr="0002537E">
              <w:rPr>
                <w:bCs/>
                <w:sz w:val="20"/>
                <w:szCs w:val="20"/>
              </w:rPr>
              <w:t> </w:t>
            </w:r>
          </w:p>
        </w:tc>
        <w:tc>
          <w:tcPr>
            <w:tcW w:w="15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4618A52" w14:textId="77777777" w:rsidR="009175CD" w:rsidRPr="0002537E" w:rsidRDefault="009175CD" w:rsidP="00713036">
            <w:pPr>
              <w:pStyle w:val="ValrieN1"/>
              <w:ind w:left="0"/>
              <w:rPr>
                <w:sz w:val="20"/>
                <w:szCs w:val="20"/>
              </w:rPr>
            </w:pPr>
            <w:r w:rsidRPr="0002537E">
              <w:rPr>
                <w:bCs/>
                <w:sz w:val="20"/>
                <w:szCs w:val="20"/>
              </w:rPr>
              <w:t xml:space="preserve">Production </w:t>
            </w:r>
          </w:p>
        </w:tc>
        <w:tc>
          <w:tcPr>
            <w:tcW w:w="100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D043A51" w14:textId="77777777" w:rsidR="009175CD" w:rsidRPr="0002537E" w:rsidRDefault="009175CD" w:rsidP="00713036">
            <w:pPr>
              <w:pStyle w:val="ValrieN1"/>
              <w:ind w:left="0"/>
              <w:rPr>
                <w:sz w:val="20"/>
                <w:szCs w:val="20"/>
              </w:rPr>
            </w:pPr>
            <w:r w:rsidRPr="0002537E">
              <w:rPr>
                <w:bCs/>
                <w:sz w:val="20"/>
                <w:szCs w:val="20"/>
              </w:rPr>
              <w:t>I</w:t>
            </w:r>
          </w:p>
        </w:tc>
        <w:tc>
          <w:tcPr>
            <w:tcW w:w="11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63DF6B0" w14:textId="77777777" w:rsidR="009175CD" w:rsidRPr="0002537E" w:rsidRDefault="009175CD" w:rsidP="00713036">
            <w:pPr>
              <w:pStyle w:val="ValrieN1"/>
              <w:ind w:left="0"/>
              <w:rPr>
                <w:sz w:val="20"/>
                <w:szCs w:val="20"/>
              </w:rPr>
            </w:pPr>
            <w:r w:rsidRPr="0002537E">
              <w:rPr>
                <w:bCs/>
                <w:sz w:val="20"/>
                <w:szCs w:val="20"/>
              </w:rPr>
              <w:t>Ex</w:t>
            </w:r>
          </w:p>
        </w:tc>
        <w:tc>
          <w:tcPr>
            <w:tcW w:w="1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22D9FCB" w14:textId="77777777" w:rsidR="009175CD" w:rsidRPr="0002537E" w:rsidRDefault="009175CD" w:rsidP="00713036">
            <w:pPr>
              <w:pStyle w:val="ValrieN1"/>
              <w:ind w:left="0"/>
              <w:rPr>
                <w:sz w:val="20"/>
                <w:szCs w:val="20"/>
              </w:rPr>
            </w:pPr>
            <w:r w:rsidRPr="0002537E">
              <w:rPr>
                <w:bCs/>
                <w:sz w:val="20"/>
                <w:szCs w:val="20"/>
              </w:rPr>
              <w:t>Consommation (*)</w:t>
            </w:r>
          </w:p>
        </w:tc>
      </w:tr>
      <w:tr w:rsidR="009175CD" w:rsidRPr="009175CD" w14:paraId="4B915080" w14:textId="77777777" w:rsidTr="00713036">
        <w:trPr>
          <w:trHeight w:val="232"/>
        </w:trPr>
        <w:tc>
          <w:tcPr>
            <w:tcW w:w="372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C95E56C" w14:textId="77777777" w:rsidR="009175CD" w:rsidRPr="0002537E" w:rsidRDefault="009175CD" w:rsidP="00713036">
            <w:pPr>
              <w:pStyle w:val="ValrieN1"/>
              <w:ind w:left="0"/>
              <w:rPr>
                <w:sz w:val="20"/>
                <w:szCs w:val="20"/>
              </w:rPr>
            </w:pPr>
            <w:r w:rsidRPr="0002537E">
              <w:rPr>
                <w:bCs/>
                <w:sz w:val="20"/>
                <w:szCs w:val="20"/>
              </w:rPr>
              <w:t xml:space="preserve">Total </w:t>
            </w:r>
          </w:p>
        </w:tc>
        <w:tc>
          <w:tcPr>
            <w:tcW w:w="15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D8F302E" w14:textId="77777777" w:rsidR="009175CD" w:rsidRPr="0002537E" w:rsidRDefault="009175CD" w:rsidP="00713036">
            <w:pPr>
              <w:pStyle w:val="ValrieN1"/>
              <w:ind w:left="0"/>
              <w:rPr>
                <w:sz w:val="20"/>
                <w:szCs w:val="20"/>
              </w:rPr>
            </w:pPr>
            <w:r w:rsidRPr="0002537E">
              <w:rPr>
                <w:bCs/>
                <w:sz w:val="20"/>
                <w:szCs w:val="20"/>
              </w:rPr>
              <w:t>418</w:t>
            </w:r>
          </w:p>
        </w:tc>
        <w:tc>
          <w:tcPr>
            <w:tcW w:w="100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9384DA5" w14:textId="77777777" w:rsidR="009175CD" w:rsidRPr="0002537E" w:rsidRDefault="009175CD" w:rsidP="00713036">
            <w:pPr>
              <w:pStyle w:val="ValrieN1"/>
              <w:ind w:left="0"/>
              <w:rPr>
                <w:sz w:val="20"/>
                <w:szCs w:val="20"/>
              </w:rPr>
            </w:pPr>
            <w:r w:rsidRPr="0002537E">
              <w:rPr>
                <w:bCs/>
                <w:sz w:val="20"/>
                <w:szCs w:val="20"/>
              </w:rPr>
              <w:t>0,5</w:t>
            </w:r>
          </w:p>
        </w:tc>
        <w:tc>
          <w:tcPr>
            <w:tcW w:w="11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0079339" w14:textId="77777777" w:rsidR="009175CD" w:rsidRPr="0002537E" w:rsidRDefault="009175CD" w:rsidP="00713036">
            <w:pPr>
              <w:pStyle w:val="ValrieN1"/>
              <w:ind w:left="0"/>
              <w:rPr>
                <w:sz w:val="20"/>
                <w:szCs w:val="20"/>
              </w:rPr>
            </w:pPr>
            <w:r w:rsidRPr="0002537E">
              <w:rPr>
                <w:bCs/>
                <w:sz w:val="20"/>
                <w:szCs w:val="20"/>
              </w:rPr>
              <w:t>58</w:t>
            </w:r>
          </w:p>
        </w:tc>
        <w:tc>
          <w:tcPr>
            <w:tcW w:w="1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DA7DB35" w14:textId="77777777" w:rsidR="009175CD" w:rsidRPr="0002537E" w:rsidRDefault="009175CD" w:rsidP="00713036">
            <w:pPr>
              <w:pStyle w:val="ValrieN1"/>
              <w:ind w:left="0"/>
              <w:rPr>
                <w:sz w:val="20"/>
                <w:szCs w:val="20"/>
              </w:rPr>
            </w:pPr>
            <w:r w:rsidRPr="0002537E">
              <w:rPr>
                <w:bCs/>
                <w:sz w:val="20"/>
                <w:szCs w:val="20"/>
              </w:rPr>
              <w:t>360 [324-396]</w:t>
            </w:r>
          </w:p>
        </w:tc>
      </w:tr>
      <w:tr w:rsidR="009175CD" w:rsidRPr="009175CD" w14:paraId="0A5040D3" w14:textId="77777777" w:rsidTr="00713036">
        <w:trPr>
          <w:trHeight w:val="380"/>
        </w:trPr>
        <w:tc>
          <w:tcPr>
            <w:tcW w:w="372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0CA2CF2" w14:textId="305BDF66" w:rsidR="009175CD" w:rsidRPr="00713036" w:rsidRDefault="009175CD" w:rsidP="00713036">
            <w:pPr>
              <w:pStyle w:val="ValrieN1"/>
              <w:ind w:left="0"/>
              <w:rPr>
                <w:b w:val="0"/>
                <w:sz w:val="20"/>
                <w:szCs w:val="20"/>
              </w:rPr>
            </w:pPr>
            <w:r w:rsidRPr="00713036">
              <w:rPr>
                <w:b w:val="0"/>
                <w:sz w:val="20"/>
                <w:szCs w:val="20"/>
              </w:rPr>
              <w:t xml:space="preserve">Epaules brutes frais ou réfrigérées </w:t>
            </w:r>
            <w:r w:rsidR="00603472">
              <w:rPr>
                <w:b w:val="0"/>
                <w:sz w:val="20"/>
                <w:szCs w:val="20"/>
              </w:rPr>
              <w:t>(*)</w:t>
            </w:r>
          </w:p>
        </w:tc>
        <w:tc>
          <w:tcPr>
            <w:tcW w:w="154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72B0FB7" w14:textId="77777777" w:rsidR="009175CD" w:rsidRPr="00713036" w:rsidRDefault="009175CD" w:rsidP="00713036">
            <w:pPr>
              <w:pStyle w:val="ValrieN1"/>
              <w:ind w:left="0"/>
              <w:rPr>
                <w:b w:val="0"/>
                <w:sz w:val="20"/>
                <w:szCs w:val="20"/>
              </w:rPr>
            </w:pPr>
            <w:r w:rsidRPr="00713036">
              <w:rPr>
                <w:b w:val="0"/>
                <w:bCs/>
                <w:sz w:val="20"/>
                <w:szCs w:val="20"/>
              </w:rPr>
              <w:t>266</w:t>
            </w:r>
          </w:p>
        </w:tc>
        <w:tc>
          <w:tcPr>
            <w:tcW w:w="100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A06A41E" w14:textId="77777777" w:rsidR="009175CD" w:rsidRPr="00713036" w:rsidRDefault="009175CD" w:rsidP="00713036">
            <w:pPr>
              <w:pStyle w:val="ValrieN1"/>
              <w:ind w:left="0"/>
              <w:rPr>
                <w:b w:val="0"/>
                <w:sz w:val="20"/>
                <w:szCs w:val="20"/>
              </w:rPr>
            </w:pPr>
            <w:r w:rsidRPr="00713036">
              <w:rPr>
                <w:b w:val="0"/>
                <w:bCs/>
                <w:sz w:val="20"/>
                <w:szCs w:val="20"/>
              </w:rPr>
              <w:t>0,3</w:t>
            </w:r>
          </w:p>
        </w:tc>
        <w:tc>
          <w:tcPr>
            <w:tcW w:w="118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BD2D510" w14:textId="77777777" w:rsidR="009175CD" w:rsidRPr="00713036" w:rsidRDefault="009175CD" w:rsidP="00713036">
            <w:pPr>
              <w:pStyle w:val="ValrieN1"/>
              <w:ind w:left="0"/>
              <w:rPr>
                <w:b w:val="0"/>
                <w:sz w:val="20"/>
                <w:szCs w:val="20"/>
              </w:rPr>
            </w:pPr>
            <w:r w:rsidRPr="00713036">
              <w:rPr>
                <w:b w:val="0"/>
                <w:bCs/>
                <w:sz w:val="20"/>
                <w:szCs w:val="20"/>
              </w:rPr>
              <w:t>44</w:t>
            </w:r>
          </w:p>
        </w:tc>
        <w:tc>
          <w:tcPr>
            <w:tcW w:w="198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2448933" w14:textId="141272DF" w:rsidR="009175CD" w:rsidRPr="00713036" w:rsidRDefault="009175CD" w:rsidP="00713036">
            <w:pPr>
              <w:pStyle w:val="ValrieN1"/>
              <w:ind w:left="0"/>
              <w:rPr>
                <w:b w:val="0"/>
                <w:sz w:val="20"/>
                <w:szCs w:val="20"/>
              </w:rPr>
            </w:pPr>
            <w:r w:rsidRPr="00713036">
              <w:rPr>
                <w:b w:val="0"/>
                <w:bCs/>
                <w:sz w:val="20"/>
                <w:szCs w:val="20"/>
              </w:rPr>
              <w:t xml:space="preserve">205 [185 </w:t>
            </w:r>
            <w:r w:rsidR="00B621B9">
              <w:rPr>
                <w:b w:val="0"/>
                <w:bCs/>
                <w:sz w:val="20"/>
                <w:szCs w:val="20"/>
              </w:rPr>
              <w:t>–</w:t>
            </w:r>
            <w:r w:rsidRPr="00713036">
              <w:rPr>
                <w:b w:val="0"/>
                <w:bCs/>
                <w:sz w:val="20"/>
                <w:szCs w:val="20"/>
              </w:rPr>
              <w:t xml:space="preserve"> 226]  </w:t>
            </w:r>
          </w:p>
        </w:tc>
      </w:tr>
      <w:tr w:rsidR="009175CD" w:rsidRPr="009175CD" w14:paraId="737A772C" w14:textId="77777777" w:rsidTr="00713036">
        <w:trPr>
          <w:trHeight w:val="230"/>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3D38338" w14:textId="20D7A724" w:rsidR="009175CD" w:rsidRPr="00713036" w:rsidRDefault="009175CD" w:rsidP="00713036">
            <w:pPr>
              <w:pStyle w:val="ValrieN1"/>
              <w:ind w:left="0"/>
              <w:rPr>
                <w:b w:val="0"/>
                <w:sz w:val="20"/>
                <w:szCs w:val="20"/>
              </w:rPr>
            </w:pPr>
            <w:r w:rsidRPr="00713036">
              <w:rPr>
                <w:b w:val="0"/>
                <w:sz w:val="20"/>
                <w:szCs w:val="20"/>
              </w:rPr>
              <w:t xml:space="preserve">Epaules brutes congelées </w:t>
            </w:r>
            <w:r w:rsidR="00603472">
              <w:rPr>
                <w:b w:val="0"/>
                <w:sz w:val="20"/>
                <w:szCs w:val="20"/>
              </w:rPr>
              <w:t>(*)</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5DC766" w14:textId="77777777" w:rsidR="009175CD" w:rsidRPr="00713036" w:rsidRDefault="009175CD" w:rsidP="00713036">
            <w:pPr>
              <w:pStyle w:val="ValrieN1"/>
              <w:ind w:left="0"/>
              <w:rPr>
                <w:b w:val="0"/>
                <w:sz w:val="20"/>
                <w:szCs w:val="20"/>
              </w:rPr>
            </w:pPr>
            <w:r w:rsidRPr="00713036">
              <w:rPr>
                <w:b w:val="0"/>
                <w:bCs/>
                <w:sz w:val="20"/>
                <w:szCs w:val="20"/>
              </w:rPr>
              <w:t>152</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CB7558B" w14:textId="77777777" w:rsidR="009175CD" w:rsidRPr="00713036" w:rsidRDefault="009175CD" w:rsidP="00713036">
            <w:pPr>
              <w:pStyle w:val="ValrieN1"/>
              <w:ind w:left="0"/>
              <w:rPr>
                <w:b w:val="0"/>
                <w:sz w:val="20"/>
                <w:szCs w:val="20"/>
              </w:rPr>
            </w:pPr>
            <w:r w:rsidRPr="00713036">
              <w:rPr>
                <w:b w:val="0"/>
                <w:bCs/>
                <w:sz w:val="20"/>
                <w:szCs w:val="20"/>
              </w:rPr>
              <w:t>0,1</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05985E4" w14:textId="77777777" w:rsidR="009175CD" w:rsidRPr="00713036" w:rsidRDefault="009175CD" w:rsidP="00713036">
            <w:pPr>
              <w:pStyle w:val="ValrieN1"/>
              <w:ind w:left="0"/>
              <w:rPr>
                <w:b w:val="0"/>
                <w:sz w:val="20"/>
                <w:szCs w:val="20"/>
              </w:rPr>
            </w:pPr>
            <w:r w:rsidRPr="00713036">
              <w:rPr>
                <w:b w:val="0"/>
                <w:bCs/>
                <w:sz w:val="20"/>
                <w:szCs w:val="20"/>
              </w:rPr>
              <w:t>14</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5727835" w14:textId="77777777" w:rsidR="009175CD" w:rsidRPr="00713036" w:rsidRDefault="009175CD" w:rsidP="00713036">
            <w:pPr>
              <w:pStyle w:val="ValrieN1"/>
              <w:ind w:left="0"/>
              <w:rPr>
                <w:b w:val="0"/>
                <w:sz w:val="20"/>
                <w:szCs w:val="20"/>
              </w:rPr>
            </w:pPr>
            <w:r w:rsidRPr="00713036">
              <w:rPr>
                <w:b w:val="0"/>
                <w:bCs/>
                <w:sz w:val="20"/>
                <w:szCs w:val="20"/>
              </w:rPr>
              <w:t>127 [114 -140]</w:t>
            </w:r>
          </w:p>
        </w:tc>
      </w:tr>
      <w:tr w:rsidR="009175CD" w:rsidRPr="009175CD" w14:paraId="6D03509B" w14:textId="77777777" w:rsidTr="00713036">
        <w:trPr>
          <w:trHeight w:val="405"/>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F0AAD79" w14:textId="77777777" w:rsidR="009175CD" w:rsidRPr="00713036" w:rsidRDefault="009175CD" w:rsidP="00713036">
            <w:pPr>
              <w:pStyle w:val="ValrieN1"/>
              <w:ind w:left="0"/>
              <w:rPr>
                <w:b w:val="0"/>
                <w:sz w:val="20"/>
                <w:szCs w:val="20"/>
              </w:rPr>
            </w:pPr>
            <w:r w:rsidRPr="00713036">
              <w:rPr>
                <w:b w:val="0"/>
                <w:bCs/>
                <w:sz w:val="20"/>
                <w:szCs w:val="20"/>
              </w:rPr>
              <w:t>Gras de couenne, autres gras</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7ADB8DA"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E993805"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706F3D4"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980"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0C4E7F5" w14:textId="77777777" w:rsidR="009175CD" w:rsidRPr="00713036" w:rsidRDefault="009175CD" w:rsidP="00713036">
            <w:pPr>
              <w:pStyle w:val="ValrieN1"/>
              <w:ind w:left="0"/>
              <w:rPr>
                <w:b w:val="0"/>
                <w:sz w:val="20"/>
                <w:szCs w:val="20"/>
              </w:rPr>
            </w:pPr>
            <w:r w:rsidRPr="00713036">
              <w:rPr>
                <w:b w:val="0"/>
                <w:bCs/>
                <w:i/>
                <w:iCs/>
                <w:sz w:val="20"/>
                <w:szCs w:val="20"/>
              </w:rPr>
              <w:t>20 [18-22]</w:t>
            </w:r>
          </w:p>
        </w:tc>
      </w:tr>
      <w:tr w:rsidR="009175CD" w:rsidRPr="009175CD" w14:paraId="39E03E75" w14:textId="77777777" w:rsidTr="00713036">
        <w:trPr>
          <w:trHeight w:val="323"/>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3849C3" w14:textId="77777777" w:rsidR="009175CD" w:rsidRPr="00713036" w:rsidRDefault="009175CD" w:rsidP="00713036">
            <w:pPr>
              <w:pStyle w:val="ValrieN1"/>
              <w:ind w:left="0"/>
              <w:rPr>
                <w:b w:val="0"/>
                <w:sz w:val="20"/>
                <w:szCs w:val="20"/>
              </w:rPr>
            </w:pPr>
            <w:r w:rsidRPr="00713036">
              <w:rPr>
                <w:b w:val="0"/>
                <w:bCs/>
                <w:sz w:val="20"/>
                <w:szCs w:val="20"/>
              </w:rPr>
              <w:t>Freinte, minerai</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17296A2"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0981B1"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BC15006"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27BF3C" w14:textId="77777777" w:rsidR="009175CD" w:rsidRPr="00713036" w:rsidRDefault="009175CD" w:rsidP="00713036">
            <w:pPr>
              <w:pStyle w:val="ValrieN1"/>
              <w:ind w:left="0"/>
              <w:rPr>
                <w:b w:val="0"/>
                <w:sz w:val="20"/>
                <w:szCs w:val="20"/>
              </w:rPr>
            </w:pPr>
          </w:p>
        </w:tc>
      </w:tr>
      <w:tr w:rsidR="009175CD" w:rsidRPr="009175CD" w14:paraId="622E7A0A" w14:textId="77777777" w:rsidTr="00713036">
        <w:trPr>
          <w:trHeight w:val="186"/>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AC8EA4A" w14:textId="77777777" w:rsidR="009175CD" w:rsidRPr="00713036" w:rsidRDefault="009175CD" w:rsidP="00713036">
            <w:pPr>
              <w:pStyle w:val="ValrieN1"/>
              <w:ind w:left="0"/>
              <w:rPr>
                <w:b w:val="0"/>
                <w:sz w:val="20"/>
                <w:szCs w:val="20"/>
              </w:rPr>
            </w:pPr>
            <w:r w:rsidRPr="00713036">
              <w:rPr>
                <w:b w:val="0"/>
                <w:bCs/>
                <w:sz w:val="20"/>
                <w:szCs w:val="20"/>
              </w:rPr>
              <w:t>Exsudat (2%)</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8D10647"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5EAB320"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7E6AA97" w14:textId="77777777" w:rsidR="009175CD" w:rsidRPr="00713036" w:rsidRDefault="009175CD" w:rsidP="00713036">
            <w:pPr>
              <w:pStyle w:val="ValrieN1"/>
              <w:ind w:left="0"/>
              <w:rPr>
                <w:b w:val="0"/>
                <w:sz w:val="20"/>
                <w:szCs w:val="20"/>
              </w:rPr>
            </w:pPr>
            <w:r w:rsidRPr="00713036">
              <w:rPr>
                <w:b w:val="0"/>
                <w:bCs/>
                <w:i/>
                <w:iCs/>
                <w:sz w:val="20"/>
                <w:szCs w:val="20"/>
              </w:rPr>
              <w:t>_</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72B4623" w14:textId="77777777" w:rsidR="009175CD" w:rsidRPr="00713036" w:rsidRDefault="009175CD" w:rsidP="00713036">
            <w:pPr>
              <w:pStyle w:val="ValrieN1"/>
              <w:ind w:left="0"/>
              <w:rPr>
                <w:b w:val="0"/>
                <w:sz w:val="20"/>
                <w:szCs w:val="20"/>
              </w:rPr>
            </w:pPr>
            <w:r w:rsidRPr="00713036">
              <w:rPr>
                <w:b w:val="0"/>
                <w:bCs/>
                <w:sz w:val="20"/>
                <w:szCs w:val="20"/>
              </w:rPr>
              <w:t>8 [7-9]</w:t>
            </w:r>
          </w:p>
        </w:tc>
      </w:tr>
    </w:tbl>
    <w:p w14:paraId="3B4BD81A" w14:textId="2BA3A579" w:rsidR="008279D3" w:rsidRPr="00713036" w:rsidRDefault="009175CD" w:rsidP="00713036">
      <w:pPr>
        <w:pStyle w:val="ValrieN1"/>
        <w:spacing w:after="0"/>
        <w:ind w:left="0"/>
        <w:jc w:val="center"/>
        <w:rPr>
          <w:b w:val="0"/>
          <w:i/>
          <w:sz w:val="20"/>
          <w:szCs w:val="20"/>
        </w:rPr>
      </w:pPr>
      <w:r w:rsidRPr="00713036">
        <w:rPr>
          <w:b w:val="0"/>
          <w:i/>
          <w:sz w:val="20"/>
          <w:szCs w:val="20"/>
        </w:rPr>
        <w:t xml:space="preserve">(*) </w:t>
      </w:r>
      <w:r w:rsidRPr="00713036">
        <w:rPr>
          <w:b w:val="0"/>
          <w:i/>
          <w:iCs/>
          <w:sz w:val="20"/>
          <w:szCs w:val="20"/>
        </w:rPr>
        <w:t>Epaule brute sans pied (</w:t>
      </w:r>
      <w:r w:rsidRPr="00713036">
        <w:rPr>
          <w:b w:val="0"/>
          <w:i/>
          <w:iCs/>
          <w:sz w:val="20"/>
          <w:szCs w:val="20"/>
          <w:u w:val="single"/>
        </w:rPr>
        <w:t>avec cotis, avec jarret avant</w:t>
      </w:r>
      <w:r w:rsidRPr="00713036">
        <w:rPr>
          <w:b w:val="0"/>
          <w:i/>
          <w:iCs/>
          <w:sz w:val="20"/>
          <w:szCs w:val="20"/>
        </w:rPr>
        <w:t>) et gorge avec couenne</w:t>
      </w:r>
      <w:r w:rsidR="00655DE7">
        <w:rPr>
          <w:b w:val="0"/>
          <w:i/>
          <w:iCs/>
          <w:sz w:val="20"/>
          <w:szCs w:val="20"/>
        </w:rPr>
        <w:t>.</w:t>
      </w:r>
    </w:p>
    <w:p w14:paraId="1DE5873A" w14:textId="52547F7C" w:rsidR="008279D3" w:rsidRDefault="009175CD" w:rsidP="0002537E">
      <w:pPr>
        <w:pStyle w:val="figure"/>
      </w:pPr>
      <w:bookmarkStart w:id="373" w:name="_Toc72143424"/>
      <w:r w:rsidRPr="00926407">
        <w:t xml:space="preserve">Tableau </w:t>
      </w:r>
      <w:r w:rsidR="00E27D6E">
        <w:fldChar w:fldCharType="begin"/>
      </w:r>
      <w:r w:rsidR="00E27D6E">
        <w:instrText xml:space="preserve"> SEQ Tableau \* ARABIC </w:instrText>
      </w:r>
      <w:r w:rsidR="00E27D6E">
        <w:fldChar w:fldCharType="separate"/>
      </w:r>
      <w:r w:rsidR="0007597F">
        <w:rPr>
          <w:noProof/>
        </w:rPr>
        <w:t>77</w:t>
      </w:r>
      <w:r w:rsidR="00E27D6E">
        <w:rPr>
          <w:noProof/>
        </w:rPr>
        <w:fldChar w:fldCharType="end"/>
      </w:r>
      <w:r w:rsidR="007538FF">
        <w:t xml:space="preserve"> : </w:t>
      </w:r>
      <w:r w:rsidR="001C25D4" w:rsidRPr="00A50150">
        <w:t xml:space="preserve">Représentation tableau emploi ressource </w:t>
      </w:r>
      <w:r w:rsidR="001C25D4">
        <w:t>à destination de la formation d’épaule en équivalent pièce</w:t>
      </w:r>
      <w:r w:rsidR="001C25D4" w:rsidRPr="00A50150">
        <w:t xml:space="preserve"> primaire</w:t>
      </w:r>
      <w:bookmarkEnd w:id="373"/>
    </w:p>
    <w:p w14:paraId="2BE8A720" w14:textId="370CEEE1" w:rsidR="008B74A0" w:rsidRDefault="00B85557" w:rsidP="0002537E">
      <w:pPr>
        <w:pStyle w:val="Titre3"/>
        <w:spacing w:before="240"/>
      </w:pPr>
      <w:bookmarkStart w:id="374" w:name="_Toc78131690"/>
      <w:r>
        <w:t>2.</w:t>
      </w:r>
      <w:r w:rsidR="00D80D25">
        <w:t>3</w:t>
      </w:r>
      <w:r>
        <w:t>.</w:t>
      </w:r>
      <w:r w:rsidR="00D80D25">
        <w:t>2</w:t>
      </w:r>
      <w:r>
        <w:t xml:space="preserve">. </w:t>
      </w:r>
      <w:r w:rsidRPr="00F93328">
        <w:t>D</w:t>
      </w:r>
      <w:r>
        <w:t>e</w:t>
      </w:r>
      <w:r w:rsidRPr="00F93328">
        <w:t>s</w:t>
      </w:r>
      <w:r>
        <w:t xml:space="preserve">tination </w:t>
      </w:r>
      <w:r w:rsidR="00D80D25">
        <w:t xml:space="preserve">des </w:t>
      </w:r>
      <w:r w:rsidR="00D80D25" w:rsidRPr="00A06B55">
        <w:rPr>
          <w:rFonts w:eastAsiaTheme="minorEastAsia"/>
        </w:rPr>
        <w:t xml:space="preserve">pièces parées, muscles parés (eq. </w:t>
      </w:r>
      <w:r w:rsidR="003526E7">
        <w:rPr>
          <w:rFonts w:eastAsiaTheme="minorEastAsia"/>
        </w:rPr>
        <w:t>p</w:t>
      </w:r>
      <w:r w:rsidR="00D80D25" w:rsidRPr="00A06B55">
        <w:rPr>
          <w:rFonts w:eastAsiaTheme="minorEastAsia"/>
        </w:rPr>
        <w:t>ièces secondaires)</w:t>
      </w:r>
      <w:bookmarkEnd w:id="374"/>
      <w:r w:rsidR="00D80D25">
        <w:rPr>
          <w:rFonts w:eastAsiaTheme="minorEastAsia"/>
        </w:rPr>
        <w:t xml:space="preserve"> </w:t>
      </w:r>
    </w:p>
    <w:p w14:paraId="6613A662" w14:textId="48958327" w:rsidR="008B74A0" w:rsidRDefault="008B74A0" w:rsidP="0066746F">
      <w:r w:rsidRPr="00713036">
        <w:t>Le</w:t>
      </w:r>
      <w:r w:rsidR="00D80D25">
        <w:t xml:space="preserve"> total</w:t>
      </w:r>
      <w:r w:rsidRPr="00713036">
        <w:t xml:space="preserve"> disponible à la consommation en pièces issues d’épaule brute </w:t>
      </w:r>
      <w:r w:rsidR="00D80D25">
        <w:t xml:space="preserve">en sortie de découpe secondaire </w:t>
      </w:r>
      <w:r w:rsidRPr="00713036">
        <w:t xml:space="preserve">est d’environ </w:t>
      </w:r>
      <w:r w:rsidR="00CE7057">
        <w:t>250</w:t>
      </w:r>
      <w:r w:rsidR="00C061E4">
        <w:t> </w:t>
      </w:r>
      <w:r>
        <w:t>kt</w:t>
      </w:r>
      <w:r w:rsidRPr="00A06B55">
        <w:t>.</w:t>
      </w:r>
    </w:p>
    <w:p w14:paraId="48017F43" w14:textId="60C81F65" w:rsidR="00F216B6" w:rsidRDefault="00F216B6" w:rsidP="0066746F">
      <w:pPr>
        <w:rPr>
          <w:lang w:eastAsia="fr-FR"/>
        </w:rPr>
      </w:pPr>
      <w:r w:rsidRPr="0002537E">
        <w:rPr>
          <w:lang w:eastAsia="fr-FR"/>
        </w:rPr>
        <w:t>Les volumes d’importation d</w:t>
      </w:r>
      <w:r>
        <w:rPr>
          <w:lang w:eastAsia="fr-FR"/>
        </w:rPr>
        <w:t>’environ</w:t>
      </w:r>
      <w:r w:rsidRPr="0002537E">
        <w:rPr>
          <w:lang w:eastAsia="fr-FR"/>
        </w:rPr>
        <w:t xml:space="preserve"> </w:t>
      </w:r>
      <w:r w:rsidR="00CE7057">
        <w:rPr>
          <w:lang w:eastAsia="fr-FR"/>
        </w:rPr>
        <w:t>24</w:t>
      </w:r>
      <w:r w:rsidRPr="0002537E">
        <w:rPr>
          <w:lang w:eastAsia="fr-FR"/>
        </w:rPr>
        <w:t xml:space="preserve"> kt sont à rapprocher des importations des pièces primaires </w:t>
      </w:r>
      <w:r w:rsidR="00CE7057">
        <w:rPr>
          <w:lang w:eastAsia="fr-FR"/>
        </w:rPr>
        <w:t xml:space="preserve">incluant les épaules </w:t>
      </w:r>
      <w:r w:rsidRPr="0002537E">
        <w:rPr>
          <w:lang w:eastAsia="fr-FR"/>
        </w:rPr>
        <w:t>(0203121</w:t>
      </w:r>
      <w:r>
        <w:rPr>
          <w:lang w:eastAsia="fr-FR"/>
        </w:rPr>
        <w:t>9</w:t>
      </w:r>
      <w:r w:rsidRPr="0002537E">
        <w:rPr>
          <w:lang w:eastAsia="fr-FR"/>
        </w:rPr>
        <w:t xml:space="preserve"> et 0203221</w:t>
      </w:r>
      <w:r>
        <w:rPr>
          <w:lang w:eastAsia="fr-FR"/>
        </w:rPr>
        <w:t>9</w:t>
      </w:r>
      <w:r w:rsidRPr="0002537E">
        <w:rPr>
          <w:lang w:eastAsia="fr-FR"/>
        </w:rPr>
        <w:t xml:space="preserve"> ; </w:t>
      </w:r>
      <w:r>
        <w:rPr>
          <w:lang w:eastAsia="fr-FR"/>
        </w:rPr>
        <w:t>épaules fraîches</w:t>
      </w:r>
      <w:r w:rsidRPr="0002537E">
        <w:rPr>
          <w:lang w:eastAsia="fr-FR"/>
        </w:rPr>
        <w:t xml:space="preserve"> et </w:t>
      </w:r>
      <w:r>
        <w:rPr>
          <w:lang w:eastAsia="fr-FR"/>
        </w:rPr>
        <w:t>épaules</w:t>
      </w:r>
      <w:r w:rsidRPr="0002537E">
        <w:rPr>
          <w:lang w:eastAsia="fr-FR"/>
        </w:rPr>
        <w:t xml:space="preserve"> </w:t>
      </w:r>
      <w:r>
        <w:rPr>
          <w:lang w:eastAsia="fr-FR"/>
        </w:rPr>
        <w:t>congelées</w:t>
      </w:r>
      <w:r w:rsidRPr="0002537E">
        <w:rPr>
          <w:lang w:eastAsia="fr-FR"/>
        </w:rPr>
        <w:t>)</w:t>
      </w:r>
      <w:r w:rsidR="00CE7057">
        <w:rPr>
          <w:lang w:eastAsia="fr-FR"/>
        </w:rPr>
        <w:t xml:space="preserve"> et les parties avant (02031911 et 02032911</w:t>
      </w:r>
      <w:r w:rsidR="00F63066">
        <w:rPr>
          <w:lang w:eastAsia="fr-FR"/>
        </w:rPr>
        <w:t xml:space="preserve"> </w:t>
      </w:r>
      <w:r w:rsidR="00CE7057">
        <w:rPr>
          <w:lang w:eastAsia="fr-FR"/>
        </w:rPr>
        <w:t>; partie avant fraîche et partie avant congelée)</w:t>
      </w:r>
      <w:r w:rsidRPr="0002537E">
        <w:rPr>
          <w:lang w:eastAsia="fr-FR"/>
        </w:rPr>
        <w:t>.</w:t>
      </w:r>
      <w:r w:rsidR="00184B99">
        <w:rPr>
          <w:lang w:eastAsia="fr-FR"/>
        </w:rPr>
        <w:t xml:space="preserve"> Quant</w:t>
      </w:r>
      <w:r>
        <w:rPr>
          <w:lang w:eastAsia="fr-FR"/>
        </w:rPr>
        <w:t xml:space="preserve"> </w:t>
      </w:r>
      <w:r w:rsidR="00184B99">
        <w:rPr>
          <w:lang w:eastAsia="fr-FR"/>
        </w:rPr>
        <w:t>aux</w:t>
      </w:r>
      <w:r>
        <w:rPr>
          <w:lang w:eastAsia="fr-FR"/>
        </w:rPr>
        <w:t xml:space="preserve"> volumes d’exportation</w:t>
      </w:r>
      <w:r w:rsidR="00184B99">
        <w:rPr>
          <w:lang w:eastAsia="fr-FR"/>
        </w:rPr>
        <w:t>, au regard d’une production excédentaire en épaule, il a été estimé à dire d’expert que la fraction de désossé exportée correspond à de l’épaule pour 68</w:t>
      </w:r>
      <w:r>
        <w:rPr>
          <w:lang w:eastAsia="fr-FR"/>
        </w:rPr>
        <w:t xml:space="preserve"> kt (02031955 et 02032955 ; désossé frais et désossé congelé).</w:t>
      </w:r>
      <w:r w:rsidR="00641496">
        <w:rPr>
          <w:lang w:eastAsia="fr-FR"/>
        </w:rPr>
        <w:t xml:space="preserve"> Cependant, ces données sont fragiles puisque des informations à dire d’expert ont également indiqué une possible exportation de poitrine qui est naturellement désossée. Il s’agit en conséquence de premiers éléments qui nécessitent</w:t>
      </w:r>
      <w:r w:rsidR="00603472">
        <w:rPr>
          <w:lang w:eastAsia="fr-FR"/>
        </w:rPr>
        <w:t xml:space="preserve"> d’être confortés</w:t>
      </w:r>
      <w:r w:rsidR="00641496">
        <w:rPr>
          <w:lang w:eastAsia="fr-FR"/>
        </w:rPr>
        <w:t>.</w:t>
      </w:r>
    </w:p>
    <w:p w14:paraId="421FD82A" w14:textId="20FCCC94" w:rsidR="00184B99" w:rsidRPr="00641496" w:rsidRDefault="00D80D25" w:rsidP="0066746F">
      <w:pPr>
        <w:rPr>
          <w:bCs/>
          <w:lang w:eastAsia="fr-FR"/>
        </w:rPr>
      </w:pPr>
      <w:r>
        <w:rPr>
          <w:bCs/>
          <w:lang w:eastAsia="fr-FR"/>
        </w:rPr>
        <w:t>Les incertitudes en entrée de tableau sont de 10</w:t>
      </w:r>
      <w:r w:rsidR="00C061E4">
        <w:rPr>
          <w:bCs/>
          <w:lang w:eastAsia="fr-FR"/>
        </w:rPr>
        <w:t> </w:t>
      </w:r>
      <w:r>
        <w:rPr>
          <w:bCs/>
          <w:lang w:eastAsia="fr-FR"/>
        </w:rPr>
        <w:t>% et de 20</w:t>
      </w:r>
      <w:r w:rsidR="00C061E4">
        <w:rPr>
          <w:bCs/>
          <w:lang w:eastAsia="fr-FR"/>
        </w:rPr>
        <w:t> </w:t>
      </w:r>
      <w:r>
        <w:rPr>
          <w:bCs/>
          <w:lang w:eastAsia="fr-FR"/>
        </w:rPr>
        <w:t>% en sortie compte tenu des source</w:t>
      </w:r>
      <w:r w:rsidR="00516F09">
        <w:rPr>
          <w:bCs/>
          <w:lang w:eastAsia="fr-FR"/>
        </w:rPr>
        <w:t>s</w:t>
      </w:r>
      <w:r>
        <w:rPr>
          <w:bCs/>
          <w:lang w:eastAsia="fr-FR"/>
        </w:rPr>
        <w:t xml:space="preserve"> de données et des modes d’estimation.</w:t>
      </w:r>
    </w:p>
    <w:tbl>
      <w:tblPr>
        <w:tblW w:w="9209" w:type="dxa"/>
        <w:tblCellMar>
          <w:left w:w="0" w:type="dxa"/>
          <w:right w:w="0" w:type="dxa"/>
        </w:tblCellMar>
        <w:tblLook w:val="0600" w:firstRow="0" w:lastRow="0" w:firstColumn="0" w:lastColumn="0" w:noHBand="1" w:noVBand="1"/>
      </w:tblPr>
      <w:tblGrid>
        <w:gridCol w:w="3256"/>
        <w:gridCol w:w="1417"/>
        <w:gridCol w:w="1276"/>
        <w:gridCol w:w="992"/>
        <w:gridCol w:w="2268"/>
      </w:tblGrid>
      <w:tr w:rsidR="008B74A0" w:rsidRPr="008B74A0" w14:paraId="25442E1D" w14:textId="77777777" w:rsidTr="0002537E">
        <w:trPr>
          <w:trHeight w:val="292"/>
        </w:trPr>
        <w:tc>
          <w:tcPr>
            <w:tcW w:w="325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98C2954" w14:textId="0CB35FBF" w:rsidR="008B74A0" w:rsidRPr="00713036" w:rsidRDefault="008B74A0" w:rsidP="0002537E">
            <w:pPr>
              <w:pStyle w:val="ValrieN1"/>
              <w:spacing w:after="0" w:line="240" w:lineRule="auto"/>
              <w:ind w:left="-16"/>
              <w:rPr>
                <w:sz w:val="20"/>
                <w:szCs w:val="20"/>
              </w:rPr>
            </w:pPr>
            <w:r w:rsidRPr="00713036">
              <w:rPr>
                <w:bCs/>
                <w:sz w:val="20"/>
                <w:szCs w:val="20"/>
              </w:rPr>
              <w:lastRenderedPageBreak/>
              <w:t>Libellé</w:t>
            </w: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11A5940" w14:textId="765F8178" w:rsidR="008B74A0" w:rsidRPr="00713036" w:rsidRDefault="008B74A0" w:rsidP="0002537E">
            <w:pPr>
              <w:pStyle w:val="ValrieN1"/>
              <w:spacing w:after="0" w:line="240" w:lineRule="auto"/>
              <w:ind w:left="-16"/>
              <w:jc w:val="center"/>
              <w:rPr>
                <w:sz w:val="20"/>
                <w:szCs w:val="20"/>
              </w:rPr>
            </w:pPr>
            <w:r w:rsidRPr="00713036">
              <w:rPr>
                <w:bCs/>
                <w:sz w:val="20"/>
                <w:szCs w:val="20"/>
              </w:rPr>
              <w:t>Production</w:t>
            </w:r>
          </w:p>
        </w:tc>
        <w:tc>
          <w:tcPr>
            <w:tcW w:w="127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ADECF02" w14:textId="77777777" w:rsidR="008B74A0" w:rsidRPr="00713036" w:rsidRDefault="008B74A0" w:rsidP="0002537E">
            <w:pPr>
              <w:pStyle w:val="ValrieN1"/>
              <w:spacing w:after="0" w:line="240" w:lineRule="auto"/>
              <w:ind w:left="-16"/>
              <w:jc w:val="center"/>
              <w:rPr>
                <w:sz w:val="20"/>
                <w:szCs w:val="20"/>
              </w:rPr>
            </w:pPr>
            <w:r w:rsidRPr="00713036">
              <w:rPr>
                <w:bCs/>
                <w:sz w:val="20"/>
                <w:szCs w:val="20"/>
              </w:rPr>
              <w:t>I</w:t>
            </w:r>
          </w:p>
        </w:tc>
        <w:tc>
          <w:tcPr>
            <w:tcW w:w="99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0B842C9" w14:textId="77777777" w:rsidR="008B74A0" w:rsidRPr="00713036" w:rsidRDefault="008B74A0" w:rsidP="0002537E">
            <w:pPr>
              <w:pStyle w:val="ValrieN1"/>
              <w:spacing w:after="0" w:line="240" w:lineRule="auto"/>
              <w:ind w:left="-16"/>
              <w:jc w:val="center"/>
              <w:rPr>
                <w:sz w:val="20"/>
                <w:szCs w:val="20"/>
              </w:rPr>
            </w:pPr>
            <w:r w:rsidRPr="00713036">
              <w:rPr>
                <w:bCs/>
                <w:sz w:val="20"/>
                <w:szCs w:val="20"/>
              </w:rPr>
              <w:t>Ex</w:t>
            </w:r>
          </w:p>
        </w:tc>
        <w:tc>
          <w:tcPr>
            <w:tcW w:w="226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7E708A9" w14:textId="33B150B0" w:rsidR="008B74A0" w:rsidRPr="00713036" w:rsidRDefault="008B74A0" w:rsidP="0002537E">
            <w:pPr>
              <w:pStyle w:val="ValrieN1"/>
              <w:spacing w:after="0" w:line="240" w:lineRule="auto"/>
              <w:ind w:left="-16"/>
              <w:jc w:val="center"/>
              <w:rPr>
                <w:sz w:val="20"/>
                <w:szCs w:val="20"/>
              </w:rPr>
            </w:pPr>
            <w:r w:rsidRPr="00713036">
              <w:rPr>
                <w:bCs/>
                <w:sz w:val="20"/>
                <w:szCs w:val="20"/>
              </w:rPr>
              <w:t>Consommation</w:t>
            </w:r>
          </w:p>
        </w:tc>
      </w:tr>
      <w:tr w:rsidR="008B74A0" w:rsidRPr="008B74A0" w14:paraId="17CF0E8A" w14:textId="77777777" w:rsidTr="0002537E">
        <w:trPr>
          <w:trHeight w:val="270"/>
        </w:trPr>
        <w:tc>
          <w:tcPr>
            <w:tcW w:w="325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3A9C588" w14:textId="6E4FB9F3" w:rsidR="008B74A0" w:rsidRPr="00713036" w:rsidRDefault="008B74A0" w:rsidP="0002537E">
            <w:pPr>
              <w:pStyle w:val="ValrieN1"/>
              <w:spacing w:after="0" w:line="240" w:lineRule="auto"/>
              <w:ind w:left="-16"/>
              <w:rPr>
                <w:sz w:val="20"/>
                <w:szCs w:val="20"/>
              </w:rPr>
            </w:pPr>
            <w:r w:rsidRPr="00713036">
              <w:rPr>
                <w:bCs/>
                <w:sz w:val="20"/>
                <w:szCs w:val="20"/>
              </w:rPr>
              <w:t>Total</w:t>
            </w: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30BD8AE" w14:textId="77777777" w:rsidR="008B74A0" w:rsidRPr="00713036" w:rsidRDefault="008B74A0" w:rsidP="0002537E">
            <w:pPr>
              <w:pStyle w:val="ValrieN1"/>
              <w:spacing w:after="0" w:line="240" w:lineRule="auto"/>
              <w:ind w:left="-16"/>
              <w:jc w:val="center"/>
              <w:rPr>
                <w:sz w:val="20"/>
                <w:szCs w:val="20"/>
              </w:rPr>
            </w:pPr>
            <w:r w:rsidRPr="00713036">
              <w:rPr>
                <w:bCs/>
                <w:sz w:val="20"/>
                <w:szCs w:val="20"/>
              </w:rPr>
              <w:t>332 [299-365]</w:t>
            </w:r>
          </w:p>
        </w:tc>
        <w:tc>
          <w:tcPr>
            <w:tcW w:w="127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8848917" w14:textId="2E6265B5" w:rsidR="008B74A0" w:rsidRPr="00713036" w:rsidRDefault="00700F93" w:rsidP="0002537E">
            <w:pPr>
              <w:pStyle w:val="ValrieN1"/>
              <w:spacing w:after="0" w:line="240" w:lineRule="auto"/>
              <w:ind w:left="-16"/>
              <w:jc w:val="center"/>
              <w:rPr>
                <w:sz w:val="20"/>
                <w:szCs w:val="20"/>
              </w:rPr>
            </w:pPr>
            <w:r>
              <w:rPr>
                <w:bCs/>
                <w:sz w:val="20"/>
                <w:szCs w:val="20"/>
              </w:rPr>
              <w:t>24</w:t>
            </w:r>
          </w:p>
        </w:tc>
        <w:tc>
          <w:tcPr>
            <w:tcW w:w="99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F8C1730" w14:textId="0FE490F9" w:rsidR="008B74A0" w:rsidRPr="00713036" w:rsidRDefault="00700F93" w:rsidP="0002537E">
            <w:pPr>
              <w:pStyle w:val="ValrieN1"/>
              <w:spacing w:after="0" w:line="240" w:lineRule="auto"/>
              <w:ind w:left="-16"/>
              <w:jc w:val="center"/>
              <w:rPr>
                <w:sz w:val="20"/>
                <w:szCs w:val="20"/>
              </w:rPr>
            </w:pPr>
            <w:r>
              <w:rPr>
                <w:bCs/>
                <w:sz w:val="20"/>
                <w:szCs w:val="20"/>
              </w:rPr>
              <w:t>68</w:t>
            </w:r>
          </w:p>
        </w:tc>
        <w:tc>
          <w:tcPr>
            <w:tcW w:w="226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C62727D" w14:textId="1E402B3A" w:rsidR="008B74A0" w:rsidRPr="00713036" w:rsidRDefault="00CE7057" w:rsidP="0002537E">
            <w:pPr>
              <w:pStyle w:val="ValrieN1"/>
              <w:spacing w:after="0" w:line="240" w:lineRule="auto"/>
              <w:ind w:left="-16"/>
              <w:jc w:val="center"/>
              <w:rPr>
                <w:sz w:val="20"/>
                <w:szCs w:val="20"/>
              </w:rPr>
            </w:pPr>
            <w:r>
              <w:rPr>
                <w:bCs/>
                <w:sz w:val="20"/>
                <w:szCs w:val="20"/>
              </w:rPr>
              <w:t>289</w:t>
            </w:r>
            <w:r w:rsidR="008B74A0" w:rsidRPr="00713036">
              <w:rPr>
                <w:bCs/>
                <w:sz w:val="20"/>
                <w:szCs w:val="20"/>
              </w:rPr>
              <w:t xml:space="preserve"> [2</w:t>
            </w:r>
            <w:r>
              <w:rPr>
                <w:bCs/>
                <w:sz w:val="20"/>
                <w:szCs w:val="20"/>
              </w:rPr>
              <w:t>31</w:t>
            </w:r>
            <w:r w:rsidR="008B74A0" w:rsidRPr="00713036">
              <w:rPr>
                <w:bCs/>
                <w:sz w:val="20"/>
                <w:szCs w:val="20"/>
              </w:rPr>
              <w:t>-</w:t>
            </w:r>
            <w:r>
              <w:rPr>
                <w:bCs/>
                <w:sz w:val="20"/>
                <w:szCs w:val="20"/>
              </w:rPr>
              <w:t>347</w:t>
            </w:r>
            <w:r w:rsidR="008B74A0" w:rsidRPr="00713036">
              <w:rPr>
                <w:bCs/>
                <w:sz w:val="20"/>
                <w:szCs w:val="20"/>
              </w:rPr>
              <w:t>]</w:t>
            </w:r>
          </w:p>
        </w:tc>
      </w:tr>
      <w:tr w:rsidR="00DB1679" w:rsidRPr="008B74A0" w14:paraId="2E3BB80F" w14:textId="77777777" w:rsidTr="0002537E">
        <w:trPr>
          <w:trHeight w:val="276"/>
        </w:trPr>
        <w:tc>
          <w:tcPr>
            <w:tcW w:w="3256"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D6D719C" w14:textId="77777777" w:rsidR="00DB1679" w:rsidRPr="00713036" w:rsidRDefault="00DB1679" w:rsidP="0002537E">
            <w:pPr>
              <w:pStyle w:val="ValrieN1"/>
              <w:spacing w:after="0" w:line="240" w:lineRule="auto"/>
              <w:ind w:left="-16"/>
              <w:rPr>
                <w:b w:val="0"/>
                <w:sz w:val="20"/>
                <w:szCs w:val="20"/>
              </w:rPr>
            </w:pPr>
            <w:r w:rsidRPr="00713036">
              <w:rPr>
                <w:b w:val="0"/>
                <w:sz w:val="20"/>
                <w:szCs w:val="20"/>
              </w:rPr>
              <w:t>Epaule 4D</w:t>
            </w:r>
          </w:p>
        </w:tc>
        <w:tc>
          <w:tcPr>
            <w:tcW w:w="1417"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AAC77B0" w14:textId="285B4BEA"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132 [118-145]</w:t>
            </w:r>
          </w:p>
        </w:tc>
        <w:tc>
          <w:tcPr>
            <w:tcW w:w="1276" w:type="dxa"/>
            <w:vMerge w:val="restart"/>
            <w:tcBorders>
              <w:top w:val="single" w:sz="4" w:space="0" w:color="auto"/>
              <w:left w:val="single" w:sz="4" w:space="0" w:color="000000"/>
              <w:right w:val="single" w:sz="4" w:space="0" w:color="000000"/>
            </w:tcBorders>
            <w:shd w:val="clear" w:color="auto" w:fill="auto"/>
            <w:tcMar>
              <w:top w:w="15" w:type="dxa"/>
              <w:left w:w="15" w:type="dxa"/>
              <w:bottom w:w="0" w:type="dxa"/>
              <w:right w:w="15" w:type="dxa"/>
            </w:tcMar>
            <w:vAlign w:val="center"/>
            <w:hideMark/>
          </w:tcPr>
          <w:p w14:paraId="75788B41" w14:textId="1EC70499" w:rsidR="00DB1679" w:rsidRPr="00713036" w:rsidRDefault="00700F93" w:rsidP="0002537E">
            <w:pPr>
              <w:pStyle w:val="ValrieN1"/>
              <w:spacing w:after="0" w:line="240" w:lineRule="auto"/>
              <w:ind w:left="-16"/>
              <w:jc w:val="center"/>
              <w:rPr>
                <w:b w:val="0"/>
                <w:sz w:val="20"/>
                <w:szCs w:val="20"/>
              </w:rPr>
            </w:pPr>
            <w:r>
              <w:rPr>
                <w:b w:val="0"/>
                <w:bCs/>
                <w:sz w:val="20"/>
                <w:szCs w:val="20"/>
              </w:rPr>
              <w:t>24</w:t>
            </w:r>
          </w:p>
        </w:tc>
        <w:tc>
          <w:tcPr>
            <w:tcW w:w="992" w:type="dxa"/>
            <w:vMerge w:val="restart"/>
            <w:tcBorders>
              <w:top w:val="single" w:sz="4" w:space="0" w:color="auto"/>
              <w:left w:val="single" w:sz="4" w:space="0" w:color="000000"/>
              <w:right w:val="single" w:sz="4" w:space="0" w:color="000000"/>
            </w:tcBorders>
            <w:shd w:val="clear" w:color="auto" w:fill="auto"/>
            <w:tcMar>
              <w:top w:w="15" w:type="dxa"/>
              <w:left w:w="15" w:type="dxa"/>
              <w:bottom w:w="0" w:type="dxa"/>
              <w:right w:w="15" w:type="dxa"/>
            </w:tcMar>
            <w:vAlign w:val="center"/>
            <w:hideMark/>
          </w:tcPr>
          <w:p w14:paraId="2C83212B" w14:textId="540821B8" w:rsidR="00DB1679" w:rsidRPr="00713036" w:rsidRDefault="00700F93" w:rsidP="0002537E">
            <w:pPr>
              <w:pStyle w:val="ValrieN1"/>
              <w:spacing w:after="0" w:line="240" w:lineRule="auto"/>
              <w:ind w:left="-16"/>
              <w:jc w:val="center"/>
              <w:rPr>
                <w:b w:val="0"/>
                <w:sz w:val="20"/>
                <w:szCs w:val="20"/>
              </w:rPr>
            </w:pPr>
            <w:r>
              <w:rPr>
                <w:b w:val="0"/>
                <w:bCs/>
                <w:sz w:val="20"/>
                <w:szCs w:val="20"/>
              </w:rPr>
              <w:t>68</w:t>
            </w:r>
          </w:p>
        </w:tc>
        <w:tc>
          <w:tcPr>
            <w:tcW w:w="2268"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D9C3F78" w14:textId="17291E77"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89 [71-107]</w:t>
            </w:r>
          </w:p>
        </w:tc>
      </w:tr>
      <w:tr w:rsidR="00DB1679" w:rsidRPr="008B74A0" w14:paraId="13C57A64" w14:textId="77777777" w:rsidTr="0002537E">
        <w:trPr>
          <w:trHeight w:val="248"/>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410ECA5" w14:textId="77777777" w:rsidR="00DB1679" w:rsidRPr="00713036" w:rsidRDefault="00DB1679" w:rsidP="0002537E">
            <w:pPr>
              <w:pStyle w:val="ValrieN1"/>
              <w:spacing w:after="0" w:line="240" w:lineRule="auto"/>
              <w:ind w:left="-16"/>
              <w:rPr>
                <w:b w:val="0"/>
                <w:sz w:val="20"/>
                <w:szCs w:val="20"/>
              </w:rPr>
            </w:pPr>
            <w:r w:rsidRPr="00713036">
              <w:rPr>
                <w:b w:val="0"/>
                <w:sz w:val="20"/>
                <w:szCs w:val="20"/>
              </w:rPr>
              <w:t>Epaule 3D, 2D et autres</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8533D92" w14:textId="2A39E88F"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72 [65-79]</w:t>
            </w:r>
          </w:p>
        </w:tc>
        <w:tc>
          <w:tcPr>
            <w:tcW w:w="1276" w:type="dxa"/>
            <w:vMerge/>
            <w:tcBorders>
              <w:left w:val="single" w:sz="4" w:space="0" w:color="000000"/>
              <w:right w:val="single" w:sz="4" w:space="0" w:color="000000"/>
            </w:tcBorders>
            <w:shd w:val="clear" w:color="auto" w:fill="auto"/>
            <w:vAlign w:val="center"/>
            <w:hideMark/>
          </w:tcPr>
          <w:p w14:paraId="0C6DFCC2" w14:textId="77777777" w:rsidR="00DB1679" w:rsidRPr="00713036" w:rsidRDefault="00DB1679" w:rsidP="0002537E">
            <w:pPr>
              <w:pStyle w:val="ValrieN1"/>
              <w:spacing w:after="0" w:line="240" w:lineRule="auto"/>
              <w:ind w:left="-16"/>
              <w:jc w:val="center"/>
              <w:rPr>
                <w:b w:val="0"/>
                <w:sz w:val="20"/>
                <w:szCs w:val="20"/>
              </w:rPr>
            </w:pPr>
          </w:p>
        </w:tc>
        <w:tc>
          <w:tcPr>
            <w:tcW w:w="992" w:type="dxa"/>
            <w:vMerge/>
            <w:tcBorders>
              <w:left w:val="single" w:sz="4" w:space="0" w:color="000000"/>
              <w:right w:val="single" w:sz="4" w:space="0" w:color="000000"/>
            </w:tcBorders>
            <w:shd w:val="clear" w:color="auto" w:fill="auto"/>
            <w:vAlign w:val="center"/>
            <w:hideMark/>
          </w:tcPr>
          <w:p w14:paraId="72865579" w14:textId="77777777" w:rsidR="00DB1679" w:rsidRPr="00713036" w:rsidRDefault="00DB1679"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689E93C" w14:textId="238D9E42"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61 [49-73]</w:t>
            </w:r>
          </w:p>
        </w:tc>
      </w:tr>
      <w:tr w:rsidR="00DB1679" w:rsidRPr="008B74A0" w14:paraId="47A3FF66" w14:textId="77777777" w:rsidTr="0002537E">
        <w:trPr>
          <w:trHeight w:val="246"/>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9F50EC5" w14:textId="4A97DCA8" w:rsidR="00DB1679" w:rsidRPr="00713036" w:rsidRDefault="00DB1679" w:rsidP="0002537E">
            <w:pPr>
              <w:pStyle w:val="ValrieN1"/>
              <w:spacing w:after="0" w:line="240" w:lineRule="auto"/>
              <w:ind w:left="-16"/>
              <w:rPr>
                <w:b w:val="0"/>
                <w:sz w:val="20"/>
                <w:szCs w:val="20"/>
              </w:rPr>
            </w:pPr>
            <w:r w:rsidRPr="00713036">
              <w:rPr>
                <w:b w:val="0"/>
                <w:sz w:val="20"/>
                <w:szCs w:val="20"/>
              </w:rPr>
              <w:t xml:space="preserve">Epaule </w:t>
            </w:r>
            <w:r>
              <w:rPr>
                <w:b w:val="0"/>
                <w:sz w:val="20"/>
                <w:szCs w:val="20"/>
              </w:rPr>
              <w:t>b</w:t>
            </w:r>
            <w:r w:rsidRPr="00713036">
              <w:rPr>
                <w:b w:val="0"/>
                <w:sz w:val="20"/>
                <w:szCs w:val="20"/>
              </w:rPr>
              <w:t>rute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9445722" w14:textId="6AC12BB7"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70 [63-77]</w:t>
            </w:r>
          </w:p>
        </w:tc>
        <w:tc>
          <w:tcPr>
            <w:tcW w:w="1276" w:type="dxa"/>
            <w:vMerge/>
            <w:tcBorders>
              <w:left w:val="single" w:sz="4" w:space="0" w:color="000000"/>
              <w:right w:val="single" w:sz="4" w:space="0" w:color="000000"/>
            </w:tcBorders>
            <w:shd w:val="clear" w:color="auto" w:fill="auto"/>
            <w:vAlign w:val="center"/>
            <w:hideMark/>
          </w:tcPr>
          <w:p w14:paraId="7DCF9CB3" w14:textId="77777777" w:rsidR="00DB1679" w:rsidRPr="00713036" w:rsidRDefault="00DB1679" w:rsidP="0002537E">
            <w:pPr>
              <w:pStyle w:val="ValrieN1"/>
              <w:spacing w:after="0" w:line="240" w:lineRule="auto"/>
              <w:ind w:left="-16"/>
              <w:jc w:val="center"/>
              <w:rPr>
                <w:b w:val="0"/>
                <w:sz w:val="20"/>
                <w:szCs w:val="20"/>
              </w:rPr>
            </w:pPr>
          </w:p>
        </w:tc>
        <w:tc>
          <w:tcPr>
            <w:tcW w:w="992" w:type="dxa"/>
            <w:vMerge/>
            <w:tcBorders>
              <w:left w:val="single" w:sz="4" w:space="0" w:color="000000"/>
              <w:right w:val="single" w:sz="4" w:space="0" w:color="000000"/>
            </w:tcBorders>
            <w:shd w:val="clear" w:color="auto" w:fill="auto"/>
            <w:vAlign w:val="center"/>
            <w:hideMark/>
          </w:tcPr>
          <w:p w14:paraId="20BB67B4" w14:textId="77777777" w:rsidR="00DB1679" w:rsidRPr="00713036" w:rsidRDefault="00DB1679"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08634CA" w14:textId="07777166"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48 [38-58]</w:t>
            </w:r>
          </w:p>
        </w:tc>
      </w:tr>
      <w:tr w:rsidR="00DB1679" w:rsidRPr="008B74A0" w14:paraId="07494EFB" w14:textId="77777777" w:rsidTr="0002537E">
        <w:trPr>
          <w:trHeight w:val="252"/>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89D9F9" w14:textId="77777777" w:rsidR="00DB1679" w:rsidRPr="00713036" w:rsidRDefault="00DB1679" w:rsidP="0002537E">
            <w:pPr>
              <w:pStyle w:val="ValrieN1"/>
              <w:spacing w:after="0" w:line="240" w:lineRule="auto"/>
              <w:ind w:left="-16"/>
              <w:rPr>
                <w:b w:val="0"/>
                <w:sz w:val="20"/>
                <w:szCs w:val="20"/>
              </w:rPr>
            </w:pPr>
            <w:r w:rsidRPr="00713036">
              <w:rPr>
                <w:b w:val="0"/>
                <w:sz w:val="20"/>
                <w:szCs w:val="20"/>
              </w:rPr>
              <w:t xml:space="preserve">Jarret avant, palette a/o et s/o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87C1134" w14:textId="372A1BEC"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59 [53-65]</w:t>
            </w:r>
          </w:p>
        </w:tc>
        <w:tc>
          <w:tcPr>
            <w:tcW w:w="1276" w:type="dxa"/>
            <w:vMerge/>
            <w:tcBorders>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AACD987" w14:textId="75375303" w:rsidR="00DB1679" w:rsidRPr="00713036" w:rsidRDefault="00DB1679" w:rsidP="0002537E">
            <w:pPr>
              <w:pStyle w:val="ValrieN1"/>
              <w:spacing w:after="0" w:line="240" w:lineRule="auto"/>
              <w:ind w:left="-16"/>
              <w:jc w:val="center"/>
              <w:rPr>
                <w:b w:val="0"/>
                <w:sz w:val="20"/>
                <w:szCs w:val="20"/>
              </w:rPr>
            </w:pPr>
          </w:p>
        </w:tc>
        <w:tc>
          <w:tcPr>
            <w:tcW w:w="992" w:type="dxa"/>
            <w:vMerge/>
            <w:tcBorders>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21B728" w14:textId="41DEE499" w:rsidR="00DB1679" w:rsidRPr="00713036" w:rsidRDefault="00DB1679"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C7C4C54" w14:textId="6FB02563" w:rsidR="00DB1679" w:rsidRPr="00713036" w:rsidRDefault="00DB1679" w:rsidP="0002537E">
            <w:pPr>
              <w:pStyle w:val="ValrieN1"/>
              <w:spacing w:after="0" w:line="240" w:lineRule="auto"/>
              <w:ind w:left="-16"/>
              <w:jc w:val="center"/>
              <w:rPr>
                <w:b w:val="0"/>
                <w:sz w:val="20"/>
                <w:szCs w:val="20"/>
              </w:rPr>
            </w:pPr>
            <w:r w:rsidRPr="00713036">
              <w:rPr>
                <w:b w:val="0"/>
                <w:bCs/>
                <w:sz w:val="20"/>
                <w:szCs w:val="20"/>
              </w:rPr>
              <w:t>55 [44-66]</w:t>
            </w:r>
          </w:p>
        </w:tc>
      </w:tr>
      <w:tr w:rsidR="008B74A0" w:rsidRPr="008B74A0" w14:paraId="5EBE504D" w14:textId="77777777" w:rsidTr="0002537E">
        <w:trPr>
          <w:trHeight w:val="274"/>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97DFA2C" w14:textId="77777777" w:rsidR="008B74A0" w:rsidRPr="00713036" w:rsidRDefault="008B74A0" w:rsidP="0002537E">
            <w:pPr>
              <w:pStyle w:val="ValrieN1"/>
              <w:spacing w:after="0" w:line="240" w:lineRule="auto"/>
              <w:ind w:left="-16"/>
              <w:rPr>
                <w:b w:val="0"/>
                <w:sz w:val="20"/>
                <w:szCs w:val="20"/>
              </w:rPr>
            </w:pPr>
            <w:r w:rsidRPr="00713036">
              <w:rPr>
                <w:b w:val="0"/>
                <w:sz w:val="20"/>
                <w:szCs w:val="20"/>
              </w:rPr>
              <w:t>Maturation, évaporation (env. 2%)</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0F35D60" w14:textId="48F6D892" w:rsidR="008B74A0" w:rsidRPr="00713036" w:rsidRDefault="008B74A0" w:rsidP="0002537E">
            <w:pPr>
              <w:pStyle w:val="ValrieN1"/>
              <w:spacing w:after="0" w:line="240" w:lineRule="auto"/>
              <w:ind w:left="-16"/>
              <w:jc w:val="center"/>
              <w:rPr>
                <w:b w:val="0"/>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51FB3A" w14:textId="3471522B" w:rsidR="008B74A0" w:rsidRPr="00713036" w:rsidRDefault="008B74A0" w:rsidP="0002537E">
            <w:pPr>
              <w:pStyle w:val="ValrieN1"/>
              <w:spacing w:after="0" w:line="240" w:lineRule="auto"/>
              <w:ind w:left="-16"/>
              <w:jc w:val="center"/>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B1FA141" w14:textId="7A6A1A7A" w:rsidR="008B74A0" w:rsidRPr="00713036" w:rsidRDefault="008B74A0"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77A3BDE" w14:textId="57027C44" w:rsidR="008B74A0" w:rsidRPr="00713036" w:rsidRDefault="00700F93" w:rsidP="0002537E">
            <w:pPr>
              <w:pStyle w:val="ValrieN1"/>
              <w:spacing w:after="0" w:line="240" w:lineRule="auto"/>
              <w:ind w:left="-16"/>
              <w:jc w:val="center"/>
              <w:rPr>
                <w:b w:val="0"/>
                <w:sz w:val="20"/>
                <w:szCs w:val="20"/>
              </w:rPr>
            </w:pPr>
            <w:r>
              <w:rPr>
                <w:b w:val="0"/>
                <w:bCs/>
                <w:sz w:val="20"/>
                <w:szCs w:val="20"/>
              </w:rPr>
              <w:t>6</w:t>
            </w:r>
            <w:r w:rsidR="008B74A0" w:rsidRPr="00713036">
              <w:rPr>
                <w:b w:val="0"/>
                <w:bCs/>
                <w:sz w:val="20"/>
                <w:szCs w:val="20"/>
              </w:rPr>
              <w:t xml:space="preserve"> [5-8</w:t>
            </w:r>
            <w:r w:rsidR="008B74A0">
              <w:rPr>
                <w:b w:val="0"/>
                <w:bCs/>
                <w:sz w:val="20"/>
                <w:szCs w:val="20"/>
              </w:rPr>
              <w:t>]</w:t>
            </w:r>
          </w:p>
        </w:tc>
      </w:tr>
      <w:tr w:rsidR="008B74A0" w:rsidRPr="008B74A0" w14:paraId="57A3C990" w14:textId="77777777" w:rsidTr="0002537E">
        <w:trPr>
          <w:trHeight w:val="506"/>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104B250" w14:textId="1566102D" w:rsidR="008B74A0" w:rsidRPr="00713036" w:rsidRDefault="008B74A0" w:rsidP="0002537E">
            <w:pPr>
              <w:pStyle w:val="ValrieN1"/>
              <w:spacing w:after="0" w:line="240" w:lineRule="auto"/>
              <w:ind w:left="-16"/>
              <w:rPr>
                <w:b w:val="0"/>
                <w:sz w:val="20"/>
                <w:szCs w:val="20"/>
              </w:rPr>
            </w:pPr>
            <w:r w:rsidRPr="00713036">
              <w:rPr>
                <w:b w:val="0"/>
                <w:sz w:val="20"/>
                <w:szCs w:val="20"/>
              </w:rPr>
              <w:t xml:space="preserve">Gras (gras de couenne) et gorge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C397669" w14:textId="40DF3C2B" w:rsidR="008B74A0" w:rsidRPr="00713036" w:rsidRDefault="008B74A0" w:rsidP="0002537E">
            <w:pPr>
              <w:pStyle w:val="ValrieN1"/>
              <w:spacing w:after="0" w:line="240" w:lineRule="auto"/>
              <w:ind w:left="-16"/>
              <w:jc w:val="center"/>
              <w:rPr>
                <w:b w:val="0"/>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38081B2" w14:textId="5386B8E0" w:rsidR="008B74A0" w:rsidRPr="00713036" w:rsidRDefault="008B74A0" w:rsidP="0002537E">
            <w:pPr>
              <w:pStyle w:val="ValrieN1"/>
              <w:spacing w:after="0" w:line="240" w:lineRule="auto"/>
              <w:ind w:left="-16"/>
              <w:jc w:val="center"/>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3FC648E" w14:textId="726F3B45" w:rsidR="008B74A0" w:rsidRPr="00713036" w:rsidRDefault="008B74A0"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4AA5BBA" w14:textId="0302A315" w:rsidR="008B74A0" w:rsidRPr="00713036" w:rsidRDefault="00700F93" w:rsidP="0002537E">
            <w:pPr>
              <w:pStyle w:val="ValrieN1"/>
              <w:spacing w:after="0" w:line="240" w:lineRule="auto"/>
              <w:ind w:left="-16"/>
              <w:jc w:val="center"/>
              <w:rPr>
                <w:b w:val="0"/>
                <w:sz w:val="20"/>
                <w:szCs w:val="20"/>
              </w:rPr>
            </w:pPr>
            <w:r>
              <w:rPr>
                <w:b w:val="0"/>
                <w:bCs/>
                <w:sz w:val="20"/>
                <w:szCs w:val="20"/>
              </w:rPr>
              <w:t>1</w:t>
            </w:r>
            <w:r w:rsidR="008B74A0" w:rsidRPr="00713036">
              <w:rPr>
                <w:b w:val="0"/>
                <w:bCs/>
                <w:sz w:val="20"/>
                <w:szCs w:val="20"/>
              </w:rPr>
              <w:t>0 [</w:t>
            </w:r>
            <w:r w:rsidR="00CE7057">
              <w:rPr>
                <w:b w:val="0"/>
                <w:bCs/>
                <w:sz w:val="20"/>
                <w:szCs w:val="20"/>
              </w:rPr>
              <w:t>8</w:t>
            </w:r>
            <w:r w:rsidR="008B74A0" w:rsidRPr="00713036">
              <w:rPr>
                <w:b w:val="0"/>
                <w:bCs/>
                <w:sz w:val="20"/>
                <w:szCs w:val="20"/>
              </w:rPr>
              <w:t>-</w:t>
            </w:r>
            <w:r w:rsidR="00CE7057">
              <w:rPr>
                <w:b w:val="0"/>
                <w:bCs/>
                <w:sz w:val="20"/>
                <w:szCs w:val="20"/>
              </w:rPr>
              <w:t>12</w:t>
            </w:r>
            <w:r w:rsidR="008B74A0" w:rsidRPr="00713036">
              <w:rPr>
                <w:b w:val="0"/>
                <w:bCs/>
                <w:sz w:val="20"/>
                <w:szCs w:val="20"/>
              </w:rPr>
              <w:t>]</w:t>
            </w:r>
          </w:p>
        </w:tc>
      </w:tr>
      <w:tr w:rsidR="008B74A0" w:rsidRPr="008B74A0" w14:paraId="1637AD80" w14:textId="77777777" w:rsidTr="0002537E">
        <w:trPr>
          <w:trHeight w:val="544"/>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55757F5" w14:textId="173720E4" w:rsidR="008B74A0" w:rsidRPr="00713036" w:rsidRDefault="008B74A0" w:rsidP="0002537E">
            <w:pPr>
              <w:pStyle w:val="ValrieN1"/>
              <w:spacing w:after="0" w:line="240" w:lineRule="auto"/>
              <w:ind w:left="-16"/>
              <w:rPr>
                <w:b w:val="0"/>
                <w:sz w:val="20"/>
                <w:szCs w:val="20"/>
              </w:rPr>
            </w:pPr>
            <w:r w:rsidRPr="00713036">
              <w:rPr>
                <w:b w:val="0"/>
                <w:sz w:val="20"/>
                <w:szCs w:val="20"/>
              </w:rPr>
              <w:t>Parage (petites viande, aponévrose) sur produits 3D, 4D</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2D6392F" w14:textId="4F142360" w:rsidR="008B74A0" w:rsidRPr="00713036" w:rsidRDefault="008B74A0" w:rsidP="0002537E">
            <w:pPr>
              <w:pStyle w:val="ValrieN1"/>
              <w:spacing w:after="0" w:line="240" w:lineRule="auto"/>
              <w:ind w:left="-16"/>
              <w:jc w:val="center"/>
              <w:rPr>
                <w:b w:val="0"/>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F5C781F" w14:textId="3041B45D" w:rsidR="008B74A0" w:rsidRPr="00713036" w:rsidRDefault="008B74A0" w:rsidP="0002537E">
            <w:pPr>
              <w:pStyle w:val="ValrieN1"/>
              <w:spacing w:after="0" w:line="240" w:lineRule="auto"/>
              <w:ind w:left="-16"/>
              <w:jc w:val="center"/>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9791201" w14:textId="63B115A5" w:rsidR="008B74A0" w:rsidRPr="00713036" w:rsidRDefault="008B74A0"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4B49AEA" w14:textId="3F4F49D8" w:rsidR="008B74A0" w:rsidRPr="00713036" w:rsidRDefault="00700F93" w:rsidP="0002537E">
            <w:pPr>
              <w:pStyle w:val="ValrieN1"/>
              <w:spacing w:after="0" w:line="240" w:lineRule="auto"/>
              <w:ind w:left="-16"/>
              <w:jc w:val="center"/>
              <w:rPr>
                <w:b w:val="0"/>
                <w:sz w:val="20"/>
                <w:szCs w:val="20"/>
              </w:rPr>
            </w:pPr>
            <w:r>
              <w:rPr>
                <w:b w:val="0"/>
                <w:bCs/>
                <w:sz w:val="20"/>
                <w:szCs w:val="20"/>
              </w:rPr>
              <w:t>2</w:t>
            </w:r>
            <w:r w:rsidR="008B74A0" w:rsidRPr="00713036">
              <w:rPr>
                <w:b w:val="0"/>
                <w:bCs/>
                <w:sz w:val="20"/>
                <w:szCs w:val="20"/>
              </w:rPr>
              <w:t>0 [</w:t>
            </w:r>
            <w:r w:rsidR="00CE7057">
              <w:rPr>
                <w:b w:val="0"/>
                <w:bCs/>
                <w:sz w:val="20"/>
                <w:szCs w:val="20"/>
              </w:rPr>
              <w:t>16</w:t>
            </w:r>
            <w:r w:rsidR="008B74A0" w:rsidRPr="00713036">
              <w:rPr>
                <w:b w:val="0"/>
                <w:bCs/>
                <w:sz w:val="20"/>
                <w:szCs w:val="20"/>
              </w:rPr>
              <w:t>-</w:t>
            </w:r>
            <w:r w:rsidR="00CE7057">
              <w:rPr>
                <w:b w:val="0"/>
                <w:bCs/>
                <w:sz w:val="20"/>
                <w:szCs w:val="20"/>
              </w:rPr>
              <w:t>24</w:t>
            </w:r>
            <w:r w:rsidR="008B74A0" w:rsidRPr="00713036">
              <w:rPr>
                <w:b w:val="0"/>
                <w:bCs/>
                <w:sz w:val="20"/>
                <w:szCs w:val="20"/>
              </w:rPr>
              <w:t>]</w:t>
            </w:r>
          </w:p>
        </w:tc>
      </w:tr>
      <w:tr w:rsidR="008B74A0" w:rsidRPr="008B74A0" w14:paraId="52A8148B" w14:textId="77777777" w:rsidTr="0002537E">
        <w:trPr>
          <w:trHeight w:val="284"/>
        </w:trPr>
        <w:tc>
          <w:tcPr>
            <w:tcW w:w="32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1BFB153" w14:textId="77777777" w:rsidR="008B74A0" w:rsidRPr="00713036" w:rsidRDefault="008B74A0" w:rsidP="0002537E">
            <w:pPr>
              <w:pStyle w:val="ValrieN1"/>
              <w:spacing w:after="0" w:line="240" w:lineRule="auto"/>
              <w:ind w:left="-16"/>
              <w:rPr>
                <w:b w:val="0"/>
                <w:sz w:val="20"/>
                <w:szCs w:val="20"/>
              </w:rPr>
            </w:pPr>
            <w:r w:rsidRPr="00713036">
              <w:rPr>
                <w:b w:val="0"/>
                <w:bCs/>
                <w:sz w:val="20"/>
                <w:szCs w:val="20"/>
              </w:rPr>
              <w:t xml:space="preserve">Part os désossage </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2026BD6" w14:textId="529DE6FA" w:rsidR="008B74A0" w:rsidRPr="00713036" w:rsidRDefault="008B74A0" w:rsidP="0002537E">
            <w:pPr>
              <w:pStyle w:val="ValrieN1"/>
              <w:spacing w:after="0" w:line="240" w:lineRule="auto"/>
              <w:ind w:left="-16"/>
              <w:jc w:val="center"/>
              <w:rPr>
                <w:b w:val="0"/>
                <w:sz w:val="20"/>
                <w:szCs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1EFAA70" w14:textId="1B984E2F" w:rsidR="008B74A0" w:rsidRPr="00713036" w:rsidRDefault="008B74A0" w:rsidP="0002537E">
            <w:pPr>
              <w:pStyle w:val="ValrieN1"/>
              <w:spacing w:after="0" w:line="240" w:lineRule="auto"/>
              <w:ind w:left="-16"/>
              <w:jc w:val="center"/>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26A5F48" w14:textId="3CFC227D" w:rsidR="008B74A0" w:rsidRPr="00713036" w:rsidRDefault="008B74A0" w:rsidP="0002537E">
            <w:pPr>
              <w:pStyle w:val="ValrieN1"/>
              <w:spacing w:after="0" w:line="240" w:lineRule="auto"/>
              <w:ind w:left="-16"/>
              <w:jc w:val="center"/>
              <w:rPr>
                <w:b w:val="0"/>
                <w:sz w:val="20"/>
                <w:szCs w:val="20"/>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5D640C5" w14:textId="77777777" w:rsidR="008B74A0" w:rsidRPr="00713036" w:rsidRDefault="008B74A0" w:rsidP="0002537E">
            <w:pPr>
              <w:pStyle w:val="ValrieN1"/>
              <w:spacing w:after="0" w:line="240" w:lineRule="auto"/>
              <w:ind w:left="-16"/>
              <w:jc w:val="center"/>
              <w:rPr>
                <w:b w:val="0"/>
                <w:sz w:val="20"/>
                <w:szCs w:val="20"/>
              </w:rPr>
            </w:pPr>
            <w:r w:rsidRPr="00713036">
              <w:rPr>
                <w:b w:val="0"/>
                <w:bCs/>
                <w:sz w:val="20"/>
                <w:szCs w:val="20"/>
              </w:rPr>
              <w:t>Déjà comptabilisée</w:t>
            </w:r>
          </w:p>
        </w:tc>
      </w:tr>
    </w:tbl>
    <w:p w14:paraId="153EFAED" w14:textId="345AF3C3" w:rsidR="008B74A0" w:rsidRPr="0002537E" w:rsidRDefault="00655DE7" w:rsidP="0002537E">
      <w:pPr>
        <w:pStyle w:val="figure"/>
        <w:rPr>
          <w:i/>
        </w:rPr>
      </w:pPr>
      <w:bookmarkStart w:id="375" w:name="_Toc72143425"/>
      <w:r w:rsidRPr="00926407">
        <w:t xml:space="preserve">Tableau </w:t>
      </w:r>
      <w:r w:rsidR="00E27D6E">
        <w:fldChar w:fldCharType="begin"/>
      </w:r>
      <w:r w:rsidR="00E27D6E">
        <w:instrText xml:space="preserve"> SEQ Tableau \* ARABIC </w:instrText>
      </w:r>
      <w:r w:rsidR="00E27D6E">
        <w:fldChar w:fldCharType="separate"/>
      </w:r>
      <w:r w:rsidR="0007597F">
        <w:rPr>
          <w:i/>
          <w:noProof/>
        </w:rPr>
        <w:t>78</w:t>
      </w:r>
      <w:r w:rsidR="00E27D6E">
        <w:rPr>
          <w:i/>
          <w:noProof/>
        </w:rPr>
        <w:fldChar w:fldCharType="end"/>
      </w:r>
      <w:r w:rsidR="007538FF">
        <w:rPr>
          <w:i/>
        </w:rPr>
        <w:t xml:space="preserve"> : </w:t>
      </w:r>
      <w:r w:rsidRPr="00926407">
        <w:t>Représentation tableau emploi ressource au stade de la découpe secondaire</w:t>
      </w:r>
      <w:r w:rsidR="007538FF">
        <w:rPr>
          <w:i/>
        </w:rPr>
        <w:t xml:space="preserve"> </w:t>
      </w:r>
      <w:r w:rsidR="00603472">
        <w:rPr>
          <w:i/>
        </w:rPr>
        <w:t>conduisant à l’obtention de pièces secondaires à partir de pièces primaires</w:t>
      </w:r>
      <w:r w:rsidRPr="00926407">
        <w:t>.</w:t>
      </w:r>
      <w:bookmarkEnd w:id="375"/>
    </w:p>
    <w:p w14:paraId="5B7EAE36" w14:textId="1D4109E8" w:rsidR="003526E7" w:rsidRDefault="003526E7" w:rsidP="00B621B9">
      <w:pPr>
        <w:rPr>
          <w:lang w:eastAsia="fr-FR"/>
        </w:rPr>
      </w:pPr>
      <w:r w:rsidRPr="00A50150">
        <w:rPr>
          <w:lang w:eastAsia="fr-FR"/>
        </w:rPr>
        <w:t>A l’issue de cette étape, les typologies de produits issues de la découpe secondaire peuvent être</w:t>
      </w:r>
      <w:r>
        <w:rPr>
          <w:lang w:eastAsia="fr-FR"/>
        </w:rPr>
        <w:t xml:space="preserve"> approchées </w:t>
      </w:r>
      <w:r w:rsidRPr="00A50150">
        <w:rPr>
          <w:lang w:eastAsia="fr-FR"/>
        </w:rPr>
        <w:t>par grande catégorie de produits</w:t>
      </w:r>
      <w:r>
        <w:rPr>
          <w:lang w:eastAsia="fr-FR"/>
        </w:rPr>
        <w:t xml:space="preserve"> avec</w:t>
      </w:r>
      <w:r w:rsidRPr="00A50150">
        <w:rPr>
          <w:lang w:eastAsia="fr-FR"/>
        </w:rPr>
        <w:t xml:space="preserve"> </w:t>
      </w:r>
      <w:r>
        <w:rPr>
          <w:lang w:eastAsia="fr-FR"/>
        </w:rPr>
        <w:t>une première estimation de répartition</w:t>
      </w:r>
      <w:r w:rsidR="00184B99">
        <w:rPr>
          <w:lang w:eastAsia="fr-FR"/>
        </w:rPr>
        <w:t>. L’épaule 4D avec 35</w:t>
      </w:r>
      <w:r w:rsidR="00C061E4">
        <w:rPr>
          <w:lang w:eastAsia="fr-FR"/>
        </w:rPr>
        <w:t> </w:t>
      </w:r>
      <w:r w:rsidR="00184B99" w:rsidRPr="00A06B55">
        <w:rPr>
          <w:lang w:eastAsia="fr-FR"/>
        </w:rPr>
        <w:t xml:space="preserve">% </w:t>
      </w:r>
      <w:r w:rsidR="00184B99">
        <w:rPr>
          <w:lang w:eastAsia="fr-FR"/>
        </w:rPr>
        <w:t xml:space="preserve">se </w:t>
      </w:r>
      <w:r w:rsidR="00250A9C">
        <w:rPr>
          <w:lang w:eastAsia="fr-FR"/>
        </w:rPr>
        <w:t>ventilerait</w:t>
      </w:r>
      <w:r w:rsidR="00184B99">
        <w:rPr>
          <w:lang w:eastAsia="fr-FR"/>
        </w:rPr>
        <w:t xml:space="preserve"> </w:t>
      </w:r>
      <w:r w:rsidR="00250A9C">
        <w:rPr>
          <w:lang w:eastAsia="fr-FR"/>
        </w:rPr>
        <w:t>de manière équilibrée</w:t>
      </w:r>
      <w:r w:rsidR="00184B99" w:rsidRPr="00F806C6">
        <w:rPr>
          <w:lang w:eastAsia="fr-FR"/>
        </w:rPr>
        <w:t xml:space="preserve"> avec </w:t>
      </w:r>
      <w:r w:rsidR="00184B99">
        <w:rPr>
          <w:lang w:eastAsia="fr-FR"/>
        </w:rPr>
        <w:t>l’épaule 3D et 2D sans</w:t>
      </w:r>
      <w:r w:rsidR="00184B99" w:rsidRPr="00AF0549">
        <w:t xml:space="preserve"> réelle domination d’un </w:t>
      </w:r>
      <w:r w:rsidR="00184B99">
        <w:t>niveau de</w:t>
      </w:r>
      <w:r w:rsidR="00184B99" w:rsidRPr="00AF0549">
        <w:t xml:space="preserve"> découpe</w:t>
      </w:r>
      <w:r w:rsidR="00184B99">
        <w:t xml:space="preserve">. </w:t>
      </w:r>
      <w:r w:rsidR="00603472">
        <w:t>Ces</w:t>
      </w:r>
      <w:r w:rsidR="00184B99">
        <w:t xml:space="preserve"> données </w:t>
      </w:r>
      <w:r>
        <w:rPr>
          <w:lang w:eastAsia="fr-FR"/>
        </w:rPr>
        <w:t>nécessiterai</w:t>
      </w:r>
      <w:r w:rsidR="00184B99">
        <w:rPr>
          <w:lang w:eastAsia="fr-FR"/>
        </w:rPr>
        <w:t>en</w:t>
      </w:r>
      <w:r>
        <w:rPr>
          <w:lang w:eastAsia="fr-FR"/>
        </w:rPr>
        <w:t>t d’être investiguée</w:t>
      </w:r>
      <w:r w:rsidR="00184B99">
        <w:rPr>
          <w:lang w:eastAsia="fr-FR"/>
        </w:rPr>
        <w:t>s</w:t>
      </w:r>
      <w:r>
        <w:rPr>
          <w:lang w:eastAsia="fr-FR"/>
        </w:rPr>
        <w:t xml:space="preserve"> plus en avant</w:t>
      </w:r>
      <w:r w:rsidR="00184B99">
        <w:rPr>
          <w:lang w:eastAsia="fr-FR"/>
        </w:rPr>
        <w:t xml:space="preserve"> en élargissant l’enquête à un plus grand nombre d’</w:t>
      </w:r>
      <w:r w:rsidR="00250A9C">
        <w:rPr>
          <w:lang w:eastAsia="fr-FR"/>
        </w:rPr>
        <w:t>opérateurs abatteurs découpeurs et transformateurs</w:t>
      </w:r>
      <w:r w:rsidR="00184B99">
        <w:rPr>
          <w:lang w:eastAsia="fr-FR"/>
        </w:rPr>
        <w:t>.</w:t>
      </w:r>
    </w:p>
    <w:p w14:paraId="1DD5A6FE" w14:textId="036BCC65" w:rsidR="00AA0CBF" w:rsidRDefault="00B621B9" w:rsidP="0002537E">
      <w:pPr>
        <w:jc w:val="center"/>
      </w:pPr>
      <w:r>
        <w:rPr>
          <w:noProof/>
        </w:rPr>
        <w:drawing>
          <wp:inline distT="0" distB="0" distL="0" distR="0" wp14:anchorId="4D43012F" wp14:editId="4B1E4082">
            <wp:extent cx="5514975" cy="1689100"/>
            <wp:effectExtent l="0" t="0" r="0" b="6350"/>
            <wp:docPr id="64" name="Graphique 64">
              <a:extLst xmlns:a="http://schemas.openxmlformats.org/drawingml/2006/main">
                <a:ext uri="{FF2B5EF4-FFF2-40B4-BE49-F238E27FC236}">
                  <a16:creationId xmlns:a16="http://schemas.microsoft.com/office/drawing/2014/main" id="{A26F6817-6973-4844-92B4-B6229B75FD2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14:paraId="7AAE386D" w14:textId="72CC2048" w:rsidR="00AF0549" w:rsidRPr="00926407" w:rsidRDefault="00AE0136" w:rsidP="0002537E">
      <w:pPr>
        <w:pStyle w:val="figure"/>
      </w:pPr>
      <w:r w:rsidRPr="0002537E">
        <w:t xml:space="preserve">Figure </w:t>
      </w:r>
      <w:r w:rsidR="00E27D6E">
        <w:fldChar w:fldCharType="begin"/>
      </w:r>
      <w:r w:rsidR="00E27D6E">
        <w:instrText xml:space="preserve"> SEQ Figure \* ARABIC </w:instrText>
      </w:r>
      <w:r w:rsidR="00E27D6E">
        <w:fldChar w:fldCharType="separate"/>
      </w:r>
      <w:r w:rsidR="0007597F">
        <w:rPr>
          <w:i/>
          <w:noProof/>
        </w:rPr>
        <w:t>35</w:t>
      </w:r>
      <w:r w:rsidR="00E27D6E">
        <w:rPr>
          <w:i/>
          <w:noProof/>
        </w:rPr>
        <w:fldChar w:fldCharType="end"/>
      </w:r>
      <w:r w:rsidR="007538FF">
        <w:rPr>
          <w:i/>
        </w:rPr>
        <w:t xml:space="preserve"> : </w:t>
      </w:r>
      <w:r w:rsidR="00AF0549" w:rsidRPr="0002537E">
        <w:t>Type des pièces de découpes secondaires en jambon</w:t>
      </w:r>
      <w:r w:rsidR="007538FF">
        <w:rPr>
          <w:i/>
        </w:rPr>
        <w:t xml:space="preserve"> </w:t>
      </w:r>
      <w:r w:rsidR="00AF0549" w:rsidRPr="0002537E">
        <w:t>sortie découpe et disponible pour la première transformation</w:t>
      </w:r>
    </w:p>
    <w:p w14:paraId="58845ECE" w14:textId="2E10BAA8" w:rsidR="008B74A0" w:rsidRDefault="00655DE7" w:rsidP="0002537E">
      <w:pPr>
        <w:pStyle w:val="Titre3"/>
        <w:rPr>
          <w:rFonts w:eastAsiaTheme="minorEastAsia"/>
        </w:rPr>
      </w:pPr>
      <w:bookmarkStart w:id="376" w:name="_Toc78131691"/>
      <w:r>
        <w:rPr>
          <w:rFonts w:eastAsiaTheme="minorEastAsia"/>
        </w:rPr>
        <w:t>2.3.</w:t>
      </w:r>
      <w:r w:rsidR="008B48C9">
        <w:rPr>
          <w:rFonts w:eastAsiaTheme="minorEastAsia"/>
        </w:rPr>
        <w:t>3</w:t>
      </w:r>
      <w:r>
        <w:rPr>
          <w:rFonts w:eastAsiaTheme="minorEastAsia"/>
        </w:rPr>
        <w:t xml:space="preserve">. </w:t>
      </w:r>
      <w:r w:rsidR="00CA217D" w:rsidRPr="00713036">
        <w:rPr>
          <w:rFonts w:eastAsiaTheme="minorEastAsia"/>
        </w:rPr>
        <w:t>Destination pièces saumurées, salées, séchées ou pièces crues</w:t>
      </w:r>
      <w:bookmarkEnd w:id="376"/>
    </w:p>
    <w:p w14:paraId="7DAA9673" w14:textId="59DBDB4C" w:rsidR="008B48C9" w:rsidRDefault="008B48C9" w:rsidP="008B48C9">
      <w:pPr>
        <w:spacing w:after="0"/>
        <w:rPr>
          <w:lang w:eastAsia="fr-FR"/>
        </w:rPr>
      </w:pPr>
      <w:r>
        <w:rPr>
          <w:lang w:eastAsia="fr-FR"/>
        </w:rPr>
        <w:t xml:space="preserve">Le devenir des pièces secondaires issues d’épaule s’articule autour de deux destinations différentes soient </w:t>
      </w:r>
    </w:p>
    <w:p w14:paraId="145AB3FD" w14:textId="7DC59013" w:rsidR="008B48C9" w:rsidRDefault="008B48C9" w:rsidP="008B48C9">
      <w:pPr>
        <w:pStyle w:val="Paragraphedeliste"/>
        <w:numPr>
          <w:ilvl w:val="0"/>
          <w:numId w:val="23"/>
        </w:numPr>
        <w:spacing w:before="0"/>
        <w:ind w:left="714" w:hanging="357"/>
        <w:rPr>
          <w:lang w:eastAsia="fr-FR"/>
        </w:rPr>
      </w:pPr>
      <w:r>
        <w:rPr>
          <w:lang w:eastAsia="fr-FR"/>
        </w:rPr>
        <w:t>La consommation en viande fraîche sous la forme d’escalope, de rôti</w:t>
      </w:r>
      <w:r w:rsidR="00AB01E9">
        <w:rPr>
          <w:lang w:eastAsia="fr-FR"/>
        </w:rPr>
        <w:t xml:space="preserve">, de palette </w:t>
      </w:r>
      <w:r w:rsidR="005D4599">
        <w:rPr>
          <w:lang w:eastAsia="fr-FR"/>
        </w:rPr>
        <w:t>qui</w:t>
      </w:r>
      <w:r w:rsidR="00181CE8">
        <w:rPr>
          <w:lang w:eastAsia="fr-FR"/>
        </w:rPr>
        <w:t xml:space="preserve"> </w:t>
      </w:r>
      <w:r w:rsidR="00AB01E9">
        <w:rPr>
          <w:lang w:eastAsia="fr-FR"/>
        </w:rPr>
        <w:t xml:space="preserve">représente </w:t>
      </w:r>
      <w:r w:rsidR="005D4599">
        <w:rPr>
          <w:lang w:eastAsia="fr-FR"/>
        </w:rPr>
        <w:t xml:space="preserve">le segment le plus important </w:t>
      </w:r>
      <w:r w:rsidR="00AB01E9">
        <w:rPr>
          <w:lang w:eastAsia="fr-FR"/>
        </w:rPr>
        <w:t>(</w:t>
      </w:r>
      <w:r w:rsidR="00955094">
        <w:rPr>
          <w:lang w:eastAsia="fr-FR"/>
        </w:rPr>
        <w:t>80</w:t>
      </w:r>
      <w:r w:rsidR="00C061E4">
        <w:rPr>
          <w:lang w:eastAsia="fr-FR"/>
        </w:rPr>
        <w:t> </w:t>
      </w:r>
      <w:r w:rsidR="00AB01E9">
        <w:rPr>
          <w:lang w:eastAsia="fr-FR"/>
        </w:rPr>
        <w:t>%) soit</w:t>
      </w:r>
      <w:r w:rsidR="00DE3BA7">
        <w:rPr>
          <w:lang w:eastAsia="fr-FR"/>
        </w:rPr>
        <w:t xml:space="preserve"> 2</w:t>
      </w:r>
      <w:r w:rsidR="00955094">
        <w:rPr>
          <w:lang w:eastAsia="fr-FR"/>
        </w:rPr>
        <w:t>03</w:t>
      </w:r>
      <w:r w:rsidR="00C061E4">
        <w:rPr>
          <w:lang w:eastAsia="fr-FR"/>
        </w:rPr>
        <w:t> </w:t>
      </w:r>
      <w:r w:rsidR="00AB01E9">
        <w:rPr>
          <w:lang w:eastAsia="fr-FR"/>
        </w:rPr>
        <w:t>kt</w:t>
      </w:r>
      <w:r w:rsidR="00181CE8">
        <w:rPr>
          <w:lang w:eastAsia="fr-FR"/>
        </w:rPr>
        <w:t>,</w:t>
      </w:r>
    </w:p>
    <w:p w14:paraId="76B7AE46" w14:textId="0ED6FD68" w:rsidR="008B48C9" w:rsidRDefault="002959E8" w:rsidP="008B48C9">
      <w:pPr>
        <w:pStyle w:val="Paragraphedeliste"/>
        <w:numPr>
          <w:ilvl w:val="0"/>
          <w:numId w:val="23"/>
        </w:numPr>
        <w:rPr>
          <w:lang w:eastAsia="fr-FR"/>
        </w:rPr>
      </w:pPr>
      <w:r>
        <w:rPr>
          <w:lang w:eastAsia="fr-FR"/>
        </w:rPr>
        <w:t>Et l</w:t>
      </w:r>
      <w:r w:rsidR="008B48C9">
        <w:rPr>
          <w:lang w:eastAsia="fr-FR"/>
        </w:rPr>
        <w:t xml:space="preserve">a transformation en salaison cuite </w:t>
      </w:r>
      <w:r w:rsidR="00181CE8">
        <w:rPr>
          <w:lang w:eastAsia="fr-FR"/>
        </w:rPr>
        <w:t>(2</w:t>
      </w:r>
      <w:r w:rsidR="00955094">
        <w:rPr>
          <w:lang w:eastAsia="fr-FR"/>
        </w:rPr>
        <w:t>0</w:t>
      </w:r>
      <w:r w:rsidR="00C061E4">
        <w:rPr>
          <w:lang w:eastAsia="fr-FR"/>
        </w:rPr>
        <w:t> </w:t>
      </w:r>
      <w:r w:rsidR="008B48C9">
        <w:rPr>
          <w:lang w:eastAsia="fr-FR"/>
        </w:rPr>
        <w:t>%</w:t>
      </w:r>
      <w:r w:rsidR="00181CE8">
        <w:rPr>
          <w:lang w:eastAsia="fr-FR"/>
        </w:rPr>
        <w:t>)</w:t>
      </w:r>
      <w:r w:rsidR="008B48C9">
        <w:rPr>
          <w:lang w:eastAsia="fr-FR"/>
        </w:rPr>
        <w:t xml:space="preserve"> </w:t>
      </w:r>
      <w:r w:rsidR="00181CE8">
        <w:rPr>
          <w:lang w:eastAsia="fr-FR"/>
        </w:rPr>
        <w:t>soit</w:t>
      </w:r>
      <w:r w:rsidR="008B48C9">
        <w:rPr>
          <w:lang w:eastAsia="fr-FR"/>
        </w:rPr>
        <w:t xml:space="preserve"> </w:t>
      </w:r>
      <w:r w:rsidR="00955094">
        <w:rPr>
          <w:lang w:eastAsia="fr-FR"/>
        </w:rPr>
        <w:t>50</w:t>
      </w:r>
      <w:r w:rsidR="00C061E4">
        <w:rPr>
          <w:lang w:eastAsia="fr-FR"/>
        </w:rPr>
        <w:t> </w:t>
      </w:r>
      <w:r w:rsidR="008B48C9">
        <w:rPr>
          <w:lang w:eastAsia="fr-FR"/>
        </w:rPr>
        <w:t>kt</w:t>
      </w:r>
      <w:r w:rsidR="00181CE8">
        <w:rPr>
          <w:lang w:eastAsia="fr-FR"/>
        </w:rPr>
        <w:t>.</w:t>
      </w:r>
    </w:p>
    <w:p w14:paraId="0E63E10A" w14:textId="119DB59A" w:rsidR="00D53209" w:rsidRDefault="00772F44" w:rsidP="00CB7826">
      <w:r>
        <w:rPr>
          <w:lang w:eastAsia="fr-FR"/>
        </w:rPr>
        <w:t>Sur la fraction à destination de la viande</w:t>
      </w:r>
      <w:r w:rsidR="00A56DF5" w:rsidRPr="0002537E">
        <w:rPr>
          <w:lang w:eastAsia="fr-FR"/>
        </w:rPr>
        <w:t xml:space="preserve">, </w:t>
      </w:r>
      <w:r>
        <w:rPr>
          <w:lang w:eastAsia="fr-FR"/>
        </w:rPr>
        <w:t>presque la moitié es</w:t>
      </w:r>
      <w:r w:rsidR="005D4599" w:rsidRPr="00A56DF5">
        <w:rPr>
          <w:lang w:eastAsia="fr-FR"/>
        </w:rPr>
        <w:t>t destiné à être réincorporé sous forme de minerai</w:t>
      </w:r>
      <w:r w:rsidR="00D53209">
        <w:rPr>
          <w:lang w:eastAsia="fr-FR"/>
        </w:rPr>
        <w:t xml:space="preserve">. </w:t>
      </w:r>
      <w:r w:rsidR="00D53209" w:rsidRPr="00A56DF5">
        <w:t xml:space="preserve">Avec une faible valorisation </w:t>
      </w:r>
      <w:r>
        <w:t>en</w:t>
      </w:r>
      <w:r w:rsidR="00D53209" w:rsidRPr="00A56DF5">
        <w:t xml:space="preserve"> muscle,</w:t>
      </w:r>
      <w:r w:rsidR="005D4599" w:rsidRPr="00A56DF5">
        <w:rPr>
          <w:lang w:eastAsia="fr-FR"/>
        </w:rPr>
        <w:t xml:space="preserve"> l’épaule </w:t>
      </w:r>
      <w:r>
        <w:rPr>
          <w:lang w:eastAsia="fr-FR"/>
        </w:rPr>
        <w:t>devient</w:t>
      </w:r>
      <w:r w:rsidR="005D4599" w:rsidRPr="00A56DF5">
        <w:rPr>
          <w:lang w:eastAsia="fr-FR"/>
        </w:rPr>
        <w:t xml:space="preserve"> avant tout un gisement de prédilection pour les catégories de produits de mélange</w:t>
      </w:r>
      <w:r w:rsidR="003501A2" w:rsidRPr="00A56DF5">
        <w:rPr>
          <w:lang w:eastAsia="fr-FR"/>
        </w:rPr>
        <w:t xml:space="preserve"> de la saucisserie et de la charcuterie </w:t>
      </w:r>
      <w:r>
        <w:rPr>
          <w:lang w:eastAsia="fr-FR"/>
        </w:rPr>
        <w:t>au travers</w:t>
      </w:r>
      <w:r w:rsidR="003501A2" w:rsidRPr="00A56DF5">
        <w:rPr>
          <w:lang w:eastAsia="fr-FR"/>
        </w:rPr>
        <w:t xml:space="preserve"> </w:t>
      </w:r>
      <w:r w:rsidR="00D53209" w:rsidRPr="00A56DF5">
        <w:rPr>
          <w:lang w:eastAsia="fr-FR"/>
        </w:rPr>
        <w:t xml:space="preserve">notamment </w:t>
      </w:r>
      <w:r>
        <w:rPr>
          <w:lang w:eastAsia="fr-FR"/>
        </w:rPr>
        <w:t>d</w:t>
      </w:r>
      <w:r w:rsidR="003501A2" w:rsidRPr="00A56DF5">
        <w:rPr>
          <w:lang w:eastAsia="fr-FR"/>
        </w:rPr>
        <w:t>es</w:t>
      </w:r>
      <w:r w:rsidR="005D4599" w:rsidRPr="00A56DF5">
        <w:rPr>
          <w:lang w:eastAsia="fr-FR"/>
        </w:rPr>
        <w:t xml:space="preserve"> terrines et </w:t>
      </w:r>
      <w:r>
        <w:rPr>
          <w:lang w:eastAsia="fr-FR"/>
        </w:rPr>
        <w:t xml:space="preserve">des </w:t>
      </w:r>
      <w:r w:rsidR="005D4599" w:rsidRPr="00A56DF5">
        <w:rPr>
          <w:lang w:eastAsia="fr-FR"/>
        </w:rPr>
        <w:t>pâtés.</w:t>
      </w:r>
    </w:p>
    <w:p w14:paraId="1D8C434F" w14:textId="27F2F93B" w:rsidR="005D4599" w:rsidRDefault="00D53209" w:rsidP="00CB7826">
      <w:r>
        <w:t>D’une manière générale,</w:t>
      </w:r>
      <w:r w:rsidR="00CE7057" w:rsidRPr="00A56DF5">
        <w:t xml:space="preserve"> la progression constante de</w:t>
      </w:r>
      <w:r w:rsidR="00772F44">
        <w:t xml:space="preserve"> la</w:t>
      </w:r>
      <w:r w:rsidR="00CE7057" w:rsidRPr="00A56DF5">
        <w:t xml:space="preserve"> transformation de la viande porcine en produits de mélange impose d’intégrer dans ces derniers,</w:t>
      </w:r>
      <w:r w:rsidR="00CE7057" w:rsidRPr="00A56DF5">
        <w:rPr>
          <w:b/>
        </w:rPr>
        <w:t xml:space="preserve"> </w:t>
      </w:r>
      <w:r w:rsidR="00CE7057" w:rsidRPr="00A56DF5">
        <w:t>au-delà de l’épaule,</w:t>
      </w:r>
      <w:r w:rsidR="00603472">
        <w:t xml:space="preserve"> une part croissante </w:t>
      </w:r>
      <w:r w:rsidR="00CE7057" w:rsidRPr="00A56DF5">
        <w:t xml:space="preserve">de </w:t>
      </w:r>
      <w:r>
        <w:t>muscles dont la valorisation en l’état est rendue difficile</w:t>
      </w:r>
      <w:r w:rsidR="00CE7057" w:rsidRPr="00A56DF5">
        <w:t>.</w:t>
      </w:r>
    </w:p>
    <w:p w14:paraId="451F8BF4" w14:textId="577AC84B" w:rsidR="001A31A0" w:rsidRDefault="009100C2" w:rsidP="00CB7826">
      <w:pPr>
        <w:rPr>
          <w:lang w:eastAsia="fr-FR"/>
        </w:rPr>
      </w:pPr>
      <w:r>
        <w:rPr>
          <w:lang w:eastAsia="fr-FR"/>
        </w:rPr>
        <w:t>Par ailleurs, l</w:t>
      </w:r>
      <w:r w:rsidR="008B48C9" w:rsidRPr="00713036">
        <w:rPr>
          <w:lang w:eastAsia="fr-FR"/>
        </w:rPr>
        <w:t xml:space="preserve">’importation en </w:t>
      </w:r>
      <w:r w:rsidR="008C321E">
        <w:rPr>
          <w:lang w:eastAsia="fr-FR"/>
        </w:rPr>
        <w:t>épaule</w:t>
      </w:r>
      <w:r w:rsidR="008B48C9">
        <w:rPr>
          <w:lang w:eastAsia="fr-FR"/>
        </w:rPr>
        <w:t xml:space="preserve"> </w:t>
      </w:r>
      <w:r w:rsidR="008B48C9" w:rsidRPr="00713036">
        <w:rPr>
          <w:lang w:eastAsia="fr-FR"/>
        </w:rPr>
        <w:t>désossé</w:t>
      </w:r>
      <w:r w:rsidR="008C321E">
        <w:rPr>
          <w:lang w:eastAsia="fr-FR"/>
        </w:rPr>
        <w:t>e</w:t>
      </w:r>
      <w:r w:rsidR="00BC3769" w:rsidRPr="00BC3769">
        <w:rPr>
          <w:lang w:eastAsia="fr-FR"/>
        </w:rPr>
        <w:t xml:space="preserve"> </w:t>
      </w:r>
      <w:r w:rsidR="00BC3769">
        <w:rPr>
          <w:lang w:eastAsia="fr-FR"/>
        </w:rPr>
        <w:t>estimée à 30</w:t>
      </w:r>
      <w:r w:rsidR="00C061E4">
        <w:rPr>
          <w:lang w:eastAsia="fr-FR"/>
        </w:rPr>
        <w:t> </w:t>
      </w:r>
      <w:r w:rsidR="00BC3769">
        <w:rPr>
          <w:lang w:eastAsia="fr-FR"/>
        </w:rPr>
        <w:t>kt</w:t>
      </w:r>
      <w:r w:rsidR="008B48C9">
        <w:rPr>
          <w:lang w:eastAsia="fr-FR"/>
        </w:rPr>
        <w:t xml:space="preserve"> correspond à une part des produits importés en désossé (02031955 et 02032955 ; </w:t>
      </w:r>
      <w:r w:rsidR="008C321E">
        <w:rPr>
          <w:lang w:eastAsia="fr-FR"/>
        </w:rPr>
        <w:t>d</w:t>
      </w:r>
      <w:r w:rsidR="008B48C9">
        <w:rPr>
          <w:lang w:eastAsia="fr-FR"/>
        </w:rPr>
        <w:t xml:space="preserve">ésossées </w:t>
      </w:r>
      <w:r w:rsidR="008C321E">
        <w:rPr>
          <w:lang w:eastAsia="fr-FR"/>
        </w:rPr>
        <w:t>frais</w:t>
      </w:r>
      <w:r w:rsidR="008B48C9">
        <w:rPr>
          <w:lang w:eastAsia="fr-FR"/>
        </w:rPr>
        <w:t xml:space="preserve"> et </w:t>
      </w:r>
      <w:r w:rsidR="008C321E">
        <w:rPr>
          <w:lang w:eastAsia="fr-FR"/>
        </w:rPr>
        <w:t>désossé congelé</w:t>
      </w:r>
      <w:r w:rsidR="008B48C9">
        <w:rPr>
          <w:lang w:eastAsia="fr-FR"/>
        </w:rPr>
        <w:t>)</w:t>
      </w:r>
      <w:r w:rsidR="00BC3769">
        <w:rPr>
          <w:lang w:eastAsia="fr-FR"/>
        </w:rPr>
        <w:t xml:space="preserve"> en </w:t>
      </w:r>
      <w:r w:rsidR="00BC3769">
        <w:rPr>
          <w:lang w:eastAsia="fr-FR"/>
        </w:rPr>
        <w:lastRenderedPageBreak/>
        <w:t xml:space="preserve">complément de la part de jambon désossé. Ce volume </w:t>
      </w:r>
      <w:r w:rsidR="00264B81">
        <w:rPr>
          <w:lang w:eastAsia="fr-FR"/>
        </w:rPr>
        <w:t xml:space="preserve">d’épaule </w:t>
      </w:r>
      <w:r w:rsidR="00BC3769">
        <w:rPr>
          <w:lang w:eastAsia="fr-FR"/>
        </w:rPr>
        <w:t xml:space="preserve">importé </w:t>
      </w:r>
      <w:r w:rsidR="005D4599">
        <w:rPr>
          <w:lang w:eastAsia="fr-FR"/>
        </w:rPr>
        <w:t>représenterait environ 1</w:t>
      </w:r>
      <w:r w:rsidR="00BC3769">
        <w:rPr>
          <w:lang w:eastAsia="fr-FR"/>
        </w:rPr>
        <w:t>2</w:t>
      </w:r>
      <w:r w:rsidR="00C061E4">
        <w:rPr>
          <w:lang w:eastAsia="fr-FR"/>
        </w:rPr>
        <w:t> </w:t>
      </w:r>
      <w:r w:rsidR="005D4599">
        <w:rPr>
          <w:lang w:eastAsia="fr-FR"/>
        </w:rPr>
        <w:t>% d</w:t>
      </w:r>
      <w:r w:rsidR="00BC3769">
        <w:rPr>
          <w:lang w:eastAsia="fr-FR"/>
        </w:rPr>
        <w:t>e la fraction de départ</w:t>
      </w:r>
      <w:r w:rsidR="00264B81">
        <w:rPr>
          <w:lang w:eastAsia="fr-FR"/>
        </w:rPr>
        <w:t xml:space="preserve"> principalement à destination de la restauration hors domicile</w:t>
      </w:r>
      <w:r w:rsidR="005D4599">
        <w:rPr>
          <w:lang w:eastAsia="fr-FR"/>
        </w:rPr>
        <w:t>.</w:t>
      </w:r>
      <w:r w:rsidR="00120F08">
        <w:rPr>
          <w:lang w:eastAsia="fr-FR"/>
        </w:rPr>
        <w:t xml:space="preserve"> Quant à l’exportation, </w:t>
      </w:r>
      <w:r w:rsidR="00264B81">
        <w:rPr>
          <w:lang w:eastAsia="fr-FR"/>
        </w:rPr>
        <w:t xml:space="preserve">leur part en volume est mineure. Il s’agit d’épaule SS et SF (02101119 et 02101139) et de parties avant </w:t>
      </w:r>
      <w:r w:rsidR="00603472">
        <w:rPr>
          <w:lang w:eastAsia="fr-FR"/>
        </w:rPr>
        <w:t xml:space="preserve">SS et SF </w:t>
      </w:r>
      <w:r w:rsidR="00264B81">
        <w:rPr>
          <w:lang w:eastAsia="fr-FR"/>
        </w:rPr>
        <w:t>(02101930 et 02101960).</w:t>
      </w:r>
    </w:p>
    <w:p w14:paraId="4FA23C31" w14:textId="4263C257" w:rsidR="009342CC" w:rsidRDefault="008B48C9" w:rsidP="0002537E">
      <w:pPr>
        <w:spacing w:after="120"/>
        <w:rPr>
          <w:bCs/>
          <w:lang w:eastAsia="fr-FR"/>
        </w:rPr>
      </w:pPr>
      <w:r>
        <w:rPr>
          <w:bCs/>
          <w:lang w:eastAsia="fr-FR"/>
        </w:rPr>
        <w:t>Les incertitudes en entrée de tableau emploi ressource sont de 20%</w:t>
      </w:r>
      <w:r w:rsidR="00A352BF">
        <w:rPr>
          <w:bCs/>
          <w:lang w:eastAsia="fr-FR"/>
        </w:rPr>
        <w:t xml:space="preserve"> et en sortie de 30%</w:t>
      </w:r>
      <w:r>
        <w:rPr>
          <w:bCs/>
          <w:lang w:eastAsia="fr-FR"/>
        </w:rPr>
        <w:t xml:space="preserve"> compte tenu des sources de données et des modes d’estimation.</w:t>
      </w:r>
    </w:p>
    <w:tbl>
      <w:tblPr>
        <w:tblW w:w="9340" w:type="dxa"/>
        <w:tblCellMar>
          <w:left w:w="0" w:type="dxa"/>
          <w:right w:w="0" w:type="dxa"/>
        </w:tblCellMar>
        <w:tblLook w:val="0600" w:firstRow="0" w:lastRow="0" w:firstColumn="0" w:lastColumn="0" w:noHBand="1" w:noVBand="1"/>
      </w:tblPr>
      <w:tblGrid>
        <w:gridCol w:w="3640"/>
        <w:gridCol w:w="1780"/>
        <w:gridCol w:w="980"/>
        <w:gridCol w:w="860"/>
        <w:gridCol w:w="2080"/>
      </w:tblGrid>
      <w:tr w:rsidR="00AB01E9" w:rsidRPr="00655DE7" w14:paraId="1D4C67EC" w14:textId="77777777" w:rsidTr="0002537E">
        <w:trPr>
          <w:trHeight w:val="20"/>
        </w:trPr>
        <w:tc>
          <w:tcPr>
            <w:tcW w:w="36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3C4AA4C7" w14:textId="77777777" w:rsidR="00AB01E9" w:rsidRPr="00713036" w:rsidRDefault="00AB01E9" w:rsidP="0002537E">
            <w:pPr>
              <w:pStyle w:val="ValrieN1"/>
              <w:spacing w:after="0" w:line="240" w:lineRule="auto"/>
              <w:ind w:left="0"/>
              <w:rPr>
                <w:sz w:val="20"/>
                <w:szCs w:val="20"/>
              </w:rPr>
            </w:pPr>
            <w:r w:rsidRPr="00713036">
              <w:rPr>
                <w:bCs/>
                <w:sz w:val="20"/>
                <w:szCs w:val="20"/>
              </w:rPr>
              <w:t xml:space="preserve">Libellé </w:t>
            </w:r>
          </w:p>
        </w:tc>
        <w:tc>
          <w:tcPr>
            <w:tcW w:w="17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16A03100"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Production</w:t>
            </w:r>
          </w:p>
        </w:tc>
        <w:tc>
          <w:tcPr>
            <w:tcW w:w="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1A848426"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I</w:t>
            </w:r>
          </w:p>
        </w:tc>
        <w:tc>
          <w:tcPr>
            <w:tcW w:w="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68CE73A7"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Ex</w:t>
            </w:r>
          </w:p>
        </w:tc>
        <w:tc>
          <w:tcPr>
            <w:tcW w:w="20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5337C34E"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Consommation</w:t>
            </w:r>
          </w:p>
        </w:tc>
      </w:tr>
      <w:tr w:rsidR="00AB01E9" w:rsidRPr="00655DE7" w14:paraId="34EC836A" w14:textId="77777777" w:rsidTr="0002537E">
        <w:trPr>
          <w:trHeight w:val="20"/>
        </w:trPr>
        <w:tc>
          <w:tcPr>
            <w:tcW w:w="36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173B8162" w14:textId="77777777" w:rsidR="00AB01E9" w:rsidRPr="00713036" w:rsidRDefault="00AB01E9" w:rsidP="0002537E">
            <w:pPr>
              <w:pStyle w:val="ValrieN1"/>
              <w:spacing w:after="0" w:line="240" w:lineRule="auto"/>
              <w:ind w:left="0"/>
              <w:rPr>
                <w:sz w:val="20"/>
                <w:szCs w:val="20"/>
              </w:rPr>
            </w:pPr>
            <w:r w:rsidRPr="00713036">
              <w:rPr>
                <w:bCs/>
                <w:sz w:val="20"/>
                <w:szCs w:val="20"/>
              </w:rPr>
              <w:t>Total</w:t>
            </w:r>
          </w:p>
        </w:tc>
        <w:tc>
          <w:tcPr>
            <w:tcW w:w="17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60DF4C5D" w14:textId="17DAD884" w:rsidR="00AB01E9" w:rsidRPr="00713036" w:rsidRDefault="00AB01E9" w:rsidP="0002537E">
            <w:pPr>
              <w:pStyle w:val="ValrieN1"/>
              <w:spacing w:after="0" w:line="240" w:lineRule="auto"/>
              <w:ind w:left="0"/>
              <w:jc w:val="center"/>
              <w:rPr>
                <w:sz w:val="20"/>
                <w:szCs w:val="20"/>
              </w:rPr>
            </w:pPr>
            <w:r w:rsidRPr="00713036">
              <w:rPr>
                <w:bCs/>
                <w:sz w:val="20"/>
                <w:szCs w:val="20"/>
              </w:rPr>
              <w:t>2</w:t>
            </w:r>
            <w:r w:rsidR="003F245B">
              <w:rPr>
                <w:bCs/>
                <w:sz w:val="20"/>
                <w:szCs w:val="20"/>
              </w:rPr>
              <w:t>6</w:t>
            </w:r>
            <w:r w:rsidRPr="00713036">
              <w:rPr>
                <w:bCs/>
                <w:sz w:val="20"/>
                <w:szCs w:val="20"/>
              </w:rPr>
              <w:t>3 [21</w:t>
            </w:r>
            <w:r w:rsidR="003F245B">
              <w:rPr>
                <w:bCs/>
                <w:sz w:val="20"/>
                <w:szCs w:val="20"/>
              </w:rPr>
              <w:t>0</w:t>
            </w:r>
            <w:r w:rsidRPr="00713036">
              <w:rPr>
                <w:bCs/>
                <w:sz w:val="20"/>
                <w:szCs w:val="20"/>
              </w:rPr>
              <w:t>-3</w:t>
            </w:r>
            <w:r w:rsidR="003F245B">
              <w:rPr>
                <w:bCs/>
                <w:sz w:val="20"/>
                <w:szCs w:val="20"/>
              </w:rPr>
              <w:t>16</w:t>
            </w:r>
            <w:r w:rsidRPr="00713036">
              <w:rPr>
                <w:bCs/>
                <w:sz w:val="20"/>
                <w:szCs w:val="20"/>
              </w:rPr>
              <w:t>]</w:t>
            </w:r>
          </w:p>
        </w:tc>
        <w:tc>
          <w:tcPr>
            <w:tcW w:w="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71817BBA" w14:textId="0E54D89C" w:rsidR="00AB01E9" w:rsidRPr="00713036" w:rsidRDefault="00AB01E9" w:rsidP="0002537E">
            <w:pPr>
              <w:pStyle w:val="ValrieN1"/>
              <w:spacing w:after="0" w:line="240" w:lineRule="auto"/>
              <w:ind w:left="0"/>
              <w:jc w:val="center"/>
              <w:rPr>
                <w:sz w:val="20"/>
                <w:szCs w:val="20"/>
              </w:rPr>
            </w:pPr>
            <w:r w:rsidRPr="00713036">
              <w:rPr>
                <w:bCs/>
                <w:sz w:val="20"/>
                <w:szCs w:val="20"/>
              </w:rPr>
              <w:t>3</w:t>
            </w:r>
            <w:r w:rsidR="000664BA">
              <w:rPr>
                <w:bCs/>
                <w:sz w:val="20"/>
                <w:szCs w:val="20"/>
              </w:rPr>
              <w:t>0</w:t>
            </w:r>
          </w:p>
        </w:tc>
        <w:tc>
          <w:tcPr>
            <w:tcW w:w="86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0F7476A6" w14:textId="77777777" w:rsidR="00AB01E9" w:rsidRPr="00713036" w:rsidRDefault="00AB01E9" w:rsidP="0002537E">
            <w:pPr>
              <w:pStyle w:val="ValrieN1"/>
              <w:spacing w:after="0" w:line="240" w:lineRule="auto"/>
              <w:ind w:left="0"/>
              <w:jc w:val="center"/>
              <w:rPr>
                <w:sz w:val="20"/>
                <w:szCs w:val="20"/>
              </w:rPr>
            </w:pPr>
            <w:r w:rsidRPr="00713036">
              <w:rPr>
                <w:bCs/>
                <w:sz w:val="20"/>
                <w:szCs w:val="20"/>
              </w:rPr>
              <w:t>0,04</w:t>
            </w:r>
          </w:p>
        </w:tc>
        <w:tc>
          <w:tcPr>
            <w:tcW w:w="20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4" w:type="dxa"/>
              <w:left w:w="14" w:type="dxa"/>
              <w:bottom w:w="0" w:type="dxa"/>
              <w:right w:w="14" w:type="dxa"/>
            </w:tcMar>
            <w:vAlign w:val="center"/>
            <w:hideMark/>
          </w:tcPr>
          <w:p w14:paraId="01F87D53" w14:textId="57487A38" w:rsidR="00AB01E9" w:rsidRPr="00713036" w:rsidRDefault="00285F8D" w:rsidP="0002537E">
            <w:pPr>
              <w:pStyle w:val="ValrieN1"/>
              <w:spacing w:after="0" w:line="240" w:lineRule="auto"/>
              <w:ind w:left="0"/>
              <w:jc w:val="center"/>
              <w:rPr>
                <w:sz w:val="20"/>
                <w:szCs w:val="20"/>
              </w:rPr>
            </w:pPr>
            <w:r>
              <w:rPr>
                <w:bCs/>
                <w:sz w:val="20"/>
                <w:szCs w:val="20"/>
              </w:rPr>
              <w:t>294</w:t>
            </w:r>
            <w:r w:rsidR="00AB01E9" w:rsidRPr="00713036">
              <w:rPr>
                <w:bCs/>
                <w:sz w:val="20"/>
                <w:szCs w:val="20"/>
              </w:rPr>
              <w:t xml:space="preserve"> [2</w:t>
            </w:r>
            <w:r>
              <w:rPr>
                <w:bCs/>
                <w:sz w:val="20"/>
                <w:szCs w:val="20"/>
              </w:rPr>
              <w:t>06</w:t>
            </w:r>
            <w:r w:rsidR="00AB01E9" w:rsidRPr="00713036">
              <w:rPr>
                <w:bCs/>
                <w:sz w:val="20"/>
                <w:szCs w:val="20"/>
              </w:rPr>
              <w:t>-3</w:t>
            </w:r>
            <w:r>
              <w:rPr>
                <w:bCs/>
                <w:sz w:val="20"/>
                <w:szCs w:val="20"/>
              </w:rPr>
              <w:t>8</w:t>
            </w:r>
            <w:r w:rsidR="00AB01E9" w:rsidRPr="00713036">
              <w:rPr>
                <w:bCs/>
                <w:sz w:val="20"/>
                <w:szCs w:val="20"/>
              </w:rPr>
              <w:t>2]</w:t>
            </w:r>
          </w:p>
        </w:tc>
      </w:tr>
      <w:tr w:rsidR="00AB01E9" w:rsidRPr="008B74A0" w14:paraId="380AD775" w14:textId="77777777" w:rsidTr="0002537E">
        <w:trPr>
          <w:trHeight w:val="20"/>
        </w:trPr>
        <w:tc>
          <w:tcPr>
            <w:tcW w:w="364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707A3E11" w14:textId="5285DFD1" w:rsidR="00AB01E9" w:rsidRPr="00713036" w:rsidRDefault="00AB01E9" w:rsidP="0002537E">
            <w:pPr>
              <w:pStyle w:val="ValrieN1"/>
              <w:spacing w:after="0" w:line="240" w:lineRule="auto"/>
              <w:ind w:left="0"/>
              <w:jc w:val="left"/>
              <w:rPr>
                <w:b w:val="0"/>
                <w:sz w:val="20"/>
                <w:szCs w:val="20"/>
              </w:rPr>
            </w:pPr>
            <w:r w:rsidRPr="00713036">
              <w:rPr>
                <w:b w:val="0"/>
                <w:bCs/>
                <w:i/>
                <w:iCs/>
                <w:sz w:val="20"/>
                <w:szCs w:val="20"/>
              </w:rPr>
              <w:t>Dont pièces de viandes crues, pi</w:t>
            </w:r>
            <w:r w:rsidR="009342CC">
              <w:rPr>
                <w:b w:val="0"/>
                <w:bCs/>
                <w:i/>
                <w:iCs/>
                <w:sz w:val="20"/>
                <w:szCs w:val="20"/>
              </w:rPr>
              <w:t>è</w:t>
            </w:r>
            <w:r w:rsidRPr="00713036">
              <w:rPr>
                <w:b w:val="0"/>
                <w:bCs/>
                <w:i/>
                <w:iCs/>
                <w:sz w:val="20"/>
                <w:szCs w:val="20"/>
              </w:rPr>
              <w:t xml:space="preserve">ces, salées </w:t>
            </w:r>
          </w:p>
        </w:tc>
        <w:tc>
          <w:tcPr>
            <w:tcW w:w="178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1CAC0ABD"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203 [162 -244</w:t>
            </w:r>
            <w:r>
              <w:rPr>
                <w:b w:val="0"/>
                <w:bCs/>
                <w:i/>
                <w:iCs/>
                <w:sz w:val="20"/>
                <w:szCs w:val="20"/>
              </w:rPr>
              <w:t>]</w:t>
            </w:r>
          </w:p>
        </w:tc>
        <w:tc>
          <w:tcPr>
            <w:tcW w:w="98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0F24B22E" w14:textId="6C052D37" w:rsidR="00AB01E9" w:rsidRPr="0002537E" w:rsidRDefault="000664BA" w:rsidP="0002537E">
            <w:pPr>
              <w:pStyle w:val="ValrieN1"/>
              <w:spacing w:after="0" w:line="240" w:lineRule="auto"/>
              <w:ind w:left="0"/>
              <w:jc w:val="center"/>
              <w:rPr>
                <w:b w:val="0"/>
                <w:i/>
                <w:sz w:val="20"/>
                <w:szCs w:val="20"/>
              </w:rPr>
            </w:pPr>
            <w:r w:rsidRPr="0002537E">
              <w:rPr>
                <w:b w:val="0"/>
                <w:i/>
                <w:sz w:val="20"/>
                <w:szCs w:val="20"/>
              </w:rPr>
              <w:t>30</w:t>
            </w:r>
          </w:p>
        </w:tc>
        <w:tc>
          <w:tcPr>
            <w:tcW w:w="86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0DD4470F"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0,03</w:t>
            </w:r>
          </w:p>
        </w:tc>
        <w:tc>
          <w:tcPr>
            <w:tcW w:w="2080" w:type="dxa"/>
            <w:tcBorders>
              <w:top w:val="single" w:sz="4" w:space="0" w:color="auto"/>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23B6D4B5" w14:textId="303C2554"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21</w:t>
            </w:r>
            <w:r w:rsidR="00A352BF">
              <w:rPr>
                <w:b w:val="0"/>
                <w:bCs/>
                <w:i/>
                <w:iCs/>
                <w:sz w:val="20"/>
                <w:szCs w:val="20"/>
              </w:rPr>
              <w:t>1</w:t>
            </w:r>
            <w:r w:rsidRPr="00713036">
              <w:rPr>
                <w:b w:val="0"/>
                <w:bCs/>
                <w:i/>
                <w:iCs/>
                <w:sz w:val="20"/>
                <w:szCs w:val="20"/>
              </w:rPr>
              <w:t xml:space="preserve"> [1</w:t>
            </w:r>
            <w:r w:rsidR="00A352BF">
              <w:rPr>
                <w:b w:val="0"/>
                <w:bCs/>
                <w:i/>
                <w:iCs/>
                <w:sz w:val="20"/>
                <w:szCs w:val="20"/>
              </w:rPr>
              <w:t>48</w:t>
            </w:r>
            <w:r w:rsidRPr="00713036">
              <w:rPr>
                <w:b w:val="0"/>
                <w:bCs/>
                <w:i/>
                <w:iCs/>
                <w:sz w:val="20"/>
                <w:szCs w:val="20"/>
              </w:rPr>
              <w:t>-2</w:t>
            </w:r>
            <w:r w:rsidR="00A352BF">
              <w:rPr>
                <w:b w:val="0"/>
                <w:bCs/>
                <w:i/>
                <w:iCs/>
                <w:sz w:val="20"/>
                <w:szCs w:val="20"/>
              </w:rPr>
              <w:t>75</w:t>
            </w:r>
            <w:r w:rsidRPr="00713036">
              <w:rPr>
                <w:b w:val="0"/>
                <w:bCs/>
                <w:i/>
                <w:iCs/>
                <w:sz w:val="20"/>
                <w:szCs w:val="20"/>
              </w:rPr>
              <w:t>]</w:t>
            </w:r>
          </w:p>
        </w:tc>
      </w:tr>
      <w:tr w:rsidR="00AB01E9" w:rsidRPr="008B74A0" w14:paraId="3AA73D79" w14:textId="77777777" w:rsidTr="0002537E">
        <w:trPr>
          <w:trHeight w:val="20"/>
        </w:trPr>
        <w:tc>
          <w:tcPr>
            <w:tcW w:w="3640" w:type="dxa"/>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12F863B8" w14:textId="646E7370" w:rsidR="00AB01E9" w:rsidRPr="00713036" w:rsidRDefault="00AB01E9" w:rsidP="0002537E">
            <w:pPr>
              <w:pStyle w:val="ValrieN1"/>
              <w:spacing w:after="0" w:line="240" w:lineRule="auto"/>
              <w:ind w:left="0"/>
              <w:jc w:val="left"/>
              <w:rPr>
                <w:b w:val="0"/>
                <w:sz w:val="20"/>
                <w:szCs w:val="20"/>
              </w:rPr>
            </w:pPr>
            <w:r w:rsidRPr="00713036">
              <w:rPr>
                <w:b w:val="0"/>
                <w:sz w:val="20"/>
                <w:szCs w:val="20"/>
              </w:rPr>
              <w:t xml:space="preserve">Pièces épaule, palettes crues </w:t>
            </w:r>
            <w:r>
              <w:rPr>
                <w:b w:val="0"/>
                <w:sz w:val="20"/>
                <w:szCs w:val="20"/>
              </w:rPr>
              <w:br/>
            </w:r>
            <w:r w:rsidRPr="00713036">
              <w:rPr>
                <w:b w:val="0"/>
                <w:sz w:val="20"/>
                <w:szCs w:val="20"/>
              </w:rPr>
              <w:t>découpées (rôti, sauté, émincé)</w:t>
            </w:r>
          </w:p>
        </w:tc>
        <w:tc>
          <w:tcPr>
            <w:tcW w:w="1780" w:type="dxa"/>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5E1656DE"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64 [134-202]</w:t>
            </w:r>
          </w:p>
        </w:tc>
        <w:tc>
          <w:tcPr>
            <w:tcW w:w="980" w:type="dxa"/>
            <w:vMerge w:val="restart"/>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1A0F785D"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30</w:t>
            </w:r>
          </w:p>
        </w:tc>
        <w:tc>
          <w:tcPr>
            <w:tcW w:w="860" w:type="dxa"/>
            <w:vMerge w:val="restart"/>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5E8948F9"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0,03</w:t>
            </w:r>
          </w:p>
        </w:tc>
        <w:tc>
          <w:tcPr>
            <w:tcW w:w="2080" w:type="dxa"/>
            <w:tcBorders>
              <w:top w:val="single" w:sz="4" w:space="0" w:color="000000"/>
              <w:left w:val="single" w:sz="4" w:space="0" w:color="000000"/>
              <w:bottom w:val="single" w:sz="4" w:space="0" w:color="auto"/>
              <w:right w:val="single" w:sz="4" w:space="0" w:color="000000"/>
            </w:tcBorders>
            <w:shd w:val="clear" w:color="auto" w:fill="auto"/>
            <w:tcMar>
              <w:top w:w="14" w:type="dxa"/>
              <w:left w:w="14" w:type="dxa"/>
              <w:bottom w:w="0" w:type="dxa"/>
              <w:right w:w="14" w:type="dxa"/>
            </w:tcMar>
            <w:vAlign w:val="center"/>
            <w:hideMark/>
          </w:tcPr>
          <w:p w14:paraId="53C15358" w14:textId="590FB8EE" w:rsidR="00AB01E9" w:rsidRPr="00713036" w:rsidRDefault="00A352BF" w:rsidP="0002537E">
            <w:pPr>
              <w:pStyle w:val="ValrieN1"/>
              <w:spacing w:after="0" w:line="240" w:lineRule="auto"/>
              <w:ind w:left="0"/>
              <w:jc w:val="center"/>
              <w:rPr>
                <w:b w:val="0"/>
                <w:sz w:val="20"/>
                <w:szCs w:val="20"/>
              </w:rPr>
            </w:pPr>
            <w:r>
              <w:rPr>
                <w:b w:val="0"/>
                <w:bCs/>
                <w:sz w:val="20"/>
                <w:szCs w:val="20"/>
              </w:rPr>
              <w:t>72</w:t>
            </w:r>
            <w:r w:rsidR="00AB01E9" w:rsidRPr="00713036">
              <w:rPr>
                <w:b w:val="0"/>
                <w:bCs/>
                <w:sz w:val="20"/>
                <w:szCs w:val="20"/>
              </w:rPr>
              <w:t xml:space="preserve"> [50-94]</w:t>
            </w:r>
          </w:p>
        </w:tc>
      </w:tr>
      <w:tr w:rsidR="00AB01E9" w:rsidRPr="008B74A0" w14:paraId="4E0CD690" w14:textId="77777777" w:rsidTr="0002537E">
        <w:trPr>
          <w:trHeight w:val="20"/>
        </w:trPr>
        <w:tc>
          <w:tcPr>
            <w:tcW w:w="3640" w:type="dxa"/>
            <w:tcBorders>
              <w:top w:val="single" w:sz="4"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CEE1104" w14:textId="0BEAD445" w:rsidR="00AB01E9" w:rsidRPr="00713036" w:rsidRDefault="00AB01E9" w:rsidP="0002537E">
            <w:pPr>
              <w:pStyle w:val="ValrieN1"/>
              <w:spacing w:after="0" w:line="240" w:lineRule="auto"/>
              <w:ind w:left="0"/>
              <w:rPr>
                <w:b w:val="0"/>
                <w:sz w:val="20"/>
                <w:szCs w:val="20"/>
              </w:rPr>
            </w:pPr>
            <w:r w:rsidRPr="00713036">
              <w:rPr>
                <w:b w:val="0"/>
                <w:sz w:val="20"/>
                <w:szCs w:val="20"/>
              </w:rPr>
              <w:t>Jarret avant, palette demi</w:t>
            </w:r>
            <w:r w:rsidR="00955094">
              <w:rPr>
                <w:b w:val="0"/>
                <w:sz w:val="20"/>
                <w:szCs w:val="20"/>
              </w:rPr>
              <w:t>-</w:t>
            </w:r>
            <w:r w:rsidRPr="00713036">
              <w:rPr>
                <w:b w:val="0"/>
                <w:sz w:val="20"/>
                <w:szCs w:val="20"/>
              </w:rPr>
              <w:t xml:space="preserve">sel </w:t>
            </w:r>
          </w:p>
        </w:tc>
        <w:tc>
          <w:tcPr>
            <w:tcW w:w="1780" w:type="dxa"/>
            <w:tcBorders>
              <w:top w:val="single" w:sz="4"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140F99ED"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35 [28-42]</w:t>
            </w:r>
          </w:p>
        </w:tc>
        <w:tc>
          <w:tcPr>
            <w:tcW w:w="0" w:type="auto"/>
            <w:vMerge/>
            <w:tcBorders>
              <w:top w:val="single" w:sz="4" w:space="0" w:color="auto"/>
              <w:left w:val="single" w:sz="4" w:space="0" w:color="000000"/>
              <w:right w:val="single" w:sz="4" w:space="0" w:color="000000"/>
            </w:tcBorders>
            <w:shd w:val="clear" w:color="auto" w:fill="auto"/>
            <w:vAlign w:val="center"/>
            <w:hideMark/>
          </w:tcPr>
          <w:p w14:paraId="3590D9E9" w14:textId="77777777" w:rsidR="00AB01E9" w:rsidRPr="00713036" w:rsidRDefault="00AB01E9" w:rsidP="0002537E">
            <w:pPr>
              <w:pStyle w:val="ValrieN1"/>
              <w:spacing w:after="0" w:line="240" w:lineRule="auto"/>
              <w:ind w:left="0"/>
              <w:jc w:val="center"/>
              <w:rPr>
                <w:b w:val="0"/>
                <w:sz w:val="20"/>
                <w:szCs w:val="20"/>
              </w:rPr>
            </w:pPr>
          </w:p>
        </w:tc>
        <w:tc>
          <w:tcPr>
            <w:tcW w:w="0" w:type="auto"/>
            <w:vMerge/>
            <w:tcBorders>
              <w:top w:val="single" w:sz="4" w:space="0" w:color="auto"/>
              <w:left w:val="single" w:sz="4" w:space="0" w:color="000000"/>
              <w:bottom w:val="single" w:sz="4" w:space="0" w:color="000000"/>
              <w:right w:val="single" w:sz="4" w:space="0" w:color="000000"/>
            </w:tcBorders>
            <w:shd w:val="clear" w:color="auto" w:fill="auto"/>
            <w:vAlign w:val="center"/>
            <w:hideMark/>
          </w:tcPr>
          <w:p w14:paraId="11049E0F"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auto"/>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793053D4" w14:textId="3C282F16" w:rsidR="00AB01E9" w:rsidRPr="00713036" w:rsidRDefault="00A352BF" w:rsidP="0002537E">
            <w:pPr>
              <w:pStyle w:val="ValrieN1"/>
              <w:spacing w:after="0" w:line="240" w:lineRule="auto"/>
              <w:ind w:left="0"/>
              <w:jc w:val="center"/>
              <w:rPr>
                <w:b w:val="0"/>
                <w:sz w:val="20"/>
                <w:szCs w:val="20"/>
              </w:rPr>
            </w:pPr>
            <w:r>
              <w:rPr>
                <w:b w:val="0"/>
                <w:bCs/>
                <w:sz w:val="20"/>
                <w:szCs w:val="20"/>
              </w:rPr>
              <w:t>35</w:t>
            </w:r>
            <w:r w:rsidR="00AB01E9" w:rsidRPr="00713036">
              <w:rPr>
                <w:b w:val="0"/>
                <w:bCs/>
                <w:sz w:val="20"/>
                <w:szCs w:val="20"/>
              </w:rPr>
              <w:t xml:space="preserve"> [2</w:t>
            </w:r>
            <w:r>
              <w:rPr>
                <w:b w:val="0"/>
                <w:bCs/>
                <w:sz w:val="20"/>
                <w:szCs w:val="20"/>
              </w:rPr>
              <w:t>5</w:t>
            </w:r>
            <w:r w:rsidR="00AB01E9" w:rsidRPr="00713036">
              <w:rPr>
                <w:b w:val="0"/>
                <w:bCs/>
                <w:sz w:val="20"/>
                <w:szCs w:val="20"/>
              </w:rPr>
              <w:t>-</w:t>
            </w:r>
            <w:r>
              <w:rPr>
                <w:b w:val="0"/>
                <w:bCs/>
                <w:sz w:val="20"/>
                <w:szCs w:val="20"/>
              </w:rPr>
              <w:t>4</w:t>
            </w:r>
            <w:r w:rsidR="00AB01E9" w:rsidRPr="00713036">
              <w:rPr>
                <w:b w:val="0"/>
                <w:bCs/>
                <w:sz w:val="20"/>
                <w:szCs w:val="20"/>
              </w:rPr>
              <w:t>5]</w:t>
            </w:r>
          </w:p>
        </w:tc>
      </w:tr>
      <w:tr w:rsidR="00AB01E9" w:rsidRPr="008B74A0" w14:paraId="4432FF1A"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D90378A" w14:textId="4FAD9672" w:rsidR="00AB01E9" w:rsidRPr="00713036" w:rsidRDefault="00AB01E9" w:rsidP="0002537E">
            <w:pPr>
              <w:pStyle w:val="ValrieN1"/>
              <w:spacing w:after="0" w:line="240" w:lineRule="auto"/>
              <w:ind w:left="0"/>
              <w:rPr>
                <w:b w:val="0"/>
                <w:sz w:val="20"/>
                <w:szCs w:val="20"/>
              </w:rPr>
            </w:pPr>
            <w:r w:rsidRPr="00713036">
              <w:rPr>
                <w:b w:val="0"/>
                <w:sz w:val="20"/>
                <w:szCs w:val="20"/>
              </w:rPr>
              <w:t>Epaule cutter</w:t>
            </w:r>
          </w:p>
        </w:tc>
        <w:tc>
          <w:tcPr>
            <w:tcW w:w="17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0AF9230"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104 [73-135]</w:t>
            </w:r>
          </w:p>
        </w:tc>
        <w:tc>
          <w:tcPr>
            <w:tcW w:w="980" w:type="dxa"/>
            <w:vMerge/>
            <w:tcBorders>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A87E1E0"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79F12F2E"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4ABF717"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104 [73-135]</w:t>
            </w:r>
          </w:p>
        </w:tc>
      </w:tr>
      <w:tr w:rsidR="00AB01E9" w:rsidRPr="008B74A0" w14:paraId="762C9BA6"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737168CD" w14:textId="77777777" w:rsidR="00AB01E9" w:rsidRPr="00713036" w:rsidRDefault="00AB01E9" w:rsidP="0002537E">
            <w:pPr>
              <w:pStyle w:val="ValrieN1"/>
              <w:spacing w:after="0" w:line="240" w:lineRule="auto"/>
              <w:ind w:left="0"/>
              <w:rPr>
                <w:b w:val="0"/>
                <w:sz w:val="20"/>
                <w:szCs w:val="20"/>
              </w:rPr>
            </w:pPr>
            <w:r w:rsidRPr="00713036">
              <w:rPr>
                <w:b w:val="0"/>
                <w:bCs/>
                <w:i/>
                <w:iCs/>
                <w:sz w:val="20"/>
                <w:szCs w:val="20"/>
              </w:rPr>
              <w:t xml:space="preserve">Dont pièces saumurées, salées, séchées </w:t>
            </w:r>
          </w:p>
        </w:tc>
        <w:tc>
          <w:tcPr>
            <w:tcW w:w="178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60CE70F0"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50 [40-60]</w:t>
            </w:r>
          </w:p>
        </w:tc>
        <w:tc>
          <w:tcPr>
            <w:tcW w:w="98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6ACF99C0" w14:textId="65FC4931"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394A508A" w14:textId="2AD22322" w:rsidR="00AB01E9" w:rsidRPr="0002537E" w:rsidRDefault="003501A2" w:rsidP="0002537E">
            <w:pPr>
              <w:pStyle w:val="ValrieN1"/>
              <w:spacing w:after="0" w:line="240" w:lineRule="auto"/>
              <w:ind w:left="0"/>
              <w:jc w:val="center"/>
              <w:rPr>
                <w:b w:val="0"/>
                <w:i/>
                <w:sz w:val="20"/>
                <w:szCs w:val="20"/>
              </w:rPr>
            </w:pPr>
            <w:r w:rsidRPr="0002537E">
              <w:rPr>
                <w:b w:val="0"/>
                <w:i/>
                <w:sz w:val="20"/>
                <w:szCs w:val="20"/>
              </w:rPr>
              <w:t>0,01</w:t>
            </w:r>
          </w:p>
        </w:tc>
        <w:tc>
          <w:tcPr>
            <w:tcW w:w="2080" w:type="dxa"/>
            <w:tcBorders>
              <w:top w:val="single" w:sz="4" w:space="0" w:color="000000"/>
              <w:left w:val="single" w:sz="4" w:space="0" w:color="000000"/>
              <w:bottom w:val="single" w:sz="4" w:space="0" w:color="000000"/>
              <w:right w:val="single" w:sz="4" w:space="0" w:color="000000"/>
            </w:tcBorders>
            <w:shd w:val="clear" w:color="auto" w:fill="A6A6A6"/>
            <w:tcMar>
              <w:top w:w="14" w:type="dxa"/>
              <w:left w:w="14" w:type="dxa"/>
              <w:bottom w:w="0" w:type="dxa"/>
              <w:right w:w="14" w:type="dxa"/>
            </w:tcMar>
            <w:vAlign w:val="center"/>
            <w:hideMark/>
          </w:tcPr>
          <w:p w14:paraId="73008649"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63 [44-82]</w:t>
            </w:r>
          </w:p>
        </w:tc>
      </w:tr>
      <w:tr w:rsidR="003501A2" w:rsidRPr="008B74A0" w14:paraId="16E94318"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285C1655" w14:textId="77777777" w:rsidR="003501A2" w:rsidRPr="00713036" w:rsidRDefault="003501A2" w:rsidP="0002537E">
            <w:pPr>
              <w:pStyle w:val="ValrieN1"/>
              <w:spacing w:after="0" w:line="240" w:lineRule="auto"/>
              <w:ind w:left="0"/>
              <w:rPr>
                <w:b w:val="0"/>
                <w:sz w:val="20"/>
                <w:szCs w:val="20"/>
              </w:rPr>
            </w:pPr>
            <w:r w:rsidRPr="00713036">
              <w:rPr>
                <w:b w:val="0"/>
                <w:sz w:val="20"/>
                <w:szCs w:val="20"/>
              </w:rPr>
              <w:t xml:space="preserve">Epaule 4D, 3D saumurée </w:t>
            </w:r>
          </w:p>
        </w:tc>
        <w:tc>
          <w:tcPr>
            <w:tcW w:w="17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FD18B6D"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30 [24-36]</w:t>
            </w:r>
          </w:p>
        </w:tc>
        <w:tc>
          <w:tcPr>
            <w:tcW w:w="980" w:type="dxa"/>
            <w:vMerge w:val="restart"/>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4DEB88D" w14:textId="0A259161" w:rsidR="003501A2" w:rsidRPr="00713036" w:rsidRDefault="003501A2" w:rsidP="0002537E">
            <w:pPr>
              <w:pStyle w:val="ValrieN1"/>
              <w:spacing w:after="0" w:line="240" w:lineRule="auto"/>
              <w:ind w:left="0"/>
              <w:jc w:val="center"/>
              <w:rPr>
                <w:b w:val="0"/>
                <w:sz w:val="20"/>
                <w:szCs w:val="20"/>
              </w:rPr>
            </w:pPr>
          </w:p>
        </w:tc>
        <w:tc>
          <w:tcPr>
            <w:tcW w:w="860" w:type="dxa"/>
            <w:vMerge w:val="restart"/>
            <w:tcBorders>
              <w:top w:val="single" w:sz="4" w:space="0" w:color="000000"/>
              <w:left w:val="single" w:sz="4" w:space="0" w:color="000000"/>
              <w:right w:val="single" w:sz="4" w:space="0" w:color="000000"/>
            </w:tcBorders>
            <w:shd w:val="clear" w:color="auto" w:fill="auto"/>
            <w:tcMar>
              <w:top w:w="14" w:type="dxa"/>
              <w:left w:w="14" w:type="dxa"/>
              <w:bottom w:w="0" w:type="dxa"/>
              <w:right w:w="14" w:type="dxa"/>
            </w:tcMar>
            <w:vAlign w:val="center"/>
            <w:hideMark/>
          </w:tcPr>
          <w:p w14:paraId="7F5ADF0C" w14:textId="2259A161" w:rsidR="003501A2" w:rsidRPr="00713036" w:rsidRDefault="003501A2" w:rsidP="0002537E">
            <w:pPr>
              <w:pStyle w:val="ValrieN1"/>
              <w:spacing w:after="0" w:line="240" w:lineRule="auto"/>
              <w:ind w:left="0"/>
              <w:jc w:val="center"/>
              <w:rPr>
                <w:b w:val="0"/>
                <w:sz w:val="20"/>
                <w:szCs w:val="20"/>
              </w:rPr>
            </w:pPr>
            <w:r>
              <w:rPr>
                <w:b w:val="0"/>
                <w:sz w:val="20"/>
                <w:szCs w:val="20"/>
              </w:rPr>
              <w:t>0,01</w:t>
            </w:r>
          </w:p>
        </w:tc>
        <w:tc>
          <w:tcPr>
            <w:tcW w:w="20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5C2BC9CA"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40 [28-52]</w:t>
            </w:r>
          </w:p>
        </w:tc>
      </w:tr>
      <w:tr w:rsidR="003501A2" w:rsidRPr="008B74A0" w14:paraId="29082173"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DBFBB1A" w14:textId="77777777" w:rsidR="003501A2" w:rsidRPr="00713036" w:rsidRDefault="003501A2" w:rsidP="0002537E">
            <w:pPr>
              <w:pStyle w:val="ValrieN1"/>
              <w:spacing w:after="0" w:line="240" w:lineRule="auto"/>
              <w:ind w:left="0"/>
              <w:rPr>
                <w:b w:val="0"/>
                <w:sz w:val="20"/>
                <w:szCs w:val="20"/>
              </w:rPr>
            </w:pPr>
            <w:r w:rsidRPr="00713036">
              <w:rPr>
                <w:b w:val="0"/>
                <w:sz w:val="20"/>
                <w:szCs w:val="20"/>
              </w:rPr>
              <w:t>Jarret avant, palette et autres produits piécés saumurés (rôtis…)</w:t>
            </w:r>
          </w:p>
        </w:tc>
        <w:tc>
          <w:tcPr>
            <w:tcW w:w="17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0F797D96"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15 [12-18]</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D38C41" w14:textId="77777777" w:rsidR="003501A2" w:rsidRPr="00713036" w:rsidRDefault="003501A2" w:rsidP="0002537E">
            <w:pPr>
              <w:pStyle w:val="ValrieN1"/>
              <w:spacing w:after="0" w:line="240" w:lineRule="auto"/>
              <w:ind w:left="0"/>
              <w:jc w:val="center"/>
              <w:rPr>
                <w:b w:val="0"/>
                <w:sz w:val="20"/>
                <w:szCs w:val="20"/>
              </w:rPr>
            </w:pPr>
          </w:p>
        </w:tc>
        <w:tc>
          <w:tcPr>
            <w:tcW w:w="860" w:type="dxa"/>
            <w:vMerge/>
            <w:tcBorders>
              <w:left w:val="single" w:sz="4" w:space="0" w:color="000000"/>
              <w:right w:val="single" w:sz="4" w:space="0" w:color="000000"/>
            </w:tcBorders>
            <w:shd w:val="clear" w:color="auto" w:fill="auto"/>
            <w:tcMar>
              <w:top w:w="14" w:type="dxa"/>
              <w:left w:w="14" w:type="dxa"/>
              <w:bottom w:w="0" w:type="dxa"/>
              <w:right w:w="14" w:type="dxa"/>
            </w:tcMar>
            <w:vAlign w:val="center"/>
            <w:hideMark/>
          </w:tcPr>
          <w:p w14:paraId="48B86C42" w14:textId="77777777" w:rsidR="003501A2" w:rsidRPr="00713036" w:rsidRDefault="003501A2"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61E073A"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20 [14-26]</w:t>
            </w:r>
          </w:p>
        </w:tc>
      </w:tr>
      <w:tr w:rsidR="003501A2" w:rsidRPr="008B74A0" w14:paraId="57F5F3A8"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37F80967" w14:textId="3F973A13" w:rsidR="003501A2" w:rsidRPr="00713036" w:rsidRDefault="003501A2" w:rsidP="0002537E">
            <w:pPr>
              <w:pStyle w:val="ValrieN1"/>
              <w:spacing w:after="0" w:line="240" w:lineRule="auto"/>
              <w:ind w:left="0"/>
              <w:rPr>
                <w:b w:val="0"/>
                <w:sz w:val="20"/>
                <w:szCs w:val="20"/>
              </w:rPr>
            </w:pPr>
            <w:r w:rsidRPr="00713036">
              <w:rPr>
                <w:b w:val="0"/>
                <w:sz w:val="20"/>
                <w:szCs w:val="20"/>
              </w:rPr>
              <w:t>Epaule, palette séchée</w:t>
            </w:r>
          </w:p>
        </w:tc>
        <w:tc>
          <w:tcPr>
            <w:tcW w:w="17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418D78FA"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5 [4-6]</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B66F060" w14:textId="77777777" w:rsidR="003501A2" w:rsidRPr="00713036" w:rsidRDefault="003501A2" w:rsidP="0002537E">
            <w:pPr>
              <w:pStyle w:val="ValrieN1"/>
              <w:spacing w:after="0" w:line="240" w:lineRule="auto"/>
              <w:ind w:left="0"/>
              <w:jc w:val="center"/>
              <w:rPr>
                <w:b w:val="0"/>
                <w:sz w:val="20"/>
                <w:szCs w:val="20"/>
              </w:rPr>
            </w:pPr>
          </w:p>
        </w:tc>
        <w:tc>
          <w:tcPr>
            <w:tcW w:w="860" w:type="dxa"/>
            <w:vMerge/>
            <w:tcBorders>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7207FBE" w14:textId="77777777" w:rsidR="003501A2" w:rsidRPr="00713036" w:rsidRDefault="003501A2"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auto"/>
            <w:tcMar>
              <w:top w:w="14" w:type="dxa"/>
              <w:left w:w="14" w:type="dxa"/>
              <w:bottom w:w="0" w:type="dxa"/>
              <w:right w:w="14" w:type="dxa"/>
            </w:tcMar>
            <w:vAlign w:val="center"/>
            <w:hideMark/>
          </w:tcPr>
          <w:p w14:paraId="64D19960" w14:textId="77777777" w:rsidR="003501A2" w:rsidRPr="00713036" w:rsidRDefault="003501A2" w:rsidP="0002537E">
            <w:pPr>
              <w:pStyle w:val="ValrieN1"/>
              <w:spacing w:after="0" w:line="240" w:lineRule="auto"/>
              <w:ind w:left="0"/>
              <w:jc w:val="center"/>
              <w:rPr>
                <w:b w:val="0"/>
                <w:sz w:val="20"/>
                <w:szCs w:val="20"/>
              </w:rPr>
            </w:pPr>
            <w:r w:rsidRPr="00713036">
              <w:rPr>
                <w:b w:val="0"/>
                <w:bCs/>
                <w:sz w:val="20"/>
                <w:szCs w:val="20"/>
              </w:rPr>
              <w:t>3 [2-4]</w:t>
            </w:r>
          </w:p>
        </w:tc>
      </w:tr>
      <w:tr w:rsidR="00AB01E9" w:rsidRPr="008B74A0" w14:paraId="11043917"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11915092" w14:textId="77777777" w:rsidR="00AB01E9" w:rsidRPr="00713036" w:rsidRDefault="00AB01E9" w:rsidP="0002537E">
            <w:pPr>
              <w:pStyle w:val="ValrieN1"/>
              <w:spacing w:after="0" w:line="240" w:lineRule="auto"/>
              <w:ind w:left="0"/>
              <w:rPr>
                <w:b w:val="0"/>
                <w:sz w:val="20"/>
                <w:szCs w:val="20"/>
              </w:rPr>
            </w:pPr>
            <w:r w:rsidRPr="00713036">
              <w:rPr>
                <w:b w:val="0"/>
                <w:sz w:val="20"/>
                <w:szCs w:val="20"/>
              </w:rPr>
              <w:t xml:space="preserve">Saumure, autres additifs (20%) </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0ECCB108" w14:textId="77777777" w:rsidR="00AB01E9" w:rsidRPr="00713036" w:rsidRDefault="00AB01E9" w:rsidP="0002537E">
            <w:pPr>
              <w:pStyle w:val="ValrieN1"/>
              <w:spacing w:after="0" w:line="240" w:lineRule="auto"/>
              <w:ind w:left="0"/>
              <w:jc w:val="center"/>
              <w:rPr>
                <w:b w:val="0"/>
                <w:sz w:val="20"/>
                <w:szCs w:val="20"/>
              </w:rPr>
            </w:pPr>
            <w:r w:rsidRPr="00713036">
              <w:rPr>
                <w:b w:val="0"/>
                <w:bCs/>
                <w:sz w:val="20"/>
                <w:szCs w:val="20"/>
              </w:rPr>
              <w:t>10 [8-12]</w:t>
            </w: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5DB03807"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4C624041"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7047E40A" w14:textId="77777777" w:rsidR="00AB01E9" w:rsidRPr="00713036" w:rsidRDefault="00AB01E9" w:rsidP="0002537E">
            <w:pPr>
              <w:pStyle w:val="ValrieN1"/>
              <w:spacing w:after="0" w:line="240" w:lineRule="auto"/>
              <w:ind w:left="0"/>
              <w:jc w:val="center"/>
              <w:rPr>
                <w:b w:val="0"/>
                <w:sz w:val="20"/>
                <w:szCs w:val="20"/>
              </w:rPr>
            </w:pPr>
          </w:p>
        </w:tc>
      </w:tr>
      <w:tr w:rsidR="00AB01E9" w:rsidRPr="008B74A0" w14:paraId="5C67A6D1"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6A0ED8BB" w14:textId="77777777" w:rsidR="00AB01E9" w:rsidRPr="00713036" w:rsidRDefault="00AB01E9" w:rsidP="0002537E">
            <w:pPr>
              <w:pStyle w:val="ValrieN1"/>
              <w:spacing w:after="0" w:line="240" w:lineRule="auto"/>
              <w:ind w:left="0"/>
              <w:rPr>
                <w:b w:val="0"/>
                <w:sz w:val="20"/>
                <w:szCs w:val="20"/>
              </w:rPr>
            </w:pPr>
            <w:r w:rsidRPr="00713036">
              <w:rPr>
                <w:b w:val="0"/>
                <w:sz w:val="20"/>
                <w:szCs w:val="20"/>
              </w:rPr>
              <w:t>Eau (maturation, évaporation) (2%)</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569D72AC" w14:textId="77777777" w:rsidR="00AB01E9" w:rsidRPr="00713036" w:rsidRDefault="00AB01E9" w:rsidP="0002537E">
            <w:pPr>
              <w:pStyle w:val="ValrieN1"/>
              <w:spacing w:after="0" w:line="240" w:lineRule="auto"/>
              <w:ind w:left="0"/>
              <w:jc w:val="center"/>
              <w:rPr>
                <w:b w:val="0"/>
                <w:sz w:val="20"/>
                <w:szCs w:val="20"/>
              </w:rPr>
            </w:pP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71450A2C"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00A42416"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34091B43" w14:textId="77777777"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5 [4-7]</w:t>
            </w:r>
          </w:p>
        </w:tc>
      </w:tr>
      <w:tr w:rsidR="00AB01E9" w:rsidRPr="008B74A0" w14:paraId="38F9E1D6"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0F777E3A" w14:textId="77777777" w:rsidR="00AB01E9" w:rsidRPr="00713036" w:rsidRDefault="00AB01E9" w:rsidP="0002537E">
            <w:pPr>
              <w:pStyle w:val="ValrieN1"/>
              <w:spacing w:after="0" w:line="240" w:lineRule="auto"/>
              <w:ind w:left="0"/>
              <w:rPr>
                <w:b w:val="0"/>
                <w:sz w:val="20"/>
                <w:szCs w:val="20"/>
              </w:rPr>
            </w:pPr>
            <w:r w:rsidRPr="00713036">
              <w:rPr>
                <w:b w:val="0"/>
                <w:sz w:val="20"/>
                <w:szCs w:val="20"/>
              </w:rPr>
              <w:t>Gras (lard, graisse de porc non fondue) (2%) sur piéçage</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76322E37" w14:textId="77777777" w:rsidR="00AB01E9" w:rsidRPr="00713036" w:rsidRDefault="00AB01E9" w:rsidP="0002537E">
            <w:pPr>
              <w:pStyle w:val="ValrieN1"/>
              <w:spacing w:after="0" w:line="240" w:lineRule="auto"/>
              <w:ind w:left="0"/>
              <w:jc w:val="center"/>
              <w:rPr>
                <w:b w:val="0"/>
                <w:sz w:val="20"/>
                <w:szCs w:val="20"/>
              </w:rPr>
            </w:pP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7E23E831"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428F9583"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1967AA38" w14:textId="5565A72B" w:rsidR="00AB01E9" w:rsidRPr="00713036" w:rsidRDefault="003F245B" w:rsidP="0002537E">
            <w:pPr>
              <w:pStyle w:val="ValrieN1"/>
              <w:spacing w:after="0" w:line="240" w:lineRule="auto"/>
              <w:ind w:left="0"/>
              <w:jc w:val="center"/>
              <w:rPr>
                <w:b w:val="0"/>
                <w:sz w:val="20"/>
                <w:szCs w:val="20"/>
              </w:rPr>
            </w:pPr>
            <w:r>
              <w:rPr>
                <w:b w:val="0"/>
                <w:bCs/>
                <w:i/>
                <w:iCs/>
                <w:sz w:val="20"/>
                <w:szCs w:val="20"/>
              </w:rPr>
              <w:t>10</w:t>
            </w:r>
            <w:r w:rsidR="00AB01E9" w:rsidRPr="00713036">
              <w:rPr>
                <w:b w:val="0"/>
                <w:bCs/>
                <w:i/>
                <w:iCs/>
                <w:sz w:val="20"/>
                <w:szCs w:val="20"/>
              </w:rPr>
              <w:t xml:space="preserve"> [</w:t>
            </w:r>
            <w:r>
              <w:rPr>
                <w:b w:val="0"/>
                <w:bCs/>
                <w:i/>
                <w:iCs/>
                <w:sz w:val="20"/>
                <w:szCs w:val="20"/>
              </w:rPr>
              <w:t>7</w:t>
            </w:r>
            <w:r w:rsidR="00AB01E9" w:rsidRPr="00713036">
              <w:rPr>
                <w:b w:val="0"/>
                <w:bCs/>
                <w:i/>
                <w:iCs/>
                <w:sz w:val="20"/>
                <w:szCs w:val="20"/>
              </w:rPr>
              <w:t>-</w:t>
            </w:r>
            <w:r>
              <w:rPr>
                <w:b w:val="0"/>
                <w:bCs/>
                <w:i/>
                <w:iCs/>
                <w:sz w:val="20"/>
                <w:szCs w:val="20"/>
              </w:rPr>
              <w:t>13</w:t>
            </w:r>
            <w:r w:rsidR="00AB01E9">
              <w:rPr>
                <w:b w:val="0"/>
                <w:bCs/>
                <w:i/>
                <w:iCs/>
                <w:sz w:val="20"/>
                <w:szCs w:val="20"/>
              </w:rPr>
              <w:t>]</w:t>
            </w:r>
          </w:p>
        </w:tc>
      </w:tr>
      <w:tr w:rsidR="00AB01E9" w:rsidRPr="008B74A0" w14:paraId="30FA3E48"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6559B11F" w14:textId="77777777" w:rsidR="00AB01E9" w:rsidRPr="00713036" w:rsidRDefault="00AB01E9" w:rsidP="0002537E">
            <w:pPr>
              <w:pStyle w:val="ValrieN1"/>
              <w:spacing w:after="0" w:line="240" w:lineRule="auto"/>
              <w:ind w:left="0"/>
              <w:rPr>
                <w:b w:val="0"/>
                <w:sz w:val="20"/>
                <w:szCs w:val="20"/>
              </w:rPr>
            </w:pPr>
            <w:r w:rsidRPr="00713036">
              <w:rPr>
                <w:b w:val="0"/>
                <w:sz w:val="20"/>
                <w:szCs w:val="20"/>
              </w:rPr>
              <w:t xml:space="preserve">Parage (petites viande, aponévrose) (5%) sur piéçage </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3CECDF0F" w14:textId="77777777" w:rsidR="00AB01E9" w:rsidRPr="00713036" w:rsidRDefault="00AB01E9" w:rsidP="0002537E">
            <w:pPr>
              <w:pStyle w:val="ValrieN1"/>
              <w:spacing w:after="0" w:line="240" w:lineRule="auto"/>
              <w:ind w:left="0"/>
              <w:jc w:val="center"/>
              <w:rPr>
                <w:b w:val="0"/>
                <w:sz w:val="20"/>
                <w:szCs w:val="20"/>
              </w:rPr>
            </w:pP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66361265"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436CA5A0"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3A1ACB69" w14:textId="5DBDC025" w:rsidR="00AB01E9" w:rsidRPr="00713036" w:rsidRDefault="00AB01E9" w:rsidP="0002537E">
            <w:pPr>
              <w:pStyle w:val="ValrieN1"/>
              <w:spacing w:after="0" w:line="240" w:lineRule="auto"/>
              <w:ind w:left="0"/>
              <w:jc w:val="center"/>
              <w:rPr>
                <w:b w:val="0"/>
                <w:sz w:val="20"/>
                <w:szCs w:val="20"/>
              </w:rPr>
            </w:pPr>
            <w:r w:rsidRPr="00713036">
              <w:rPr>
                <w:b w:val="0"/>
                <w:bCs/>
                <w:i/>
                <w:iCs/>
                <w:sz w:val="20"/>
                <w:szCs w:val="20"/>
              </w:rPr>
              <w:t>1</w:t>
            </w:r>
            <w:r w:rsidR="003F245B">
              <w:rPr>
                <w:b w:val="0"/>
                <w:bCs/>
                <w:i/>
                <w:iCs/>
                <w:sz w:val="20"/>
                <w:szCs w:val="20"/>
              </w:rPr>
              <w:t>5</w:t>
            </w:r>
            <w:r w:rsidRPr="00713036">
              <w:rPr>
                <w:b w:val="0"/>
                <w:bCs/>
                <w:i/>
                <w:iCs/>
                <w:sz w:val="20"/>
                <w:szCs w:val="20"/>
              </w:rPr>
              <w:t xml:space="preserve"> [</w:t>
            </w:r>
            <w:r w:rsidR="003F245B">
              <w:rPr>
                <w:b w:val="0"/>
                <w:bCs/>
                <w:i/>
                <w:iCs/>
                <w:sz w:val="20"/>
                <w:szCs w:val="20"/>
              </w:rPr>
              <w:t>10</w:t>
            </w:r>
            <w:r w:rsidRPr="00713036">
              <w:rPr>
                <w:b w:val="0"/>
                <w:bCs/>
                <w:i/>
                <w:iCs/>
                <w:sz w:val="20"/>
                <w:szCs w:val="20"/>
              </w:rPr>
              <w:t>-</w:t>
            </w:r>
            <w:r w:rsidR="003F245B">
              <w:rPr>
                <w:b w:val="0"/>
                <w:bCs/>
                <w:i/>
                <w:iCs/>
                <w:sz w:val="20"/>
                <w:szCs w:val="20"/>
              </w:rPr>
              <w:t>20</w:t>
            </w:r>
            <w:r w:rsidRPr="00713036">
              <w:rPr>
                <w:b w:val="0"/>
                <w:bCs/>
                <w:i/>
                <w:iCs/>
                <w:sz w:val="20"/>
                <w:szCs w:val="20"/>
              </w:rPr>
              <w:t>]</w:t>
            </w:r>
          </w:p>
        </w:tc>
      </w:tr>
      <w:tr w:rsidR="00AB01E9" w:rsidRPr="008B74A0" w14:paraId="22AEA60E" w14:textId="77777777" w:rsidTr="0002537E">
        <w:trPr>
          <w:trHeight w:val="20"/>
        </w:trPr>
        <w:tc>
          <w:tcPr>
            <w:tcW w:w="364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0B342068" w14:textId="77777777" w:rsidR="00AB01E9" w:rsidRPr="00713036" w:rsidRDefault="00AB01E9" w:rsidP="0002537E">
            <w:pPr>
              <w:pStyle w:val="ValrieN1"/>
              <w:spacing w:after="0" w:line="240" w:lineRule="auto"/>
              <w:ind w:left="0"/>
              <w:rPr>
                <w:b w:val="0"/>
                <w:sz w:val="20"/>
                <w:szCs w:val="20"/>
              </w:rPr>
            </w:pPr>
            <w:r w:rsidRPr="00713036">
              <w:rPr>
                <w:b w:val="0"/>
                <w:bCs/>
                <w:sz w:val="20"/>
                <w:szCs w:val="20"/>
              </w:rPr>
              <w:t xml:space="preserve">Part os désossage </w:t>
            </w:r>
          </w:p>
        </w:tc>
        <w:tc>
          <w:tcPr>
            <w:tcW w:w="17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69CBFDDC" w14:textId="77777777" w:rsidR="00AB01E9" w:rsidRPr="00713036" w:rsidRDefault="00AB01E9" w:rsidP="0002537E">
            <w:pPr>
              <w:pStyle w:val="ValrieN1"/>
              <w:spacing w:after="0" w:line="240" w:lineRule="auto"/>
              <w:ind w:left="0"/>
              <w:jc w:val="center"/>
              <w:rPr>
                <w:b w:val="0"/>
                <w:sz w:val="20"/>
                <w:szCs w:val="20"/>
              </w:rPr>
            </w:pPr>
          </w:p>
        </w:tc>
        <w:tc>
          <w:tcPr>
            <w:tcW w:w="9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51D6D715" w14:textId="77777777" w:rsidR="00AB01E9" w:rsidRPr="00713036" w:rsidRDefault="00AB01E9" w:rsidP="0002537E">
            <w:pPr>
              <w:pStyle w:val="ValrieN1"/>
              <w:spacing w:after="0" w:line="240" w:lineRule="auto"/>
              <w:ind w:left="0"/>
              <w:jc w:val="center"/>
              <w:rPr>
                <w:b w:val="0"/>
                <w:sz w:val="20"/>
                <w:szCs w:val="20"/>
              </w:rPr>
            </w:pPr>
          </w:p>
        </w:tc>
        <w:tc>
          <w:tcPr>
            <w:tcW w:w="86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3A062BA1" w14:textId="77777777" w:rsidR="00AB01E9" w:rsidRPr="00713036" w:rsidRDefault="00AB01E9" w:rsidP="0002537E">
            <w:pPr>
              <w:pStyle w:val="ValrieN1"/>
              <w:spacing w:after="0" w:line="240" w:lineRule="auto"/>
              <w:ind w:left="0"/>
              <w:jc w:val="center"/>
              <w:rPr>
                <w:b w:val="0"/>
                <w:sz w:val="20"/>
                <w:szCs w:val="20"/>
              </w:rPr>
            </w:pPr>
          </w:p>
        </w:tc>
        <w:tc>
          <w:tcPr>
            <w:tcW w:w="208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4" w:type="dxa"/>
              <w:left w:w="14" w:type="dxa"/>
              <w:bottom w:w="0" w:type="dxa"/>
              <w:right w:w="14" w:type="dxa"/>
            </w:tcMar>
            <w:vAlign w:val="center"/>
            <w:hideMark/>
          </w:tcPr>
          <w:p w14:paraId="19C481A7" w14:textId="4ACB3607" w:rsidR="00AB01E9" w:rsidRPr="0002537E" w:rsidRDefault="00AB01E9" w:rsidP="0002537E">
            <w:pPr>
              <w:pStyle w:val="ValrieN1"/>
              <w:spacing w:after="0" w:line="240" w:lineRule="auto"/>
              <w:ind w:left="0"/>
              <w:jc w:val="center"/>
              <w:rPr>
                <w:sz w:val="20"/>
                <w:szCs w:val="20"/>
              </w:rPr>
            </w:pPr>
            <w:r w:rsidRPr="0002537E">
              <w:rPr>
                <w:bCs/>
                <w:i/>
                <w:iCs/>
                <w:sz w:val="20"/>
                <w:szCs w:val="20"/>
              </w:rPr>
              <w:t>Déjà comptabilisé</w:t>
            </w:r>
          </w:p>
        </w:tc>
      </w:tr>
    </w:tbl>
    <w:p w14:paraId="21129401" w14:textId="65652B0E" w:rsidR="00D46C06" w:rsidRPr="00926407" w:rsidRDefault="00AB01E9" w:rsidP="0002537E">
      <w:pPr>
        <w:pStyle w:val="figure"/>
      </w:pPr>
      <w:bookmarkStart w:id="377" w:name="_Toc72143426"/>
      <w:r w:rsidRPr="00926407">
        <w:t xml:space="preserve">Tableau </w:t>
      </w:r>
      <w:r w:rsidR="00E27D6E">
        <w:fldChar w:fldCharType="begin"/>
      </w:r>
      <w:r w:rsidR="00E27D6E">
        <w:instrText xml:space="preserve"> SEQ Tableau \* ARABIC </w:instrText>
      </w:r>
      <w:r w:rsidR="00E27D6E">
        <w:fldChar w:fldCharType="separate"/>
      </w:r>
      <w:r w:rsidR="0007597F">
        <w:rPr>
          <w:noProof/>
        </w:rPr>
        <w:t>79</w:t>
      </w:r>
      <w:r w:rsidR="00E27D6E">
        <w:rPr>
          <w:noProof/>
        </w:rPr>
        <w:fldChar w:fldCharType="end"/>
      </w:r>
      <w:r w:rsidR="007538FF">
        <w:t xml:space="preserve"> : </w:t>
      </w:r>
      <w:r w:rsidRPr="00926407">
        <w:t xml:space="preserve">Représentation tableau emploi ressource </w:t>
      </w:r>
      <w:r w:rsidR="000A1886">
        <w:t>des pièces à destination du piéçage en viande fraîche et de la transformation en charcuterie salaison</w:t>
      </w:r>
      <w:bookmarkEnd w:id="377"/>
    </w:p>
    <w:p w14:paraId="07B75760" w14:textId="472AFE28" w:rsidR="008B48C9" w:rsidRPr="005827CD" w:rsidRDefault="008B48C9" w:rsidP="008B48C9">
      <w:pPr>
        <w:pStyle w:val="Titre3"/>
        <w:spacing w:before="120"/>
        <w:rPr>
          <w:szCs w:val="20"/>
        </w:rPr>
      </w:pPr>
      <w:bookmarkStart w:id="378" w:name="_Toc78131692"/>
      <w:r>
        <w:rPr>
          <w:rFonts w:eastAsiaTheme="minorEastAsia"/>
        </w:rPr>
        <w:t>2.</w:t>
      </w:r>
      <w:r w:rsidR="005D4599">
        <w:rPr>
          <w:rFonts w:eastAsiaTheme="minorEastAsia"/>
        </w:rPr>
        <w:t>3</w:t>
      </w:r>
      <w:r>
        <w:rPr>
          <w:rFonts w:eastAsiaTheme="minorEastAsia"/>
        </w:rPr>
        <w:t xml:space="preserve">.4. </w:t>
      </w:r>
      <w:r w:rsidRPr="009175CD">
        <w:rPr>
          <w:rFonts w:eastAsiaTheme="minorEastAsia"/>
        </w:rPr>
        <w:t xml:space="preserve">Destination </w:t>
      </w:r>
      <w:r>
        <w:rPr>
          <w:rFonts w:eastAsiaTheme="minorEastAsia"/>
        </w:rPr>
        <w:t xml:space="preserve">des </w:t>
      </w:r>
      <w:r w:rsidRPr="009175CD">
        <w:rPr>
          <w:rFonts w:eastAsiaTheme="minorEastAsia"/>
        </w:rPr>
        <w:t xml:space="preserve">pièces </w:t>
      </w:r>
      <w:r>
        <w:rPr>
          <w:rFonts w:eastAsiaTheme="minorEastAsia"/>
        </w:rPr>
        <w:t>traitées en salaison cuite</w:t>
      </w:r>
      <w:r w:rsidR="00F63066">
        <w:rPr>
          <w:rFonts w:eastAsiaTheme="minorEastAsia"/>
        </w:rPr>
        <w:t xml:space="preserve"> ou séchée</w:t>
      </w:r>
      <w:bookmarkEnd w:id="378"/>
      <w:r>
        <w:rPr>
          <w:rFonts w:eastAsiaTheme="minorEastAsia"/>
        </w:rPr>
        <w:t xml:space="preserve"> </w:t>
      </w:r>
    </w:p>
    <w:p w14:paraId="42CF62E6" w14:textId="2BB9FD49" w:rsidR="00AF0549" w:rsidRPr="005827CD" w:rsidRDefault="008B48C9" w:rsidP="00713036">
      <w:r w:rsidRPr="002E29F0">
        <w:t>L</w:t>
      </w:r>
      <w:r w:rsidR="005D4599" w:rsidRPr="002E29F0">
        <w:t>a part d</w:t>
      </w:r>
      <w:r w:rsidR="00F63066" w:rsidRPr="002E29F0">
        <w:t>’</w:t>
      </w:r>
      <w:r w:rsidR="005D4599" w:rsidRPr="002E29F0">
        <w:t xml:space="preserve">épaule </w:t>
      </w:r>
      <w:r w:rsidR="00F63066" w:rsidRPr="002E29F0">
        <w:t>et de jarret traité en salaison est relativement peu importante comparativement aux 332</w:t>
      </w:r>
      <w:r w:rsidR="00C061E4">
        <w:t> </w:t>
      </w:r>
      <w:r w:rsidR="00F63066" w:rsidRPr="002E29F0">
        <w:t>kt d’équivalent pièce primaire de départ soit à peine 20</w:t>
      </w:r>
      <w:r w:rsidR="00C061E4">
        <w:t> </w:t>
      </w:r>
      <w:r w:rsidR="00F63066" w:rsidRPr="002E29F0">
        <w:t>%</w:t>
      </w:r>
      <w:r w:rsidRPr="002E29F0">
        <w:t>.</w:t>
      </w:r>
      <w:r w:rsidR="00F63066" w:rsidRPr="002E29F0">
        <w:t xml:space="preserve"> L</w:t>
      </w:r>
      <w:r w:rsidRPr="002E29F0">
        <w:t xml:space="preserve">a part des exportations </w:t>
      </w:r>
      <w:r w:rsidR="00F63066" w:rsidRPr="002E29F0">
        <w:t>correspond aux préparations et conserves d’épaules (16024210 ; 0,775</w:t>
      </w:r>
      <w:r w:rsidR="00C061E4">
        <w:t> </w:t>
      </w:r>
      <w:r w:rsidR="00F63066" w:rsidRPr="002E29F0">
        <w:t>kt)</w:t>
      </w:r>
      <w:r w:rsidR="00770A27" w:rsidRPr="002E29F0">
        <w:t xml:space="preserve">. </w:t>
      </w:r>
      <w:r w:rsidRPr="0002537E">
        <w:t>Les incertitudes en entrée</w:t>
      </w:r>
      <w:r w:rsidR="00770A27" w:rsidRPr="002E29F0">
        <w:t xml:space="preserve"> et sortie </w:t>
      </w:r>
      <w:r w:rsidRPr="0002537E">
        <w:t>de tableau</w:t>
      </w:r>
      <w:r w:rsidR="00770A27" w:rsidRPr="002E29F0">
        <w:t xml:space="preserve"> emploi et ressources </w:t>
      </w:r>
      <w:r w:rsidRPr="0002537E">
        <w:t xml:space="preserve">sont de </w:t>
      </w:r>
      <w:r w:rsidR="00770A27" w:rsidRPr="0002537E">
        <w:t>3</w:t>
      </w:r>
      <w:r w:rsidRPr="0002537E">
        <w:t xml:space="preserve">0% </w:t>
      </w:r>
      <w:r w:rsidR="00770A27" w:rsidRPr="002E29F0">
        <w:t>au regard de la nature des source</w:t>
      </w:r>
      <w:r w:rsidR="00E40DF4">
        <w:t>s de données mobilisées</w:t>
      </w:r>
      <w:r w:rsidR="00770A27">
        <w:t xml:space="preserve">. </w:t>
      </w:r>
    </w:p>
    <w:tbl>
      <w:tblPr>
        <w:tblW w:w="8391" w:type="dxa"/>
        <w:jc w:val="center"/>
        <w:tblCellMar>
          <w:left w:w="0" w:type="dxa"/>
          <w:right w:w="0" w:type="dxa"/>
        </w:tblCellMar>
        <w:tblLook w:val="0600" w:firstRow="0" w:lastRow="0" w:firstColumn="0" w:lastColumn="0" w:noHBand="1" w:noVBand="1"/>
      </w:tblPr>
      <w:tblGrid>
        <w:gridCol w:w="3484"/>
        <w:gridCol w:w="1418"/>
        <w:gridCol w:w="835"/>
        <w:gridCol w:w="856"/>
        <w:gridCol w:w="1798"/>
      </w:tblGrid>
      <w:tr w:rsidR="00B621B9" w:rsidRPr="002E29F0" w14:paraId="2FD23EEB" w14:textId="77777777" w:rsidTr="0002537E">
        <w:trPr>
          <w:trHeight w:val="20"/>
          <w:jc w:val="center"/>
        </w:trPr>
        <w:tc>
          <w:tcPr>
            <w:tcW w:w="348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9BB7073" w14:textId="05A55CA9" w:rsidR="00CA217D" w:rsidRPr="0002537E" w:rsidRDefault="00CA217D" w:rsidP="0002537E">
            <w:pPr>
              <w:keepNext/>
              <w:spacing w:after="0" w:line="240" w:lineRule="auto"/>
              <w:rPr>
                <w:sz w:val="20"/>
                <w:szCs w:val="20"/>
              </w:rPr>
            </w:pPr>
            <w:r w:rsidRPr="0002537E">
              <w:rPr>
                <w:b/>
                <w:sz w:val="20"/>
                <w:szCs w:val="20"/>
              </w:rPr>
              <w:t>Libellé</w:t>
            </w:r>
          </w:p>
        </w:tc>
        <w:tc>
          <w:tcPr>
            <w:tcW w:w="141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6D5C77E" w14:textId="33E067A2" w:rsidR="00CA217D" w:rsidRPr="0002537E" w:rsidRDefault="00CA217D" w:rsidP="0002537E">
            <w:pPr>
              <w:keepNext/>
              <w:spacing w:after="0" w:line="240" w:lineRule="auto"/>
              <w:rPr>
                <w:sz w:val="20"/>
                <w:szCs w:val="20"/>
              </w:rPr>
            </w:pPr>
            <w:r w:rsidRPr="0002537E">
              <w:rPr>
                <w:b/>
                <w:sz w:val="20"/>
                <w:szCs w:val="20"/>
              </w:rPr>
              <w:t>Production</w:t>
            </w:r>
          </w:p>
        </w:tc>
        <w:tc>
          <w:tcPr>
            <w:tcW w:w="835"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252ECD6" w14:textId="77777777" w:rsidR="00CA217D" w:rsidRPr="0002537E" w:rsidRDefault="00CA217D" w:rsidP="0002537E">
            <w:pPr>
              <w:keepNext/>
              <w:spacing w:after="0" w:line="240" w:lineRule="auto"/>
              <w:rPr>
                <w:sz w:val="20"/>
                <w:szCs w:val="20"/>
              </w:rPr>
            </w:pPr>
            <w:r w:rsidRPr="0002537E">
              <w:rPr>
                <w:b/>
                <w:sz w:val="20"/>
                <w:szCs w:val="20"/>
              </w:rPr>
              <w:t>I</w:t>
            </w:r>
          </w:p>
        </w:tc>
        <w:tc>
          <w:tcPr>
            <w:tcW w:w="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254B332" w14:textId="77777777" w:rsidR="00CA217D" w:rsidRPr="0002537E" w:rsidRDefault="00CA217D" w:rsidP="0002537E">
            <w:pPr>
              <w:keepNext/>
              <w:spacing w:after="0" w:line="240" w:lineRule="auto"/>
              <w:rPr>
                <w:sz w:val="20"/>
                <w:szCs w:val="20"/>
              </w:rPr>
            </w:pPr>
            <w:r w:rsidRPr="0002537E">
              <w:rPr>
                <w:b/>
                <w:sz w:val="20"/>
                <w:szCs w:val="20"/>
              </w:rPr>
              <w:t>Ex</w:t>
            </w:r>
          </w:p>
        </w:tc>
        <w:tc>
          <w:tcPr>
            <w:tcW w:w="179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66B5CC2" w14:textId="42F47A15" w:rsidR="00CA217D" w:rsidRPr="0002537E" w:rsidRDefault="00CA217D" w:rsidP="0002537E">
            <w:pPr>
              <w:keepNext/>
              <w:spacing w:after="0" w:line="240" w:lineRule="auto"/>
              <w:rPr>
                <w:sz w:val="20"/>
                <w:szCs w:val="20"/>
              </w:rPr>
            </w:pPr>
            <w:r w:rsidRPr="0002537E">
              <w:rPr>
                <w:b/>
                <w:sz w:val="20"/>
                <w:szCs w:val="20"/>
              </w:rPr>
              <w:t>Consommation</w:t>
            </w:r>
          </w:p>
        </w:tc>
      </w:tr>
      <w:tr w:rsidR="00B621B9" w:rsidRPr="002E29F0" w14:paraId="30BA03CC" w14:textId="77777777" w:rsidTr="0002537E">
        <w:trPr>
          <w:trHeight w:val="20"/>
          <w:jc w:val="center"/>
        </w:trPr>
        <w:tc>
          <w:tcPr>
            <w:tcW w:w="348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FC478F1" w14:textId="37FC555D" w:rsidR="00CA217D" w:rsidRPr="0002537E" w:rsidRDefault="00CA217D" w:rsidP="0002537E">
            <w:pPr>
              <w:keepNext/>
              <w:spacing w:after="0" w:line="240" w:lineRule="auto"/>
              <w:rPr>
                <w:sz w:val="20"/>
                <w:szCs w:val="20"/>
              </w:rPr>
            </w:pPr>
            <w:r w:rsidRPr="0002537E">
              <w:rPr>
                <w:sz w:val="20"/>
                <w:szCs w:val="20"/>
              </w:rPr>
              <w:t>Total</w:t>
            </w:r>
          </w:p>
        </w:tc>
        <w:tc>
          <w:tcPr>
            <w:tcW w:w="141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F60788A" w14:textId="77777777" w:rsidR="00CA217D" w:rsidRPr="0002537E" w:rsidRDefault="00CA217D" w:rsidP="0002537E">
            <w:pPr>
              <w:keepNext/>
              <w:spacing w:after="0" w:line="240" w:lineRule="auto"/>
              <w:rPr>
                <w:sz w:val="20"/>
                <w:szCs w:val="20"/>
              </w:rPr>
            </w:pPr>
            <w:r w:rsidRPr="0002537E">
              <w:rPr>
                <w:sz w:val="20"/>
                <w:szCs w:val="20"/>
              </w:rPr>
              <w:t>63 [44-82]</w:t>
            </w:r>
          </w:p>
        </w:tc>
        <w:tc>
          <w:tcPr>
            <w:tcW w:w="835"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2FD0872" w14:textId="77777777" w:rsidR="00CA217D" w:rsidRPr="0002537E" w:rsidRDefault="00CA217D" w:rsidP="0002537E">
            <w:pPr>
              <w:keepNext/>
              <w:spacing w:after="0" w:line="240" w:lineRule="auto"/>
              <w:rPr>
                <w:sz w:val="20"/>
                <w:szCs w:val="20"/>
              </w:rPr>
            </w:pPr>
          </w:p>
        </w:tc>
        <w:tc>
          <w:tcPr>
            <w:tcW w:w="85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039CDBD" w14:textId="77777777" w:rsidR="00CA217D" w:rsidRPr="0002537E" w:rsidRDefault="00CA217D" w:rsidP="0002537E">
            <w:pPr>
              <w:keepNext/>
              <w:spacing w:after="0" w:line="240" w:lineRule="auto"/>
              <w:rPr>
                <w:sz w:val="20"/>
                <w:szCs w:val="20"/>
              </w:rPr>
            </w:pPr>
            <w:r w:rsidRPr="0002537E">
              <w:rPr>
                <w:sz w:val="20"/>
                <w:szCs w:val="20"/>
              </w:rPr>
              <w:t>0,8</w:t>
            </w:r>
          </w:p>
        </w:tc>
        <w:tc>
          <w:tcPr>
            <w:tcW w:w="179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4969AB5" w14:textId="77777777" w:rsidR="00CA217D" w:rsidRPr="0002537E" w:rsidRDefault="00CA217D" w:rsidP="0002537E">
            <w:pPr>
              <w:keepNext/>
              <w:spacing w:after="0" w:line="240" w:lineRule="auto"/>
              <w:rPr>
                <w:sz w:val="20"/>
                <w:szCs w:val="20"/>
              </w:rPr>
            </w:pPr>
            <w:r w:rsidRPr="0002537E">
              <w:rPr>
                <w:sz w:val="20"/>
                <w:szCs w:val="20"/>
              </w:rPr>
              <w:t>63 [44-81]</w:t>
            </w:r>
          </w:p>
        </w:tc>
      </w:tr>
      <w:tr w:rsidR="00B621B9" w:rsidRPr="002E29F0" w14:paraId="54800248" w14:textId="77777777" w:rsidTr="0002537E">
        <w:trPr>
          <w:trHeight w:val="20"/>
          <w:jc w:val="center"/>
        </w:trPr>
        <w:tc>
          <w:tcPr>
            <w:tcW w:w="3484"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6B306E1E" w14:textId="6663B38A" w:rsidR="00CA217D" w:rsidRPr="0002537E" w:rsidRDefault="00CA217D" w:rsidP="0002537E">
            <w:pPr>
              <w:keepNext/>
              <w:spacing w:after="0" w:line="240" w:lineRule="auto"/>
              <w:rPr>
                <w:sz w:val="20"/>
                <w:szCs w:val="20"/>
              </w:rPr>
            </w:pPr>
            <w:r w:rsidRPr="0002537E">
              <w:rPr>
                <w:i/>
                <w:iCs/>
                <w:sz w:val="20"/>
                <w:szCs w:val="20"/>
              </w:rPr>
              <w:t>Salaison cuite / crue / sèche</w:t>
            </w:r>
          </w:p>
        </w:tc>
        <w:tc>
          <w:tcPr>
            <w:tcW w:w="1418"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3BFD59E7" w14:textId="7F28DD7C" w:rsidR="00CA217D" w:rsidRPr="0002537E" w:rsidRDefault="00CA217D" w:rsidP="0002537E">
            <w:pPr>
              <w:keepNext/>
              <w:spacing w:after="0" w:line="240" w:lineRule="auto"/>
              <w:rPr>
                <w:sz w:val="20"/>
                <w:szCs w:val="20"/>
              </w:rPr>
            </w:pPr>
            <w:r w:rsidRPr="0002537E">
              <w:rPr>
                <w:sz w:val="20"/>
                <w:szCs w:val="20"/>
              </w:rPr>
              <w:t>63 [44-82]</w:t>
            </w:r>
          </w:p>
        </w:tc>
        <w:tc>
          <w:tcPr>
            <w:tcW w:w="835"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016EC711" w14:textId="77777777" w:rsidR="00CA217D" w:rsidRPr="0002537E" w:rsidRDefault="00CA217D" w:rsidP="0002537E">
            <w:pPr>
              <w:keepNext/>
              <w:spacing w:after="0" w:line="240" w:lineRule="auto"/>
              <w:rPr>
                <w:sz w:val="20"/>
                <w:szCs w:val="20"/>
              </w:rPr>
            </w:pPr>
          </w:p>
        </w:tc>
        <w:tc>
          <w:tcPr>
            <w:tcW w:w="856"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11D789FB" w14:textId="5DC5D8DA" w:rsidR="00CA217D" w:rsidRPr="0002537E" w:rsidRDefault="00CA217D" w:rsidP="0002537E">
            <w:pPr>
              <w:keepNext/>
              <w:spacing w:after="0" w:line="240" w:lineRule="auto"/>
              <w:rPr>
                <w:sz w:val="20"/>
                <w:szCs w:val="20"/>
              </w:rPr>
            </w:pPr>
            <w:r w:rsidRPr="0002537E">
              <w:rPr>
                <w:sz w:val="20"/>
                <w:szCs w:val="20"/>
              </w:rPr>
              <w:t>0,8</w:t>
            </w:r>
          </w:p>
        </w:tc>
        <w:tc>
          <w:tcPr>
            <w:tcW w:w="1798" w:type="dxa"/>
            <w:tcBorders>
              <w:top w:val="single" w:sz="4" w:space="0" w:color="auto"/>
              <w:left w:val="single" w:sz="4" w:space="0" w:color="000000"/>
              <w:bottom w:val="single" w:sz="4" w:space="0" w:color="000000"/>
              <w:right w:val="single" w:sz="4" w:space="0" w:color="000000"/>
            </w:tcBorders>
            <w:shd w:val="clear" w:color="auto" w:fill="A6A6A6"/>
            <w:tcMar>
              <w:top w:w="15" w:type="dxa"/>
              <w:left w:w="15" w:type="dxa"/>
              <w:bottom w:w="0" w:type="dxa"/>
              <w:right w:w="15" w:type="dxa"/>
            </w:tcMar>
            <w:vAlign w:val="center"/>
            <w:hideMark/>
          </w:tcPr>
          <w:p w14:paraId="14D51B82" w14:textId="193A64DF" w:rsidR="00CA217D" w:rsidRPr="0002537E" w:rsidRDefault="00CA217D" w:rsidP="0002537E">
            <w:pPr>
              <w:keepNext/>
              <w:spacing w:after="0" w:line="240" w:lineRule="auto"/>
              <w:rPr>
                <w:sz w:val="20"/>
                <w:szCs w:val="20"/>
              </w:rPr>
            </w:pPr>
            <w:r w:rsidRPr="0002537E">
              <w:rPr>
                <w:sz w:val="20"/>
                <w:szCs w:val="20"/>
              </w:rPr>
              <w:t>50 [35-65]</w:t>
            </w:r>
          </w:p>
        </w:tc>
      </w:tr>
      <w:tr w:rsidR="00B621B9" w:rsidRPr="002E29F0" w14:paraId="3DC754A2"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364D330" w14:textId="77777777" w:rsidR="00CA217D" w:rsidRPr="0002537E" w:rsidRDefault="00CA217D" w:rsidP="0002537E">
            <w:pPr>
              <w:keepNext/>
              <w:spacing w:after="0" w:line="240" w:lineRule="auto"/>
              <w:rPr>
                <w:b/>
                <w:sz w:val="20"/>
                <w:szCs w:val="20"/>
              </w:rPr>
            </w:pPr>
            <w:r w:rsidRPr="0002537E">
              <w:rPr>
                <w:sz w:val="20"/>
                <w:szCs w:val="20"/>
              </w:rPr>
              <w:t>Epaule cuite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069DF9" w14:textId="595A3E95" w:rsidR="00CA217D" w:rsidRPr="0002537E" w:rsidRDefault="00CA217D" w:rsidP="0002537E">
            <w:pPr>
              <w:keepNext/>
              <w:spacing w:after="0" w:line="240" w:lineRule="auto"/>
              <w:rPr>
                <w:b/>
                <w:sz w:val="20"/>
                <w:szCs w:val="20"/>
              </w:rPr>
            </w:pPr>
            <w:r w:rsidRPr="0002537E">
              <w:rPr>
                <w:sz w:val="20"/>
                <w:szCs w:val="20"/>
              </w:rPr>
              <w:t>40 [28-52]</w:t>
            </w:r>
          </w:p>
        </w:tc>
        <w:tc>
          <w:tcPr>
            <w:tcW w:w="835"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EE72282" w14:textId="77777777" w:rsidR="00CA217D" w:rsidRPr="0002537E" w:rsidRDefault="00CA217D" w:rsidP="0002537E">
            <w:pPr>
              <w:keepNext/>
              <w:spacing w:after="0" w:line="240" w:lineRule="auto"/>
              <w:rPr>
                <w:b/>
                <w:sz w:val="20"/>
                <w:szCs w:val="20"/>
              </w:rPr>
            </w:pPr>
          </w:p>
        </w:tc>
        <w:tc>
          <w:tcPr>
            <w:tcW w:w="856" w:type="dxa"/>
            <w:vMerge w:val="restart"/>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423D941" w14:textId="3A89F448" w:rsidR="00CA217D" w:rsidRPr="0002537E" w:rsidRDefault="00CA217D" w:rsidP="0002537E">
            <w:pPr>
              <w:keepNext/>
              <w:spacing w:after="0" w:line="240" w:lineRule="auto"/>
              <w:rPr>
                <w:b/>
                <w:sz w:val="20"/>
                <w:szCs w:val="20"/>
              </w:rPr>
            </w:pPr>
            <w:r w:rsidRPr="0002537E">
              <w:rPr>
                <w:sz w:val="20"/>
                <w:szCs w:val="20"/>
              </w:rPr>
              <w:t>0,8</w:t>
            </w: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E52482F" w14:textId="503655E5" w:rsidR="00CA217D" w:rsidRPr="0002537E" w:rsidRDefault="00CA217D" w:rsidP="0002537E">
            <w:pPr>
              <w:keepNext/>
              <w:spacing w:after="0" w:line="240" w:lineRule="auto"/>
              <w:rPr>
                <w:b/>
                <w:sz w:val="20"/>
                <w:szCs w:val="20"/>
              </w:rPr>
            </w:pPr>
            <w:r w:rsidRPr="0002537E">
              <w:rPr>
                <w:sz w:val="20"/>
                <w:szCs w:val="20"/>
              </w:rPr>
              <w:t>32 [22-42]</w:t>
            </w:r>
          </w:p>
        </w:tc>
      </w:tr>
      <w:tr w:rsidR="00B621B9" w:rsidRPr="002E29F0" w14:paraId="513285FD"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0092506" w14:textId="77777777" w:rsidR="00CA217D" w:rsidRPr="0002537E" w:rsidRDefault="00CA217D" w:rsidP="0002537E">
            <w:pPr>
              <w:keepNext/>
              <w:spacing w:after="0" w:line="240" w:lineRule="auto"/>
              <w:rPr>
                <w:b/>
                <w:sz w:val="20"/>
                <w:szCs w:val="20"/>
              </w:rPr>
            </w:pPr>
            <w:r w:rsidRPr="0002537E">
              <w:rPr>
                <w:sz w:val="20"/>
                <w:szCs w:val="20"/>
              </w:rPr>
              <w:t>Jarret avant, palette et autres produits piécés cuits (rôtis…)</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DE1777" w14:textId="7EC59786" w:rsidR="00CA217D" w:rsidRPr="0002537E" w:rsidRDefault="00CA217D" w:rsidP="0002537E">
            <w:pPr>
              <w:keepNext/>
              <w:spacing w:after="0" w:line="240" w:lineRule="auto"/>
              <w:rPr>
                <w:b/>
                <w:sz w:val="20"/>
                <w:szCs w:val="20"/>
              </w:rPr>
            </w:pPr>
            <w:r w:rsidRPr="0002537E">
              <w:rPr>
                <w:sz w:val="20"/>
                <w:szCs w:val="20"/>
              </w:rPr>
              <w:t>20 [14-26]</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8372A97" w14:textId="77777777" w:rsidR="00CA217D" w:rsidRPr="0002537E" w:rsidRDefault="00CA217D" w:rsidP="0002537E">
            <w:pPr>
              <w:keepNext/>
              <w:spacing w:after="0" w:line="240" w:lineRule="auto"/>
              <w:rPr>
                <w:b/>
                <w:sz w:val="20"/>
                <w:szCs w:val="20"/>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769BBCB" w14:textId="77777777" w:rsidR="00CA217D" w:rsidRPr="0002537E" w:rsidRDefault="00CA217D" w:rsidP="0002537E">
            <w:pPr>
              <w:keepNext/>
              <w:spacing w:after="0" w:line="240" w:lineRule="auto"/>
              <w:rPr>
                <w:b/>
                <w:sz w:val="20"/>
                <w:szCs w:val="20"/>
              </w:rPr>
            </w:pP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E564BE4" w14:textId="6EBBA606" w:rsidR="00CA217D" w:rsidRPr="0002537E" w:rsidRDefault="00CA217D" w:rsidP="0002537E">
            <w:pPr>
              <w:keepNext/>
              <w:spacing w:after="0" w:line="240" w:lineRule="auto"/>
              <w:rPr>
                <w:b/>
                <w:sz w:val="20"/>
                <w:szCs w:val="20"/>
              </w:rPr>
            </w:pPr>
            <w:r w:rsidRPr="0002537E">
              <w:rPr>
                <w:sz w:val="20"/>
                <w:szCs w:val="20"/>
              </w:rPr>
              <w:t>15 [11-19]</w:t>
            </w:r>
          </w:p>
        </w:tc>
      </w:tr>
      <w:tr w:rsidR="00B621B9" w:rsidRPr="002E29F0" w14:paraId="4CA00507"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DCB38A4" w14:textId="2FDD1D01" w:rsidR="00CA217D" w:rsidRPr="0002537E" w:rsidRDefault="00CA217D" w:rsidP="0002537E">
            <w:pPr>
              <w:keepNext/>
              <w:spacing w:after="0" w:line="240" w:lineRule="auto"/>
              <w:rPr>
                <w:b/>
                <w:sz w:val="20"/>
                <w:szCs w:val="20"/>
              </w:rPr>
            </w:pPr>
            <w:r w:rsidRPr="0002537E">
              <w:rPr>
                <w:sz w:val="20"/>
                <w:szCs w:val="20"/>
              </w:rPr>
              <w:t>Epaule palette séchée fumée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848E197" w14:textId="537ED9CD" w:rsidR="00CA217D" w:rsidRPr="0002537E" w:rsidRDefault="00CA217D" w:rsidP="0002537E">
            <w:pPr>
              <w:keepNext/>
              <w:spacing w:after="0" w:line="240" w:lineRule="auto"/>
              <w:rPr>
                <w:b/>
                <w:sz w:val="20"/>
                <w:szCs w:val="20"/>
              </w:rPr>
            </w:pPr>
            <w:r w:rsidRPr="0002537E">
              <w:rPr>
                <w:sz w:val="20"/>
                <w:szCs w:val="20"/>
              </w:rPr>
              <w:t>3 [2-4]</w:t>
            </w: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F033AEA" w14:textId="77777777" w:rsidR="00CA217D" w:rsidRPr="0002537E" w:rsidRDefault="00CA217D" w:rsidP="0002537E">
            <w:pPr>
              <w:keepNext/>
              <w:spacing w:after="0" w:line="240" w:lineRule="auto"/>
              <w:rPr>
                <w:b/>
                <w:sz w:val="20"/>
                <w:szCs w:val="20"/>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9F813C7" w14:textId="77777777" w:rsidR="00CA217D" w:rsidRPr="0002537E" w:rsidRDefault="00CA217D" w:rsidP="0002537E">
            <w:pPr>
              <w:keepNext/>
              <w:spacing w:after="0" w:line="240" w:lineRule="auto"/>
              <w:rPr>
                <w:b/>
                <w:sz w:val="20"/>
                <w:szCs w:val="20"/>
              </w:rPr>
            </w:pP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D1B7B00" w14:textId="108555C9" w:rsidR="00CA217D" w:rsidRPr="0002537E" w:rsidRDefault="00CA217D" w:rsidP="0002537E">
            <w:pPr>
              <w:keepNext/>
              <w:spacing w:after="0" w:line="240" w:lineRule="auto"/>
              <w:rPr>
                <w:b/>
                <w:sz w:val="20"/>
                <w:szCs w:val="20"/>
              </w:rPr>
            </w:pPr>
            <w:r w:rsidRPr="0002537E">
              <w:rPr>
                <w:sz w:val="20"/>
                <w:szCs w:val="20"/>
              </w:rPr>
              <w:t>3 [2-4]</w:t>
            </w:r>
          </w:p>
        </w:tc>
      </w:tr>
      <w:tr w:rsidR="00B621B9" w:rsidRPr="002E29F0" w14:paraId="53B011A7"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08008E7" w14:textId="7F7E265F" w:rsidR="00CA217D" w:rsidRPr="0002537E" w:rsidRDefault="00CA217D" w:rsidP="0002537E">
            <w:pPr>
              <w:keepNext/>
              <w:spacing w:after="0" w:line="240" w:lineRule="auto"/>
              <w:jc w:val="left"/>
              <w:rPr>
                <w:b/>
                <w:sz w:val="20"/>
                <w:szCs w:val="20"/>
              </w:rPr>
            </w:pPr>
            <w:r w:rsidRPr="0002537E">
              <w:rPr>
                <w:sz w:val="20"/>
                <w:szCs w:val="20"/>
              </w:rPr>
              <w:t>Eau (maturation/cuisson)</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AE2477B" w14:textId="2902D889" w:rsidR="00CA217D" w:rsidRPr="0002537E" w:rsidRDefault="00CA217D" w:rsidP="0002537E">
            <w:pPr>
              <w:keepNext/>
              <w:spacing w:after="0" w:line="240" w:lineRule="auto"/>
              <w:rPr>
                <w:b/>
                <w:sz w:val="20"/>
                <w:szCs w:val="20"/>
              </w:rPr>
            </w:pPr>
          </w:p>
        </w:tc>
        <w:tc>
          <w:tcPr>
            <w:tcW w:w="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5DD110D" w14:textId="6D39B797" w:rsidR="00CA217D" w:rsidRPr="0002537E" w:rsidRDefault="00CA217D" w:rsidP="0002537E">
            <w:pPr>
              <w:keepNext/>
              <w:spacing w:after="0" w:line="240" w:lineRule="auto"/>
              <w:rPr>
                <w:b/>
                <w:sz w:val="20"/>
                <w:szCs w:val="20"/>
              </w:rPr>
            </w:pPr>
          </w:p>
        </w:tc>
        <w:tc>
          <w:tcPr>
            <w:tcW w:w="8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CE3FD15" w14:textId="5A45020E" w:rsidR="00CA217D" w:rsidRPr="0002537E" w:rsidRDefault="00CA217D" w:rsidP="0002537E">
            <w:pPr>
              <w:keepNext/>
              <w:spacing w:after="0" w:line="240" w:lineRule="auto"/>
              <w:rPr>
                <w:b/>
                <w:sz w:val="20"/>
                <w:szCs w:val="20"/>
              </w:rPr>
            </w:pP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170F4E9" w14:textId="7C8E1F96" w:rsidR="00CA217D" w:rsidRPr="0002537E" w:rsidRDefault="00CA217D" w:rsidP="0002537E">
            <w:pPr>
              <w:keepNext/>
              <w:spacing w:after="0" w:line="240" w:lineRule="auto"/>
              <w:rPr>
                <w:b/>
                <w:sz w:val="20"/>
                <w:szCs w:val="20"/>
              </w:rPr>
            </w:pPr>
            <w:r w:rsidRPr="0002537E">
              <w:rPr>
                <w:sz w:val="20"/>
                <w:szCs w:val="20"/>
              </w:rPr>
              <w:t>13 [9-16]</w:t>
            </w:r>
          </w:p>
        </w:tc>
      </w:tr>
      <w:tr w:rsidR="00B621B9" w:rsidRPr="002E29F0" w14:paraId="7F99FC98" w14:textId="77777777" w:rsidTr="0002537E">
        <w:trPr>
          <w:trHeight w:val="20"/>
          <w:jc w:val="center"/>
        </w:trPr>
        <w:tc>
          <w:tcPr>
            <w:tcW w:w="348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4F34D1" w14:textId="735EC988" w:rsidR="00CA217D" w:rsidRPr="0002537E" w:rsidRDefault="00CA217D" w:rsidP="0002537E">
            <w:pPr>
              <w:keepNext/>
              <w:spacing w:after="0" w:line="240" w:lineRule="auto"/>
              <w:rPr>
                <w:b/>
                <w:sz w:val="20"/>
                <w:szCs w:val="20"/>
              </w:rPr>
            </w:pPr>
            <w:r w:rsidRPr="0002537E">
              <w:rPr>
                <w:sz w:val="20"/>
                <w:szCs w:val="20"/>
              </w:rPr>
              <w:t>Part os désossage</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FA9FCF5" w14:textId="166652FB" w:rsidR="00CA217D" w:rsidRPr="0002537E" w:rsidRDefault="00CA217D" w:rsidP="0002537E">
            <w:pPr>
              <w:keepNext/>
              <w:spacing w:after="0" w:line="240" w:lineRule="auto"/>
              <w:rPr>
                <w:b/>
                <w:sz w:val="20"/>
                <w:szCs w:val="20"/>
              </w:rPr>
            </w:pPr>
          </w:p>
        </w:tc>
        <w:tc>
          <w:tcPr>
            <w:tcW w:w="83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75A2457" w14:textId="6E8A224D" w:rsidR="00CA217D" w:rsidRPr="0002537E" w:rsidRDefault="00CA217D" w:rsidP="0002537E">
            <w:pPr>
              <w:keepNext/>
              <w:spacing w:after="0" w:line="240" w:lineRule="auto"/>
              <w:rPr>
                <w:b/>
                <w:sz w:val="20"/>
                <w:szCs w:val="20"/>
              </w:rPr>
            </w:pPr>
          </w:p>
        </w:tc>
        <w:tc>
          <w:tcPr>
            <w:tcW w:w="85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830CF34" w14:textId="4452C9E0" w:rsidR="00CA217D" w:rsidRPr="0002537E" w:rsidRDefault="00CA217D" w:rsidP="0002537E">
            <w:pPr>
              <w:keepNext/>
              <w:spacing w:after="0" w:line="240" w:lineRule="auto"/>
              <w:rPr>
                <w:b/>
                <w:sz w:val="20"/>
                <w:szCs w:val="20"/>
              </w:rPr>
            </w:pPr>
          </w:p>
        </w:tc>
        <w:tc>
          <w:tcPr>
            <w:tcW w:w="179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38A078A" w14:textId="1966BD96" w:rsidR="00CA217D" w:rsidRPr="0002537E" w:rsidRDefault="00CA217D" w:rsidP="0002537E">
            <w:pPr>
              <w:keepNext/>
              <w:spacing w:after="0" w:line="240" w:lineRule="auto"/>
              <w:rPr>
                <w:b/>
                <w:sz w:val="20"/>
                <w:szCs w:val="20"/>
              </w:rPr>
            </w:pPr>
            <w:r w:rsidRPr="0002537E">
              <w:rPr>
                <w:i/>
                <w:iCs/>
                <w:sz w:val="20"/>
                <w:szCs w:val="20"/>
              </w:rPr>
              <w:t>Déjà comptabilisé</w:t>
            </w:r>
          </w:p>
        </w:tc>
      </w:tr>
    </w:tbl>
    <w:p w14:paraId="5E9B12E0" w14:textId="21C7D7F8" w:rsidR="00D46C06" w:rsidRPr="0002537E" w:rsidRDefault="00AF0549" w:rsidP="0002537E">
      <w:pPr>
        <w:pStyle w:val="figure"/>
        <w:rPr>
          <w:i/>
        </w:rPr>
      </w:pPr>
      <w:bookmarkStart w:id="379" w:name="_Toc72143427"/>
      <w:r w:rsidRPr="00926407">
        <w:t xml:space="preserve">Tableau </w:t>
      </w:r>
      <w:r w:rsidR="00E27D6E">
        <w:fldChar w:fldCharType="begin"/>
      </w:r>
      <w:r w:rsidR="00E27D6E">
        <w:instrText xml:space="preserve"> SEQ Tableau \* ARABIC </w:instrText>
      </w:r>
      <w:r w:rsidR="00E27D6E">
        <w:fldChar w:fldCharType="separate"/>
      </w:r>
      <w:r w:rsidR="0007597F">
        <w:rPr>
          <w:i/>
          <w:noProof/>
        </w:rPr>
        <w:t>80</w:t>
      </w:r>
      <w:r w:rsidR="00E27D6E">
        <w:rPr>
          <w:i/>
          <w:noProof/>
        </w:rPr>
        <w:fldChar w:fldCharType="end"/>
      </w:r>
      <w:r w:rsidR="007538FF">
        <w:rPr>
          <w:i/>
        </w:rPr>
        <w:t xml:space="preserve"> : </w:t>
      </w:r>
      <w:r w:rsidRPr="00926407">
        <w:t xml:space="preserve">Représentation tableau emploi ressource </w:t>
      </w:r>
      <w:r w:rsidR="000A1886">
        <w:rPr>
          <w:i/>
        </w:rPr>
        <w:t>des pièces issues de la transformation (</w:t>
      </w:r>
      <w:r w:rsidR="000A1886" w:rsidRPr="000A1886">
        <w:rPr>
          <w:i/>
        </w:rPr>
        <w:t>barattage, cuisson, maturation</w:t>
      </w:r>
      <w:r w:rsidR="000A1886">
        <w:rPr>
          <w:i/>
        </w:rPr>
        <w:t>)</w:t>
      </w:r>
      <w:bookmarkEnd w:id="379"/>
    </w:p>
    <w:p w14:paraId="3794DF5D" w14:textId="77777777" w:rsidR="00AA0CBF" w:rsidRDefault="00AA0CBF">
      <w:pPr>
        <w:rPr>
          <w:lang w:eastAsia="fr-FR"/>
        </w:rPr>
      </w:pPr>
    </w:p>
    <w:p w14:paraId="0D4EF4F2" w14:textId="1936B59C" w:rsidR="00690992" w:rsidRPr="0002537E" w:rsidRDefault="00682D47" w:rsidP="0002537E">
      <w:pPr>
        <w:rPr>
          <w:i/>
        </w:rPr>
      </w:pPr>
      <w:r>
        <w:rPr>
          <w:lang w:eastAsia="fr-FR"/>
        </w:rPr>
        <w:t>La viande fraîche</w:t>
      </w:r>
      <w:r w:rsidR="00770A27" w:rsidRPr="00B621B9">
        <w:rPr>
          <w:lang w:eastAsia="fr-FR"/>
        </w:rPr>
        <w:t xml:space="preserve"> </w:t>
      </w:r>
      <w:r w:rsidR="00955094">
        <w:rPr>
          <w:lang w:eastAsia="fr-FR"/>
        </w:rPr>
        <w:t>absorbe</w:t>
      </w:r>
      <w:r>
        <w:rPr>
          <w:lang w:eastAsia="fr-FR"/>
        </w:rPr>
        <w:t xml:space="preserve"> </w:t>
      </w:r>
      <w:r w:rsidR="00770A27" w:rsidRPr="00B621B9">
        <w:rPr>
          <w:lang w:eastAsia="fr-FR"/>
        </w:rPr>
        <w:t>environ 75</w:t>
      </w:r>
      <w:r w:rsidR="00C061E4">
        <w:rPr>
          <w:lang w:eastAsia="fr-FR"/>
        </w:rPr>
        <w:t> </w:t>
      </w:r>
      <w:r w:rsidR="00770A27" w:rsidRPr="00B621B9">
        <w:rPr>
          <w:lang w:eastAsia="fr-FR"/>
        </w:rPr>
        <w:t>% du total de la consommation</w:t>
      </w:r>
      <w:r>
        <w:rPr>
          <w:lang w:eastAsia="fr-FR"/>
        </w:rPr>
        <w:t xml:space="preserve"> en épaul</w:t>
      </w:r>
      <w:r w:rsidR="00690992">
        <w:rPr>
          <w:lang w:eastAsia="fr-FR"/>
        </w:rPr>
        <w:t>e</w:t>
      </w:r>
      <w:r w:rsidR="00767434">
        <w:rPr>
          <w:lang w:eastAsia="fr-FR"/>
        </w:rPr>
        <w:t>.</w:t>
      </w:r>
    </w:p>
    <w:p w14:paraId="4C2BF9D6" w14:textId="6F24A12B" w:rsidR="000A1886" w:rsidRDefault="00603472" w:rsidP="00603472">
      <w:pPr>
        <w:pStyle w:val="Lgende"/>
        <w:rPr>
          <w:b/>
          <w:i w:val="0"/>
        </w:rPr>
      </w:pPr>
      <w:r>
        <w:rPr>
          <w:noProof/>
        </w:rPr>
        <w:lastRenderedPageBreak/>
        <w:drawing>
          <wp:inline distT="0" distB="0" distL="0" distR="0" wp14:anchorId="6B47D5A5" wp14:editId="7595AADF">
            <wp:extent cx="4686300" cy="2352675"/>
            <wp:effectExtent l="0" t="0" r="0" b="0"/>
            <wp:docPr id="379" name="Graphique 379">
              <a:extLst xmlns:a="http://schemas.openxmlformats.org/drawingml/2006/main">
                <a:ext uri="{FF2B5EF4-FFF2-40B4-BE49-F238E27FC236}">
                  <a16:creationId xmlns:a16="http://schemas.microsoft.com/office/drawing/2014/main" id="{7633F3C4-361F-49E6-9E23-E8703E6BD08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14:paraId="3CDFD0AF" w14:textId="0AB51C77" w:rsidR="00F16224" w:rsidRPr="00690992" w:rsidRDefault="00E40DF4" w:rsidP="0002537E">
      <w:pPr>
        <w:pStyle w:val="Lgende"/>
        <w:ind w:left="0"/>
        <w:rPr>
          <w:b/>
          <w:i w:val="0"/>
        </w:rPr>
      </w:pPr>
      <w:r w:rsidRPr="00A50150">
        <w:rPr>
          <w:b/>
          <w:i w:val="0"/>
        </w:rPr>
        <w:t xml:space="preserve">Figure </w:t>
      </w:r>
      <w:r w:rsidRPr="00A50150">
        <w:rPr>
          <w:b/>
          <w:i w:val="0"/>
        </w:rPr>
        <w:fldChar w:fldCharType="begin"/>
      </w:r>
      <w:r w:rsidRPr="00A50150">
        <w:rPr>
          <w:b/>
          <w:i w:val="0"/>
        </w:rPr>
        <w:instrText xml:space="preserve"> SEQ Figure \* ARABIC </w:instrText>
      </w:r>
      <w:r w:rsidRPr="00A50150">
        <w:rPr>
          <w:b/>
          <w:i w:val="0"/>
        </w:rPr>
        <w:fldChar w:fldCharType="separate"/>
      </w:r>
      <w:r w:rsidR="0007597F">
        <w:rPr>
          <w:b/>
          <w:i w:val="0"/>
          <w:noProof/>
        </w:rPr>
        <w:t>36</w:t>
      </w:r>
      <w:r w:rsidRPr="00A50150">
        <w:rPr>
          <w:b/>
          <w:i w:val="0"/>
        </w:rPr>
        <w:fldChar w:fldCharType="end"/>
      </w:r>
      <w:r w:rsidR="007538FF">
        <w:rPr>
          <w:b/>
          <w:i w:val="0"/>
        </w:rPr>
        <w:t xml:space="preserve"> : </w:t>
      </w:r>
      <w:r w:rsidRPr="000A1886">
        <w:rPr>
          <w:b/>
          <w:i w:val="0"/>
        </w:rPr>
        <w:t xml:space="preserve">Part relative des catégories de produits consommées </w:t>
      </w:r>
      <w:r w:rsidRPr="00A50150">
        <w:rPr>
          <w:b/>
          <w:i w:val="0"/>
        </w:rPr>
        <w:t xml:space="preserve">(hors </w:t>
      </w:r>
      <w:r>
        <w:rPr>
          <w:b/>
          <w:i w:val="0"/>
        </w:rPr>
        <w:t>coproduits</w:t>
      </w:r>
      <w:r w:rsidRPr="00A50150">
        <w:rPr>
          <w:b/>
          <w:i w:val="0"/>
        </w:rPr>
        <w:t>)</w:t>
      </w:r>
    </w:p>
    <w:p w14:paraId="066844D5" w14:textId="0E35D4C1" w:rsidR="00770A27" w:rsidRDefault="00770A27" w:rsidP="00E40DF4">
      <w:pPr>
        <w:pStyle w:val="Titre3"/>
        <w:rPr>
          <w:rFonts w:eastAsiaTheme="minorEastAsia"/>
        </w:rPr>
      </w:pPr>
      <w:bookmarkStart w:id="380" w:name="_Toc78131693"/>
      <w:r>
        <w:rPr>
          <w:rFonts w:eastAsiaTheme="minorEastAsia"/>
        </w:rPr>
        <w:t>2.</w:t>
      </w:r>
      <w:r w:rsidR="00916D17">
        <w:rPr>
          <w:rFonts w:eastAsiaTheme="minorEastAsia"/>
        </w:rPr>
        <w:t>3</w:t>
      </w:r>
      <w:r>
        <w:rPr>
          <w:rFonts w:eastAsiaTheme="minorEastAsia"/>
        </w:rPr>
        <w:t>.</w:t>
      </w:r>
      <w:r w:rsidR="00690992">
        <w:rPr>
          <w:rFonts w:eastAsiaTheme="minorEastAsia"/>
        </w:rPr>
        <w:t>5</w:t>
      </w:r>
      <w:r>
        <w:rPr>
          <w:rFonts w:eastAsiaTheme="minorEastAsia"/>
        </w:rPr>
        <w:t xml:space="preserve">. Représentation des flux </w:t>
      </w:r>
      <w:r w:rsidR="004B43AF">
        <w:rPr>
          <w:rFonts w:eastAsiaTheme="minorEastAsia"/>
        </w:rPr>
        <w:t>d’épaule</w:t>
      </w:r>
      <w:r>
        <w:rPr>
          <w:rFonts w:eastAsiaTheme="minorEastAsia"/>
        </w:rPr>
        <w:t xml:space="preserve"> au travers du diagramme de Sankey</w:t>
      </w:r>
      <w:bookmarkEnd w:id="380"/>
      <w:r>
        <w:rPr>
          <w:rFonts w:eastAsiaTheme="minorEastAsia"/>
        </w:rPr>
        <w:t xml:space="preserve"> </w:t>
      </w:r>
    </w:p>
    <w:bookmarkEnd w:id="370"/>
    <w:p w14:paraId="24544877" w14:textId="300175E0" w:rsidR="005535AA" w:rsidRPr="009A4E6A" w:rsidRDefault="009A4E6A" w:rsidP="009A4E6A">
      <w:pPr>
        <w:pStyle w:val="Lgende"/>
        <w:rPr>
          <w:b/>
          <w:i w:val="0"/>
        </w:rPr>
      </w:pPr>
      <w:r w:rsidRPr="0002537E">
        <w:rPr>
          <w:b/>
          <w:i w:val="0"/>
        </w:rPr>
        <w:t xml:space="preserve">Figure </w:t>
      </w:r>
      <w:r w:rsidRPr="0002537E">
        <w:rPr>
          <w:b/>
          <w:i w:val="0"/>
        </w:rPr>
        <w:fldChar w:fldCharType="begin"/>
      </w:r>
      <w:r w:rsidRPr="0002537E">
        <w:rPr>
          <w:b/>
          <w:i w:val="0"/>
        </w:rPr>
        <w:instrText xml:space="preserve"> SEQ Figure \* ARABIC </w:instrText>
      </w:r>
      <w:r w:rsidRPr="0002537E">
        <w:rPr>
          <w:b/>
          <w:i w:val="0"/>
        </w:rPr>
        <w:fldChar w:fldCharType="separate"/>
      </w:r>
      <w:r>
        <w:rPr>
          <w:b/>
          <w:i w:val="0"/>
          <w:noProof/>
        </w:rPr>
        <w:t>37</w:t>
      </w:r>
      <w:r w:rsidRPr="0002537E">
        <w:rPr>
          <w:b/>
          <w:i w:val="0"/>
        </w:rPr>
        <w:fldChar w:fldCharType="end"/>
      </w:r>
      <w:r>
        <w:rPr>
          <w:b/>
          <w:i w:val="0"/>
        </w:rPr>
        <w:t xml:space="preserve"> : </w:t>
      </w:r>
      <w:r w:rsidRPr="005535AA">
        <w:rPr>
          <w:b/>
          <w:i w:val="0"/>
        </w:rPr>
        <w:t>Représentation des flux d</w:t>
      </w:r>
      <w:r>
        <w:rPr>
          <w:b/>
          <w:i w:val="0"/>
        </w:rPr>
        <w:t xml:space="preserve">’épaule au travers d’un diagramme de Sankey </w:t>
      </w:r>
    </w:p>
    <w:p w14:paraId="19C2BC33" w14:textId="77777777" w:rsidR="009A4E6A" w:rsidRDefault="009A4E6A" w:rsidP="005535AA">
      <w:pPr>
        <w:rPr>
          <w:lang w:eastAsia="fr-FR"/>
        </w:rPr>
      </w:pPr>
    </w:p>
    <w:p w14:paraId="566FDE2C" w14:textId="5DA682FB" w:rsidR="0002537E" w:rsidRPr="0002537E" w:rsidRDefault="0002537E" w:rsidP="0002537E">
      <w:pPr>
        <w:sectPr w:rsidR="0002537E" w:rsidRPr="0002537E" w:rsidSect="00B73F4D">
          <w:pgSz w:w="11906" w:h="16838" w:code="9"/>
          <w:pgMar w:top="1304" w:right="1133" w:bottom="1304" w:left="1418" w:header="567" w:footer="709" w:gutter="0"/>
          <w:cols w:space="708"/>
          <w:docGrid w:linePitch="360"/>
        </w:sectPr>
      </w:pPr>
    </w:p>
    <w:p w14:paraId="22069B5D" w14:textId="560CB405" w:rsidR="004A6317" w:rsidRDefault="00B373DA" w:rsidP="004A6317">
      <w:pPr>
        <w:pStyle w:val="ValrieN1"/>
        <w:ind w:left="0"/>
      </w:pPr>
      <w:r>
        <w:rPr>
          <w:noProof/>
        </w:rPr>
        <w:lastRenderedPageBreak/>
        <mc:AlternateContent>
          <mc:Choice Requires="wps">
            <w:drawing>
              <wp:anchor distT="0" distB="0" distL="114300" distR="114300" simplePos="0" relativeHeight="251909177" behindDoc="0" locked="0" layoutInCell="1" allowOverlap="1" wp14:anchorId="40630526" wp14:editId="109F6999">
                <wp:simplePos x="0" y="0"/>
                <wp:positionH relativeFrom="column">
                  <wp:posOffset>-49827</wp:posOffset>
                </wp:positionH>
                <wp:positionV relativeFrom="paragraph">
                  <wp:posOffset>1239655</wp:posOffset>
                </wp:positionV>
                <wp:extent cx="525293" cy="330741"/>
                <wp:effectExtent l="0" t="0" r="8255" b="0"/>
                <wp:wrapNone/>
                <wp:docPr id="112" name="Zone de texte 112"/>
                <wp:cNvGraphicFramePr/>
                <a:graphic xmlns:a="http://schemas.openxmlformats.org/drawingml/2006/main">
                  <a:graphicData uri="http://schemas.microsoft.com/office/word/2010/wordprocessingShape">
                    <wps:wsp>
                      <wps:cNvSpPr txBox="1"/>
                      <wps:spPr>
                        <a:xfrm>
                          <a:off x="0" y="0"/>
                          <a:ext cx="525293" cy="330741"/>
                        </a:xfrm>
                        <a:prstGeom prst="rect">
                          <a:avLst/>
                        </a:prstGeom>
                        <a:solidFill>
                          <a:schemeClr val="lt1"/>
                        </a:solidFill>
                        <a:ln w="6350">
                          <a:noFill/>
                        </a:ln>
                      </wps:spPr>
                      <wps:txbx>
                        <w:txbxContent>
                          <w:p w14:paraId="14AC1AD9" w14:textId="02DDF4C8" w:rsidR="00B373DA" w:rsidRPr="00B373DA" w:rsidRDefault="00B373DA">
                            <w:pPr>
                              <w:rPr>
                                <w:sz w:val="12"/>
                                <w:szCs w:val="12"/>
                              </w:rPr>
                            </w:pPr>
                            <w:r w:rsidRPr="00B373DA">
                              <w:rPr>
                                <w:sz w:val="12"/>
                                <w:szCs w:val="12"/>
                              </w:rPr>
                              <w:t>Abattage découpe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630526" id="Zone de texte 112" o:spid="_x0000_s1074" type="#_x0000_t202" style="position:absolute;left:0;text-align:left;margin-left:-3.9pt;margin-top:97.6pt;width:41.35pt;height:26.05pt;z-index:2519091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ym3SwIAAIkEAAAOAAAAZHJzL2Uyb0RvYy54bWysVE1v2zAMvQ/YfxB0X+w4H22NOEWWIsOA&#10;oC2QDgV2U2QpMSCLmqTEzn79KDlOs26nYReZEqlH8T3Ss/u2VuQorKtAF3Q4SCkRmkNZ6V1Bv72s&#10;Pt1S4jzTJVOgRUFPwtH7+ccPs8bkIoM9qFJYgiDa5Y0p6N57kyeJ43tRMzcAIzQ6JdiaedzaXVJa&#10;1iB6rZIsTadJA7Y0FrhwDk8fOiedR3wpBfdPUjrhiSoovs3H1cZ1G9ZkPmP5zjKzr/j5GewfXlGz&#10;SmPSC9QD84wcbPUHVF1xCw6kH3CoE5Cy4iLWgNUM03fVbPbMiFgLkuPMhSb3/2D54/HZkqpE7YYZ&#10;JZrVKNJ3lIqUgnjRekGCA2lqjMsxemMw3refocUr/bnDw1B9K20dvlgXQT8SfrqQjFiE4+Ekm2R3&#10;I0o4ukaj9GYcUZK3y8Y6/0VATYJRUIsaRmrZce08PgRD+5CQy4GqylWlVNyEvhFLZcmRoeLK9+C/&#10;RSlNmoJOR5M0AmsI1ztkpTFBKLUrKVi+3baRofG0r3cL5QlpsND1kzN8VeFj18z5Z2axgbByHAr/&#10;hItUgMngbFGyB/vzb+chHnVFLyUNNmRB3Y8Ds4IS9VWj4nfD8Th0cNyMJzcZbuy1Z3vt0Yd6CcjA&#10;EMfP8GiGeK96U1qoX3F2FiErupjmmLugvjeXvhsTnD0uFosYhD1rmF/rjeEBOjAepHhpX5k1Z71C&#10;0zxC37osfydbFxtualgcPMgqahqI7lg984/9HqU+z2YYqOt9jHr7g8x/AQAA//8DAFBLAwQUAAYA&#10;CAAAACEAUcJzsuEAAAAJAQAADwAAAGRycy9kb3ducmV2LnhtbEyPzU7DMBCE70i8g7VIXFDrkLSE&#10;hjgVQkAlbjT8iJsbL0lEvI5iNwlvz3KC486OZr7Jt7PtxIiDbx0puFxGIJAqZ1qqFbyUD4trED5o&#10;MrpzhAq+0cO2OD3JdWbcRM847kMtOIR8phU0IfSZlL5q0Gq/dD0S/z7dYHXgc6ilGfTE4baTcRRd&#10;Satb4oZG93jXYPW1P1oFHxf1+5OfH1+nZJ3097uxTN9MqdT52Xx7AyLgHP7M8IvP6FAw08EdyXjR&#10;KVikTB5Y36xjEGxIVxsQBwXxKk1AFrn8v6D4AQAA//8DAFBLAQItABQABgAIAAAAIQC2gziS/gAA&#10;AOEBAAATAAAAAAAAAAAAAAAAAAAAAABbQ29udGVudF9UeXBlc10ueG1sUEsBAi0AFAAGAAgAAAAh&#10;ADj9If/WAAAAlAEAAAsAAAAAAAAAAAAAAAAALwEAAF9yZWxzLy5yZWxzUEsBAi0AFAAGAAgAAAAh&#10;AInvKbdLAgAAiQQAAA4AAAAAAAAAAAAAAAAALgIAAGRycy9lMm9Eb2MueG1sUEsBAi0AFAAGAAgA&#10;AAAhAFHCc7LhAAAACQEAAA8AAAAAAAAAAAAAAAAApQQAAGRycy9kb3ducmV2LnhtbFBLBQYAAAAA&#10;BAAEAPMAAACzBQAAAAA=&#10;" fillcolor="white [3201]" stroked="f" strokeweight=".5pt">
                <v:textbox>
                  <w:txbxContent>
                    <w:p w14:paraId="14AC1AD9" w14:textId="02DDF4C8" w:rsidR="00B373DA" w:rsidRPr="00B373DA" w:rsidRDefault="00B373DA">
                      <w:pPr>
                        <w:rPr>
                          <w:sz w:val="12"/>
                          <w:szCs w:val="12"/>
                        </w:rPr>
                      </w:pPr>
                      <w:r w:rsidRPr="00B373DA">
                        <w:rPr>
                          <w:sz w:val="12"/>
                          <w:szCs w:val="12"/>
                        </w:rPr>
                        <w:t>Abattage découpe</w:t>
                      </w:r>
                    </w:p>
                  </w:txbxContent>
                </v:textbox>
              </v:shape>
            </w:pict>
          </mc:Fallback>
        </mc:AlternateContent>
      </w:r>
      <w:r>
        <w:rPr>
          <w:noProof/>
        </w:rPr>
        <mc:AlternateContent>
          <mc:Choice Requires="wpg">
            <w:drawing>
              <wp:anchor distT="0" distB="0" distL="114300" distR="114300" simplePos="0" relativeHeight="251729977" behindDoc="0" locked="0" layoutInCell="1" allowOverlap="1" wp14:anchorId="20D432E3" wp14:editId="2CA46B3D">
                <wp:simplePos x="0" y="0"/>
                <wp:positionH relativeFrom="column">
                  <wp:posOffset>-60824</wp:posOffset>
                </wp:positionH>
                <wp:positionV relativeFrom="paragraph">
                  <wp:posOffset>3549276</wp:posOffset>
                </wp:positionV>
                <wp:extent cx="1489817" cy="409232"/>
                <wp:effectExtent l="0" t="0" r="34290" b="0"/>
                <wp:wrapNone/>
                <wp:docPr id="326" name="Groupe 17"/>
                <wp:cNvGraphicFramePr/>
                <a:graphic xmlns:a="http://schemas.openxmlformats.org/drawingml/2006/main">
                  <a:graphicData uri="http://schemas.microsoft.com/office/word/2010/wordprocessingGroup">
                    <wpg:wgp>
                      <wpg:cNvGrpSpPr/>
                      <wpg:grpSpPr>
                        <a:xfrm>
                          <a:off x="0" y="0"/>
                          <a:ext cx="1489817" cy="409232"/>
                          <a:chOff x="118917" y="3934514"/>
                          <a:chExt cx="1768638" cy="688876"/>
                        </a:xfrm>
                      </wpg:grpSpPr>
                      <wps:wsp>
                        <wps:cNvPr id="327" name="Flèche : pentagone 327"/>
                        <wps:cNvSpPr/>
                        <wps:spPr>
                          <a:xfrm>
                            <a:off x="118917" y="3934514"/>
                            <a:ext cx="1768638" cy="565432"/>
                          </a:xfrm>
                          <a:prstGeom prst="homePlate">
                            <a:avLst/>
                          </a:prstGeom>
                          <a:gradFill flip="none" rotWithShape="1">
                            <a:gsLst>
                              <a:gs pos="0">
                                <a:schemeClr val="bg1">
                                  <a:lumMod val="65000"/>
                                  <a:tint val="66000"/>
                                  <a:satMod val="160000"/>
                                </a:schemeClr>
                              </a:gs>
                              <a:gs pos="50000">
                                <a:schemeClr val="bg1">
                                  <a:lumMod val="65000"/>
                                  <a:tint val="44500"/>
                                  <a:satMod val="160000"/>
                                </a:schemeClr>
                              </a:gs>
                              <a:gs pos="100000">
                                <a:schemeClr val="bg1">
                                  <a:lumMod val="65000"/>
                                  <a:tint val="23500"/>
                                  <a:satMod val="160000"/>
                                </a:schemeClr>
                              </a:gs>
                            </a:gsLst>
                            <a:lin ang="5400000" scaled="1"/>
                            <a:tileRect/>
                          </a:gradFill>
                          <a:ln>
                            <a:solidFill>
                              <a:schemeClr val="bg1">
                                <a:lumMod val="75000"/>
                              </a:schemeClr>
                            </a:solidFill>
                          </a:ln>
                        </wps:spPr>
                        <wps:style>
                          <a:lnRef idx="1">
                            <a:schemeClr val="accent1"/>
                          </a:lnRef>
                          <a:fillRef idx="3">
                            <a:schemeClr val="accent1"/>
                          </a:fillRef>
                          <a:effectRef idx="2">
                            <a:schemeClr val="accent1"/>
                          </a:effectRef>
                          <a:fontRef idx="minor">
                            <a:schemeClr val="lt1"/>
                          </a:fontRef>
                        </wps:style>
                        <wps:bodyPr rtlCol="0" anchor="ctr"/>
                      </wps:wsp>
                      <wps:wsp>
                        <wps:cNvPr id="328" name="ZoneTexte 19"/>
                        <wps:cNvSpPr txBox="1"/>
                        <wps:spPr>
                          <a:xfrm>
                            <a:off x="197096" y="4006623"/>
                            <a:ext cx="1443606" cy="616767"/>
                          </a:xfrm>
                          <a:prstGeom prst="rect">
                            <a:avLst/>
                          </a:prstGeom>
                          <a:noFill/>
                        </wps:spPr>
                        <wps:txbx>
                          <w:txbxContent>
                            <w:p w14:paraId="652924AB" w14:textId="77777777" w:rsidR="00741BFF" w:rsidRDefault="00741BFF" w:rsidP="004A6317">
                              <w:pPr>
                                <w:rPr>
                                  <w:sz w:val="24"/>
                                  <w:szCs w:val="24"/>
                                </w:rPr>
                              </w:pPr>
                              <w:r>
                                <w:rPr>
                                  <w:rFonts w:cs="Arial"/>
                                  <w:b/>
                                  <w:bCs/>
                                  <w:i/>
                                  <w:iCs/>
                                  <w:color w:val="595959" w:themeColor="text1" w:themeTint="A6"/>
                                  <w:kern w:val="24"/>
                                </w:rPr>
                                <w:t xml:space="preserve">Sens de lecture </w:t>
                              </w:r>
                            </w:p>
                          </w:txbxContent>
                        </wps:txbx>
                        <wps:bodyPr wrap="none" rtlCol="0">
                          <a:spAutoFit/>
                        </wps:bodyPr>
                      </wps:wsp>
                    </wpg:wgp>
                  </a:graphicData>
                </a:graphic>
              </wp:anchor>
            </w:drawing>
          </mc:Choice>
          <mc:Fallback>
            <w:pict>
              <v:group w14:anchorId="20D432E3" id="_x0000_s1075" style="position:absolute;left:0;text-align:left;margin-left:-4.8pt;margin-top:279.45pt;width:117.3pt;height:32.2pt;z-index:251729977" coordorigin="1189,39345" coordsize="17686,6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yQ8awMAACQJAAAOAAAAZHJzL2Uyb0RvYy54bWy8Vs1u3DgMvi+w7yD4vvHveGaMTIpuu8ml&#10;uw36gwJ7U2TZY0CWDEnJTN6mxz7H9sVKUraatskWSIBePDZFUuRH8uOcPjuOit1I6wajd0l+kiVM&#10;amHaQfe75P278z82CXOe65Yro+UuuZUueXb2+2+nh6mRhdkb1UrLwIl2zWHaJXvvpyZNndjLkbsT&#10;M0kNh52xI/fwafu0tfwA3keVFllWpwdj28kaIZ0D6ctwmJyR/66Twr/uOic9U7sEYvP0tPS8wmd6&#10;dsqb3vJpP4g5DP6IKEY+aLg0unrJPWfXdvjB1TgIa5zp/IkwY2q6bhCScoBs8uy7bC6suZ4ol745&#10;9FOECaD9DqdHuxX/3FxaNrS7pCzqhGk+QpHoXsnyNcJzmPoGtC7s9Ha6tLOgD1+Y8bGzI/5CLuxI&#10;wN5GYOXRMwHCvNpsN+COCTirsm1RFgF5sYfyoFmeb7aoAOfltqxWebUo/LX4WNebuoR2Qh/1ZrNZ&#10;16iSLhGkGGiM6zBBP7mvkLmnQfZ2zydJlXAIRoQMIg6QnavPn6Bn//vYMGhZz3vodlYWM4JkFOFz&#10;jQMk78HuIRAijHchWNWrKsAYIeDNZJ2/kGZk+AIpm1FeKu4xdN7wm1fOB8gWPRRD97fng1KsUwNM&#10;oIbIE2aN/zD4PeUN1SH73oE9WTg2GUA0IzHNqnyhLLvhMGVXfdBW1+Pfpg2yepVl86z5QftZWEeh&#10;4z7q5igmZcgr+qZC9+7u7ejzaRFUFfgIffaoCHKM4GkhFOVjQgBkYjHUoBlHtl1VIRzmBFcSJjoP&#10;qflByTdAhKHyS7URSaXx6YwaqAHoA4n3/4u5Xor5Q33ueIIz9A5DuXQ7vflbJcPNb2QHtIOTf18T&#10;cSFgiigB8gTaaNZBm0bD8ueGsz6aSloG0bj4uXG0oJuN9tF4HLSx9zlQMeQu6C8IhLwRgivT3gJ9&#10;WK9emLCTuBZ7AytJeEuENlMXMu8v4TCg1MBh/8LkvwOuAebfYiR4P5Ad8hbzxz8NFWuWP8Rg23W2&#10;hT1CNJ/VdVGGHowMVlVlnYECkXher2tiSKjxskYWZpoZzELjEtIPkJc2SF3Y2hhtiArf/PHqSGut&#10;ihQ8I3+AZR9ZLlYBa+ym59ce/NGkoJNgMfuGbUJvtIrh7Ztdf/ebtL7+uTn7AgAA//8DAFBLAwQU&#10;AAYACAAAACEAVHkaA+EAAAAKAQAADwAAAGRycy9kb3ducmV2LnhtbEyPTWuDQBCG74X+h2UKvSXr&#10;B0piHUMIbU+h0KRQetvoRCXurrgbNf++01NzHObhfZ8338y6EyMNrrUGIVwGIMiUtmpNjfB1fFus&#10;QDivTKU6awjhRg42xeNDrrLKTuaTxoOvBYcYlymExvs+k9KVDWnllrYnw7+zHbTyfA61rAY1cbju&#10;ZBQEqdSqNdzQqJ52DZWXw1UjvE9q2sbh67i/nHe3n2Py8b0PCfH5ad6+gPA0+38Y/vRZHQp2Otmr&#10;qZzoEBbrlEmEJFmtQTAQRQmPOyGkURyDLHJ5P6H4BQAA//8DAFBLAQItABQABgAIAAAAIQC2gziS&#10;/gAAAOEBAAATAAAAAAAAAAAAAAAAAAAAAABbQ29udGVudF9UeXBlc10ueG1sUEsBAi0AFAAGAAgA&#10;AAAhADj9If/WAAAAlAEAAAsAAAAAAAAAAAAAAAAALwEAAF9yZWxzLy5yZWxzUEsBAi0AFAAGAAgA&#10;AAAhAAI/JDxrAwAAJAkAAA4AAAAAAAAAAAAAAAAALgIAAGRycy9lMm9Eb2MueG1sUEsBAi0AFAAG&#10;AAgAAAAhAFR5GgPhAAAACgEAAA8AAAAAAAAAAAAAAAAAxQUAAGRycy9kb3ducmV2LnhtbFBLBQYA&#10;AAAABAAEAPMAAADTBgAAAAA=&#10;">
                <v:shape id="Flèche : pentagone 327" o:spid="_x0000_s1076" type="#_x0000_t15" style="position:absolute;left:1189;top:39345;width:17686;height:5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WdyxQAAANwAAAAPAAAAZHJzL2Rvd25yZXYueG1sRI9Ba4NA&#10;FITvhfyH5RVyq2u0NMFmE0JpoLe2mhxye7gvKrpvxd2o+ffdQqHHYWa+Ybb72XRipME1lhWsohgE&#10;cWl1w5WCU3F82oBwHlljZ5kU3MnBfrd42GKm7cTfNOa+EgHCLkMFtfd9JqUrazLoItsTB+9qB4M+&#10;yKGSesApwE0nkzh+kQYbDgs19vRWU9nmN6PgEq/a5zT5vF37r/u5LbrxPclHpZaP8+EVhKfZ/4f/&#10;2h9aQZqs4fdMOAJy9wMAAP//AwBQSwECLQAUAAYACAAAACEA2+H2y+4AAACFAQAAEwAAAAAAAAAA&#10;AAAAAAAAAAAAW0NvbnRlbnRfVHlwZXNdLnhtbFBLAQItABQABgAIAAAAIQBa9CxbvwAAABUBAAAL&#10;AAAAAAAAAAAAAAAAAB8BAABfcmVscy8ucmVsc1BLAQItABQABgAIAAAAIQBNYWdyxQAAANwAAAAP&#10;AAAAAAAAAAAAAAAAAAcCAABkcnMvZG93bnJldi54bWxQSwUGAAAAAAMAAwC3AAAA+QIAAAAA&#10;" adj="18147" fillcolor="#a5a5a5 [2092]" strokecolor="#bfbfbf [2412]" strokeweight=".5pt">
                  <v:fill color2="#a5a5a5 [2092]" rotate="t" colors="0 #cacaca;.5 #ddd;1 #eee" focus="100%" type="gradient"/>
                </v:shape>
                <v:shape id="ZoneTexte 19" o:spid="_x0000_s1077" type="#_x0000_t202" style="position:absolute;left:1970;top:40066;width:14437;height:61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dlywQAAANwAAAAPAAAAZHJzL2Rvd25yZXYueG1sRE9LbsIw&#10;EN0j9Q7WVOoOHEKpIOBEFRSpu1LgAKN4iEPicRS7EHr6elGJ5dP7r4vBtuJKva8dK5hOEhDEpdM1&#10;VwpOx914AcIHZI2tY1JwJw9F/jRaY6bdjb/pegiViCHsM1RgQugyKX1pyKKfuI44cmfXWwwR9pXU&#10;Pd5iuG1lmiRv0mLNscFgRxtDZXP4sQoWif1qmmW69/b1dzo3m6376C5KvTwP7ysQgYbwEP+7P7WC&#10;WRrXxjPxCMj8DwAA//8DAFBLAQItABQABgAIAAAAIQDb4fbL7gAAAIUBAAATAAAAAAAAAAAAAAAA&#10;AAAAAABbQ29udGVudF9UeXBlc10ueG1sUEsBAi0AFAAGAAgAAAAhAFr0LFu/AAAAFQEAAAsAAAAA&#10;AAAAAAAAAAAAHwEAAF9yZWxzLy5yZWxzUEsBAi0AFAAGAAgAAAAhAH1V2XLBAAAA3AAAAA8AAAAA&#10;AAAAAAAAAAAABwIAAGRycy9kb3ducmV2LnhtbFBLBQYAAAAAAwADALcAAAD1AgAAAAA=&#10;" filled="f" stroked="f">
                  <v:textbox style="mso-fit-shape-to-text:t">
                    <w:txbxContent>
                      <w:p w14:paraId="652924AB" w14:textId="77777777" w:rsidR="00741BFF" w:rsidRDefault="00741BFF" w:rsidP="004A6317">
                        <w:pPr>
                          <w:rPr>
                            <w:sz w:val="24"/>
                            <w:szCs w:val="24"/>
                          </w:rPr>
                        </w:pPr>
                        <w:r>
                          <w:rPr>
                            <w:rFonts w:cs="Arial"/>
                            <w:b/>
                            <w:bCs/>
                            <w:i/>
                            <w:iCs/>
                            <w:color w:val="595959" w:themeColor="text1" w:themeTint="A6"/>
                            <w:kern w:val="24"/>
                          </w:rPr>
                          <w:t xml:space="preserve">Sens de lecture </w:t>
                        </w:r>
                      </w:p>
                    </w:txbxContent>
                  </v:textbox>
                </v:shape>
              </v:group>
            </w:pict>
          </mc:Fallback>
        </mc:AlternateContent>
      </w:r>
      <w:r>
        <w:rPr>
          <w:noProof/>
        </w:rPr>
        <mc:AlternateContent>
          <mc:Choice Requires="wps">
            <w:drawing>
              <wp:anchor distT="0" distB="0" distL="114300" distR="114300" simplePos="0" relativeHeight="251754553" behindDoc="0" locked="0" layoutInCell="1" allowOverlap="1" wp14:anchorId="64FAC362" wp14:editId="28F50C1E">
                <wp:simplePos x="0" y="0"/>
                <wp:positionH relativeFrom="column">
                  <wp:posOffset>0</wp:posOffset>
                </wp:positionH>
                <wp:positionV relativeFrom="paragraph">
                  <wp:posOffset>2321236</wp:posOffset>
                </wp:positionV>
                <wp:extent cx="1116280" cy="890650"/>
                <wp:effectExtent l="0" t="0" r="0" b="0"/>
                <wp:wrapNone/>
                <wp:docPr id="330" name="ZoneTexte 27"/>
                <wp:cNvGraphicFramePr/>
                <a:graphic xmlns:a="http://schemas.openxmlformats.org/drawingml/2006/main">
                  <a:graphicData uri="http://schemas.microsoft.com/office/word/2010/wordprocessingShape">
                    <wps:wsp>
                      <wps:cNvSpPr txBox="1"/>
                      <wps:spPr>
                        <a:xfrm>
                          <a:off x="0" y="0"/>
                          <a:ext cx="1116280" cy="890650"/>
                        </a:xfrm>
                        <a:prstGeom prst="rect">
                          <a:avLst/>
                        </a:prstGeom>
                        <a:noFill/>
                      </wps:spPr>
                      <wps:txbx>
                        <w:txbxContent>
                          <w:p w14:paraId="37244247" w14:textId="495F0713" w:rsidR="00741BFF" w:rsidRPr="00F761A5" w:rsidRDefault="00741BFF" w:rsidP="004A6317">
                            <w:pPr>
                              <w:spacing w:after="0"/>
                              <w:jc w:val="left"/>
                              <w:rPr>
                                <w:rFonts w:cs="Arial"/>
                                <w:i/>
                                <w:iCs/>
                                <w:color w:val="000000" w:themeColor="text1"/>
                                <w:kern w:val="24"/>
                                <w:sz w:val="20"/>
                                <w:szCs w:val="20"/>
                              </w:rPr>
                            </w:pPr>
                            <w:r w:rsidRPr="009175CD">
                              <w:rPr>
                                <w:rFonts w:cs="Arial"/>
                                <w:i/>
                                <w:iCs/>
                                <w:color w:val="000000" w:themeColor="text1"/>
                                <w:kern w:val="24"/>
                                <w:sz w:val="20"/>
                                <w:szCs w:val="20"/>
                              </w:rPr>
                              <w:t>Total volumes à destinatio</w:t>
                            </w:r>
                            <w:r>
                              <w:rPr>
                                <w:rFonts w:cs="Arial"/>
                                <w:i/>
                                <w:iCs/>
                                <w:color w:val="000000" w:themeColor="text1"/>
                                <w:kern w:val="24"/>
                                <w:sz w:val="20"/>
                                <w:szCs w:val="20"/>
                              </w:rPr>
                              <w:t>n</w:t>
                            </w:r>
                          </w:p>
                          <w:p w14:paraId="3A51C252"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rPr>
                              <w:t>Consommation</w:t>
                            </w:r>
                          </w:p>
                          <w:p w14:paraId="6D98A57E"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1411CD95"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4FAC362" id="ZoneTexte 27" o:spid="_x0000_s1078" type="#_x0000_t202" style="position:absolute;left:0;text-align:left;margin-left:0;margin-top:182.75pt;width:87.9pt;height:70.15pt;z-index:2517545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Az+nAEAABoDAAAOAAAAZHJzL2Uyb0RvYy54bWysUk2P0zAQvSPxHyzfadIulG7UdAWslgsC&#10;pF0u3Fxn3FiKPWbsNum/Z+x+LILbios/ZsZv3pvn9d3kBnEAihZ9K+ezWgrwGjvrd6388fTwZiVF&#10;TMp3akAPrTxClHeb16/WY2hggT0OHZBgEB+bMbSyTyk0VRV1D07FGQbwnDRITiW+0q7qSI2M7oZq&#10;UdfLakTqAqGGGDl6f0rKTcE3BnT6ZkyEJIZWMrdUVirrNq/VZq2aHanQW32moV7AwinruekV6l4l&#10;JfZk/4FyVhNGNGmm0VVojNVQNLCaef2XmsdeBShaeDgxXMcU/x+s/nr4TsJ2rby54fl45dikn2zV&#10;E0wJxOJ9ntAYYsOFj4FL0/QRJ3b6Eo8czMInQy7vLElwnrGO1/kylND50Xy+XKw4pTm3uq2X74oB&#10;1fPrQDF9BnQiH1pJ7F8Zqzp8iYmZcOmlJDfz+GCHIcczxROVfErTdiqi3q4uPLfYHZn+yFa3Mv7a&#10;KwIpKA2fsPyME9qHfUJjS6MMc3pzRmcDSv/zZ8kO/3kvVc9fevMbAAD//wMAUEsDBBQABgAIAAAA&#10;IQBu5brM2wAAAAgBAAAPAAAAZHJzL2Rvd25yZXYueG1sTI9NT8MwDIbvSPyHyEjcWMJHBpS6EwJx&#10;BTE+JG5Z47UVjVM12Vr+Pd4JbrZe6/XzlKs59GpPY+oiI5wvDCjiOvqOG4T3t6ezG1ApO/auj0wI&#10;P5RgVR0fla7wceJX2q9zo6SEU+EQ2pyHQutUtxRcWsSBWLJtHIPLso6N9qObpDz0+sKYpQ6uY/nQ&#10;uoEeWqq/17uA8PG8/fq8Mi/NY7DDFGejOdxqxNOT+f4OVKY5/x3DAV/QoRKmTdyxT6pHEJGMcLm0&#10;FtQhvrZiskGwRgZdlfq/QPULAAD//wMAUEsBAi0AFAAGAAgAAAAhALaDOJL+AAAA4QEAABMAAAAA&#10;AAAAAAAAAAAAAAAAAFtDb250ZW50X1R5cGVzXS54bWxQSwECLQAUAAYACAAAACEAOP0h/9YAAACU&#10;AQAACwAAAAAAAAAAAAAAAAAvAQAAX3JlbHMvLnJlbHNQSwECLQAUAAYACAAAACEAsFQM/pwBAAAa&#10;AwAADgAAAAAAAAAAAAAAAAAuAgAAZHJzL2Uyb0RvYy54bWxQSwECLQAUAAYACAAAACEAbuW6zNsA&#10;AAAIAQAADwAAAAAAAAAAAAAAAAD2AwAAZHJzL2Rvd25yZXYueG1sUEsFBgAAAAAEAAQA8wAAAP4E&#10;AAAAAA==&#10;" filled="f" stroked="f">
                <v:textbox>
                  <w:txbxContent>
                    <w:p w14:paraId="37244247" w14:textId="495F0713" w:rsidR="00741BFF" w:rsidRPr="00F761A5" w:rsidRDefault="00741BFF" w:rsidP="004A6317">
                      <w:pPr>
                        <w:spacing w:after="0"/>
                        <w:jc w:val="left"/>
                        <w:rPr>
                          <w:rFonts w:cs="Arial"/>
                          <w:i/>
                          <w:iCs/>
                          <w:color w:val="000000" w:themeColor="text1"/>
                          <w:kern w:val="24"/>
                          <w:sz w:val="20"/>
                          <w:szCs w:val="20"/>
                        </w:rPr>
                      </w:pPr>
                      <w:r w:rsidRPr="009175CD">
                        <w:rPr>
                          <w:rFonts w:cs="Arial"/>
                          <w:i/>
                          <w:iCs/>
                          <w:color w:val="000000" w:themeColor="text1"/>
                          <w:kern w:val="24"/>
                          <w:sz w:val="20"/>
                          <w:szCs w:val="20"/>
                        </w:rPr>
                        <w:t>Total volumes à destinatio</w:t>
                      </w:r>
                      <w:r>
                        <w:rPr>
                          <w:rFonts w:cs="Arial"/>
                          <w:i/>
                          <w:iCs/>
                          <w:color w:val="000000" w:themeColor="text1"/>
                          <w:kern w:val="24"/>
                          <w:sz w:val="20"/>
                          <w:szCs w:val="20"/>
                        </w:rPr>
                        <w:t>n</w:t>
                      </w:r>
                    </w:p>
                    <w:p w14:paraId="3A51C252"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rPr>
                        <w:t>Consommation</w:t>
                      </w:r>
                    </w:p>
                    <w:p w14:paraId="6D98A57E"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1411CD95" w14:textId="77777777" w:rsidR="00741BFF" w:rsidRPr="00A06B55" w:rsidRDefault="00741BFF" w:rsidP="004A6317">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v:textbox>
              </v:shape>
            </w:pict>
          </mc:Fallback>
        </mc:AlternateContent>
      </w:r>
      <w:r w:rsidRPr="00B373DA">
        <w:rPr>
          <w:noProof/>
        </w:rPr>
        <w:drawing>
          <wp:inline distT="0" distB="0" distL="0" distR="0" wp14:anchorId="422FCEE2" wp14:editId="295DB943">
            <wp:extent cx="9533106" cy="3785235"/>
            <wp:effectExtent l="0" t="0" r="0" b="5715"/>
            <wp:docPr id="109" name="Imag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9533106" cy="3785235"/>
                    </a:xfrm>
                    <a:prstGeom prst="rect">
                      <a:avLst/>
                    </a:prstGeom>
                  </pic:spPr>
                </pic:pic>
              </a:graphicData>
            </a:graphic>
          </wp:inline>
        </w:drawing>
      </w:r>
      <w:r>
        <w:rPr>
          <w:noProof/>
        </w:rPr>
        <mc:AlternateContent>
          <mc:Choice Requires="wps">
            <w:drawing>
              <wp:anchor distT="0" distB="0" distL="114300" distR="114300" simplePos="0" relativeHeight="251746361" behindDoc="0" locked="0" layoutInCell="1" allowOverlap="1" wp14:anchorId="72E9D9BC" wp14:editId="4FF7977D">
                <wp:simplePos x="0" y="0"/>
                <wp:positionH relativeFrom="column">
                  <wp:posOffset>3432</wp:posOffset>
                </wp:positionH>
                <wp:positionV relativeFrom="paragraph">
                  <wp:posOffset>4665115</wp:posOffset>
                </wp:positionV>
                <wp:extent cx="1900052" cy="249110"/>
                <wp:effectExtent l="0" t="0" r="0" b="0"/>
                <wp:wrapNone/>
                <wp:docPr id="331" name="ZoneTexte 10"/>
                <wp:cNvGraphicFramePr/>
                <a:graphic xmlns:a="http://schemas.openxmlformats.org/drawingml/2006/main">
                  <a:graphicData uri="http://schemas.microsoft.com/office/word/2010/wordprocessingShape">
                    <wps:wsp>
                      <wps:cNvSpPr txBox="1"/>
                      <wps:spPr>
                        <a:xfrm>
                          <a:off x="0" y="0"/>
                          <a:ext cx="1900052" cy="249110"/>
                        </a:xfrm>
                        <a:prstGeom prst="rect">
                          <a:avLst/>
                        </a:prstGeom>
                        <a:noFill/>
                      </wps:spPr>
                      <wps:txbx>
                        <w:txbxContent>
                          <w:p w14:paraId="0A089BE2" w14:textId="751993A5" w:rsidR="00741BFF" w:rsidRPr="00713036" w:rsidRDefault="00741BFF" w:rsidP="004A6317">
                            <w:pPr>
                              <w:rPr>
                                <w:sz w:val="20"/>
                                <w:szCs w:val="20"/>
                              </w:rPr>
                            </w:pPr>
                            <w:r w:rsidRPr="004A6317">
                              <w:rPr>
                                <w:rFonts w:cs="Arial"/>
                                <w:i/>
                                <w:iCs/>
                                <w:color w:val="000000" w:themeColor="text1"/>
                                <w:kern w:val="24"/>
                                <w:sz w:val="20"/>
                                <w:szCs w:val="20"/>
                                <w:u w:val="single"/>
                              </w:rPr>
                              <w:t xml:space="preserve">Données exprimées </w:t>
                            </w:r>
                            <w:r w:rsidR="00B373DA">
                              <w:rPr>
                                <w:rFonts w:cs="Arial"/>
                                <w:i/>
                                <w:iCs/>
                                <w:color w:val="000000" w:themeColor="text1"/>
                                <w:kern w:val="24"/>
                                <w:sz w:val="20"/>
                                <w:szCs w:val="20"/>
                                <w:u w:val="single"/>
                              </w:rPr>
                              <w:t xml:space="preserve">en </w:t>
                            </w:r>
                            <w:r>
                              <w:rPr>
                                <w:rFonts w:cs="Arial"/>
                                <w:i/>
                                <w:iCs/>
                                <w:color w:val="000000" w:themeColor="text1"/>
                                <w:kern w:val="24"/>
                                <w:sz w:val="20"/>
                                <w:szCs w:val="20"/>
                                <w:u w:val="single"/>
                              </w:rPr>
                              <w:t>k</w:t>
                            </w:r>
                            <w:r w:rsidR="00B373DA">
                              <w:rPr>
                                <w:rFonts w:cs="Arial"/>
                                <w:i/>
                                <w:iCs/>
                                <w:color w:val="000000" w:themeColor="text1"/>
                                <w:kern w:val="24"/>
                                <w:sz w:val="20"/>
                                <w:szCs w:val="20"/>
                                <w:u w:val="single"/>
                              </w:rPr>
                              <w:t>T</w:t>
                            </w:r>
                          </w:p>
                          <w:p w14:paraId="0750DCE9" w14:textId="77777777" w:rsidR="00741BFF" w:rsidRPr="00713036" w:rsidRDefault="00741BFF" w:rsidP="004A6317">
                            <w:pPr>
                              <w:rPr>
                                <w:sz w:val="20"/>
                                <w:szCs w:val="20"/>
                              </w:rPr>
                            </w:pPr>
                            <w:r w:rsidRPr="00713036">
                              <w:rPr>
                                <w:rFonts w:cs="Arial"/>
                                <w:color w:val="000000" w:themeColor="text1"/>
                                <w:kern w:val="24"/>
                                <w:sz w:val="20"/>
                                <w:szCs w:val="20"/>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2E9D9BC" id="_x0000_s1079" type="#_x0000_t202" style="position:absolute;left:0;text-align:left;margin-left:.25pt;margin-top:367.35pt;width:149.6pt;height:19.6pt;z-index:251746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YnFmwEAABoDAAAOAAAAZHJzL2Uyb0RvYy54bWysUk2P0zAQvSPxHyzfaZLugmjUdAWslgsC&#10;pN29cHOdcWMp9hiP26T/nrHbbRHcEBd/zIzfzHvP67vZjeIAkSz6TjaLWgrwGnvrd518fnp4814K&#10;Ssr3akQPnTwCybvN61frKbSwxAHHHqJgEE/tFDo5pBTaqiI9gFO0wACekwajU4mvcVf1UU2M7sZq&#10;WdfvqgljHyJqIOLo/SkpNwXfGNDpmzEESYyd5NlSWWNZt3mtNmvV7qIKg9XnMdQ/TOGU9dz0AnWv&#10;khL7aP+CclZHJDRpodFVaIzVUDgwm6b+g83joAIULiwOhYtM9P9g9dfD9yhs38mbm0YKrxyb9IOt&#10;eoI5gWiKQlOglgsfA5em+SPO7HRWLseJg5n4bKLLO1MSnGetjxd9GUro/GhV1/XbpRSac8vbVXOC&#10;r66vQ6T0GdCJfOhkZP+KrOrwhRJ35NKXktzM44Mdxxy/jpJPad7OhdTt6mXOLfZHHn9iqztJP/cq&#10;ghQxjZ+w/IwT2od9QmNLowxzenNGZwNK//NnyQ7/fi9V1y+9+QUAAP//AwBQSwMEFAAGAAgAAAAh&#10;ACEgHvndAAAACAEAAA8AAABkcnMvZG93bnJldi54bWxMj81OwzAQhO9IvIO1SNyo3T9C0jgVAnEF&#10;tdBK3Nx4m0TE6yh2m/D23Z7gtrszmv0mX4+uFWfsQ+NJw3SiQCCV3jZUafj6fHt4AhGiIWtaT6jh&#10;FwOsi9ub3GTWD7TB8zZWgkMoZEZDHWOXSRnKGp0JE98hsXb0vTOR176StjcDh7tWzpR6lM40xB9q&#10;0+FLjeXP9uQ07N6P3/uF+qhe3bIb/KgkuVRqfX83Pq9ARBzjnxmu+IwOBTMd/IlsEK2GJfs0JPNF&#10;AoLlWZrycOBLMk9BFrn8X6C4AAAA//8DAFBLAQItABQABgAIAAAAIQC2gziS/gAAAOEBAAATAAAA&#10;AAAAAAAAAAAAAAAAAABbQ29udGVudF9UeXBlc10ueG1sUEsBAi0AFAAGAAgAAAAhADj9If/WAAAA&#10;lAEAAAsAAAAAAAAAAAAAAAAALwEAAF9yZWxzLy5yZWxzUEsBAi0AFAAGAAgAAAAhAIvVicWbAQAA&#10;GgMAAA4AAAAAAAAAAAAAAAAALgIAAGRycy9lMm9Eb2MueG1sUEsBAi0AFAAGAAgAAAAhACEgHvnd&#10;AAAACAEAAA8AAAAAAAAAAAAAAAAA9QMAAGRycy9kb3ducmV2LnhtbFBLBQYAAAAABAAEAPMAAAD/&#10;BAAAAAA=&#10;" filled="f" stroked="f">
                <v:textbox>
                  <w:txbxContent>
                    <w:p w14:paraId="0A089BE2" w14:textId="751993A5" w:rsidR="00741BFF" w:rsidRPr="00713036" w:rsidRDefault="00741BFF" w:rsidP="004A6317">
                      <w:pPr>
                        <w:rPr>
                          <w:sz w:val="20"/>
                          <w:szCs w:val="20"/>
                        </w:rPr>
                      </w:pPr>
                      <w:r w:rsidRPr="004A6317">
                        <w:rPr>
                          <w:rFonts w:cs="Arial"/>
                          <w:i/>
                          <w:iCs/>
                          <w:color w:val="000000" w:themeColor="text1"/>
                          <w:kern w:val="24"/>
                          <w:sz w:val="20"/>
                          <w:szCs w:val="20"/>
                          <w:u w:val="single"/>
                        </w:rPr>
                        <w:t xml:space="preserve">Données exprimées </w:t>
                      </w:r>
                      <w:r w:rsidR="00B373DA">
                        <w:rPr>
                          <w:rFonts w:cs="Arial"/>
                          <w:i/>
                          <w:iCs/>
                          <w:color w:val="000000" w:themeColor="text1"/>
                          <w:kern w:val="24"/>
                          <w:sz w:val="20"/>
                          <w:szCs w:val="20"/>
                          <w:u w:val="single"/>
                        </w:rPr>
                        <w:t xml:space="preserve">en </w:t>
                      </w:r>
                      <w:r>
                        <w:rPr>
                          <w:rFonts w:cs="Arial"/>
                          <w:i/>
                          <w:iCs/>
                          <w:color w:val="000000" w:themeColor="text1"/>
                          <w:kern w:val="24"/>
                          <w:sz w:val="20"/>
                          <w:szCs w:val="20"/>
                          <w:u w:val="single"/>
                        </w:rPr>
                        <w:t>k</w:t>
                      </w:r>
                      <w:r w:rsidR="00B373DA">
                        <w:rPr>
                          <w:rFonts w:cs="Arial"/>
                          <w:i/>
                          <w:iCs/>
                          <w:color w:val="000000" w:themeColor="text1"/>
                          <w:kern w:val="24"/>
                          <w:sz w:val="20"/>
                          <w:szCs w:val="20"/>
                          <w:u w:val="single"/>
                        </w:rPr>
                        <w:t>T</w:t>
                      </w:r>
                    </w:p>
                    <w:p w14:paraId="0750DCE9" w14:textId="77777777" w:rsidR="00741BFF" w:rsidRPr="00713036" w:rsidRDefault="00741BFF" w:rsidP="004A6317">
                      <w:pPr>
                        <w:rPr>
                          <w:sz w:val="20"/>
                          <w:szCs w:val="20"/>
                        </w:rPr>
                      </w:pPr>
                      <w:r w:rsidRPr="00713036">
                        <w:rPr>
                          <w:rFonts w:cs="Arial"/>
                          <w:color w:val="000000" w:themeColor="text1"/>
                          <w:kern w:val="24"/>
                          <w:sz w:val="20"/>
                          <w:szCs w:val="20"/>
                        </w:rPr>
                        <w:t xml:space="preserve"> </w:t>
                      </w:r>
                    </w:p>
                  </w:txbxContent>
                </v:textbox>
              </v:shape>
            </w:pict>
          </mc:Fallback>
        </mc:AlternateContent>
      </w:r>
      <w:r w:rsidR="004A6317">
        <w:rPr>
          <w:noProof/>
        </w:rPr>
        <mc:AlternateContent>
          <mc:Choice Requires="wps">
            <w:drawing>
              <wp:anchor distT="0" distB="0" distL="114300" distR="114300" simplePos="0" relativeHeight="251743289" behindDoc="0" locked="0" layoutInCell="1" allowOverlap="1" wp14:anchorId="469A49A7" wp14:editId="3B151A33">
                <wp:simplePos x="0" y="0"/>
                <wp:positionH relativeFrom="column">
                  <wp:posOffset>6553366</wp:posOffset>
                </wp:positionH>
                <wp:positionV relativeFrom="paragraph">
                  <wp:posOffset>13970</wp:posOffset>
                </wp:positionV>
                <wp:extent cx="13307" cy="5665304"/>
                <wp:effectExtent l="0" t="0" r="25400" b="31115"/>
                <wp:wrapNone/>
                <wp:docPr id="321" name="Connecteur droit 15"/>
                <wp:cNvGraphicFramePr/>
                <a:graphic xmlns:a="http://schemas.openxmlformats.org/drawingml/2006/main">
                  <a:graphicData uri="http://schemas.microsoft.com/office/word/2010/wordprocessingShape">
                    <wps:wsp>
                      <wps:cNvCnPr/>
                      <wps:spPr>
                        <a:xfrm flipH="1">
                          <a:off x="0" y="0"/>
                          <a:ext cx="13307" cy="5665304"/>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9308EF" id="Connecteur droit 15" o:spid="_x0000_s1026" style="position:absolute;flip:x;z-index:251743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6pt,1.1pt" to="517.05pt,44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s6OPQIAAN8EAAAOAAAAZHJzL2Uyb0RvYy54bWysVEmO2zAQvAfIHwjeM5LsyEkEy3OwM8kh&#10;i5HlATQXiQA3kPT2+zRJWZPlkglyIbh0laqru7W+v2iFTtwHaU2Pm7saI26oZdIMPf7+7eHFa4xC&#10;JIYRZQ3v8ZUHfL95/mx9dh1f2NEqxj0CEhO6s+vxGKPrqirQkWsS7qzjBh6F9ZpEOPqhYp6cgV2r&#10;alHXq+psPXPeUh4C3O7KI95kfiE4jZ+FCDwi1WPQFvPq83pIa7VZk27wxI2STjLIP6jQRBr46Ey1&#10;I5Ggo5d/UGlJvQ1WxDtqdWWFkJTnHCCbpv4tm68jcTznAuYEN9sU/h8t/XTaeyRZj5eLBiNDNBRp&#10;a40B5/jRI+atjKhpk1FnFzqI35q9n07B7X3K+iK8RkJJ9x56IPsAmaFLtvk628wvEVG4bJbL+hVG&#10;FF7a1apd1i8Te1VoEp3zIb7jVqO06bGSJrlAOnL6EGIJvYWka2XQucdv2kULpASaSCgSYasdpBXM&#10;gBFRA3QnjT7TBKske5BKJXDuNL5VHp0I9MhhKPrVUX+0rNyt2rrOnQIS5/As+BemJGlHwlhADHal&#10;u7w9GgaqSTdywt4ahuLVgcsGBgIn5ZozjBQHhWmXIyOR6m8iQZEyICWVphQj7+JV8eLMFy6gurkS&#10;JVs/HFKyZQRgRmEoboOQyQCQAgXY80TsBElonifvifgZlL9vTZzxWho7lS79Fx6rFS/N1DqixN+s&#10;KAYkLw6WXXO/Zo9ginLhpolPY/rzOcMf/0ubHwAAAP//AwBQSwMEFAAGAAgAAAAhAMMw/0jgAAAA&#10;CwEAAA8AAABkcnMvZG93bnJldi54bWxMj8FOwzAQRO9I/IO1SFxQazeNaAlxKkDqCZAgRZydeEmi&#10;2usodlvD1+Oe4Dia0cybchOtYUec/OBIwmIugCG1Tg/USfjYbWdrYD4o0so4Qgnf6GFTXV6UqtDu&#10;RO94rEPHUgn5QknoQxgLzn3bo1V+7kak5H25yaqQ5NRxPalTKreGZ0LccqsGSgu9GvGpx3ZfH6wE&#10;o6l2nyu93b3FuL/5eXltnh+1lNdX8eEeWMAY/sJwxk/oUCWmxh1Ie2aSFsssnQkSsgzYOSCW+QJY&#10;I2F9l+fAq5L//1D9AgAA//8DAFBLAQItABQABgAIAAAAIQC2gziS/gAAAOEBAAATAAAAAAAAAAAA&#10;AAAAAAAAAABbQ29udGVudF9UeXBlc10ueG1sUEsBAi0AFAAGAAgAAAAhADj9If/WAAAAlAEAAAsA&#10;AAAAAAAAAAAAAAAALwEAAF9yZWxzLy5yZWxzUEsBAi0AFAAGAAgAAAAhAASmzo49AgAA3wQAAA4A&#10;AAAAAAAAAAAAAAAALgIAAGRycy9lMm9Eb2MueG1sUEsBAi0AFAAGAAgAAAAhAMMw/0jgAAAACwEA&#10;AA8AAAAAAAAAAAAAAAAAlwQAAGRycy9kb3ducmV2LnhtbFBLBQYAAAAABAAEAPMAAACkBQAAAAA=&#10;" strokecolor="#a5a5a5 [2092]">
                <v:stroke dashstyle="dash"/>
              </v:line>
            </w:pict>
          </mc:Fallback>
        </mc:AlternateContent>
      </w:r>
      <w:r w:rsidR="004A6317">
        <w:rPr>
          <w:noProof/>
        </w:rPr>
        <mc:AlternateContent>
          <mc:Choice Requires="wps">
            <w:drawing>
              <wp:anchor distT="0" distB="0" distL="114300" distR="114300" simplePos="0" relativeHeight="251727929" behindDoc="0" locked="0" layoutInCell="1" allowOverlap="1" wp14:anchorId="5BA5B5CC" wp14:editId="7188278B">
                <wp:simplePos x="0" y="0"/>
                <wp:positionH relativeFrom="column">
                  <wp:posOffset>3783717</wp:posOffset>
                </wp:positionH>
                <wp:positionV relativeFrom="paragraph">
                  <wp:posOffset>-55604</wp:posOffset>
                </wp:positionV>
                <wp:extent cx="0" cy="5801829"/>
                <wp:effectExtent l="0" t="0" r="38100" b="27940"/>
                <wp:wrapNone/>
                <wp:docPr id="95" name="Connecteur droit 15"/>
                <wp:cNvGraphicFramePr/>
                <a:graphic xmlns:a="http://schemas.openxmlformats.org/drawingml/2006/main">
                  <a:graphicData uri="http://schemas.microsoft.com/office/word/2010/wordprocessingShape">
                    <wps:wsp>
                      <wps:cNvCnPr/>
                      <wps:spPr>
                        <a:xfrm>
                          <a:off x="0" y="0"/>
                          <a:ext cx="0" cy="5801829"/>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749217C4" id="Connecteur droit 15" o:spid="_x0000_s1026" style="position:absolute;z-index:25172792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97.95pt,-4.4pt" to="297.95pt,45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lITLgIAANAEAAAOAAAAZHJzL2Uyb0RvYy54bWysVMmO2zAMvRfoPwi6N7YDZJAx4swh6fTS&#10;JWinH6BosQVog6TEyd+Xkhyny6VT9CJTNB/9+Eh683TRCp25D9KaDjeLGiNuqGXS9B3+/vL8bo1R&#10;iMQwoqzhHb7ygJ+2b99sRtfypR2sYtwjSGJCO7oODzG6tqoCHbgmYWEdN/BSWK9JhKvvK+bJCNm1&#10;qpZ1/VCN1jPnLeUhgHdfXuJtzi8Ep/GLEIFHpDoM3GI+fT6P6ay2G9L2nrhB0okG+QcWmkgDH51T&#10;7Ukk6OTlH6m0pN4GK+KCWl1ZISTluQaopql/q+bbQBzPtYA4wc0yhf+Xln4+HzySrMOPK4wM0dCj&#10;nTUGhOMnj5i3MqJmlXQaXWghfGcOfroFd/Cp6IvwOj2hHHTJ2l5nbfklIlqcFLyrdd2sl48pX3UH&#10;Oh/iB241SkaHlTSpbNKS88cQS+gtJLmVQWMivATKlMDUCEUimNpBHcH0GBHVwzjS6HOaYJVkz1Kp&#10;BM6jxXfKozOBoTj2TY5RJ/3JsuJ7WNV1Hg2gOIdnwr9kSpT2JAwFxMAq4+TtyTBgTdqBE/beMBSv&#10;DnQ1sAE4MdecYaQ4MExWjoxEqr+JBEbKAJXUjCJ/tuJV8aLMVy6gnVnwUq3vj6nYMvOwlLAFt8nP&#10;yQCQAgXI80rsBElonlftlfgZlL9vTZzxWho7tS79CO7dipdmGh1R4m9SFAGSFkfLrnlCs0awNrlx&#10;04qnvfz5nuH3H9H2BwAAAP//AwBQSwMEFAAGAAgAAAAhAMOeSGDeAAAACgEAAA8AAABkcnMvZG93&#10;bnJldi54bWxMj8tOwzAQRfdI/IM1SOxah0cfSeNUiKq7ShWF7ifxNI6I7Sh2k/D3DGIBy5k5unNu&#10;vp1sKwbqQ+Odgod5AoJc5XXjagUf7/vZGkSI6DS23pGCLwqwLW5vcsy0H90bDadYCw5xIUMFJsYu&#10;kzJUhiyGue/I8e3ie4uRx76WuseRw20rH5NkKS02jj8Y7OjVUPV5uloFyXG13OHxcKbDuDOXZl8+&#10;rYZSqfu76WUDItIU/2D40Wd1KNip9Feng2gVLNJFyqiC2ZorMPC7KBWkyXMKssjl/wrFNwAAAP//&#10;AwBQSwECLQAUAAYACAAAACEAtoM4kv4AAADhAQAAEwAAAAAAAAAAAAAAAAAAAAAAW0NvbnRlbnRf&#10;VHlwZXNdLnhtbFBLAQItABQABgAIAAAAIQA4/SH/1gAAAJQBAAALAAAAAAAAAAAAAAAAAC8BAABf&#10;cmVscy8ucmVsc1BLAQItABQABgAIAAAAIQC0slITLgIAANAEAAAOAAAAAAAAAAAAAAAAAC4CAABk&#10;cnMvZTJvRG9jLnhtbFBLAQItABQABgAIAAAAIQDDnkhg3gAAAAoBAAAPAAAAAAAAAAAAAAAAAIgE&#10;AABkcnMvZG93bnJldi54bWxQSwUGAAAAAAQABADzAAAAkwUAAAAA&#10;" strokecolor="#a5a5a5 [2092]">
                <v:stroke dashstyle="dash"/>
              </v:line>
            </w:pict>
          </mc:Fallback>
        </mc:AlternateContent>
      </w:r>
      <w:r w:rsidR="004A6317">
        <w:rPr>
          <w:noProof/>
        </w:rPr>
        <mc:AlternateContent>
          <mc:Choice Requires="wps">
            <w:drawing>
              <wp:anchor distT="0" distB="0" distL="114300" distR="114300" simplePos="0" relativeHeight="251764793" behindDoc="0" locked="0" layoutInCell="1" allowOverlap="1" wp14:anchorId="1CC767E5" wp14:editId="43C15D08">
                <wp:simplePos x="0" y="0"/>
                <wp:positionH relativeFrom="column">
                  <wp:posOffset>11282789</wp:posOffset>
                </wp:positionH>
                <wp:positionV relativeFrom="paragraph">
                  <wp:posOffset>5127625</wp:posOffset>
                </wp:positionV>
                <wp:extent cx="749935" cy="245745"/>
                <wp:effectExtent l="0" t="0" r="0" b="0"/>
                <wp:wrapNone/>
                <wp:docPr id="350" name="ZoneTexte 45"/>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76291532" w14:textId="77777777" w:rsidR="00741BFF" w:rsidRDefault="00741BFF" w:rsidP="004A6317">
                            <w:pPr>
                              <w:rPr>
                                <w:sz w:val="24"/>
                                <w:szCs w:val="24"/>
                              </w:rPr>
                            </w:pPr>
                            <w:r>
                              <w:rPr>
                                <w:rFonts w:cs="Arial"/>
                                <w:i/>
                                <w:iCs/>
                                <w:color w:val="000000" w:themeColor="text1"/>
                                <w:kern w:val="24"/>
                                <w:sz w:val="20"/>
                                <w:szCs w:val="20"/>
                              </w:rPr>
                              <w:t>Total  164</w:t>
                            </w:r>
                          </w:p>
                        </w:txbxContent>
                      </wps:txbx>
                      <wps:bodyPr wrap="none" rtlCol="0">
                        <a:spAutoFit/>
                      </wps:bodyPr>
                    </wps:wsp>
                  </a:graphicData>
                </a:graphic>
              </wp:anchor>
            </w:drawing>
          </mc:Choice>
          <mc:Fallback>
            <w:pict>
              <v:shape w14:anchorId="1CC767E5" id="ZoneTexte 45" o:spid="_x0000_s1080" type="#_x0000_t202" style="position:absolute;left:0;text-align:left;margin-left:888.4pt;margin-top:403.75pt;width:59.05pt;height:19.35pt;z-index:25176479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vtgmAEAABcDAAAOAAAAZHJzL2Uyb0RvYy54bWysUslOwzAQvSPxD5bvNKULS9S0YhFcECAV&#10;Ltxcx24sxR7LY5r07xm7pSC4IS5eZsZv3nvj2aK3LduogAZcxU8HQ86Uk1Abt67468vdyQVnGIWr&#10;RQtOVXyrkC/mx0ezzpdqBA20tQqMQByWna94E6MviwJlo6zAAXjlKKkhWBHpGtZFHURH6LYtRsPh&#10;WdFBqH0AqRApertL8nnG11rJ+KQ1qsjaihO3mNeQ11Vai/lMlOsgfGPknob4AwsrjKOmB6hbEQV7&#10;D+YXlDUyAIKOAwm2AK2NVFkDqTkd/lCzbIRXWQuZg/5gE/4frHzcPAdm6oqPp+SPE5aG9EajelF9&#10;VGwyTQ51HksqXHoqjf019DTpzzhSMAnvdbBpJ0mM8oS1PfhLUExS8HxyeTmeciYpNZpMz3foxddj&#10;HzDeK7AsHSoeaHzZVbF5wEhEqPSzJPVycGfaNsUTwx2TdIr9qs+aSNKe/grqLbHvaNIVd6SPsxDb&#10;G8jfImGhv3qPhJfbJJDdiz02uZ+7739KGu/3e676+s/zDwAAAP//AwBQSwMEFAAGAAgAAAAhANdo&#10;LSreAAAADQEAAA8AAABkcnMvZG93bnJldi54bWxMj8tOwzAQRfdI/IM1SOyo0yjNizgVKrAuFD7A&#10;jU0cEo+j2G0DX9/JCpZ35urMmWo724Gd9eQ7hwLWqwiYxsapDlsBnx+vDzkwHyQqOTjUAn60h219&#10;e1PJUrkLvuvzIbSMIOhLKcCEMJac+8ZoK/3KjRpp9+UmKwPFqeVqkheC24HHUZRyKzukC0aOemd0&#10;0x9OVkAe2X3fF/Gbt8nvemN2z+5l/Bbi/m5+egQW9Bz+yrDokzrU5HR0J1SeDZSzLCX3sNCyDbCl&#10;khdJAexIoySNgdcV//9FfQUAAP//AwBQSwECLQAUAAYACAAAACEAtoM4kv4AAADhAQAAEwAAAAAA&#10;AAAAAAAAAAAAAAAAW0NvbnRlbnRfVHlwZXNdLnhtbFBLAQItABQABgAIAAAAIQA4/SH/1gAAAJQB&#10;AAALAAAAAAAAAAAAAAAAAC8BAABfcmVscy8ucmVsc1BLAQItABQABgAIAAAAIQBbevtgmAEAABcD&#10;AAAOAAAAAAAAAAAAAAAAAC4CAABkcnMvZTJvRG9jLnhtbFBLAQItABQABgAIAAAAIQDXaC0q3gAA&#10;AA0BAAAPAAAAAAAAAAAAAAAAAPIDAABkcnMvZG93bnJldi54bWxQSwUGAAAAAAQABADzAAAA/QQA&#10;AAAA&#10;" filled="f" stroked="f">
                <v:textbox style="mso-fit-shape-to-text:t">
                  <w:txbxContent>
                    <w:p w14:paraId="76291532" w14:textId="77777777" w:rsidR="00741BFF" w:rsidRDefault="00741BFF" w:rsidP="004A6317">
                      <w:pPr>
                        <w:rPr>
                          <w:sz w:val="24"/>
                          <w:szCs w:val="24"/>
                        </w:rPr>
                      </w:pPr>
                      <w:r>
                        <w:rPr>
                          <w:rFonts w:cs="Arial"/>
                          <w:i/>
                          <w:iCs/>
                          <w:color w:val="000000" w:themeColor="text1"/>
                          <w:kern w:val="24"/>
                          <w:sz w:val="20"/>
                          <w:szCs w:val="20"/>
                        </w:rPr>
                        <w:t>Total  164</w:t>
                      </w:r>
                    </w:p>
                  </w:txbxContent>
                </v:textbox>
              </v:shape>
            </w:pict>
          </mc:Fallback>
        </mc:AlternateContent>
      </w:r>
      <w:r w:rsidR="004A6317">
        <w:rPr>
          <w:noProof/>
        </w:rPr>
        <mc:AlternateContent>
          <mc:Choice Requires="wps">
            <w:drawing>
              <wp:anchor distT="0" distB="0" distL="114300" distR="114300" simplePos="0" relativeHeight="251728953" behindDoc="0" locked="0" layoutInCell="1" allowOverlap="1" wp14:anchorId="0D0C617C" wp14:editId="2DB1C4FB">
                <wp:simplePos x="0" y="0"/>
                <wp:positionH relativeFrom="column">
                  <wp:posOffset>1295078</wp:posOffset>
                </wp:positionH>
                <wp:positionV relativeFrom="paragraph">
                  <wp:posOffset>-53975</wp:posOffset>
                </wp:positionV>
                <wp:extent cx="0" cy="5357495"/>
                <wp:effectExtent l="0" t="0" r="38100" b="33655"/>
                <wp:wrapNone/>
                <wp:docPr id="81" name="Connecteur droit 16"/>
                <wp:cNvGraphicFramePr/>
                <a:graphic xmlns:a="http://schemas.openxmlformats.org/drawingml/2006/main">
                  <a:graphicData uri="http://schemas.microsoft.com/office/word/2010/wordprocessingShape">
                    <wps:wsp>
                      <wps:cNvCnPr/>
                      <wps:spPr>
                        <a:xfrm>
                          <a:off x="0" y="0"/>
                          <a:ext cx="0" cy="535749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anchor>
            </w:drawing>
          </mc:Choice>
          <mc:Fallback>
            <w:pict>
              <v:line w14:anchorId="2F729631" id="Connecteur droit 16" o:spid="_x0000_s1026" style="position:absolute;z-index:251728953;visibility:visible;mso-wrap-style:square;mso-wrap-distance-left:9pt;mso-wrap-distance-top:0;mso-wrap-distance-right:9pt;mso-wrap-distance-bottom:0;mso-position-horizontal:absolute;mso-position-horizontal-relative:text;mso-position-vertical:absolute;mso-position-vertical-relative:text" from="101.95pt,-4.25pt" to="101.95pt,4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mdqMAIAANAEAAAOAAAAZHJzL2Uyb0RvYy54bWysVMmO2zAMvRfoPwi6N7bTZjpjxJlD0uml&#10;S9DlAxQttgBtkJQ4+ftSkuN0uXSKXmSK5qMfH0mvH89aoRP3QVrT4WZRY8QNtUyavsPfvz29usco&#10;RGIYUdbwDl94wI+bly/Wo2v50g5WMe4RJDGhHV2HhxhdW1WBDlyTsLCOG3gprNckwtX3FfNkhOxa&#10;Vcu6vqtG65nzlvIQwLsrL/Em5xeC0/hZiMAjUh0GbjGfPp+HdFabNWl7T9wg6USD/AMLTaSBj86p&#10;diQSdPTyj1RaUm+DFXFBra6sEJLyXANU09S/VfN1II7nWkCc4GaZwv9LSz+d9h5J1uH7BiNDNPRo&#10;a40B4fjRI+atjKi5SzqNLrQQvjV7P92C2/tU9Fl4nZ5QDjpnbS+ztvwcES1OCt7V69XbNw+rlK+6&#10;AZ0P8T23GiWjw0qaVDZpyelDiCX0GpLcyqCxww+r5QojSmBqhCIRTO2gjmB6jIjqYRxp9DlNsEqy&#10;J6lUAufR4lvl0YnAUBz6Jseoo/5oWfHdreo6jwZQnMMz4V8yJUo7EoYCYmCVcfL2aBiwJu3ACXtn&#10;GIoXB7oa2ACcmGvOMFIcGCYrR0Yi1d9EAiNlgEpqRpE/W/GieFHmCxfQzix4qdb3h1RsmXlYStiC&#10;6+TnZABIgQLkeSZ2giQ0z6v2TPwMyt+3Js54LY2dWpd+BLduxXMzjY4o8VcpigBJi4NllzyhWSNY&#10;m9y4acXTXv58z/Dbj2jzAwAA//8DAFBLAwQUAAYACAAAACEAAwaps90AAAAKAQAADwAAAGRycy9k&#10;b3ducmV2LnhtbEyPwU7DMAyG70i8Q2QkbltCq21dV3dCTLtNmhhwTxuvqWiSqsna8vYEcYCj7U+/&#10;v7/Yz6ZjIw2+dRbhaSmAka2dam2D8P52XGTAfJBWyc5ZQvgiD/vy/q6QuXKTfaXxEhoWQ6zPJYIO&#10;oc8597UmI/3S9WTj7eoGI0Mch4arQU4x3HQ8EWLNjWxt/KBlTy+a6s/LzSCI82Z9kOfTB52mg762&#10;xyrdjBXi48P8vAMWaA5/MPzoR3Uoo1PlblZ51iEkIt1GFGGRrYBF4HdRIWTpKgFeFvx/hfIbAAD/&#10;/wMAUEsBAi0AFAAGAAgAAAAhALaDOJL+AAAA4QEAABMAAAAAAAAAAAAAAAAAAAAAAFtDb250ZW50&#10;X1R5cGVzXS54bWxQSwECLQAUAAYACAAAACEAOP0h/9YAAACUAQAACwAAAAAAAAAAAAAAAAAvAQAA&#10;X3JlbHMvLnJlbHNQSwECLQAUAAYACAAAACEA8hJnajACAADQBAAADgAAAAAAAAAAAAAAAAAuAgAA&#10;ZHJzL2Uyb0RvYy54bWxQSwECLQAUAAYACAAAACEAAwaps90AAAAKAQAADwAAAAAAAAAAAAAAAACK&#10;BAAAZHJzL2Rvd25yZXYueG1sUEsFBgAAAAAEAAQA8wAAAJQFAAAAAA==&#10;" strokecolor="#a5a5a5 [2092]">
                <v:stroke dashstyle="dash"/>
              </v:line>
            </w:pict>
          </mc:Fallback>
        </mc:AlternateContent>
      </w:r>
      <w:r w:rsidR="004A6317">
        <w:rPr>
          <w:noProof/>
        </w:rPr>
        <mc:AlternateContent>
          <mc:Choice Requires="wps">
            <w:drawing>
              <wp:anchor distT="0" distB="0" distL="114300" distR="114300" simplePos="0" relativeHeight="251721785" behindDoc="0" locked="0" layoutInCell="1" allowOverlap="1" wp14:anchorId="6E418186" wp14:editId="01C077A3">
                <wp:simplePos x="0" y="0"/>
                <wp:positionH relativeFrom="column">
                  <wp:posOffset>9997440</wp:posOffset>
                </wp:positionH>
                <wp:positionV relativeFrom="paragraph">
                  <wp:posOffset>5382895</wp:posOffset>
                </wp:positionV>
                <wp:extent cx="656216" cy="365125"/>
                <wp:effectExtent l="0" t="0" r="0" b="0"/>
                <wp:wrapNone/>
                <wp:docPr id="324" name="Espace réservé du numéro de diapositive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656216" cy="365125"/>
                        </a:xfrm>
                        <a:prstGeom prst="rect">
                          <a:avLst/>
                        </a:prstGeom>
                      </wps:spPr>
                      <wps:txbx>
                        <w:txbxContent>
                          <w:p w14:paraId="088D6034" w14:textId="77777777" w:rsidR="00741BFF" w:rsidRDefault="00741BFF" w:rsidP="004A6317">
                            <w:pPr>
                              <w:jc w:val="right"/>
                              <w:rPr>
                                <w:sz w:val="24"/>
                                <w:szCs w:val="24"/>
                              </w:rPr>
                            </w:pPr>
                            <w:r>
                              <w:rPr>
                                <w:rFonts w:asciiTheme="minorHAnsi" w:hAnsi="Calibri"/>
                                <w:color w:val="DDE0E3"/>
                                <w:kern w:val="24"/>
                                <w:sz w:val="28"/>
                                <w:szCs w:val="28"/>
                              </w:rPr>
                              <w:t>6</w:t>
                            </w:r>
                          </w:p>
                        </w:txbxContent>
                      </wps:txbx>
                      <wps:bodyPr vert="horz" lIns="91440" tIns="45720" rIns="91440" bIns="45720" rtlCol="0" anchor="ctr"/>
                    </wps:wsp>
                  </a:graphicData>
                </a:graphic>
              </wp:anchor>
            </w:drawing>
          </mc:Choice>
          <mc:Fallback>
            <w:pict>
              <v:rect w14:anchorId="6E418186" id="_x0000_s1081" style="position:absolute;left:0;text-align:left;margin-left:787.2pt;margin-top:423.85pt;width:51.65pt;height:28.75pt;z-index:25172178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vkLzQEAAGwDAAAOAAAAZHJzL2Uyb0RvYy54bWysU8GO0zAQvSPxD5bvNE22LRA13QMLK6QV&#10;rLTwAa7jNBaxx5px25Q/6nfsjzF2u2UXboiLlfGM37x5b7K8Ht0gdgbJgm9kOZlKYbyG1vpNI79/&#10;+/TmnRQUlW/VAN408mBIXq9ev1ruQ20q6GFoDQoG8VTvQyP7GENdFKR74xRNIBjPyQ7QqcghbooW&#10;1Z7R3VBU0+mi2AO2AUEbIr69OSXlKuN3ndHxa9eRiWJoJHOL+cR8rtNZrJaq3qAKvdVnGuofWDhl&#10;PTe9QN2oqMQW7V9QzmoEgi5ONLgCus5qk2fgacrpH9M89CqYPAuLQ+EiE/0/WP1ld4/Cto28qmZS&#10;eOXYpI8UlDYCH49kcPd4FO1W+K17PCKI1ojWqgBko90ZMU8K7gPVDPQQ7jFpQOEO9A8SHm6RLS1T&#10;SfGiJgV0rh47dOkVayHGbMzhYowZo9B8uZgvqnIhhebU1WJeVrltoeqnxwEp3hpwIn00Etn3bIfa&#10;3VFM7VX9VHLmcmqfiMRxPWYF5plpulpDe2BZeK8ZrAf8KcXw2bPs78vZLK1RDmbztxUH+DyzfpGJ&#10;wwc4LZ7ymnEaqSNe5GBLM7Pz+qWdeR5nor9/ktUvAAAA//8DAFBLAwQUAAYACAAAACEALCnJYN4A&#10;AAANAQAADwAAAGRycy9kb3ducmV2LnhtbEyPy07DMBBF90j8gzVI7KidKm1KGqeCom7YUZDYTuNp&#10;HNWPKHbT8Pc4K9jN1RzdOVPtJmvYSEPovJOQLQQwco1XnWslfH0enjbAQkSn0HhHEn4owK6+v6uw&#10;VP7mPmg8xpalEhdKlKBj7EvOQ6PJYlj4nlzanf1gMaY4tFwNeEvl1vClEGtusXPpgsae9pqay/Fq&#10;JUyv38i90XRGbsX7eMjesr2R8vFhetkCizTFPxhm/aQOdXI6+atTgZmUV0WeJ1bCJi8KYDOyLubp&#10;JOFZrJbA64r//6L+BQAA//8DAFBLAQItABQABgAIAAAAIQC2gziS/gAAAOEBAAATAAAAAAAAAAAA&#10;AAAAAAAAAABbQ29udGVudF9UeXBlc10ueG1sUEsBAi0AFAAGAAgAAAAhADj9If/WAAAAlAEAAAsA&#10;AAAAAAAAAAAAAAAALwEAAF9yZWxzLy5yZWxzUEsBAi0AFAAGAAgAAAAhAEEu+QvNAQAAbAMAAA4A&#10;AAAAAAAAAAAAAAAALgIAAGRycy9lMm9Eb2MueG1sUEsBAi0AFAAGAAgAAAAhACwpyWDeAAAADQEA&#10;AA8AAAAAAAAAAAAAAAAAJwQAAGRycy9kb3ducmV2LnhtbFBLBQYAAAAABAAEAPMAAAAyBQAAAAA=&#10;" filled="f" stroked="f">
                <o:lock v:ext="edit" grouping="t"/>
                <v:textbox>
                  <w:txbxContent>
                    <w:p w14:paraId="088D6034" w14:textId="77777777" w:rsidR="00741BFF" w:rsidRDefault="00741BFF" w:rsidP="004A6317">
                      <w:pPr>
                        <w:jc w:val="right"/>
                        <w:rPr>
                          <w:sz w:val="24"/>
                          <w:szCs w:val="24"/>
                        </w:rPr>
                      </w:pPr>
                      <w:r>
                        <w:rPr>
                          <w:rFonts w:asciiTheme="minorHAnsi" w:hAnsi="Calibri"/>
                          <w:color w:val="DDE0E3"/>
                          <w:kern w:val="24"/>
                          <w:sz w:val="28"/>
                          <w:szCs w:val="28"/>
                        </w:rPr>
                        <w:t>6</w:t>
                      </w:r>
                    </w:p>
                  </w:txbxContent>
                </v:textbox>
              </v:rect>
            </w:pict>
          </mc:Fallback>
        </mc:AlternateContent>
      </w:r>
      <w:r w:rsidR="004A6317">
        <w:rPr>
          <w:noProof/>
        </w:rPr>
        <mc:AlternateContent>
          <mc:Choice Requires="wps">
            <w:drawing>
              <wp:anchor distT="0" distB="0" distL="114300" distR="114300" simplePos="0" relativeHeight="251736121" behindDoc="0" locked="0" layoutInCell="1" allowOverlap="1" wp14:anchorId="08836322" wp14:editId="4FBA559F">
                <wp:simplePos x="0" y="0"/>
                <wp:positionH relativeFrom="column">
                  <wp:posOffset>11105515</wp:posOffset>
                </wp:positionH>
                <wp:positionV relativeFrom="paragraph">
                  <wp:posOffset>4845050</wp:posOffset>
                </wp:positionV>
                <wp:extent cx="750526" cy="246221"/>
                <wp:effectExtent l="0" t="0" r="0" b="0"/>
                <wp:wrapNone/>
                <wp:docPr id="325" name="ZoneTexte 26"/>
                <wp:cNvGraphicFramePr/>
                <a:graphic xmlns:a="http://schemas.openxmlformats.org/drawingml/2006/main">
                  <a:graphicData uri="http://schemas.microsoft.com/office/word/2010/wordprocessingShape">
                    <wps:wsp>
                      <wps:cNvSpPr txBox="1"/>
                      <wps:spPr>
                        <a:xfrm>
                          <a:off x="0" y="0"/>
                          <a:ext cx="750526" cy="246221"/>
                        </a:xfrm>
                        <a:prstGeom prst="rect">
                          <a:avLst/>
                        </a:prstGeom>
                        <a:noFill/>
                      </wps:spPr>
                      <wps:txbx>
                        <w:txbxContent>
                          <w:p w14:paraId="341562D4" w14:textId="77777777" w:rsidR="00741BFF" w:rsidRDefault="00741BFF" w:rsidP="004A6317">
                            <w:pPr>
                              <w:rPr>
                                <w:sz w:val="24"/>
                                <w:szCs w:val="24"/>
                              </w:rPr>
                            </w:pPr>
                            <w:r>
                              <w:rPr>
                                <w:rFonts w:cs="Arial"/>
                                <w:i/>
                                <w:iCs/>
                                <w:color w:val="000000" w:themeColor="text1"/>
                                <w:kern w:val="24"/>
                                <w:sz w:val="20"/>
                                <w:szCs w:val="20"/>
                              </w:rPr>
                              <w:t xml:space="preserve">Total 419 </w:t>
                            </w:r>
                          </w:p>
                        </w:txbxContent>
                      </wps:txbx>
                      <wps:bodyPr wrap="none" rtlCol="0">
                        <a:spAutoFit/>
                      </wps:bodyPr>
                    </wps:wsp>
                  </a:graphicData>
                </a:graphic>
              </wp:anchor>
            </w:drawing>
          </mc:Choice>
          <mc:Fallback>
            <w:pict>
              <v:shape w14:anchorId="08836322" id="_x0000_s1082" type="#_x0000_t202" style="position:absolute;left:0;text-align:left;margin-left:874.45pt;margin-top:381.5pt;width:59.1pt;height:19.4pt;z-index:25173612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RZlmgEAABcDAAAOAAAAZHJzL2Uyb0RvYy54bWysUk2P2yAQvVfa/4C4b+y4Tbqy4kRto/RS&#10;bSsle+mNYIiRDIMYEjv/vgP52FX3VvXCx8zw5r03LFaj7dlJBTTgGj6dlJwpJ6E17tDwl93m8Ykz&#10;jMK1ogenGn5WyFfLhw+Lwdeqgg76VgVGIA7rwTe8i9HXRYGyU1bgBLxylNQQrIh0DYeiDWIgdNsX&#10;VVnOiwFC6wNIhUjR9SXJlxlfayXjT61RRdY3nLjFvIa87tNaLBeiPgThOyOvNMQ/sLDCOGp6h1qL&#10;KNgxmHdQ1sgACDpOJNgCtDZSZQ2kZlr+pWbbCa+yFjIH/d0m/H+w8vn0KzDTNvxjNePMCUtD+k2j&#10;2qkxKlbNk0ODx5oKt55K4/gVRpr0LY4UTMJHHWzaSRKjPHl9vvtLUExS8POsnBEik5SqPs2rKqMU&#10;r499wPhdgWXp0PBA48uuitMPjESESm8lqZeDjen7FE8ML0zSKY77MWuaVTeae2jPxH6gSTfckT7O&#10;Quy/Qf4WCQv9l2MkvNwmgVxeXLHJ/dz9+lPSeN/ec9Xrf17+AQAA//8DAFBLAwQUAAYACAAAACEA&#10;ur9Vo94AAAANAQAADwAAAGRycy9kb3ducmV2LnhtbEyPwU7DMBBE70j8g7VI3KiTUhI3jVOhAmeg&#10;8AFubOI08TqK3Tbw9WxOcBzNaOZNuZ1cz85mDK1HCekiAWaw9rrFRsLnx8udABaiQq16j0bCtwmw&#10;ra6vSlVof8F3c97HhlEJhkJJsDEOBeehtsapsPCDQfK+/OhUJDk2XI/qQuWu58skybhTLdKCVYPZ&#10;WVN3+5OTIBL32nXr5Vtwq5/0we6e/PNwlPL2ZnrcAItmin9hmPEJHSpiOvgT6sB60vlKrCkrIc/u&#10;6dUcEVmeAjvMA6kAXpX8/4vqFwAA//8DAFBLAQItABQABgAIAAAAIQC2gziS/gAAAOEBAAATAAAA&#10;AAAAAAAAAAAAAAAAAABbQ29udGVudF9UeXBlc10ueG1sUEsBAi0AFAAGAAgAAAAhADj9If/WAAAA&#10;lAEAAAsAAAAAAAAAAAAAAAAALwEAAF9yZWxzLy5yZWxzUEsBAi0AFAAGAAgAAAAhAFVRFmWaAQAA&#10;FwMAAA4AAAAAAAAAAAAAAAAALgIAAGRycy9lMm9Eb2MueG1sUEsBAi0AFAAGAAgAAAAhALq/VaPe&#10;AAAADQEAAA8AAAAAAAAAAAAAAAAA9AMAAGRycy9kb3ducmV2LnhtbFBLBQYAAAAABAAEAPMAAAD/&#10;BAAAAAA=&#10;" filled="f" stroked="f">
                <v:textbox style="mso-fit-shape-to-text:t">
                  <w:txbxContent>
                    <w:p w14:paraId="341562D4" w14:textId="77777777" w:rsidR="00741BFF" w:rsidRDefault="00741BFF" w:rsidP="004A6317">
                      <w:pPr>
                        <w:rPr>
                          <w:sz w:val="24"/>
                          <w:szCs w:val="24"/>
                        </w:rPr>
                      </w:pPr>
                      <w:r>
                        <w:rPr>
                          <w:rFonts w:cs="Arial"/>
                          <w:i/>
                          <w:iCs/>
                          <w:color w:val="000000" w:themeColor="text1"/>
                          <w:kern w:val="24"/>
                          <w:sz w:val="20"/>
                          <w:szCs w:val="20"/>
                        </w:rPr>
                        <w:t xml:space="preserve">Total 419 </w:t>
                      </w:r>
                    </w:p>
                  </w:txbxContent>
                </v:textbox>
              </v:shape>
            </w:pict>
          </mc:Fallback>
        </mc:AlternateContent>
      </w:r>
    </w:p>
    <w:p w14:paraId="1B6DF12D" w14:textId="256116EF" w:rsidR="004A6317" w:rsidRDefault="00B373DA" w:rsidP="004A6317">
      <w:pPr>
        <w:pStyle w:val="ValrieN1"/>
        <w:ind w:left="0"/>
      </w:pPr>
      <w:r>
        <w:rPr>
          <w:noProof/>
        </w:rPr>
        <mc:AlternateContent>
          <mc:Choice Requires="wps">
            <w:drawing>
              <wp:anchor distT="0" distB="0" distL="114300" distR="114300" simplePos="0" relativeHeight="251762745" behindDoc="0" locked="0" layoutInCell="1" allowOverlap="1" wp14:anchorId="5A1C47A8" wp14:editId="1EA30EB5">
                <wp:simplePos x="0" y="0"/>
                <wp:positionH relativeFrom="column">
                  <wp:posOffset>5922645</wp:posOffset>
                </wp:positionH>
                <wp:positionV relativeFrom="paragraph">
                  <wp:posOffset>6782</wp:posOffset>
                </wp:positionV>
                <wp:extent cx="715010" cy="245745"/>
                <wp:effectExtent l="0" t="0" r="0" b="0"/>
                <wp:wrapNone/>
                <wp:docPr id="348" name="ZoneTexte 43"/>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150E339F" w14:textId="6C751A3D" w:rsidR="00741BFF" w:rsidRPr="009A4E6A" w:rsidRDefault="00741BFF" w:rsidP="004A6317">
                            <w:pPr>
                              <w:rPr>
                                <w:sz w:val="18"/>
                                <w:szCs w:val="18"/>
                              </w:rPr>
                            </w:pPr>
                            <w:r w:rsidRPr="009A4E6A">
                              <w:rPr>
                                <w:rFonts w:cs="Arial"/>
                                <w:i/>
                                <w:iCs/>
                                <w:color w:val="000000" w:themeColor="text1"/>
                                <w:kern w:val="24"/>
                                <w:sz w:val="18"/>
                                <w:szCs w:val="18"/>
                              </w:rPr>
                              <w:t xml:space="preserve">Total </w:t>
                            </w:r>
                            <w:r>
                              <w:rPr>
                                <w:rFonts w:cs="Arial"/>
                                <w:i/>
                                <w:iCs/>
                                <w:color w:val="000000" w:themeColor="text1"/>
                                <w:kern w:val="24"/>
                                <w:sz w:val="18"/>
                                <w:szCs w:val="18"/>
                              </w:rPr>
                              <w:t>261</w:t>
                            </w:r>
                          </w:p>
                        </w:txbxContent>
                      </wps:txbx>
                      <wps:bodyPr wrap="none" rtlCol="0">
                        <a:spAutoFit/>
                      </wps:bodyPr>
                    </wps:wsp>
                  </a:graphicData>
                </a:graphic>
              </wp:anchor>
            </w:drawing>
          </mc:Choice>
          <mc:Fallback>
            <w:pict>
              <v:shape w14:anchorId="5A1C47A8" id="ZoneTexte 43" o:spid="_x0000_s1083" type="#_x0000_t202" style="position:absolute;left:0;text-align:left;margin-left:466.35pt;margin-top:.55pt;width:56.3pt;height:19.35pt;z-index:25176274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W4ulAEAABcDAAAOAAAAZHJzL2Uyb0RvYy54bWysUktPAyEQvpv4Hwh3u32q2XRrfEQvRk2q&#10;F2+UhS7JwhAGu9t/70Bra/RmvLDLzPDxPZhf9bZlGxXQgKv4aDDkTDkJtXHrir+93p9dcoZRuFq0&#10;4FTFtwr51eL0ZN75Uo2hgbZWgRGIw7LzFW9i9GVRoGyUFTgArxw1NQQrIm3DuqiD6AjdtsV4ODwv&#10;Ogi1DyAVIlXvdk2+yPhaKxmftUYVWVtx4hbzGvK6SmuxmItyHYRvjNzTEH9gYYVxdOkB6k5EwT6C&#10;+QVljQyAoONAgi1AayNV1kBqRsMfapaN8CprIXPQH2zC/4OVT5uXwExd8cmUonLCUkjvFNWr6qNi&#10;00lyqPNY0uDS02jsb6CnpL/qSMUkvNfBpi9JYtQnr7cHfwmKSSpejGYkkjNJrfF0djGdJZTieNgH&#10;jA8KLEs/FQ8UX3ZVbB4x7ka/RtJdDu5N26Z6Yrhjkv5iv+qzptmB/grqLbHvKOmKO9LHWYjtLeRn&#10;kbDQX39EwsvXJJDdiT02uZ+J7l9Kivf7Pk8d3/PiEwAA//8DAFBLAwQUAAYACAAAACEA7aMimtwA&#10;AAAJAQAADwAAAGRycy9kb3ducmV2LnhtbEyPQU7DMBBF90jcwRokdtRO0kKSxqlQgTVQOIAbT+OQ&#10;eBzFbhs4Pe4KlqP39f+bajPbgZ1w8p0jCclCAENqnO6olfD58XKXA/NBkVaDI5TwjR429fVVpUrt&#10;zvSOp11oWSwhXyoJJoSx5Nw3Bq3yCzciRXZwk1UhnlPL9aTOsdwOPBXinlvVUVwwasStwabfHa2E&#10;XNjXvi/SN2+XP8nKbJ/c8/gl5e3N/LgGFnAOf2G46Ed1qKPT3h1JezZIKLL0IUYjSIBduFiuMmB7&#10;CVmRA68r/v+D+hcAAP//AwBQSwECLQAUAAYACAAAACEAtoM4kv4AAADhAQAAEwAAAAAAAAAAAAAA&#10;AAAAAAAAW0NvbnRlbnRfVHlwZXNdLnhtbFBLAQItABQABgAIAAAAIQA4/SH/1gAAAJQBAAALAAAA&#10;AAAAAAAAAAAAAC8BAABfcmVscy8ucmVsc1BLAQItABQABgAIAAAAIQC7YW4ulAEAABcDAAAOAAAA&#10;AAAAAAAAAAAAAC4CAABkcnMvZTJvRG9jLnhtbFBLAQItABQABgAIAAAAIQDtoyKa3AAAAAkBAAAP&#10;AAAAAAAAAAAAAAAAAO4DAABkcnMvZG93bnJldi54bWxQSwUGAAAAAAQABADzAAAA9wQAAAAA&#10;" filled="f" stroked="f">
                <v:textbox style="mso-fit-shape-to-text:t">
                  <w:txbxContent>
                    <w:p w14:paraId="150E339F" w14:textId="6C751A3D" w:rsidR="00741BFF" w:rsidRPr="009A4E6A" w:rsidRDefault="00741BFF" w:rsidP="004A6317">
                      <w:pPr>
                        <w:rPr>
                          <w:sz w:val="18"/>
                          <w:szCs w:val="18"/>
                        </w:rPr>
                      </w:pPr>
                      <w:r w:rsidRPr="009A4E6A">
                        <w:rPr>
                          <w:rFonts w:cs="Arial"/>
                          <w:i/>
                          <w:iCs/>
                          <w:color w:val="000000" w:themeColor="text1"/>
                          <w:kern w:val="24"/>
                          <w:sz w:val="18"/>
                          <w:szCs w:val="18"/>
                        </w:rPr>
                        <w:t xml:space="preserve">Total </w:t>
                      </w:r>
                      <w:r>
                        <w:rPr>
                          <w:rFonts w:cs="Arial"/>
                          <w:i/>
                          <w:iCs/>
                          <w:color w:val="000000" w:themeColor="text1"/>
                          <w:kern w:val="24"/>
                          <w:sz w:val="18"/>
                          <w:szCs w:val="18"/>
                        </w:rPr>
                        <w:t>261</w:t>
                      </w:r>
                    </w:p>
                  </w:txbxContent>
                </v:textbox>
              </v:shape>
            </w:pict>
          </mc:Fallback>
        </mc:AlternateContent>
      </w:r>
      <w:r>
        <w:rPr>
          <w:noProof/>
        </w:rPr>
        <mc:AlternateContent>
          <mc:Choice Requires="wps">
            <w:drawing>
              <wp:anchor distT="0" distB="0" distL="114300" distR="114300" simplePos="0" relativeHeight="251763769" behindDoc="0" locked="0" layoutInCell="1" allowOverlap="1" wp14:anchorId="3A7C2BCD" wp14:editId="3E77217C">
                <wp:simplePos x="0" y="0"/>
                <wp:positionH relativeFrom="column">
                  <wp:posOffset>6522720</wp:posOffset>
                </wp:positionH>
                <wp:positionV relativeFrom="paragraph">
                  <wp:posOffset>10592</wp:posOffset>
                </wp:positionV>
                <wp:extent cx="749935" cy="245745"/>
                <wp:effectExtent l="0" t="0" r="0" b="0"/>
                <wp:wrapNone/>
                <wp:docPr id="349" name="ZoneTexte 44"/>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5CDF1B59" w14:textId="679BA518" w:rsidR="00741BFF" w:rsidRPr="00B373DA" w:rsidRDefault="00741BFF" w:rsidP="004A6317">
                            <w:pPr>
                              <w:rPr>
                                <w:sz w:val="18"/>
                                <w:szCs w:val="18"/>
                              </w:rPr>
                            </w:pPr>
                            <w:r w:rsidRPr="00B373DA">
                              <w:rPr>
                                <w:rFonts w:cs="Arial"/>
                                <w:i/>
                                <w:iCs/>
                                <w:color w:val="000000" w:themeColor="text1"/>
                                <w:kern w:val="24"/>
                                <w:sz w:val="18"/>
                                <w:szCs w:val="18"/>
                              </w:rPr>
                              <w:t>Total 261</w:t>
                            </w:r>
                          </w:p>
                        </w:txbxContent>
                      </wps:txbx>
                      <wps:bodyPr wrap="none" rtlCol="0">
                        <a:spAutoFit/>
                      </wps:bodyPr>
                    </wps:wsp>
                  </a:graphicData>
                </a:graphic>
              </wp:anchor>
            </w:drawing>
          </mc:Choice>
          <mc:Fallback>
            <w:pict>
              <v:shape w14:anchorId="3A7C2BCD" id="ZoneTexte 44" o:spid="_x0000_s1084" type="#_x0000_t202" style="position:absolute;left:0;text-align:left;margin-left:513.6pt;margin-top:.85pt;width:59.05pt;height:19.35pt;z-index:251763769;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JBlwEAABcDAAAOAAAAZHJzL2Uyb0RvYy54bWysUk1PAyEQvZv4Hwh3u7Vu1W66NX5EL0ZN&#10;1Is3ykKXZGEIg93tv3egtRq9GS8DzAyP994wvxhsx9YqoAFX8+PRmDPlJDTGrWr++nJ7dM4ZRuEa&#10;0YFTNd8o5BeLw4N57ys1gRa6RgVGIA6r3te8jdFXRYGyVVbgCLxyVNQQrIh0DKuiCaIndNsVk/H4&#10;tOghND6AVIiUvdkW+SLja61kfNQaVWRdzYlbzDHkuEyxWMxFtQrCt0buaIg/sLDCOHp0D3UjomDv&#10;wfyCskYGQNBxJMEWoLWRKmsgNcfjH2qeW+FV1kLmoN/bhP8HKx/WT4GZpuYn5YwzJywN6Y1G9aKG&#10;qFhZJod6jxU1PntqjcMVDDTpzzxSMgkfdLBpJUmM6uT1Zu8vQTFJybNyNjuZciapNCmnZ+U0oRRf&#10;l33AeKfAsrSpeaDxZVfF+h7jtvWzJb3l4NZ0XconhlsmaReH5ZA1Tff0l9BsiH1Pk665I32chdhd&#10;Q/4WCQv95XskvPxMAtne2GGT+5no7qek8X4/566v/7z4AAAA//8DAFBLAwQUAAYACAAAACEAtJFy&#10;vN0AAAAKAQAADwAAAGRycy9kb3ducmV2LnhtbEyPwU7DMAyG70i8Q2Qkbixp6dhWmk5owJkxeICs&#10;9ZrSxqmabCs8Pd4Jbv7lT78/F+vJ9eKEY2g9aUhmCgRS5euWGg2fH693SxAhGqpN7wk1fGOAdXl9&#10;VZi89md6x9MuNoJLKORGg41xyKUMlUVnwswPSLw7+NGZyHFsZD2aM5e7XqZKPUhnWuIL1gy4sVh1&#10;u6PTsFTuretW6Ta47CeZ282zfxm+tL69mZ4eQUSc4h8MF31Wh5Kd9v5IdRA9Z5UuUmZ5WoC4AEk2&#10;vwex15CpDGRZyP8vlL8AAAD//wMAUEsBAi0AFAAGAAgAAAAhALaDOJL+AAAA4QEAABMAAAAAAAAA&#10;AAAAAAAAAAAAAFtDb250ZW50X1R5cGVzXS54bWxQSwECLQAUAAYACAAAACEAOP0h/9YAAACUAQAA&#10;CwAAAAAAAAAAAAAAAAAvAQAAX3JlbHMvLnJlbHNQSwECLQAUAAYACAAAACEAX8fiQZcBAAAXAwAA&#10;DgAAAAAAAAAAAAAAAAAuAgAAZHJzL2Uyb0RvYy54bWxQSwECLQAUAAYACAAAACEAtJFyvN0AAAAK&#10;AQAADwAAAAAAAAAAAAAAAADxAwAAZHJzL2Rvd25yZXYueG1sUEsFBgAAAAAEAAQA8wAAAPsEAAAA&#10;AA==&#10;" filled="f" stroked="f">
                <v:textbox style="mso-fit-shape-to-text:t">
                  <w:txbxContent>
                    <w:p w14:paraId="5CDF1B59" w14:textId="679BA518" w:rsidR="00741BFF" w:rsidRPr="00B373DA" w:rsidRDefault="00741BFF" w:rsidP="004A6317">
                      <w:pPr>
                        <w:rPr>
                          <w:sz w:val="18"/>
                          <w:szCs w:val="18"/>
                        </w:rPr>
                      </w:pPr>
                      <w:r w:rsidRPr="00B373DA">
                        <w:rPr>
                          <w:rFonts w:cs="Arial"/>
                          <w:i/>
                          <w:iCs/>
                          <w:color w:val="000000" w:themeColor="text1"/>
                          <w:kern w:val="24"/>
                          <w:sz w:val="18"/>
                          <w:szCs w:val="18"/>
                        </w:rPr>
                        <w:t>Total 261</w:t>
                      </w:r>
                    </w:p>
                  </w:txbxContent>
                </v:textbox>
              </v:shape>
            </w:pict>
          </mc:Fallback>
        </mc:AlternateContent>
      </w:r>
      <w:r w:rsidR="000D17AE">
        <w:rPr>
          <w:noProof/>
        </w:rPr>
        <mc:AlternateContent>
          <mc:Choice Requires="wps">
            <w:drawing>
              <wp:anchor distT="0" distB="0" distL="114300" distR="114300" simplePos="0" relativeHeight="251755577" behindDoc="0" locked="0" layoutInCell="1" allowOverlap="1" wp14:anchorId="30244A11" wp14:editId="70130FC4">
                <wp:simplePos x="0" y="0"/>
                <wp:positionH relativeFrom="column">
                  <wp:posOffset>4259526</wp:posOffset>
                </wp:positionH>
                <wp:positionV relativeFrom="paragraph">
                  <wp:posOffset>181082</wp:posOffset>
                </wp:positionV>
                <wp:extent cx="2071991" cy="836579"/>
                <wp:effectExtent l="0" t="0" r="24130" b="20955"/>
                <wp:wrapNone/>
                <wp:docPr id="338" name="Rectangle : coins arrondis 28"/>
                <wp:cNvGraphicFramePr/>
                <a:graphic xmlns:a="http://schemas.openxmlformats.org/drawingml/2006/main">
                  <a:graphicData uri="http://schemas.microsoft.com/office/word/2010/wordprocessingShape">
                    <wps:wsp>
                      <wps:cNvSpPr/>
                      <wps:spPr>
                        <a:xfrm>
                          <a:off x="0" y="0"/>
                          <a:ext cx="2071991" cy="836579"/>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08E02C51"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Piéçage viande</w:t>
                            </w:r>
                          </w:p>
                          <w:p w14:paraId="1B10E569"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 xml:space="preserve">Et salage séchage, </w:t>
                            </w:r>
                          </w:p>
                          <w:p w14:paraId="723DB9A5"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 xml:space="preserve">saumurage, fumage </w:t>
                            </w:r>
                          </w:p>
                          <w:p w14:paraId="4507DA3D" w14:textId="77777777" w:rsidR="00741BFF" w:rsidRPr="0002537E" w:rsidRDefault="00741BFF" w:rsidP="004A6317">
                            <w:pPr>
                              <w:jc w:val="center"/>
                              <w:rPr>
                                <w:sz w:val="20"/>
                                <w:szCs w:val="20"/>
                              </w:rPr>
                            </w:pPr>
                            <w:r w:rsidRPr="0002537E">
                              <w:rPr>
                                <w:rFonts w:cs="Arial"/>
                                <w:color w:val="FFFFFF" w:themeColor="light1"/>
                                <w:kern w:val="24"/>
                                <w:sz w:val="20"/>
                                <w:szCs w:val="20"/>
                              </w:rPr>
                              <w:t>Cuisson, moulage, maturation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30244A11" id="_x0000_s1085" style="position:absolute;left:0;text-align:left;margin-left:335.4pt;margin-top:14.25pt;width:163.15pt;height:65.85pt;z-index:2517555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05tPgIAABUFAAAOAAAAZHJzL2Uyb0RvYy54bWysVFlu2zAQ/S/QOxD8r7UY3gTLQZEg/ekS&#10;JOkBaIq0CFAclaRt+TY9S0/WIbUkXZACQX+4DOe9mXkccnvVNZqchHUKTEmzWUqJMBwqZQ4l/fp4&#10;+25NifPMVEyDESW9CEevdm/fbM9tIXKoQVfCEiQxrji3Ja29b4skcbwWDXMzaIXBQwm2YR639pBU&#10;lp2RvdFJnqbL5Ay2ai1w4Rxab/pDuov8Ugruv0jphCe6pJibj6ON4z6MyW7LioNlba34kAZ7RRYN&#10;UwaDTlQ3zDNytOoPqkZxCw6kn3FoEpBScRFrwGqy9LdqHmrWilgLiuPaSSb3/2j559OdJaoq6XyO&#10;V2VYg5d0j7Ixc9Dix/eCcFDGEWYtmEo5kq+DZufWFQh9aO/ssHO4DAJ00jZhxtJIF3W+TDqLzhOO&#10;xjxdZZtNRgnHs/V8uVhtAmnyhG6t8x8ENCQsSmrhaKqQVdSYnT463/uPfiGiA62qW6V13IQGEtfa&#10;khPDq/ddFqH62HyCqrctF2k6NACasU1683w0YzqxDQNLTO6XANq8JuZqJGfF85j5aH4pJp6FoEnQ&#10;vlc7rvxFi5CKNvdC4k2ivn2tU/J9XYxzYXw2CB29A0yiYBNwHkV6ETj4B6iI72sC5/8GT4gYGYyf&#10;wI0yYP9GoKeUZe8/KtDXHSTw3b6LLbxYjL25h+qCfX3Gh11S9+3IrKDEen0N/T/ADK8BvwHu+6AG&#10;3h89SBXbKnD2BEMsfHuxAYZ/Ijzu5/vo9fSb7X4CAAD//wMAUEsDBBQABgAIAAAAIQBuFWqg4AAA&#10;AAoBAAAPAAAAZHJzL2Rvd25yZXYueG1sTI/BTsMwEETvSPyDtUjcqN2Ipm2IUxUkJG7Q0ANHN94m&#10;KfE6it008PUsJziu5mnmbb6ZXCdGHELrScN8pkAgVd62VGvYvz/frUCEaMiazhNq+MIAm+L6KjeZ&#10;9Rfa4VjGWnAJhcxoaGLsMylD1aAzYeZ7JM6OfnAm8jnU0g7mwuWuk4lSqXSmJV5oTI9PDVaf5dlp&#10;qF6mdP/9sWhtuz2pR3p9G+/LWuvbm2n7ACLiFP9g+NVndSjY6eDPZIPoNKRLxepRQ7JagGBgvV7O&#10;QRyYTFUCssjl/xeKHwAAAP//AwBQSwECLQAUAAYACAAAACEAtoM4kv4AAADhAQAAEwAAAAAAAAAA&#10;AAAAAAAAAAAAW0NvbnRlbnRfVHlwZXNdLnhtbFBLAQItABQABgAIAAAAIQA4/SH/1gAAAJQBAAAL&#10;AAAAAAAAAAAAAAAAAC8BAABfcmVscy8ucmVsc1BLAQItABQABgAIAAAAIQCUi05tPgIAABUFAAAO&#10;AAAAAAAAAAAAAAAAAC4CAABkcnMvZTJvRG9jLnhtbFBLAQItABQABgAIAAAAIQBuFWqg4AAAAAoB&#10;AAAPAAAAAAAAAAAAAAAAAJgEAABkcnMvZG93bnJldi54bWxQSwUGAAAAAAQABADzAAAApQUAAAAA&#10;" fillcolor="#5a5a5a [2109]" strokecolor="#404040 [2429]" strokeweight=".5pt">
                <v:stroke joinstyle="miter"/>
                <v:textbox>
                  <w:txbxContent>
                    <w:p w14:paraId="08E02C51"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Piéçage viande</w:t>
                      </w:r>
                    </w:p>
                    <w:p w14:paraId="1B10E569"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 xml:space="preserve">Et salage séchage, </w:t>
                      </w:r>
                    </w:p>
                    <w:p w14:paraId="723DB9A5" w14:textId="77777777" w:rsidR="00741BFF" w:rsidRPr="0002537E" w:rsidRDefault="00741BFF" w:rsidP="004A6317">
                      <w:pPr>
                        <w:spacing w:after="0"/>
                        <w:jc w:val="center"/>
                        <w:rPr>
                          <w:rFonts w:cs="Arial"/>
                          <w:color w:val="FFFFFF" w:themeColor="light1"/>
                          <w:kern w:val="24"/>
                          <w:sz w:val="20"/>
                          <w:szCs w:val="20"/>
                        </w:rPr>
                      </w:pPr>
                      <w:r w:rsidRPr="0002537E">
                        <w:rPr>
                          <w:rFonts w:cs="Arial"/>
                          <w:color w:val="FFFFFF" w:themeColor="light1"/>
                          <w:kern w:val="24"/>
                          <w:sz w:val="20"/>
                          <w:szCs w:val="20"/>
                        </w:rPr>
                        <w:t xml:space="preserve">saumurage, fumage </w:t>
                      </w:r>
                    </w:p>
                    <w:p w14:paraId="4507DA3D" w14:textId="77777777" w:rsidR="00741BFF" w:rsidRPr="0002537E" w:rsidRDefault="00741BFF" w:rsidP="004A6317">
                      <w:pPr>
                        <w:jc w:val="center"/>
                        <w:rPr>
                          <w:sz w:val="20"/>
                          <w:szCs w:val="20"/>
                        </w:rPr>
                      </w:pPr>
                      <w:r w:rsidRPr="0002537E">
                        <w:rPr>
                          <w:rFonts w:cs="Arial"/>
                          <w:color w:val="FFFFFF" w:themeColor="light1"/>
                          <w:kern w:val="24"/>
                          <w:sz w:val="20"/>
                          <w:szCs w:val="20"/>
                        </w:rPr>
                        <w:t>Cuisson, moulage, maturation</w:t>
                      </w:r>
                    </w:p>
                  </w:txbxContent>
                </v:textbox>
              </v:roundrect>
            </w:pict>
          </mc:Fallback>
        </mc:AlternateContent>
      </w:r>
      <w:r w:rsidR="000D17AE">
        <w:rPr>
          <w:noProof/>
        </w:rPr>
        <mc:AlternateContent>
          <mc:Choice Requires="wps">
            <w:drawing>
              <wp:anchor distT="0" distB="0" distL="114300" distR="114300" simplePos="0" relativeHeight="251748409" behindDoc="0" locked="0" layoutInCell="1" allowOverlap="1" wp14:anchorId="06904BA1" wp14:editId="181BCB08">
                <wp:simplePos x="0" y="0"/>
                <wp:positionH relativeFrom="column">
                  <wp:posOffset>1837339</wp:posOffset>
                </wp:positionH>
                <wp:positionV relativeFrom="paragraph">
                  <wp:posOffset>171355</wp:posOffset>
                </wp:positionV>
                <wp:extent cx="1261420" cy="602615"/>
                <wp:effectExtent l="0" t="0" r="15240" b="26035"/>
                <wp:wrapNone/>
                <wp:docPr id="339" name="Rectangle : coins arrondis 13"/>
                <wp:cNvGraphicFramePr/>
                <a:graphic xmlns:a="http://schemas.openxmlformats.org/drawingml/2006/main">
                  <a:graphicData uri="http://schemas.microsoft.com/office/word/2010/wordprocessingShape">
                    <wps:wsp>
                      <wps:cNvSpPr/>
                      <wps:spPr>
                        <a:xfrm>
                          <a:off x="0" y="0"/>
                          <a:ext cx="1261420" cy="60261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594C3432" w14:textId="77777777" w:rsidR="00741BFF" w:rsidRPr="0002537E" w:rsidRDefault="00741BFF" w:rsidP="004A6317">
                            <w:pPr>
                              <w:jc w:val="center"/>
                              <w:rPr>
                                <w:sz w:val="20"/>
                                <w:szCs w:val="20"/>
                              </w:rPr>
                            </w:pPr>
                            <w:r w:rsidRPr="0002537E">
                              <w:rPr>
                                <w:rFonts w:cs="Arial"/>
                                <w:color w:val="FFFFFF" w:themeColor="light1"/>
                                <w:kern w:val="24"/>
                                <w:sz w:val="20"/>
                                <w:szCs w:val="20"/>
                              </w:rPr>
                              <w:t xml:space="preserve">Découpe, Désossage, Découennage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06904BA1" id="_x0000_s1086" style="position:absolute;left:0;text-align:left;margin-left:144.65pt;margin-top:13.5pt;width:99.3pt;height:47.45pt;z-index:2517484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WYOwIAABUFAAAOAAAAZHJzL2Uyb0RvYy54bWysVNtuGyEQfa/Uf0C813tx7aYrr6MqUfrS&#10;S5S0H4BZsJGA2QL2rv+m39Iv68Bekl7USFFf2J1hzpmZw8DmsjeanITzCmxNi0VOibAcGmX3Nf36&#10;5ebVBSU+MNswDVbU9Cw8vdy+fLHp2kqUcADdCEeQxPqqa2t6CKGtsszzgzDML6AVFjclOMMCmm6f&#10;NY51yG50Vub5OuvANa0DLrxH7/WwSbeJX0rBw2cpvQhE1xRrC2l1ad3FNdtuWLV3rD0oPpbBnlGF&#10;Ycpi0pnqmgVGjk79QWUUd+BBhgUHk4GUiovUA3ZT5L91c39grUi9oDi+nWXy/4+WfzrdOqKami6X&#10;bymxzOAh3aFszO61+PG9IhyU9YQ5B7ZRnhTLqFnX+gqh9+2tGy2Pv1GAXjoTv9ga6ZPO51ln0QfC&#10;0VmU6+J1icfBcW+do7WKpNkDunU+vBdgSPypqYOjbWJVSWN2+uDDED/FxYwetGpulNbJiAMkrrQj&#10;J4ZHH/oiQfXRfIRm8K1XeT4OALpxTAb3cnJjOWkMI0sq7pcE2j4n55uJnFWPc5aT+185cS8mzaL2&#10;g9rpL5y1iKVoeycknmTUN/U6Fz/0xTgXNhSj0Ck6wiQKNgOXTwPH+AgV6X7N4PJp8IxImcGGGWyU&#10;Bfc3Aj2XLIf4SYGh7yhB6Hd9GuHVeprNHTRnnOsOL3ZN/bcjc4ISF/QVDO8As/wA+AzwMCS18O4Y&#10;QKo0VpFzIBhz4d1LAzC+E/FyP7ZT1MNrtv0JAAD//wMAUEsDBBQABgAIAAAAIQBDR6ib3wAAAAoB&#10;AAAPAAAAZHJzL2Rvd25yZXYueG1sTI/BTsMwDIbvSLxDZCRuLF0ZW1uaTgMJiRtQduCYNaYNNE7V&#10;ZF3h6TEnuNnyp9/fX25n14sJx2A9KVguEhBIjTeWWgX714erDESImozuPaGCLwywrc7PSl0Yf6IX&#10;nOrYCg6hUGgFXYxDIWVoOnQ6LPyAxLd3PzodeR1baUZ94nDXyzRJ1tJpS/yh0wPed9h81kenoHmc&#10;1/vvtxtr7O4juaOn52lVt0pdXsy7WxAR5/gHw68+q0PFTgd/JBNEryDN8mtGedhwJwZW2SYHcWAy&#10;XeYgq1L+r1D9AAAA//8DAFBLAQItABQABgAIAAAAIQC2gziS/gAAAOEBAAATAAAAAAAAAAAAAAAA&#10;AAAAAABbQ29udGVudF9UeXBlc10ueG1sUEsBAi0AFAAGAAgAAAAhADj9If/WAAAAlAEAAAsAAAAA&#10;AAAAAAAAAAAALwEAAF9yZWxzLy5yZWxzUEsBAi0AFAAGAAgAAAAhAD8VlZg7AgAAFQUAAA4AAAAA&#10;AAAAAAAAAAAALgIAAGRycy9lMm9Eb2MueG1sUEsBAi0AFAAGAAgAAAAhAENHqJvfAAAACgEAAA8A&#10;AAAAAAAAAAAAAAAAlQQAAGRycy9kb3ducmV2LnhtbFBLBQYAAAAABAAEAPMAAAChBQAAAAA=&#10;" fillcolor="#5a5a5a [2109]" strokecolor="#404040 [2429]" strokeweight=".5pt">
                <v:stroke joinstyle="miter"/>
                <v:textbox>
                  <w:txbxContent>
                    <w:p w14:paraId="594C3432" w14:textId="77777777" w:rsidR="00741BFF" w:rsidRPr="0002537E" w:rsidRDefault="00741BFF" w:rsidP="004A6317">
                      <w:pPr>
                        <w:jc w:val="center"/>
                        <w:rPr>
                          <w:sz w:val="20"/>
                          <w:szCs w:val="20"/>
                        </w:rPr>
                      </w:pPr>
                      <w:r w:rsidRPr="0002537E">
                        <w:rPr>
                          <w:rFonts w:cs="Arial"/>
                          <w:color w:val="FFFFFF" w:themeColor="light1"/>
                          <w:kern w:val="24"/>
                          <w:sz w:val="20"/>
                          <w:szCs w:val="20"/>
                        </w:rPr>
                        <w:t xml:space="preserve">Découpe, Désossage, Découennage </w:t>
                      </w:r>
                    </w:p>
                  </w:txbxContent>
                </v:textbox>
              </v:roundrect>
            </w:pict>
          </mc:Fallback>
        </mc:AlternateContent>
      </w:r>
      <w:r w:rsidR="009A4E6A">
        <w:rPr>
          <w:noProof/>
        </w:rPr>
        <mc:AlternateContent>
          <mc:Choice Requires="wps">
            <w:drawing>
              <wp:anchor distT="0" distB="0" distL="114300" distR="114300" simplePos="0" relativeHeight="251899961" behindDoc="0" locked="0" layoutInCell="1" allowOverlap="1" wp14:anchorId="7E1C104A" wp14:editId="6F774D64">
                <wp:simplePos x="0" y="0"/>
                <wp:positionH relativeFrom="column">
                  <wp:posOffset>8435110</wp:posOffset>
                </wp:positionH>
                <wp:positionV relativeFrom="paragraph">
                  <wp:posOffset>25373</wp:posOffset>
                </wp:positionV>
                <wp:extent cx="749935" cy="245745"/>
                <wp:effectExtent l="0" t="0" r="0" b="0"/>
                <wp:wrapNone/>
                <wp:docPr id="79" name="ZoneTexte 44"/>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57B247EA" w14:textId="3E19B94A" w:rsidR="00741BFF" w:rsidRPr="00B373DA" w:rsidRDefault="00741BFF" w:rsidP="009A4E6A">
                            <w:pPr>
                              <w:rPr>
                                <w:sz w:val="18"/>
                                <w:szCs w:val="18"/>
                              </w:rPr>
                            </w:pPr>
                            <w:r w:rsidRPr="00B373DA">
                              <w:rPr>
                                <w:rFonts w:cs="Arial"/>
                                <w:i/>
                                <w:iCs/>
                                <w:color w:val="000000" w:themeColor="text1"/>
                                <w:kern w:val="24"/>
                                <w:sz w:val="18"/>
                                <w:szCs w:val="18"/>
                              </w:rPr>
                              <w:t>Total 161</w:t>
                            </w:r>
                          </w:p>
                        </w:txbxContent>
                      </wps:txbx>
                      <wps:bodyPr wrap="none" rtlCol="0">
                        <a:spAutoFit/>
                      </wps:bodyPr>
                    </wps:wsp>
                  </a:graphicData>
                </a:graphic>
              </wp:anchor>
            </w:drawing>
          </mc:Choice>
          <mc:Fallback>
            <w:pict>
              <v:shape w14:anchorId="7E1C104A" id="_x0000_s1087" type="#_x0000_t202" style="position:absolute;left:0;text-align:left;margin-left:664.2pt;margin-top:2pt;width:59.05pt;height:19.35pt;z-index:25189996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KImgEAABYDAAAOAAAAZHJzL2Uyb0RvYy54bWysUk1v4yAQvVfa/4C4b5ymTtNYcaJuq/ay&#10;aiu1vfRGMMRIhkEMjZ1/vwP5Wu3eql4GmBke771hsRpsx7YqoAFX88vRmDPlJDTGbWr+/vbw84Yz&#10;jMI1ogOnar5TyFfLHxeL3ldqAi10jQqMQBxWva95G6OvigJlq6zAEXjlqKghWBHpGDZFE0RP6LYr&#10;JuPxddFDaHwAqRApe78v8mXG11rJ+Kw1qsi6mhO3mGPIcZ1isVyIahOEb4080BBfYGGFcfToCepe&#10;RME+g/kPyhoZAEHHkQRbgNZGqqyB1FyO/1Hz2gqvshYyB/3JJvw+WPm0fQnMNDWfzTlzwtKMPmhS&#10;b2qIipVlMqj3WFHfq6fOOPyCgQZ9zCMlk+5BB5tWUsSoTlbvTvYSFJOUnJXz+dWUM0mlSTmdldOE&#10;Upwv+4DxUYFlaVPzQNPLportb4z71mNLesvBg+m6lE8M90zSLg7rIUuazo4019DsiH1Pg665I32c&#10;hdjdQf4VCQv97WckvPxMAtnfOGCT+Zno4aOk6f59zl3n77z8AwAA//8DAFBLAwQUAAYACAAAACEA&#10;DTUZw90AAAAKAQAADwAAAGRycy9kb3ducmV2LnhtbEyPwU7DMBBE70j8g7VI3KjT4JY0xKlQgTOl&#10;9APcZIlD4nUUu23g69me4DizT7MzxXpyvTjhGFpPGuazBARS5euWGg37j9e7DESIhmrTe0IN3xhg&#10;XV5fFSav/Zne8bSLjeAQCrnRYGMccilDZdGZMPMDEt8+/ehMZDk2sh7NmcNdL9MkWUpnWuIP1gy4&#10;sVh1u6PTkCXuretW6TY49TNf2M2zfxm+tL69mZ4eQUSc4h8Ml/pcHUrudPBHqoPoWd+nmWJWg+JN&#10;F0Cp5QLEgY30AWRZyP8Tyl8AAAD//wMAUEsBAi0AFAAGAAgAAAAhALaDOJL+AAAA4QEAABMAAAAA&#10;AAAAAAAAAAAAAAAAAFtDb250ZW50X1R5cGVzXS54bWxQSwECLQAUAAYACAAAACEAOP0h/9YAAACU&#10;AQAACwAAAAAAAAAAAAAAAAAvAQAAX3JlbHMvLnJlbHNQSwECLQAUAAYACAAAACEAssPyiJoBAAAW&#10;AwAADgAAAAAAAAAAAAAAAAAuAgAAZHJzL2Uyb0RvYy54bWxQSwECLQAUAAYACAAAACEADTUZw90A&#10;AAAKAQAADwAAAAAAAAAAAAAAAAD0AwAAZHJzL2Rvd25yZXYueG1sUEsFBgAAAAAEAAQA8wAAAP4E&#10;AAAAAA==&#10;" filled="f" stroked="f">
                <v:textbox style="mso-fit-shape-to-text:t">
                  <w:txbxContent>
                    <w:p w14:paraId="57B247EA" w14:textId="3E19B94A" w:rsidR="00741BFF" w:rsidRPr="00B373DA" w:rsidRDefault="00741BFF" w:rsidP="009A4E6A">
                      <w:pPr>
                        <w:rPr>
                          <w:sz w:val="18"/>
                          <w:szCs w:val="18"/>
                        </w:rPr>
                      </w:pPr>
                      <w:r w:rsidRPr="00B373DA">
                        <w:rPr>
                          <w:rFonts w:cs="Arial"/>
                          <w:i/>
                          <w:iCs/>
                          <w:color w:val="000000" w:themeColor="text1"/>
                          <w:kern w:val="24"/>
                          <w:sz w:val="18"/>
                          <w:szCs w:val="18"/>
                        </w:rPr>
                        <w:t>Total 161</w:t>
                      </w:r>
                    </w:p>
                  </w:txbxContent>
                </v:textbox>
              </v:shape>
            </w:pict>
          </mc:Fallback>
        </mc:AlternateContent>
      </w:r>
      <w:r w:rsidR="009A4E6A">
        <w:rPr>
          <w:noProof/>
        </w:rPr>
        <mc:AlternateContent>
          <mc:Choice Requires="wps">
            <w:drawing>
              <wp:anchor distT="0" distB="0" distL="114300" distR="114300" simplePos="0" relativeHeight="251757625" behindDoc="0" locked="0" layoutInCell="1" allowOverlap="1" wp14:anchorId="003E32DD" wp14:editId="091DCBBD">
                <wp:simplePos x="0" y="0"/>
                <wp:positionH relativeFrom="margin">
                  <wp:posOffset>7000875</wp:posOffset>
                </wp:positionH>
                <wp:positionV relativeFrom="paragraph">
                  <wp:posOffset>193878</wp:posOffset>
                </wp:positionV>
                <wp:extent cx="1432560" cy="631825"/>
                <wp:effectExtent l="0" t="0" r="15240" b="15875"/>
                <wp:wrapNone/>
                <wp:docPr id="337" name="Rectangle : coins arrondis 9"/>
                <wp:cNvGraphicFramePr/>
                <a:graphic xmlns:a="http://schemas.openxmlformats.org/drawingml/2006/main">
                  <a:graphicData uri="http://schemas.microsoft.com/office/word/2010/wordprocessingShape">
                    <wps:wsp>
                      <wps:cNvSpPr/>
                      <wps:spPr>
                        <a:xfrm>
                          <a:off x="0" y="0"/>
                          <a:ext cx="1432560" cy="63182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271C6F22" w14:textId="5E95BE82" w:rsidR="00741BFF" w:rsidRPr="0002537E" w:rsidRDefault="00741BFF" w:rsidP="004A6317">
                            <w:pPr>
                              <w:jc w:val="center"/>
                              <w:rPr>
                                <w:sz w:val="20"/>
                                <w:szCs w:val="20"/>
                              </w:rPr>
                            </w:pPr>
                            <w:r w:rsidRPr="0002537E">
                              <w:rPr>
                                <w:rFonts w:cs="Arial"/>
                                <w:color w:val="FFFFFF" w:themeColor="light1"/>
                                <w:kern w:val="24"/>
                                <w:sz w:val="20"/>
                                <w:szCs w:val="20"/>
                              </w:rPr>
                              <w:t xml:space="preserve">Tranchage, Assemblage, Conditionnement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003E32DD" id="_x0000_s1088" style="position:absolute;left:0;text-align:left;margin-left:551.25pt;margin-top:15.25pt;width:112.8pt;height:49.75pt;z-index:25175762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FFrPAIAABQFAAAOAAAAZHJzL2Uyb0RvYy54bWysVEtu2zAQ3RfoHQjua/1qxxUsB0WCdNNP&#10;kKQHoCnSIkBxVJK25Nv0LD1Zh5SspB80QNANJQ7nvZl5M+Tmcmg1OQrrFJiKZouUEmE41MrsK/r1&#10;4ebNmhLnmamZBiMqehKOXm5fv9r0XSlyaEDXwhIkMa7su4o23ndlkjjeiJa5BXTC4KEE2zKPW7tP&#10;ast6ZG91kqfpKunB1p0FLpxD6/V4SLeRX0rB/RcpnfBEVxRz83G1cd2FNdluWLm3rGsUn9JgL8ii&#10;Zcpg0JnqmnlGDlb9QdUqbsGB9AsObQJSKi5iDVhNlv5WzX3DOhFrQXFcN8vk/h8t/3y8tUTVFS2K&#10;C0oMa7FJdygbM3stfnwvCQdlHGHWgqmVI++CZH3nSkTed7d22jn8DfUP0rbhi5WRIcp8mmUWgycc&#10;jdnbIl+usBscz1ZFts6XgTR5RHfW+Q8CWhJ+KmrhYOqQVJSYHT86P/qf/UJEB1rVN0rruAnzI660&#10;JUeGnfdDFqH60H6CerStlmk69R/NOCWjuTibMZ04hYElJvdLAG1eEvPiTM7KpzHzs/lfMfEsBE2C&#10;9qPa8c+ftAipaHMnJDYy6BtrnZMf62KcC+OzSejoHWASBZuBxfPAyT9ARbxeMzh/HjwjYmQwfga3&#10;yoD9G4GeU5aj/1mBse4ggR92Q5zg5fo8mzuoTzjWPd7rirpvB2YFJdbrKxifAWZ4A/gKcD8GNfD+&#10;4EGqOFaBcySYYuHViwMwPRPhbj/dR6/Hx2z7EwAA//8DAFBLAwQUAAYACAAAACEAnVjyLd8AAAAM&#10;AQAADwAAAGRycy9kb3ducmV2LnhtbEyPQU/DMAyF70j8h8hI3FjSjk1TaToNJCRuQNmBY9Z4bUfj&#10;VE3WFX497glO9tN7ev6cbyfXiRGH0HrSkCwUCKTK25ZqDfuP57sNiBANWdN5Qg3fGGBbXF/lJrP+&#10;Qu84lrEWXEIhMxqaGPtMylA16ExY+B6JvaMfnIksh1rawVy43HUyVWotnWmJLzSmx6cGq6/y7DRU&#10;L9N6//O5am27O6lHen0b78ta69ubafcAIuIU/8Iw4zM6FMx08GeyQXSsE5WuOKthqXjOiWW6SUAc&#10;5k0pkEUu/z9R/AIAAP//AwBQSwECLQAUAAYACAAAACEAtoM4kv4AAADhAQAAEwAAAAAAAAAAAAAA&#10;AAAAAAAAW0NvbnRlbnRfVHlwZXNdLnhtbFBLAQItABQABgAIAAAAIQA4/SH/1gAAAJQBAAALAAAA&#10;AAAAAAAAAAAAAC8BAABfcmVscy8ucmVsc1BLAQItABQABgAIAAAAIQB0nFFrPAIAABQFAAAOAAAA&#10;AAAAAAAAAAAAAC4CAABkcnMvZTJvRG9jLnhtbFBLAQItABQABgAIAAAAIQCdWPIt3wAAAAwBAAAP&#10;AAAAAAAAAAAAAAAAAJYEAABkcnMvZG93bnJldi54bWxQSwUGAAAAAAQABADzAAAAogUAAAAA&#10;" fillcolor="#5a5a5a [2109]" strokecolor="#404040 [2429]" strokeweight=".5pt">
                <v:stroke joinstyle="miter"/>
                <v:textbox>
                  <w:txbxContent>
                    <w:p w14:paraId="271C6F22" w14:textId="5E95BE82" w:rsidR="00741BFF" w:rsidRPr="0002537E" w:rsidRDefault="00741BFF" w:rsidP="004A6317">
                      <w:pPr>
                        <w:jc w:val="center"/>
                        <w:rPr>
                          <w:sz w:val="20"/>
                          <w:szCs w:val="20"/>
                        </w:rPr>
                      </w:pPr>
                      <w:r w:rsidRPr="0002537E">
                        <w:rPr>
                          <w:rFonts w:cs="Arial"/>
                          <w:color w:val="FFFFFF" w:themeColor="light1"/>
                          <w:kern w:val="24"/>
                          <w:sz w:val="20"/>
                          <w:szCs w:val="20"/>
                        </w:rPr>
                        <w:t xml:space="preserve">Tranchage, Assemblage, Conditionnement </w:t>
                      </w:r>
                    </w:p>
                  </w:txbxContent>
                </v:textbox>
                <w10:wrap anchorx="margin"/>
              </v:roundrect>
            </w:pict>
          </mc:Fallback>
        </mc:AlternateContent>
      </w:r>
      <w:r w:rsidR="00D868C7">
        <w:rPr>
          <w:noProof/>
        </w:rPr>
        <mc:AlternateContent>
          <mc:Choice Requires="wps">
            <w:drawing>
              <wp:anchor distT="0" distB="0" distL="114300" distR="114300" simplePos="0" relativeHeight="251761721" behindDoc="0" locked="0" layoutInCell="1" allowOverlap="1" wp14:anchorId="00D860F5" wp14:editId="3A710976">
                <wp:simplePos x="0" y="0"/>
                <wp:positionH relativeFrom="column">
                  <wp:posOffset>3751148</wp:posOffset>
                </wp:positionH>
                <wp:positionV relativeFrom="paragraph">
                  <wp:posOffset>27940</wp:posOffset>
                </wp:positionV>
                <wp:extent cx="715010" cy="243192"/>
                <wp:effectExtent l="0" t="0" r="0" b="0"/>
                <wp:wrapNone/>
                <wp:docPr id="347" name="ZoneTexte 42"/>
                <wp:cNvGraphicFramePr/>
                <a:graphic xmlns:a="http://schemas.openxmlformats.org/drawingml/2006/main">
                  <a:graphicData uri="http://schemas.microsoft.com/office/word/2010/wordprocessingShape">
                    <wps:wsp>
                      <wps:cNvSpPr txBox="1"/>
                      <wps:spPr>
                        <a:xfrm>
                          <a:off x="0" y="0"/>
                          <a:ext cx="715010" cy="243192"/>
                        </a:xfrm>
                        <a:prstGeom prst="rect">
                          <a:avLst/>
                        </a:prstGeom>
                        <a:noFill/>
                      </wps:spPr>
                      <wps:txbx>
                        <w:txbxContent>
                          <w:p w14:paraId="5D39FF91" w14:textId="534DC82B" w:rsidR="00741BFF" w:rsidRPr="009A4E6A" w:rsidRDefault="00741BFF" w:rsidP="004A6317">
                            <w:pPr>
                              <w:rPr>
                                <w:sz w:val="18"/>
                                <w:szCs w:val="18"/>
                              </w:rPr>
                            </w:pPr>
                            <w:r w:rsidRPr="009A4E6A">
                              <w:rPr>
                                <w:rFonts w:cs="Arial"/>
                                <w:i/>
                                <w:iCs/>
                                <w:color w:val="000000" w:themeColor="text1"/>
                                <w:kern w:val="24"/>
                                <w:sz w:val="18"/>
                                <w:szCs w:val="18"/>
                              </w:rPr>
                              <w:t>Total 293</w:t>
                            </w:r>
                          </w:p>
                        </w:txbxContent>
                      </wps:txbx>
                      <wps:bodyPr wrap="none" rtlCol="0">
                        <a:noAutofit/>
                      </wps:bodyPr>
                    </wps:wsp>
                  </a:graphicData>
                </a:graphic>
                <wp14:sizeRelV relativeFrom="margin">
                  <wp14:pctHeight>0</wp14:pctHeight>
                </wp14:sizeRelV>
              </wp:anchor>
            </w:drawing>
          </mc:Choice>
          <mc:Fallback>
            <w:pict>
              <v:shape w14:anchorId="00D860F5" id="ZoneTexte 42" o:spid="_x0000_s1089" type="#_x0000_t202" style="position:absolute;left:0;text-align:left;margin-left:295.35pt;margin-top:2.2pt;width:56.3pt;height:19.15pt;z-index:25176172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F2tlwEAABcDAAAOAAAAZHJzL2Uyb0RvYy54bWysUk1PAyEQvZv4Hwh3u/1Uu+m2UZt6MWrS&#10;evFGWeiSLAwB2t3+ewf6ZfRmvPAxM7x57w2TWatrshPOKzAF7XW6lAjDoVRmU9CP1eLmnhIfmClZ&#10;DUYUdC88nU2vryaNzUUfKqhL4QiCGJ83tqBVCDbPMs8roZnvgBUGkxKcZgGvbpOVjjWIruus3+3e&#10;Zg240jrgwnuMzg9JOk34Ugoe3qT0IpC6oMgtpNWldR3XbDph+cYxWyl+pMH+wEIzZbDpGWrOAiNb&#10;p35BacUdeJChw0FnIKXiImlANb3uDzXLilmRtKA53p5t8v8Hy193746osqCD4R0lhmkc0ieOaiXa&#10;IMiwHx1qrM+xcGmxNLSP0OKkT3GPwSi8lU7HHSURzKPX+7O/CEU4Bu96IxRJCcdUfzjojRN6dnls&#10;nQ/PAjSJh4I6HF9yle1efEAiWHoqib0MLFRdx3hkeGAST6Fdt0nTaHyiuYZyj+wbnHRBDeqjxIX6&#10;CdK3OGA9bANIldpEkMOLIza6n7off0oc7/d7qrr85+kXAAAA//8DAFBLAwQUAAYACAAAACEAnFpt&#10;/eAAAAAIAQAADwAAAGRycy9kb3ducmV2LnhtbEyPMU/DMBSEdyT+g/WQWFBrNykNhDgVAsHSqojC&#10;wOjEjyQQ25HtpoFfz2OC8XSnu++K9WR6NqIPnbMSFnMBDG3tdGcbCa8vD7MrYCEqq1XvLEr4wgDr&#10;8vSkULl2R/uM4z42jEpsyJWENsYh5zzULRoV5m5AS96780ZFkr7h2qsjlZueJ0KsuFGdpYVWDXjX&#10;Yv25PxgJ309+65Jk+7io3tJujPcXH7vNTsrzs+n2BljEKf6F4Ref0KEkpsodrA6sl3B5LTKKSlgu&#10;gZGfiTQFVpFOMuBlwf8fKH8AAAD//wMAUEsBAi0AFAAGAAgAAAAhALaDOJL+AAAA4QEAABMAAAAA&#10;AAAAAAAAAAAAAAAAAFtDb250ZW50X1R5cGVzXS54bWxQSwECLQAUAAYACAAAACEAOP0h/9YAAACU&#10;AQAACwAAAAAAAAAAAAAAAAAvAQAAX3JlbHMvLnJlbHNQSwECLQAUAAYACAAAACEAcOBdrZcBAAAX&#10;AwAADgAAAAAAAAAAAAAAAAAuAgAAZHJzL2Uyb0RvYy54bWxQSwECLQAUAAYACAAAACEAnFpt/eAA&#10;AAAIAQAADwAAAAAAAAAAAAAAAADxAwAAZHJzL2Rvd25yZXYueG1sUEsFBgAAAAAEAAQA8wAAAP4E&#10;AAAAAA==&#10;" filled="f" stroked="f">
                <v:textbox>
                  <w:txbxContent>
                    <w:p w14:paraId="5D39FF91" w14:textId="534DC82B" w:rsidR="00741BFF" w:rsidRPr="009A4E6A" w:rsidRDefault="00741BFF" w:rsidP="004A6317">
                      <w:pPr>
                        <w:rPr>
                          <w:sz w:val="18"/>
                          <w:szCs w:val="18"/>
                        </w:rPr>
                      </w:pPr>
                      <w:r w:rsidRPr="009A4E6A">
                        <w:rPr>
                          <w:rFonts w:cs="Arial"/>
                          <w:i/>
                          <w:iCs/>
                          <w:color w:val="000000" w:themeColor="text1"/>
                          <w:kern w:val="24"/>
                          <w:sz w:val="18"/>
                          <w:szCs w:val="18"/>
                        </w:rPr>
                        <w:t>Total 293</w:t>
                      </w:r>
                    </w:p>
                  </w:txbxContent>
                </v:textbox>
              </v:shape>
            </w:pict>
          </mc:Fallback>
        </mc:AlternateContent>
      </w:r>
      <w:r w:rsidR="004A6317">
        <w:rPr>
          <w:noProof/>
        </w:rPr>
        <mc:AlternateContent>
          <mc:Choice Requires="wps">
            <w:drawing>
              <wp:anchor distT="0" distB="0" distL="114300" distR="114300" simplePos="0" relativeHeight="251759673" behindDoc="0" locked="0" layoutInCell="1" allowOverlap="1" wp14:anchorId="4319FE47" wp14:editId="5255A86F">
                <wp:simplePos x="0" y="0"/>
                <wp:positionH relativeFrom="column">
                  <wp:posOffset>1239520</wp:posOffset>
                </wp:positionH>
                <wp:positionV relativeFrom="paragraph">
                  <wp:posOffset>15461</wp:posOffset>
                </wp:positionV>
                <wp:extent cx="715010" cy="245745"/>
                <wp:effectExtent l="0" t="0" r="0" b="0"/>
                <wp:wrapNone/>
                <wp:docPr id="345" name="ZoneTexte 39"/>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11B64C3C" w14:textId="61A90C1C" w:rsidR="00741BFF" w:rsidRPr="000C5EC0" w:rsidRDefault="00741BFF" w:rsidP="004A6317">
                            <w:pPr>
                              <w:rPr>
                                <w:sz w:val="18"/>
                                <w:szCs w:val="18"/>
                              </w:rPr>
                            </w:pPr>
                            <w:r w:rsidRPr="000C5EC0">
                              <w:rPr>
                                <w:rFonts w:cs="Arial"/>
                                <w:i/>
                                <w:iCs/>
                                <w:color w:val="000000" w:themeColor="text1"/>
                                <w:kern w:val="24"/>
                                <w:sz w:val="18"/>
                                <w:szCs w:val="18"/>
                              </w:rPr>
                              <w:t>Total 3</w:t>
                            </w:r>
                            <w:r>
                              <w:rPr>
                                <w:rFonts w:cs="Arial"/>
                                <w:i/>
                                <w:iCs/>
                                <w:color w:val="000000" w:themeColor="text1"/>
                                <w:kern w:val="24"/>
                                <w:sz w:val="18"/>
                                <w:szCs w:val="18"/>
                              </w:rPr>
                              <w:t>56</w:t>
                            </w:r>
                          </w:p>
                        </w:txbxContent>
                      </wps:txbx>
                      <wps:bodyPr wrap="none" rtlCol="0">
                        <a:spAutoFit/>
                      </wps:bodyPr>
                    </wps:wsp>
                  </a:graphicData>
                </a:graphic>
              </wp:anchor>
            </w:drawing>
          </mc:Choice>
          <mc:Fallback>
            <w:pict>
              <v:shape w14:anchorId="4319FE47" id="ZoneTexte 39" o:spid="_x0000_s1090" type="#_x0000_t202" style="position:absolute;left:0;text-align:left;margin-left:97.6pt;margin-top:1.2pt;width:56.3pt;height:19.35pt;z-index:25175967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tZllgEAABcDAAAOAAAAZHJzL2Uyb0RvYy54bWysUk1PAjEQvZv4H5reZQEFdcNi/IhejJqI&#10;F2+l27JNtp2mU9nl3zstCEZvxks/ZqZv5r3X2VVvW7ZWAQ24io8GQ86Uk1Abt6r42+L+5IIzjMLV&#10;ogWnKr5RyK/mx0ezzpdqDA20tQqMQByWna94E6MviwJlo6zAAXjlKKkhWBHpGlZFHURH6LYtxsPh&#10;tOgg1D6AVIgUvdsm+Tzja61kfNYaVWRtxWm2mNeQ12Vai/lMlKsgfGPkbgzxhymsMI6a7qHuRBTs&#10;I5hfUNbIAAg6DiTYArQ2UmUOxGY0/MHmtRFeZS4kDvq9TPh/sPJp/RKYqSt+ejbhzAlLJr2TVQvV&#10;R8VOL5NCnceSCl89lcb+Bnpy+iuOFEzEex1s2okSozxpvdnrS1BMUvB8NCGSnElKjc8m59SR0IvD&#10;Yx8wPiiwLB0qHsi+rKpYP2Lcln6VpF4O7k3bpniacDtJOsV+2WdO02xwCi2h3tD0HTldcUf8OAux&#10;vYX8LRIW+uuPSHi5zeHFDpvUz4Pufkqy9/s9Vx3+8/wTAAD//wMAUEsDBBQABgAIAAAAIQBDBqjn&#10;2wAAAAgBAAAPAAAAZHJzL2Rvd25yZXYueG1sTI/BTsMwEETvSPyDtUjcqJ2QQhviVKjAGSh8gBsv&#10;cUi8jmK3DXw9ywmOoxnNvKk2sx/EEafYBdKQLRQIpCbYjloN729PVysQMRmyZgiEGr4wwqY+P6tM&#10;acOJXvG4S63gEoql0eBSGkspY+PQm7gIIxJ7H2HyJrGcWmknc+JyP8hcqRvpTUe84MyIW4dNvzt4&#10;DSvln/t+nb9EX3xnS7d9CI/jp9aXF/P9HYiEc/oLwy8+o0PNTPtwIBvFwHq9zDmqIS9AsH+tbvnK&#10;XkORZSDrSv4/UP8AAAD//wMAUEsBAi0AFAAGAAgAAAAhALaDOJL+AAAA4QEAABMAAAAAAAAAAAAA&#10;AAAAAAAAAFtDb250ZW50X1R5cGVzXS54bWxQSwECLQAUAAYACAAAACEAOP0h/9YAAACUAQAACwAA&#10;AAAAAAAAAAAAAAAvAQAAX3JlbHMvLnJlbHNQSwECLQAUAAYACAAAACEA7EbWZZYBAAAXAwAADgAA&#10;AAAAAAAAAAAAAAAuAgAAZHJzL2Uyb0RvYy54bWxQSwECLQAUAAYACAAAACEAQwao59sAAAAIAQAA&#10;DwAAAAAAAAAAAAAAAADwAwAAZHJzL2Rvd25yZXYueG1sUEsFBgAAAAAEAAQA8wAAAPgEAAAAAA==&#10;" filled="f" stroked="f">
                <v:textbox style="mso-fit-shape-to-text:t">
                  <w:txbxContent>
                    <w:p w14:paraId="11B64C3C" w14:textId="61A90C1C" w:rsidR="00741BFF" w:rsidRPr="000C5EC0" w:rsidRDefault="00741BFF" w:rsidP="004A6317">
                      <w:pPr>
                        <w:rPr>
                          <w:sz w:val="18"/>
                          <w:szCs w:val="18"/>
                        </w:rPr>
                      </w:pPr>
                      <w:r w:rsidRPr="000C5EC0">
                        <w:rPr>
                          <w:rFonts w:cs="Arial"/>
                          <w:i/>
                          <w:iCs/>
                          <w:color w:val="000000" w:themeColor="text1"/>
                          <w:kern w:val="24"/>
                          <w:sz w:val="18"/>
                          <w:szCs w:val="18"/>
                        </w:rPr>
                        <w:t>Total 3</w:t>
                      </w:r>
                      <w:r>
                        <w:rPr>
                          <w:rFonts w:cs="Arial"/>
                          <w:i/>
                          <w:iCs/>
                          <w:color w:val="000000" w:themeColor="text1"/>
                          <w:kern w:val="24"/>
                          <w:sz w:val="18"/>
                          <w:szCs w:val="18"/>
                        </w:rPr>
                        <w:t>56</w:t>
                      </w:r>
                    </w:p>
                  </w:txbxContent>
                </v:textbox>
              </v:shape>
            </w:pict>
          </mc:Fallback>
        </mc:AlternateContent>
      </w:r>
      <w:r w:rsidR="004A6317">
        <w:rPr>
          <w:noProof/>
        </w:rPr>
        <mc:AlternateContent>
          <mc:Choice Requires="wps">
            <w:drawing>
              <wp:anchor distT="0" distB="0" distL="114300" distR="114300" simplePos="0" relativeHeight="251760697" behindDoc="0" locked="0" layoutInCell="1" allowOverlap="1" wp14:anchorId="4EAEAC1B" wp14:editId="5B6DB0B4">
                <wp:simplePos x="0" y="0"/>
                <wp:positionH relativeFrom="column">
                  <wp:posOffset>2998028</wp:posOffset>
                </wp:positionH>
                <wp:positionV relativeFrom="paragraph">
                  <wp:posOffset>18692</wp:posOffset>
                </wp:positionV>
                <wp:extent cx="715010" cy="245745"/>
                <wp:effectExtent l="0" t="0" r="0" b="0"/>
                <wp:wrapNone/>
                <wp:docPr id="346" name="ZoneTexte 41"/>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19975238" w14:textId="7ECBFDCA" w:rsidR="00741BFF" w:rsidRPr="000C5EC0" w:rsidRDefault="00741BFF" w:rsidP="004A6317">
                            <w:pPr>
                              <w:rPr>
                                <w:sz w:val="18"/>
                                <w:szCs w:val="18"/>
                              </w:rPr>
                            </w:pPr>
                            <w:r w:rsidRPr="000C5EC0">
                              <w:rPr>
                                <w:rFonts w:cs="Arial"/>
                                <w:i/>
                                <w:iCs/>
                                <w:color w:val="000000" w:themeColor="text1"/>
                                <w:kern w:val="24"/>
                                <w:sz w:val="18"/>
                                <w:szCs w:val="18"/>
                              </w:rPr>
                              <w:t xml:space="preserve">Total </w:t>
                            </w:r>
                            <w:r>
                              <w:rPr>
                                <w:rFonts w:cs="Arial"/>
                                <w:i/>
                                <w:iCs/>
                                <w:color w:val="000000" w:themeColor="text1"/>
                                <w:kern w:val="24"/>
                                <w:sz w:val="18"/>
                                <w:szCs w:val="18"/>
                              </w:rPr>
                              <w:t>253</w:t>
                            </w:r>
                          </w:p>
                        </w:txbxContent>
                      </wps:txbx>
                      <wps:bodyPr wrap="none" rtlCol="0">
                        <a:spAutoFit/>
                      </wps:bodyPr>
                    </wps:wsp>
                  </a:graphicData>
                </a:graphic>
              </wp:anchor>
            </w:drawing>
          </mc:Choice>
          <mc:Fallback>
            <w:pict>
              <v:shape w14:anchorId="4EAEAC1B" id="ZoneTexte 41" o:spid="_x0000_s1091" type="#_x0000_t202" style="position:absolute;left:0;text-align:left;margin-left:236.05pt;margin-top:1.45pt;width:56.3pt;height:19.35pt;z-index:25176069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3IWlgEAABcDAAAOAAAAZHJzL2Uyb0RvYy54bWysUk1PAyEQvZv4Hwh3u21tq9l02/gRvRg1&#10;US/eKAtdkoUhDHa3/96B1tbozXgZYGZ4vPeG+bK3LduogAZcxUeDIWfKSaiNW1f87fXu7JIzjMLV&#10;ogWnKr5VyJeL05N550s1hgbaWgVGIA7Lzle8idGXRYGyUVbgALxyVNQQrIh0DOuiDqIjdNsW4+Fw&#10;VnQQah9AKkTK3u6KfJHxtVYyPmmNKrK24sQt5hhyXKVYLOaiXAfhGyP3NMQfWFhhHD16gLoVUbCP&#10;YH5BWSMDIOg4kGAL0NpIlTWQmtHwh5qXRniVtZA56A824f/BysfNc2Cmrvj5ZMaZE5aG9E6jelV9&#10;VGwySg51HktqfPHUGvtr6GnSX3mkZBLe62DTSpIY1cnr7cFfgmKSkhejKYnkTFJpPJleTKYJpThe&#10;9gHjvQLL0qbigcaXXRWbB4y71q+W9JaDO9O2KZ8Y7pikXexXfdY0O9BcQb0l9h1NuuKO9HEWYnsD&#10;+VskLPRXH5Hw8jMJZHdjj03uZ6L7n5LG+/2cu47/efEJAAD//wMAUEsDBBQABgAIAAAAIQCtRQNi&#10;3AAAAAgBAAAPAAAAZHJzL2Rvd25yZXYueG1sTI9BTsMwEEX3SNzBGiR21EmUtmmIU6ECa6BwADce&#10;4pB4HMVuGzg9w4ouR+/r/zfVdnaDOOEUOk8K0kUCAqnxpqNWwcf7810BIkRNRg+eUME3BtjW11eV&#10;Lo0/0xue9rEVXEKh1ApsjGMpZWgsOh0WfkRi9uknpyOfUyvNpM9c7gaZJclKOt0RL1g94s5i0++P&#10;TkGRuJe+32SvweU/6dLuHv3T+KXU7c38cA8i4hz/w/Cnz+pQs9PBH8kEMSjI11nKUQXZBgTzZZGv&#10;QRwYpCuQdSUvH6h/AQAA//8DAFBLAQItABQABgAIAAAAIQC2gziS/gAAAOEBAAATAAAAAAAAAAAA&#10;AAAAAAAAAABbQ29udGVudF9UeXBlc10ueG1sUEsBAi0AFAAGAAgAAAAhADj9If/WAAAAlAEAAAsA&#10;AAAAAAAAAAAAAAAALwEAAF9yZWxzLy5yZWxzUEsBAi0AFAAGAAgAAAAhAOzjchaWAQAAFwMAAA4A&#10;AAAAAAAAAAAAAAAALgIAAGRycy9lMm9Eb2MueG1sUEsBAi0AFAAGAAgAAAAhAK1FA2LcAAAACAEA&#10;AA8AAAAAAAAAAAAAAAAA8AMAAGRycy9kb3ducmV2LnhtbFBLBQYAAAAABAAEAPMAAAD5BAAAAAA=&#10;" filled="f" stroked="f">
                <v:textbox style="mso-fit-shape-to-text:t">
                  <w:txbxContent>
                    <w:p w14:paraId="19975238" w14:textId="7ECBFDCA" w:rsidR="00741BFF" w:rsidRPr="000C5EC0" w:rsidRDefault="00741BFF" w:rsidP="004A6317">
                      <w:pPr>
                        <w:rPr>
                          <w:sz w:val="18"/>
                          <w:szCs w:val="18"/>
                        </w:rPr>
                      </w:pPr>
                      <w:r w:rsidRPr="000C5EC0">
                        <w:rPr>
                          <w:rFonts w:cs="Arial"/>
                          <w:i/>
                          <w:iCs/>
                          <w:color w:val="000000" w:themeColor="text1"/>
                          <w:kern w:val="24"/>
                          <w:sz w:val="18"/>
                          <w:szCs w:val="18"/>
                        </w:rPr>
                        <w:t xml:space="preserve">Total </w:t>
                      </w:r>
                      <w:r>
                        <w:rPr>
                          <w:rFonts w:cs="Arial"/>
                          <w:i/>
                          <w:iCs/>
                          <w:color w:val="000000" w:themeColor="text1"/>
                          <w:kern w:val="24"/>
                          <w:sz w:val="18"/>
                          <w:szCs w:val="18"/>
                        </w:rPr>
                        <w:t>253</w:t>
                      </w:r>
                    </w:p>
                  </w:txbxContent>
                </v:textbox>
              </v:shape>
            </w:pict>
          </mc:Fallback>
        </mc:AlternateContent>
      </w:r>
    </w:p>
    <w:p w14:paraId="63CA18F9" w14:textId="53749702" w:rsidR="004A6317" w:rsidRDefault="009A4E6A" w:rsidP="004A6317">
      <w:pPr>
        <w:pStyle w:val="ValrieN1"/>
        <w:tabs>
          <w:tab w:val="left" w:pos="4678"/>
        </w:tabs>
        <w:ind w:left="0"/>
      </w:pPr>
      <w:r>
        <w:rPr>
          <w:noProof/>
        </w:rPr>
        <mc:AlternateContent>
          <mc:Choice Requires="wps">
            <w:drawing>
              <wp:anchor distT="0" distB="0" distL="114300" distR="114300" simplePos="0" relativeHeight="251745337" behindDoc="0" locked="0" layoutInCell="1" allowOverlap="1" wp14:anchorId="1D16B949" wp14:editId="15A463CF">
                <wp:simplePos x="0" y="0"/>
                <wp:positionH relativeFrom="column">
                  <wp:posOffset>3842385</wp:posOffset>
                </wp:positionH>
                <wp:positionV relativeFrom="paragraph">
                  <wp:posOffset>110490</wp:posOffset>
                </wp:positionV>
                <wp:extent cx="2735580" cy="0"/>
                <wp:effectExtent l="38100" t="76200" r="26670" b="95250"/>
                <wp:wrapNone/>
                <wp:docPr id="341" name="Connecteur droit avec flèch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73558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88D832" id="Connecteur droit avec flèche 7" o:spid="_x0000_s1026" type="#_x0000_t32" style="position:absolute;margin-left:302.55pt;margin-top:8.7pt;width:215.4pt;height:0;z-index:251745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FSRJwIAAK0EAAAOAAAAZHJzL2Uyb0RvYy54bWysVM1uEzEQviPxDtbeyW4S0larbHpIKZcC&#10;FYUHcO1x1sJ/sp1k80a8By/G2M4uFCqQEBdrPTPfzHzfjHd9PWhFDuCDtKar5rOmImCY5dLsuurz&#10;p9tXVxUJkRpOlTXQVScI1fXm5Yv10bWwsL1VHDzBJCa0R9dVfYyurevAetA0zKwDg05hvaYRr35X&#10;c0+PmF2retE0F/XReu68ZRACWm+Ks9rk/EIAix+ECBCJ6irsLebT5/MxnfVmTdudp66X7NwG/Ycu&#10;NJUGi06pbmikZO/lb6m0ZN4GK+KMWV1bISSDzAHZzJtf2Dz01EHmguIEN8kU/l9a9v5w74nkXbV8&#10;Pa+IoRqHtLXGoHKw94R7KyOhB2BEqG9fcSzkMol2dKFF7Nbc+0SbDebB3Vn2JaCvfuJMl+BK2CC8&#10;TuHImwx5CKdpCDBEwtC4uFyuVlc4Kzb6atqOQOdDfAtWk/TRVSF6Knd9PDds/TwPgR7uQkyN0HYE&#10;pKrKpDNYJfmtVCpf0p7BVnlyoLghcSgJ1F6/s7zYLlZNc94TNOM2FfNyNGORvK0pSy75pEAPlL8x&#10;nMSTQ2Gjl9TsFJS1i1Sq532YMzWbhSzaZRXjSUEh8hEEDi2plQlPDZTeKGNg4jxVyZkwOsEEkp6A&#10;zd+B5/gEhfyUJnBR6Y9VJ0SubE2cwFoa65+rntQvLYsSPypQeCcJHi0/3ftxx/BNZIbn95se3c/3&#10;DP/xl9l8BwAA//8DAFBLAwQUAAYACAAAACEAVewgh9sAAAAKAQAADwAAAGRycy9kb3ducmV2Lnht&#10;bEyPTU7DMBCF90jcwRokdtQukEJDnIqCkLqrKBxgkgyJRTyOYrcNnJ6pWMBy5n16P8Vq8r060Bhd&#10;YAvzmQFFXIfGcWvh/e3l6h5UTMgN9oHJwhdFWJXnZwXmTTjyKx12qVViwjFHC11KQ651rDvyGGdh&#10;IBbtI4wek5xjq5sRj2Lue31tzEJ7dCwJHQ701FH9udt7yXUJibXj7Luq1+vKb5bb5421lxfT4wOo&#10;RFP6g+FUX6pDKZ2qsOcmqt7CwmRzQUW4uwV1AsxNtgRV/X50Wej/E8ofAAAA//8DAFBLAQItABQA&#10;BgAIAAAAIQC2gziS/gAAAOEBAAATAAAAAAAAAAAAAAAAAAAAAABbQ29udGVudF9UeXBlc10ueG1s&#10;UEsBAi0AFAAGAAgAAAAhADj9If/WAAAAlAEAAAsAAAAAAAAAAAAAAAAALwEAAF9yZWxzLy5yZWxz&#10;UEsBAi0AFAAGAAgAAAAhAGFIVJEnAgAArQQAAA4AAAAAAAAAAAAAAAAALgIAAGRycy9lMm9Eb2Mu&#10;eG1sUEsBAi0AFAAGAAgAAAAhAFXsIIfbAAAACgEAAA8AAAAAAAAAAAAAAAAAgQQAAGRycy9kb3du&#10;cmV2LnhtbFBLBQYAAAAABAAEAPMAAACJBQAAAAA=&#10;" strokecolor="#5a5a5a [2109]" strokeweight="1pt">
                <v:stroke startarrow="block" endarrow="block" joinstyle="miter"/>
                <o:lock v:ext="edit" shapetype="f"/>
              </v:shape>
            </w:pict>
          </mc:Fallback>
        </mc:AlternateContent>
      </w:r>
      <w:r w:rsidR="004A6317">
        <w:rPr>
          <w:noProof/>
        </w:rPr>
        <mc:AlternateContent>
          <mc:Choice Requires="wps">
            <w:drawing>
              <wp:anchor distT="0" distB="0" distL="114300" distR="114300" simplePos="0" relativeHeight="251756601" behindDoc="0" locked="0" layoutInCell="1" allowOverlap="1" wp14:anchorId="1129EF71" wp14:editId="3AD20E87">
                <wp:simplePos x="0" y="0"/>
                <wp:positionH relativeFrom="page">
                  <wp:posOffset>7464673</wp:posOffset>
                </wp:positionH>
                <wp:positionV relativeFrom="paragraph">
                  <wp:posOffset>107950</wp:posOffset>
                </wp:positionV>
                <wp:extent cx="2123440" cy="0"/>
                <wp:effectExtent l="38100" t="76200" r="10160" b="95250"/>
                <wp:wrapNone/>
                <wp:docPr id="340"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212344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30C912" id="Connecteur droit avec flèche 12" o:spid="_x0000_s1026" type="#_x0000_t32" style="position:absolute;margin-left:587.75pt;margin-top:8.5pt;width:167.2pt;height:0;flip:y;z-index:25175660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Y/zKwIAALgEAAAOAAAAZHJzL2Uyb0RvYy54bWysVE1vEzEQvSPxH6y9k91NSoVW2fSQUi4F&#10;Ilq4u/Y4a+Ev2U6y+Uf8D/4YYzvZUqhAQlys9YzfmzfP411ejVqRPfggremrdtZUBAyzXJptX32+&#10;v3n1piIhUsOpsgb66gihulq9fLE8uA7mdrCKgydIYkJ3cH01xOi6ug5sAE3DzDowmBTWaxpx67c1&#10;9/SA7FrV86a5rA/Wc+ctgxAwel2S1SrzCwEsfhQiQCSqr1BbzKvP60Na69WSdltP3SDZSQb9BxWa&#10;SoNFJ6prGinZefkblZbM22BFnDGrayuEZJB7wG7a5pdu7gbqIPeC5gQ32RT+Hy37sN94InlfLS7Q&#10;H0M1XtLaGoPOwc4T7q2MhO6BEaG+f8NrIe08uXZwoUPw2mx86puN5s7dWvY1YK5+kkyb4MqxUXiN&#10;RNJ9wWHJhqEFZMz3cZzuA8ZIGAbn7XxxkWSxc66mXaJIFZ0P8R1YTdJHX4XoqdwO8aTd+kJP97ch&#10;JkmPgARWJq3BKslvpFJ5k0YO1sqTPcVhiWMhUDv93vISu3zdNKeRwTAOVgkvzmEskgc3seSSTwoM&#10;QPlbw0k8OvQ4eknNVkGZwEilej6HnElstrS4mP2MRwWlkU8g8P6SW9nPSUDRRhkDE9tUJTPh6QQT&#10;2PQEbP4OPJ1PUMivagIXl/5YdULkytbECaylsf656sn9IlmU82cHSt/JggfLjxt/njZ8HrnD01NO&#10;7+/nfYY//nBWPwAAAP//AwBQSwMEFAAGAAgAAAAhAHszJPrgAAAACwEAAA8AAABkcnMvZG93bnJl&#10;di54bWxMj0FPg0AQhe8m/ofNmHizu5BgLbI0DYaYeKgp6sHbFkYgsrOE3bb4753GQ73Nm3l5871s&#10;PdtBHHHyvSMN0UKBQKpd01Or4f2tvHsA4YOhxgyOUMMPeljn11eZSRt3oh0eq9AKDiGfGg1dCGMq&#10;pa87tMYv3IjEty83WRNYTq1sJnPicDvIWKl7aU1P/KEzIxYd1t/VwWrYfLzG0e5JlcXzy7ZU27ZS&#10;8Weh9e3NvHkEEXAOFzOc8RkdcmbauwM1Xgyso2WSsJenJZc6OxK1WoHY/21knsn/HfJfAAAA//8D&#10;AFBLAQItABQABgAIAAAAIQC2gziS/gAAAOEBAAATAAAAAAAAAAAAAAAAAAAAAABbQ29udGVudF9U&#10;eXBlc10ueG1sUEsBAi0AFAAGAAgAAAAhADj9If/WAAAAlAEAAAsAAAAAAAAAAAAAAAAALwEAAF9y&#10;ZWxzLy5yZWxzUEsBAi0AFAAGAAgAAAAhAMNBj/MrAgAAuAQAAA4AAAAAAAAAAAAAAAAALgIAAGRy&#10;cy9lMm9Eb2MueG1sUEsBAi0AFAAGAAgAAAAhAHszJPrgAAAACwEAAA8AAAAAAAAAAAAAAAAAhQQA&#10;AGRycy9kb3ducmV2LnhtbFBLBQYAAAAABAAEAPMAAACSBQAAAAA=&#10;" strokecolor="#5a5a5a [2109]" strokeweight="1pt">
                <v:stroke startarrow="block" endarrow="block" joinstyle="miter"/>
                <o:lock v:ext="edit" shapetype="f"/>
                <w10:wrap anchorx="page"/>
              </v:shape>
            </w:pict>
          </mc:Fallback>
        </mc:AlternateContent>
      </w:r>
      <w:r w:rsidR="004A6317">
        <w:rPr>
          <w:noProof/>
        </w:rPr>
        <mc:AlternateContent>
          <mc:Choice Requires="wps">
            <w:drawing>
              <wp:anchor distT="0" distB="0" distL="114300" distR="114300" simplePos="0" relativeHeight="251747385" behindDoc="0" locked="0" layoutInCell="1" allowOverlap="1" wp14:anchorId="197E7F47" wp14:editId="24E57F37">
                <wp:simplePos x="0" y="0"/>
                <wp:positionH relativeFrom="column">
                  <wp:posOffset>1231587</wp:posOffset>
                </wp:positionH>
                <wp:positionV relativeFrom="paragraph">
                  <wp:posOffset>104140</wp:posOffset>
                </wp:positionV>
                <wp:extent cx="2500630" cy="0"/>
                <wp:effectExtent l="38100" t="76200" r="13970" b="95250"/>
                <wp:wrapNone/>
                <wp:docPr id="342"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0063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BF2068" id="Connecteur droit avec flèche 12" o:spid="_x0000_s1026" type="#_x0000_t32" style="position:absolute;margin-left:97pt;margin-top:8.2pt;width:196.9pt;height:0;z-index:2517473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r0pLAIAAMQEAAAOAAAAZHJzL2Uyb0RvYy54bWysVEuOEzEQ3SNxB8t70vnACLXSmUWGYTNA&#10;xMABPHY5beGfbCfp3Ih7cDHKdroZDSOQEBurXZ9X9V6Ve309GE2OEKJytqOL2ZwSsNwJZfcd/frl&#10;9tVbSmJiVjDtLHT0DJFeb16+WJ98C0vXOy0gEASxsT35jvYp+bZpIu/BsDhzHiw6pQuGJbyGfSMC&#10;OyG60c1yPr9qTi4IHxyHGNF6U510U/ClBJ4+SRkhEd1R7C2VM5TzIZ/NZs3afWC+V/zSBvuHLgxT&#10;FotOUDcsMXII6jcoo3hw0ck04840TkrFoXBANov5Ezb3PfNQuKA40U8yxf8Hyz8ed4Eo0dHV6yUl&#10;lhkc0tZZi8rBIRARnEqEHYETqX98x7GQxbIwhSHdxYT6NScf24KTVS+fW7sLWQ0+2Ht/5/i3+Ciu&#10;OnNk9DVskMHkcJSDDGU252k2WIZwNC7f4LRXOEI++hrWjok+xPQenCH5o6MxBab2fbrwcGFROmbH&#10;S8OsHRNyVW3zGZ1W4lZpXS55/WCrAzkyXJw0VAB9MB+cqLYr7OeyPmjGJavm1WjG7soSZxTU6EmB&#10;Hph4ZwVJZ496p6CY3Wuo25iY0s/7ECU3WwSv2hUV01lDJfIZJM4yq1UITw3U3hjnYNMiVylIGJ3T&#10;JJKeEud/T7zE51QoL2xKrir9seqUUSo7m6Zko6wLz1XP6teWZY0fFai8swQPTpx3YdwxfCqF4eVZ&#10;57f4+F7Sf/18Nj8BAAD//wMAUEsDBBQABgAIAAAAIQDh6TKz2QAAAAkBAAAPAAAAZHJzL2Rvd25y&#10;ZXYueG1sTE/LTsMwELwj9R+srcSNOqC2tCFORUFIvSEKH7CJl8QiXkex2wa+vltxgNvOzmgexWb0&#10;nTrSEF1gA7ezDBRxHazjxsDH+8vNClRMyBa7wGTgmyJsyslVgbkNJ36j4z41Skw45migTanPtY51&#10;Sx7jLPTEwn2GwWMSODTaDngSc9/puyxbao+OJaHFnp5aqr/2By+5LiGxdrz4qerttvK79evzzpjr&#10;6fj4ACrRmP7EcKkv1aGUTlU4sI2qE7yey5Ykx3IOSgSL1b1sqX4fuiz0/wXlGQAA//8DAFBLAQIt&#10;ABQABgAIAAAAIQC2gziS/gAAAOEBAAATAAAAAAAAAAAAAAAAAAAAAABbQ29udGVudF9UeXBlc10u&#10;eG1sUEsBAi0AFAAGAAgAAAAhADj9If/WAAAAlAEAAAsAAAAAAAAAAAAAAAAALwEAAF9yZWxzLy5y&#10;ZWxzUEsBAi0AFAAGAAgAAAAhAMryvSksAgAAxAQAAA4AAAAAAAAAAAAAAAAALgIAAGRycy9lMm9E&#10;b2MueG1sUEsBAi0AFAAGAAgAAAAhAOHpMrPZAAAACQEAAA8AAAAAAAAAAAAAAAAAhgQAAGRycy9k&#10;b3ducmV2LnhtbFBLBQYAAAAABAAEAPMAAACMBQAAAAA=&#10;" strokecolor="#5a5a5a [2109]" strokeweight="1pt">
                <v:stroke startarrow="block" endarrow="block" joinstyle="miter"/>
                <o:lock v:ext="edit" shapetype="f"/>
              </v:shape>
            </w:pict>
          </mc:Fallback>
        </mc:AlternateContent>
      </w:r>
    </w:p>
    <w:p w14:paraId="5B2CE930" w14:textId="77777777" w:rsidR="004A6317" w:rsidRDefault="004A6317" w:rsidP="004A6317">
      <w:pPr>
        <w:pStyle w:val="ValrieN1"/>
        <w:ind w:left="0"/>
        <w:sectPr w:rsidR="004A6317" w:rsidSect="00B73F4D">
          <w:pgSz w:w="16838" w:h="11906" w:orient="landscape" w:code="9"/>
          <w:pgMar w:top="1418" w:right="1304" w:bottom="1133" w:left="1304" w:header="567" w:footer="709" w:gutter="0"/>
          <w:cols w:space="708"/>
          <w:docGrid w:linePitch="360"/>
        </w:sectPr>
      </w:pPr>
    </w:p>
    <w:p w14:paraId="21DB0512" w14:textId="7756EA2E" w:rsidR="00190F84" w:rsidRDefault="00190F84" w:rsidP="00A63F35">
      <w:pPr>
        <w:pStyle w:val="Titre2"/>
        <w:numPr>
          <w:ilvl w:val="0"/>
          <w:numId w:val="0"/>
        </w:numPr>
        <w:ind w:left="568"/>
      </w:pPr>
      <w:bookmarkStart w:id="381" w:name="_Toc71124237"/>
      <w:bookmarkStart w:id="382" w:name="_Toc71124442"/>
      <w:bookmarkStart w:id="383" w:name="_Toc70411832"/>
      <w:bookmarkStart w:id="384" w:name="_Toc70412043"/>
      <w:bookmarkStart w:id="385" w:name="_Toc70411833"/>
      <w:bookmarkStart w:id="386" w:name="_Toc70412044"/>
      <w:bookmarkStart w:id="387" w:name="_Toc70411834"/>
      <w:bookmarkStart w:id="388" w:name="_Toc70412045"/>
      <w:bookmarkStart w:id="389" w:name="_Toc78131694"/>
      <w:bookmarkEnd w:id="381"/>
      <w:bookmarkEnd w:id="382"/>
      <w:bookmarkEnd w:id="383"/>
      <w:bookmarkEnd w:id="384"/>
      <w:bookmarkEnd w:id="385"/>
      <w:bookmarkEnd w:id="386"/>
      <w:bookmarkEnd w:id="387"/>
      <w:bookmarkEnd w:id="388"/>
      <w:r>
        <w:lastRenderedPageBreak/>
        <w:t>2</w:t>
      </w:r>
      <w:r w:rsidRPr="008150C6">
        <w:t>.</w:t>
      </w:r>
      <w:r>
        <w:t>4.</w:t>
      </w:r>
      <w:r w:rsidR="004E3417">
        <w:t xml:space="preserve"> </w:t>
      </w:r>
      <w:r w:rsidR="005535AA">
        <w:t>Analyse des flux de la poitrine</w:t>
      </w:r>
      <w:bookmarkEnd w:id="389"/>
      <w:r w:rsidR="005535AA">
        <w:t xml:space="preserve"> </w:t>
      </w:r>
    </w:p>
    <w:p w14:paraId="6E70BE33" w14:textId="4FCFD3E4" w:rsidR="00D54EC4" w:rsidRDefault="00190F84" w:rsidP="00D54EC4">
      <w:pPr>
        <w:pStyle w:val="Titre3"/>
        <w:spacing w:before="240"/>
      </w:pPr>
      <w:bookmarkStart w:id="390" w:name="_Toc78131695"/>
      <w:r w:rsidRPr="005535AA">
        <w:t>2.</w:t>
      </w:r>
      <w:r w:rsidR="00C94D9A" w:rsidRPr="005535AA">
        <w:t>4</w:t>
      </w:r>
      <w:r w:rsidRPr="005535AA">
        <w:t xml:space="preserve">.1. </w:t>
      </w:r>
      <w:r w:rsidR="00960465" w:rsidRPr="00F93328">
        <w:t>D</w:t>
      </w:r>
      <w:r w:rsidR="00960465">
        <w:t>e</w:t>
      </w:r>
      <w:r w:rsidR="00960465" w:rsidRPr="00F93328">
        <w:t>s</w:t>
      </w:r>
      <w:r w:rsidR="00960465">
        <w:t>tination des pièces issues de la carcasse en poitrine équivalent pièce primaire</w:t>
      </w:r>
      <w:bookmarkEnd w:id="390"/>
    </w:p>
    <w:p w14:paraId="1550011E" w14:textId="2B3013B5" w:rsidR="00960465" w:rsidRDefault="00960465" w:rsidP="0002537E">
      <w:pPr>
        <w:pStyle w:val="Corpsdetexte"/>
      </w:pPr>
      <w:r>
        <w:t>De même que pour le jambon et l’épaule, ce stade désigne l’obtention de pièce primaire à partir de la fraction comestible de poitrine issue de carcasses</w:t>
      </w:r>
      <w:r w:rsidR="001512A0">
        <w:t>,</w:t>
      </w:r>
      <w:r>
        <w:t xml:space="preserve"> déterminée par calcul tel que défini plus haut (partie 2, paragraphe 1.3.).</w:t>
      </w:r>
    </w:p>
    <w:p w14:paraId="664CDA63" w14:textId="333F90B0" w:rsidR="00960465" w:rsidRPr="004E4274" w:rsidRDefault="00960465" w:rsidP="0002537E">
      <w:pPr>
        <w:pStyle w:val="Corpsdetexte"/>
      </w:pPr>
      <w:r>
        <w:t>La fraction de départ en équivalent pièce primaire d</w:t>
      </w:r>
      <w:r w:rsidR="00064312">
        <w:t>e poitrine</w:t>
      </w:r>
      <w:r>
        <w:t xml:space="preserve"> est de </w:t>
      </w:r>
      <w:r w:rsidR="001512A0">
        <w:t>263</w:t>
      </w:r>
      <w:r w:rsidR="00FD3417">
        <w:t> </w:t>
      </w:r>
      <w:r>
        <w:t xml:space="preserve">kt et le disponible </w:t>
      </w:r>
      <w:r w:rsidR="00CF757E">
        <w:t xml:space="preserve">net après importation et exportation </w:t>
      </w:r>
      <w:r>
        <w:t xml:space="preserve">est de </w:t>
      </w:r>
      <w:r w:rsidR="001512A0">
        <w:t>180</w:t>
      </w:r>
      <w:r w:rsidR="00FD3417">
        <w:t> </w:t>
      </w:r>
      <w:r>
        <w:t xml:space="preserve">kt. Les importations correspondent aux équivalents </w:t>
      </w:r>
      <w:r w:rsidR="001512A0">
        <w:t>poitrine</w:t>
      </w:r>
      <w:r>
        <w:t xml:space="preserve"> issus des carcasses importées (02031110 et 02032110 ; carcasse,</w:t>
      </w:r>
      <w:r w:rsidR="00E40DF4">
        <w:t xml:space="preserve"> </w:t>
      </w:r>
      <w:r>
        <w:t>demi</w:t>
      </w:r>
      <w:r w:rsidR="00741BFF">
        <w:t>-</w:t>
      </w:r>
      <w:r>
        <w:t xml:space="preserve">carcasse fraîche ou réfrigérée et carcasse ou demi-carcasse congelée) et les exportations sont à rapprocher des exportations </w:t>
      </w:r>
      <w:r w:rsidR="00CF757E">
        <w:t>en</w:t>
      </w:r>
      <w:r>
        <w:t xml:space="preserve"> p</w:t>
      </w:r>
      <w:r w:rsidR="00CF757E">
        <w:t>oitrine</w:t>
      </w:r>
      <w:r>
        <w:t xml:space="preserve"> fraîches et congelée</w:t>
      </w:r>
      <w:r w:rsidR="001512A0">
        <w:t>s</w:t>
      </w:r>
      <w:r>
        <w:t xml:space="preserve"> (02031</w:t>
      </w:r>
      <w:r w:rsidR="001512A0">
        <w:t>915</w:t>
      </w:r>
      <w:r>
        <w:t xml:space="preserve"> et 0203</w:t>
      </w:r>
      <w:r w:rsidR="001512A0">
        <w:t>2915</w:t>
      </w:r>
      <w:r w:rsidR="00741BFF">
        <w:t> </w:t>
      </w:r>
      <w:r>
        <w:t>;</w:t>
      </w:r>
      <w:r w:rsidR="00CF757E" w:rsidRPr="00CF757E">
        <w:t xml:space="preserve"> </w:t>
      </w:r>
      <w:r w:rsidR="00CF757E">
        <w:t>22</w:t>
      </w:r>
      <w:r w:rsidR="00741BFF">
        <w:t> </w:t>
      </w:r>
      <w:r w:rsidR="00CF757E">
        <w:t>kt et 42</w:t>
      </w:r>
      <w:r w:rsidR="00741BFF">
        <w:t> </w:t>
      </w:r>
      <w:r w:rsidR="00CF757E">
        <w:t>kt</w:t>
      </w:r>
      <w:r>
        <w:t>)</w:t>
      </w:r>
      <w:r w:rsidR="001512A0">
        <w:t xml:space="preserve"> pour un total de 64</w:t>
      </w:r>
      <w:r w:rsidR="00741BFF">
        <w:t> </w:t>
      </w:r>
      <w:r w:rsidR="001512A0">
        <w:t>kt</w:t>
      </w:r>
      <w:r>
        <w:t>.</w:t>
      </w:r>
      <w:r w:rsidR="001512A0">
        <w:t xml:space="preserve"> Les exportations représentent un peu plus de 25</w:t>
      </w:r>
      <w:r w:rsidR="00741BFF">
        <w:t> </w:t>
      </w:r>
      <w:r w:rsidR="001512A0">
        <w:t>% du total poitrine produit.</w:t>
      </w:r>
    </w:p>
    <w:tbl>
      <w:tblPr>
        <w:tblW w:w="9351" w:type="dxa"/>
        <w:tblInd w:w="279" w:type="dxa"/>
        <w:tblCellMar>
          <w:left w:w="0" w:type="dxa"/>
          <w:right w:w="0" w:type="dxa"/>
        </w:tblCellMar>
        <w:tblLook w:val="0600" w:firstRow="0" w:lastRow="0" w:firstColumn="0" w:lastColumn="0" w:noHBand="1" w:noVBand="1"/>
      </w:tblPr>
      <w:tblGrid>
        <w:gridCol w:w="3094"/>
        <w:gridCol w:w="1573"/>
        <w:gridCol w:w="1154"/>
        <w:gridCol w:w="1054"/>
        <w:gridCol w:w="2476"/>
      </w:tblGrid>
      <w:tr w:rsidR="00C94D9A" w:rsidRPr="00C94D9A" w14:paraId="01348965" w14:textId="77777777" w:rsidTr="00741BFF">
        <w:trPr>
          <w:trHeight w:val="354"/>
        </w:trPr>
        <w:tc>
          <w:tcPr>
            <w:tcW w:w="309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9BD00BE" w14:textId="7FA28F6C" w:rsidR="00C94D9A" w:rsidRPr="0002537E" w:rsidRDefault="00C94D9A" w:rsidP="0002537E">
            <w:pPr>
              <w:rPr>
                <w:b/>
                <w:szCs w:val="20"/>
              </w:rPr>
            </w:pPr>
          </w:p>
        </w:tc>
        <w:tc>
          <w:tcPr>
            <w:tcW w:w="157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2D2381D" w14:textId="1A651CE5" w:rsidR="00C94D9A" w:rsidRPr="0002537E" w:rsidRDefault="00C94D9A" w:rsidP="0002537E">
            <w:pPr>
              <w:rPr>
                <w:b/>
                <w:szCs w:val="20"/>
              </w:rPr>
            </w:pPr>
            <w:r w:rsidRPr="0002537E">
              <w:rPr>
                <w:b/>
                <w:bCs/>
                <w:sz w:val="20"/>
                <w:szCs w:val="20"/>
              </w:rPr>
              <w:t>Production</w:t>
            </w:r>
          </w:p>
        </w:tc>
        <w:tc>
          <w:tcPr>
            <w:tcW w:w="115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5BF8820" w14:textId="77777777" w:rsidR="00C94D9A" w:rsidRPr="0002537E" w:rsidRDefault="00C94D9A" w:rsidP="0002537E">
            <w:pPr>
              <w:rPr>
                <w:b/>
                <w:szCs w:val="20"/>
              </w:rPr>
            </w:pPr>
            <w:r w:rsidRPr="0002537E">
              <w:rPr>
                <w:b/>
                <w:bCs/>
                <w:sz w:val="20"/>
                <w:szCs w:val="20"/>
              </w:rPr>
              <w:t>I</w:t>
            </w:r>
          </w:p>
        </w:tc>
        <w:tc>
          <w:tcPr>
            <w:tcW w:w="105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FD61A6D" w14:textId="77777777" w:rsidR="00C94D9A" w:rsidRPr="0002537E" w:rsidRDefault="00C94D9A" w:rsidP="0002537E">
            <w:pPr>
              <w:rPr>
                <w:b/>
                <w:szCs w:val="20"/>
              </w:rPr>
            </w:pPr>
            <w:r w:rsidRPr="0002537E">
              <w:rPr>
                <w:b/>
                <w:bCs/>
                <w:sz w:val="20"/>
                <w:szCs w:val="20"/>
              </w:rPr>
              <w:t>Ex</w:t>
            </w:r>
          </w:p>
        </w:tc>
        <w:tc>
          <w:tcPr>
            <w:tcW w:w="247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3C0A988" w14:textId="34123E01" w:rsidR="00C94D9A" w:rsidRPr="0002537E" w:rsidRDefault="00C94D9A" w:rsidP="0002537E">
            <w:pPr>
              <w:rPr>
                <w:b/>
                <w:szCs w:val="20"/>
              </w:rPr>
            </w:pPr>
            <w:r w:rsidRPr="0002537E">
              <w:rPr>
                <w:b/>
                <w:bCs/>
                <w:sz w:val="20"/>
                <w:szCs w:val="20"/>
              </w:rPr>
              <w:t>Consommation (*)</w:t>
            </w:r>
          </w:p>
        </w:tc>
      </w:tr>
      <w:tr w:rsidR="00C94D9A" w:rsidRPr="00C94D9A" w14:paraId="55C7DE76" w14:textId="77777777" w:rsidTr="00741BFF">
        <w:trPr>
          <w:trHeight w:val="176"/>
        </w:trPr>
        <w:tc>
          <w:tcPr>
            <w:tcW w:w="309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787AA00" w14:textId="3AE18AC6" w:rsidR="00C94D9A" w:rsidRPr="0002537E" w:rsidRDefault="00C94D9A" w:rsidP="0002537E">
            <w:pPr>
              <w:rPr>
                <w:b/>
                <w:szCs w:val="20"/>
              </w:rPr>
            </w:pPr>
            <w:r w:rsidRPr="0002537E">
              <w:rPr>
                <w:b/>
                <w:bCs/>
                <w:sz w:val="20"/>
                <w:szCs w:val="20"/>
              </w:rPr>
              <w:t>Total</w:t>
            </w:r>
          </w:p>
        </w:tc>
        <w:tc>
          <w:tcPr>
            <w:tcW w:w="157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A91B8B1" w14:textId="77777777" w:rsidR="00C94D9A" w:rsidRPr="0002537E" w:rsidRDefault="00C94D9A" w:rsidP="0002537E">
            <w:pPr>
              <w:rPr>
                <w:b/>
                <w:szCs w:val="20"/>
              </w:rPr>
            </w:pPr>
            <w:r w:rsidRPr="0002537E">
              <w:rPr>
                <w:rFonts w:eastAsiaTheme="minorEastAsia"/>
                <w:b/>
                <w:bCs/>
                <w:sz w:val="20"/>
                <w:szCs w:val="20"/>
              </w:rPr>
              <w:t>263</w:t>
            </w:r>
          </w:p>
        </w:tc>
        <w:tc>
          <w:tcPr>
            <w:tcW w:w="115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3671274" w14:textId="77777777" w:rsidR="00C94D9A" w:rsidRPr="0002537E" w:rsidRDefault="00C94D9A" w:rsidP="0002537E">
            <w:pPr>
              <w:rPr>
                <w:b/>
                <w:szCs w:val="20"/>
              </w:rPr>
            </w:pPr>
            <w:r w:rsidRPr="0002537E">
              <w:rPr>
                <w:rFonts w:eastAsiaTheme="minorEastAsia"/>
                <w:b/>
                <w:bCs/>
                <w:sz w:val="20"/>
                <w:szCs w:val="20"/>
              </w:rPr>
              <w:t>0,3</w:t>
            </w:r>
          </w:p>
        </w:tc>
        <w:tc>
          <w:tcPr>
            <w:tcW w:w="1054"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43BAFCC" w14:textId="77777777" w:rsidR="00C94D9A" w:rsidRPr="0002537E" w:rsidRDefault="00C94D9A" w:rsidP="0002537E">
            <w:pPr>
              <w:rPr>
                <w:b/>
                <w:szCs w:val="20"/>
              </w:rPr>
            </w:pPr>
            <w:r w:rsidRPr="0002537E">
              <w:rPr>
                <w:rFonts w:eastAsiaTheme="minorEastAsia"/>
                <w:b/>
                <w:bCs/>
                <w:sz w:val="20"/>
                <w:szCs w:val="20"/>
              </w:rPr>
              <w:t>63</w:t>
            </w:r>
          </w:p>
        </w:tc>
        <w:tc>
          <w:tcPr>
            <w:tcW w:w="2476"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0D42623" w14:textId="77777777" w:rsidR="00C94D9A" w:rsidRPr="0002537E" w:rsidRDefault="00C94D9A" w:rsidP="0002537E">
            <w:pPr>
              <w:rPr>
                <w:b/>
                <w:szCs w:val="20"/>
              </w:rPr>
            </w:pPr>
            <w:r w:rsidRPr="0002537E">
              <w:rPr>
                <w:rFonts w:eastAsiaTheme="minorEastAsia"/>
                <w:b/>
                <w:bCs/>
                <w:sz w:val="20"/>
                <w:szCs w:val="20"/>
              </w:rPr>
              <w:t>199 [179-219]</w:t>
            </w:r>
          </w:p>
        </w:tc>
      </w:tr>
      <w:tr w:rsidR="00C94D9A" w:rsidRPr="00C94D9A" w14:paraId="7DFD2BA1" w14:textId="77777777" w:rsidTr="0002537E">
        <w:trPr>
          <w:trHeight w:val="382"/>
        </w:trPr>
        <w:tc>
          <w:tcPr>
            <w:tcW w:w="3094"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FAE3539" w14:textId="7995A2AC" w:rsidR="00C94D9A" w:rsidRPr="004E4274" w:rsidRDefault="00C94D9A" w:rsidP="0002537E">
            <w:pPr>
              <w:rPr>
                <w:szCs w:val="20"/>
              </w:rPr>
            </w:pPr>
            <w:r w:rsidRPr="0002537E">
              <w:rPr>
                <w:sz w:val="20"/>
                <w:szCs w:val="20"/>
              </w:rPr>
              <w:t>Poitrine brute frais ou réfrigéré</w:t>
            </w:r>
          </w:p>
        </w:tc>
        <w:tc>
          <w:tcPr>
            <w:tcW w:w="1573"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93CBC2E" w14:textId="77777777" w:rsidR="00C94D9A" w:rsidRPr="004E4274" w:rsidRDefault="00C94D9A" w:rsidP="0002537E">
            <w:pPr>
              <w:rPr>
                <w:szCs w:val="20"/>
              </w:rPr>
            </w:pPr>
            <w:r w:rsidRPr="0002537E">
              <w:rPr>
                <w:bCs/>
                <w:sz w:val="20"/>
                <w:szCs w:val="20"/>
              </w:rPr>
              <w:t>207</w:t>
            </w:r>
          </w:p>
        </w:tc>
        <w:tc>
          <w:tcPr>
            <w:tcW w:w="1154"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A0BD68C" w14:textId="77777777" w:rsidR="00C94D9A" w:rsidRPr="004E4274" w:rsidRDefault="00C94D9A" w:rsidP="0002537E">
            <w:pPr>
              <w:rPr>
                <w:szCs w:val="20"/>
              </w:rPr>
            </w:pPr>
            <w:r w:rsidRPr="0002537E">
              <w:rPr>
                <w:bCs/>
                <w:sz w:val="20"/>
                <w:szCs w:val="20"/>
              </w:rPr>
              <w:t>0,2</w:t>
            </w:r>
          </w:p>
        </w:tc>
        <w:tc>
          <w:tcPr>
            <w:tcW w:w="1054"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32AEA6" w14:textId="77777777" w:rsidR="00C94D9A" w:rsidRPr="004E4274" w:rsidRDefault="00C94D9A" w:rsidP="0002537E">
            <w:pPr>
              <w:rPr>
                <w:szCs w:val="20"/>
              </w:rPr>
            </w:pPr>
            <w:r w:rsidRPr="0002537E">
              <w:rPr>
                <w:bCs/>
                <w:sz w:val="20"/>
                <w:szCs w:val="20"/>
              </w:rPr>
              <w:t>22</w:t>
            </w:r>
          </w:p>
        </w:tc>
        <w:tc>
          <w:tcPr>
            <w:tcW w:w="2476"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A62DE76" w14:textId="77777777" w:rsidR="00C94D9A" w:rsidRPr="004E4274" w:rsidRDefault="00C94D9A" w:rsidP="0002537E">
            <w:pPr>
              <w:rPr>
                <w:szCs w:val="20"/>
              </w:rPr>
            </w:pPr>
            <w:r w:rsidRPr="0002537E">
              <w:rPr>
                <w:bCs/>
                <w:sz w:val="20"/>
                <w:szCs w:val="20"/>
              </w:rPr>
              <w:t>167 [150-184]</w:t>
            </w:r>
          </w:p>
        </w:tc>
      </w:tr>
      <w:tr w:rsidR="00C94D9A" w:rsidRPr="00C94D9A" w14:paraId="0323092A" w14:textId="77777777" w:rsidTr="00741BFF">
        <w:trPr>
          <w:trHeight w:val="317"/>
        </w:trPr>
        <w:tc>
          <w:tcPr>
            <w:tcW w:w="309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7FCCBA" w14:textId="7C8E8B07" w:rsidR="00C94D9A" w:rsidRPr="004E4274" w:rsidRDefault="00C94D9A" w:rsidP="0002537E">
            <w:pPr>
              <w:rPr>
                <w:szCs w:val="20"/>
              </w:rPr>
            </w:pPr>
            <w:r w:rsidRPr="0002537E">
              <w:rPr>
                <w:sz w:val="20"/>
                <w:szCs w:val="20"/>
              </w:rPr>
              <w:t>Poitrine brute congelé</w:t>
            </w:r>
          </w:p>
        </w:tc>
        <w:tc>
          <w:tcPr>
            <w:tcW w:w="157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5DDE48B" w14:textId="77777777" w:rsidR="00C94D9A" w:rsidRPr="004E4274" w:rsidRDefault="00C94D9A" w:rsidP="0002537E">
            <w:pPr>
              <w:rPr>
                <w:szCs w:val="20"/>
              </w:rPr>
            </w:pPr>
            <w:r w:rsidRPr="0002537E">
              <w:rPr>
                <w:bCs/>
                <w:sz w:val="20"/>
                <w:szCs w:val="20"/>
              </w:rPr>
              <w:t>56</w:t>
            </w:r>
          </w:p>
        </w:tc>
        <w:tc>
          <w:tcPr>
            <w:tcW w:w="115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C9594C5" w14:textId="77777777" w:rsidR="00C94D9A" w:rsidRPr="004E4274" w:rsidRDefault="00C94D9A" w:rsidP="0002537E">
            <w:pPr>
              <w:rPr>
                <w:szCs w:val="20"/>
              </w:rPr>
            </w:pPr>
            <w:r w:rsidRPr="0002537E">
              <w:rPr>
                <w:bCs/>
                <w:sz w:val="20"/>
                <w:szCs w:val="20"/>
              </w:rPr>
              <w:t>0,1</w:t>
            </w:r>
          </w:p>
        </w:tc>
        <w:tc>
          <w:tcPr>
            <w:tcW w:w="105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1790F19" w14:textId="77777777" w:rsidR="00C94D9A" w:rsidRPr="004E4274" w:rsidRDefault="00C94D9A" w:rsidP="0002537E">
            <w:pPr>
              <w:rPr>
                <w:szCs w:val="20"/>
              </w:rPr>
            </w:pPr>
            <w:r w:rsidRPr="0002537E">
              <w:rPr>
                <w:bCs/>
                <w:sz w:val="20"/>
                <w:szCs w:val="20"/>
              </w:rPr>
              <w:t>42</w:t>
            </w:r>
          </w:p>
        </w:tc>
        <w:tc>
          <w:tcPr>
            <w:tcW w:w="2476"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C45217F" w14:textId="77777777" w:rsidR="00C94D9A" w:rsidRPr="004E4274" w:rsidRDefault="00C94D9A" w:rsidP="0002537E">
            <w:pPr>
              <w:rPr>
                <w:szCs w:val="20"/>
              </w:rPr>
            </w:pPr>
            <w:r w:rsidRPr="0002537E">
              <w:rPr>
                <w:bCs/>
                <w:sz w:val="20"/>
                <w:szCs w:val="20"/>
              </w:rPr>
              <w:t>13 [11-14]</w:t>
            </w:r>
          </w:p>
        </w:tc>
      </w:tr>
      <w:tr w:rsidR="00C94D9A" w:rsidRPr="00C94D9A" w14:paraId="35C4B8D5" w14:textId="77777777" w:rsidTr="0002537E">
        <w:trPr>
          <w:trHeight w:val="254"/>
        </w:trPr>
        <w:tc>
          <w:tcPr>
            <w:tcW w:w="30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68C18794" w14:textId="77777777" w:rsidR="00C94D9A" w:rsidRPr="004E4274" w:rsidRDefault="00C94D9A" w:rsidP="0002537E">
            <w:pPr>
              <w:rPr>
                <w:szCs w:val="20"/>
              </w:rPr>
            </w:pPr>
            <w:r w:rsidRPr="0002537E">
              <w:rPr>
                <w:sz w:val="20"/>
                <w:szCs w:val="20"/>
              </w:rPr>
              <w:t>Gras de couenne, autres gras</w:t>
            </w:r>
          </w:p>
        </w:tc>
        <w:tc>
          <w:tcPr>
            <w:tcW w:w="15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637B28DB" w14:textId="77777777" w:rsidR="00C94D9A" w:rsidRPr="004E4274" w:rsidRDefault="00C94D9A" w:rsidP="0002537E">
            <w:pPr>
              <w:rPr>
                <w:szCs w:val="20"/>
              </w:rPr>
            </w:pPr>
            <w:r w:rsidRPr="0002537E">
              <w:rPr>
                <w:sz w:val="20"/>
                <w:szCs w:val="20"/>
              </w:rPr>
              <w:t>_</w:t>
            </w:r>
          </w:p>
        </w:tc>
        <w:tc>
          <w:tcPr>
            <w:tcW w:w="11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06DB4F93" w14:textId="77777777" w:rsidR="00C94D9A" w:rsidRPr="004E4274" w:rsidRDefault="00C94D9A" w:rsidP="0002537E">
            <w:pPr>
              <w:rPr>
                <w:szCs w:val="20"/>
              </w:rPr>
            </w:pPr>
            <w:r w:rsidRPr="0002537E">
              <w:rPr>
                <w:sz w:val="20"/>
                <w:szCs w:val="20"/>
              </w:rPr>
              <w:t>_</w:t>
            </w:r>
          </w:p>
        </w:tc>
        <w:tc>
          <w:tcPr>
            <w:tcW w:w="10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2688711A" w14:textId="77777777" w:rsidR="00C94D9A" w:rsidRPr="004E4274" w:rsidRDefault="00C94D9A" w:rsidP="0002537E">
            <w:pPr>
              <w:rPr>
                <w:szCs w:val="20"/>
              </w:rPr>
            </w:pPr>
            <w:r w:rsidRPr="0002537E">
              <w:rPr>
                <w:sz w:val="20"/>
                <w:szCs w:val="20"/>
              </w:rPr>
              <w:t>_</w:t>
            </w:r>
          </w:p>
        </w:tc>
        <w:tc>
          <w:tcPr>
            <w:tcW w:w="2476" w:type="dxa"/>
            <w:vMerge w:val="restart"/>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B67BCD9" w14:textId="77777777" w:rsidR="00C94D9A" w:rsidRPr="004E4274" w:rsidRDefault="00C94D9A" w:rsidP="0002537E">
            <w:pPr>
              <w:rPr>
                <w:szCs w:val="20"/>
              </w:rPr>
            </w:pPr>
            <w:r w:rsidRPr="0002537E">
              <w:rPr>
                <w:rFonts w:eastAsiaTheme="minorEastAsia"/>
                <w:bCs/>
                <w:sz w:val="20"/>
                <w:szCs w:val="20"/>
              </w:rPr>
              <w:t>13 [11-14]</w:t>
            </w:r>
          </w:p>
        </w:tc>
      </w:tr>
      <w:tr w:rsidR="00C94D9A" w:rsidRPr="00C94D9A" w14:paraId="5061503C" w14:textId="77777777" w:rsidTr="0002537E">
        <w:trPr>
          <w:trHeight w:val="246"/>
        </w:trPr>
        <w:tc>
          <w:tcPr>
            <w:tcW w:w="30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6F3A1B6" w14:textId="77777777" w:rsidR="00C94D9A" w:rsidRPr="004E4274" w:rsidRDefault="00C94D9A" w:rsidP="0002537E">
            <w:pPr>
              <w:rPr>
                <w:szCs w:val="20"/>
              </w:rPr>
            </w:pPr>
            <w:r w:rsidRPr="0002537E">
              <w:rPr>
                <w:sz w:val="20"/>
                <w:szCs w:val="20"/>
              </w:rPr>
              <w:t>Freinte, minerai</w:t>
            </w:r>
          </w:p>
        </w:tc>
        <w:tc>
          <w:tcPr>
            <w:tcW w:w="15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B8FB741" w14:textId="77777777" w:rsidR="00C94D9A" w:rsidRPr="004E4274" w:rsidRDefault="00C94D9A" w:rsidP="0002537E">
            <w:pPr>
              <w:rPr>
                <w:szCs w:val="20"/>
              </w:rPr>
            </w:pPr>
            <w:r w:rsidRPr="0002537E">
              <w:rPr>
                <w:sz w:val="20"/>
                <w:szCs w:val="20"/>
              </w:rPr>
              <w:t>_</w:t>
            </w:r>
          </w:p>
        </w:tc>
        <w:tc>
          <w:tcPr>
            <w:tcW w:w="11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33762749" w14:textId="77777777" w:rsidR="00C94D9A" w:rsidRPr="004E4274" w:rsidRDefault="00C94D9A" w:rsidP="0002537E">
            <w:pPr>
              <w:rPr>
                <w:szCs w:val="20"/>
              </w:rPr>
            </w:pPr>
            <w:r w:rsidRPr="0002537E">
              <w:rPr>
                <w:sz w:val="20"/>
                <w:szCs w:val="20"/>
              </w:rPr>
              <w:t>_</w:t>
            </w:r>
          </w:p>
        </w:tc>
        <w:tc>
          <w:tcPr>
            <w:tcW w:w="10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6CDD9DC" w14:textId="77777777" w:rsidR="00C94D9A" w:rsidRPr="004E4274" w:rsidRDefault="00C94D9A" w:rsidP="0002537E">
            <w:pPr>
              <w:rPr>
                <w:szCs w:val="20"/>
              </w:rPr>
            </w:pPr>
            <w:r w:rsidRPr="0002537E">
              <w:rPr>
                <w:sz w:val="20"/>
                <w:szCs w:val="20"/>
              </w:rPr>
              <w:t>_</w:t>
            </w:r>
          </w:p>
        </w:tc>
        <w:tc>
          <w:tcPr>
            <w:tcW w:w="2476" w:type="dxa"/>
            <w:vMerge/>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22BAB8F" w14:textId="77777777" w:rsidR="00C94D9A" w:rsidRPr="0002537E" w:rsidRDefault="00C94D9A" w:rsidP="0002537E">
            <w:pPr>
              <w:rPr>
                <w:szCs w:val="20"/>
              </w:rPr>
            </w:pPr>
          </w:p>
        </w:tc>
      </w:tr>
      <w:tr w:rsidR="00C94D9A" w:rsidRPr="00C94D9A" w14:paraId="5066437B" w14:textId="77777777" w:rsidTr="0002537E">
        <w:trPr>
          <w:trHeight w:val="218"/>
        </w:trPr>
        <w:tc>
          <w:tcPr>
            <w:tcW w:w="309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404FEBFB" w14:textId="77777777" w:rsidR="00C94D9A" w:rsidRPr="004E4274" w:rsidRDefault="00C94D9A" w:rsidP="0002537E">
            <w:pPr>
              <w:rPr>
                <w:szCs w:val="20"/>
              </w:rPr>
            </w:pPr>
            <w:r w:rsidRPr="0002537E">
              <w:rPr>
                <w:sz w:val="20"/>
                <w:szCs w:val="20"/>
              </w:rPr>
              <w:t>Exsudat (2%)</w:t>
            </w:r>
          </w:p>
        </w:tc>
        <w:tc>
          <w:tcPr>
            <w:tcW w:w="157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51CE263" w14:textId="77777777" w:rsidR="00C94D9A" w:rsidRPr="004E4274" w:rsidRDefault="00C94D9A" w:rsidP="0002537E">
            <w:pPr>
              <w:rPr>
                <w:szCs w:val="20"/>
              </w:rPr>
            </w:pPr>
            <w:r w:rsidRPr="0002537E">
              <w:rPr>
                <w:sz w:val="20"/>
                <w:szCs w:val="20"/>
              </w:rPr>
              <w:t>_</w:t>
            </w:r>
          </w:p>
        </w:tc>
        <w:tc>
          <w:tcPr>
            <w:tcW w:w="11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025C083" w14:textId="77777777" w:rsidR="00C94D9A" w:rsidRPr="004E4274" w:rsidRDefault="00C94D9A" w:rsidP="0002537E">
            <w:pPr>
              <w:rPr>
                <w:szCs w:val="20"/>
              </w:rPr>
            </w:pPr>
            <w:r w:rsidRPr="0002537E">
              <w:rPr>
                <w:sz w:val="20"/>
                <w:szCs w:val="20"/>
              </w:rPr>
              <w:t>_</w:t>
            </w:r>
          </w:p>
        </w:tc>
        <w:tc>
          <w:tcPr>
            <w:tcW w:w="105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357458B" w14:textId="77777777" w:rsidR="00C94D9A" w:rsidRPr="004E4274" w:rsidRDefault="00C94D9A" w:rsidP="0002537E">
            <w:pPr>
              <w:rPr>
                <w:szCs w:val="20"/>
              </w:rPr>
            </w:pPr>
            <w:r w:rsidRPr="0002537E">
              <w:rPr>
                <w:sz w:val="20"/>
                <w:szCs w:val="20"/>
              </w:rPr>
              <w:t>_</w:t>
            </w:r>
          </w:p>
        </w:tc>
        <w:tc>
          <w:tcPr>
            <w:tcW w:w="2476"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5613CB2C" w14:textId="77777777" w:rsidR="00C94D9A" w:rsidRPr="004E4274" w:rsidRDefault="00C94D9A" w:rsidP="0002537E">
            <w:pPr>
              <w:rPr>
                <w:szCs w:val="20"/>
              </w:rPr>
            </w:pPr>
            <w:r w:rsidRPr="0002537E">
              <w:rPr>
                <w:bCs/>
                <w:sz w:val="20"/>
                <w:szCs w:val="20"/>
              </w:rPr>
              <w:t>7 [6-7,4]</w:t>
            </w:r>
          </w:p>
        </w:tc>
      </w:tr>
    </w:tbl>
    <w:p w14:paraId="31DF67A4" w14:textId="4CAB683E" w:rsidR="00C94D9A" w:rsidRPr="0002537E" w:rsidRDefault="00D46C06" w:rsidP="0002537E">
      <w:pPr>
        <w:pStyle w:val="figure"/>
        <w:rPr>
          <w:i/>
        </w:rPr>
      </w:pPr>
      <w:bookmarkStart w:id="391" w:name="_Toc72143428"/>
      <w:r w:rsidRPr="00D46C06">
        <w:t xml:space="preserve">Tableau </w:t>
      </w:r>
      <w:r w:rsidRPr="00D54EC4">
        <w:fldChar w:fldCharType="begin"/>
      </w:r>
      <w:r w:rsidRPr="00D46C06">
        <w:instrText xml:space="preserve"> SEQ Tableau \* ARABIC </w:instrText>
      </w:r>
      <w:r w:rsidRPr="00D54EC4">
        <w:fldChar w:fldCharType="separate"/>
      </w:r>
      <w:r w:rsidR="0007597F">
        <w:rPr>
          <w:i/>
          <w:noProof/>
        </w:rPr>
        <w:t>81</w:t>
      </w:r>
      <w:r w:rsidRPr="00D54EC4">
        <w:fldChar w:fldCharType="end"/>
      </w:r>
      <w:r w:rsidR="007538FF">
        <w:rPr>
          <w:i/>
        </w:rPr>
        <w:t> :</w:t>
      </w:r>
      <w:r>
        <w:rPr>
          <w:i/>
        </w:rPr>
        <w:t xml:space="preserve"> </w:t>
      </w:r>
      <w:r w:rsidR="00C94D9A" w:rsidRPr="00926407">
        <w:t xml:space="preserve">Représentation tableau emploi ressource </w:t>
      </w:r>
      <w:r w:rsidR="001C25D4">
        <w:rPr>
          <w:i/>
        </w:rPr>
        <w:t>à destination de la formation de poitrine en équivalent pièce</w:t>
      </w:r>
      <w:r w:rsidR="00C94D9A" w:rsidRPr="0002537E">
        <w:t xml:space="preserve"> primaire</w:t>
      </w:r>
      <w:bookmarkEnd w:id="391"/>
    </w:p>
    <w:p w14:paraId="677BE490" w14:textId="6C4D26B9" w:rsidR="00C94D9A" w:rsidRDefault="00C94D9A" w:rsidP="001C25D4">
      <w:pPr>
        <w:pStyle w:val="Titre3"/>
        <w:spacing w:before="240"/>
      </w:pPr>
      <w:bookmarkStart w:id="392" w:name="_Toc78131696"/>
      <w:r>
        <w:t>2.4.</w:t>
      </w:r>
      <w:r w:rsidR="00020635">
        <w:t xml:space="preserve">2. </w:t>
      </w:r>
      <w:r w:rsidR="00020635" w:rsidRPr="00F93328">
        <w:t>D</w:t>
      </w:r>
      <w:r w:rsidR="00020635">
        <w:t>e</w:t>
      </w:r>
      <w:r w:rsidR="00020635" w:rsidRPr="00F93328">
        <w:t>s</w:t>
      </w:r>
      <w:r w:rsidR="00020635">
        <w:t xml:space="preserve">tination des </w:t>
      </w:r>
      <w:r w:rsidR="00020635" w:rsidRPr="00A06B55">
        <w:rPr>
          <w:rFonts w:eastAsiaTheme="minorEastAsia"/>
        </w:rPr>
        <w:t>pièces parées, muscles parés (</w:t>
      </w:r>
      <w:r w:rsidR="004E5614">
        <w:rPr>
          <w:rFonts w:eastAsiaTheme="minorEastAsia"/>
        </w:rPr>
        <w:t>é</w:t>
      </w:r>
      <w:r w:rsidR="00020635" w:rsidRPr="00A06B55">
        <w:rPr>
          <w:rFonts w:eastAsiaTheme="minorEastAsia"/>
        </w:rPr>
        <w:t>q</w:t>
      </w:r>
      <w:r w:rsidR="004E5614">
        <w:rPr>
          <w:rFonts w:eastAsiaTheme="minorEastAsia"/>
        </w:rPr>
        <w:t>uivalent</w:t>
      </w:r>
      <w:r w:rsidR="00020635" w:rsidRPr="00A06B55">
        <w:rPr>
          <w:rFonts w:eastAsiaTheme="minorEastAsia"/>
        </w:rPr>
        <w:t xml:space="preserve"> </w:t>
      </w:r>
      <w:r w:rsidR="00020635">
        <w:rPr>
          <w:rFonts w:eastAsiaTheme="minorEastAsia"/>
        </w:rPr>
        <w:t>p</w:t>
      </w:r>
      <w:r w:rsidR="00020635" w:rsidRPr="00A06B55">
        <w:rPr>
          <w:rFonts w:eastAsiaTheme="minorEastAsia"/>
        </w:rPr>
        <w:t>ièces secondaires)</w:t>
      </w:r>
      <w:bookmarkEnd w:id="392"/>
    </w:p>
    <w:p w14:paraId="52DFC6C6" w14:textId="00919FD1" w:rsidR="001C25D4" w:rsidRPr="004E4274" w:rsidRDefault="00E40DF4" w:rsidP="0002537E">
      <w:r w:rsidRPr="00713036">
        <w:t>Le</w:t>
      </w:r>
      <w:r>
        <w:t xml:space="preserve"> total</w:t>
      </w:r>
      <w:r w:rsidRPr="00713036">
        <w:t xml:space="preserve"> disponible à la consommation en pièces issues </w:t>
      </w:r>
      <w:r>
        <w:t>en sortie de découpe secondaire</w:t>
      </w:r>
      <w:r w:rsidR="00CF757E">
        <w:t xml:space="preserve"> de poitrine</w:t>
      </w:r>
      <w:r>
        <w:t xml:space="preserve"> </w:t>
      </w:r>
      <w:r w:rsidRPr="00713036">
        <w:t xml:space="preserve">est d’environ </w:t>
      </w:r>
      <w:r>
        <w:t>1</w:t>
      </w:r>
      <w:r w:rsidR="009674DF">
        <w:t>70</w:t>
      </w:r>
      <w:r w:rsidR="00741BFF">
        <w:t> </w:t>
      </w:r>
      <w:r>
        <w:t>kt</w:t>
      </w:r>
      <w:r w:rsidRPr="00A06B55">
        <w:t>.</w:t>
      </w:r>
      <w:r w:rsidR="00B91FA7">
        <w:t xml:space="preserve"> </w:t>
      </w:r>
      <w:r w:rsidRPr="00A50150">
        <w:rPr>
          <w:lang w:eastAsia="fr-FR"/>
        </w:rPr>
        <w:t>Les volumes d’importa</w:t>
      </w:r>
      <w:r w:rsidR="00B91FA7">
        <w:rPr>
          <w:lang w:eastAsia="fr-FR"/>
        </w:rPr>
        <w:t xml:space="preserve">tion correspondent aux pièces primaires </w:t>
      </w:r>
      <w:r w:rsidR="00CF757E">
        <w:rPr>
          <w:lang w:eastAsia="fr-FR"/>
        </w:rPr>
        <w:t>de</w:t>
      </w:r>
      <w:r w:rsidR="00B91FA7">
        <w:rPr>
          <w:lang w:eastAsia="fr-FR"/>
        </w:rPr>
        <w:t xml:space="preserve"> poitrines fraîches et congelées </w:t>
      </w:r>
      <w:r w:rsidRPr="00A50150">
        <w:rPr>
          <w:lang w:eastAsia="fr-FR"/>
        </w:rPr>
        <w:t>(</w:t>
      </w:r>
      <w:r w:rsidR="00B91FA7">
        <w:rPr>
          <w:lang w:eastAsia="fr-FR"/>
        </w:rPr>
        <w:t>02031915 et 02032915</w:t>
      </w:r>
      <w:r w:rsidR="00741BFF">
        <w:rPr>
          <w:lang w:eastAsia="fr-FR"/>
        </w:rPr>
        <w:t> </w:t>
      </w:r>
      <w:r w:rsidR="00B91FA7">
        <w:rPr>
          <w:lang w:eastAsia="fr-FR"/>
        </w:rPr>
        <w:t xml:space="preserve">; </w:t>
      </w:r>
      <w:r w:rsidR="00020635">
        <w:rPr>
          <w:lang w:eastAsia="fr-FR"/>
        </w:rPr>
        <w:t>20,5</w:t>
      </w:r>
      <w:r w:rsidR="00741BFF">
        <w:rPr>
          <w:lang w:eastAsia="fr-FR"/>
        </w:rPr>
        <w:t> </w:t>
      </w:r>
      <w:r w:rsidR="00020635">
        <w:rPr>
          <w:lang w:eastAsia="fr-FR"/>
        </w:rPr>
        <w:t>kt et 3,2</w:t>
      </w:r>
      <w:r w:rsidR="00741BFF">
        <w:rPr>
          <w:lang w:eastAsia="fr-FR"/>
        </w:rPr>
        <w:t> </w:t>
      </w:r>
      <w:r w:rsidR="00020635">
        <w:rPr>
          <w:lang w:eastAsia="fr-FR"/>
        </w:rPr>
        <w:t>kt</w:t>
      </w:r>
      <w:r w:rsidRPr="00A50150">
        <w:rPr>
          <w:lang w:eastAsia="fr-FR"/>
        </w:rPr>
        <w:t>)</w:t>
      </w:r>
      <w:r w:rsidR="00B91FA7">
        <w:rPr>
          <w:lang w:eastAsia="fr-FR"/>
        </w:rPr>
        <w:t xml:space="preserve"> pour un volume </w:t>
      </w:r>
      <w:r w:rsidR="00020635">
        <w:rPr>
          <w:lang w:eastAsia="fr-FR"/>
        </w:rPr>
        <w:t>total</w:t>
      </w:r>
      <w:r w:rsidR="00B91FA7">
        <w:rPr>
          <w:lang w:eastAsia="fr-FR"/>
        </w:rPr>
        <w:t xml:space="preserve"> </w:t>
      </w:r>
      <w:r w:rsidR="00020635">
        <w:rPr>
          <w:lang w:eastAsia="fr-FR"/>
        </w:rPr>
        <w:t>de 24</w:t>
      </w:r>
      <w:r w:rsidR="00741BFF">
        <w:rPr>
          <w:lang w:eastAsia="fr-FR"/>
        </w:rPr>
        <w:t> </w:t>
      </w:r>
      <w:r w:rsidR="00020635">
        <w:rPr>
          <w:lang w:eastAsia="fr-FR"/>
        </w:rPr>
        <w:t>kt</w:t>
      </w:r>
      <w:r w:rsidRPr="00A50150">
        <w:rPr>
          <w:lang w:eastAsia="fr-FR"/>
        </w:rPr>
        <w:t>.</w:t>
      </w:r>
      <w:r w:rsidR="00B91FA7">
        <w:rPr>
          <w:lang w:eastAsia="fr-FR"/>
        </w:rPr>
        <w:t xml:space="preserve"> Les volumes </w:t>
      </w:r>
      <w:r>
        <w:rPr>
          <w:lang w:eastAsia="fr-FR"/>
        </w:rPr>
        <w:t>d’exportation</w:t>
      </w:r>
      <w:r w:rsidR="00B91FA7">
        <w:rPr>
          <w:lang w:eastAsia="fr-FR"/>
        </w:rPr>
        <w:t xml:space="preserve"> d’environ 4</w:t>
      </w:r>
      <w:r w:rsidR="00741BFF">
        <w:rPr>
          <w:lang w:eastAsia="fr-FR"/>
        </w:rPr>
        <w:t> </w:t>
      </w:r>
      <w:r w:rsidR="00B91FA7">
        <w:rPr>
          <w:lang w:eastAsia="fr-FR"/>
        </w:rPr>
        <w:t>kt couvrent la poitrine SS (1,2</w:t>
      </w:r>
      <w:r w:rsidR="00741BFF">
        <w:rPr>
          <w:lang w:eastAsia="fr-FR"/>
        </w:rPr>
        <w:t> </w:t>
      </w:r>
      <w:r w:rsidR="00B91FA7">
        <w:rPr>
          <w:lang w:eastAsia="fr-FR"/>
        </w:rPr>
        <w:t>kt) et la poitrine SF (2,6</w:t>
      </w:r>
      <w:r w:rsidR="00741BFF">
        <w:rPr>
          <w:lang w:eastAsia="fr-FR"/>
        </w:rPr>
        <w:t> </w:t>
      </w:r>
      <w:r w:rsidR="00B91FA7">
        <w:rPr>
          <w:lang w:eastAsia="fr-FR"/>
        </w:rPr>
        <w:t xml:space="preserve">kt). </w:t>
      </w:r>
      <w:r w:rsidR="00B91FA7">
        <w:t>Comme pour les pièces primaires précédentes, les</w:t>
      </w:r>
      <w:r>
        <w:rPr>
          <w:bCs/>
          <w:lang w:eastAsia="fr-FR"/>
        </w:rPr>
        <w:t xml:space="preserve"> incertitudes en entrée </w:t>
      </w:r>
      <w:r w:rsidR="00064312">
        <w:rPr>
          <w:bCs/>
          <w:lang w:eastAsia="fr-FR"/>
        </w:rPr>
        <w:t xml:space="preserve">et sortie </w:t>
      </w:r>
      <w:r>
        <w:rPr>
          <w:bCs/>
          <w:lang w:eastAsia="fr-FR"/>
        </w:rPr>
        <w:t xml:space="preserve">de tableau sont de </w:t>
      </w:r>
      <w:r w:rsidR="00064312">
        <w:rPr>
          <w:bCs/>
          <w:lang w:eastAsia="fr-FR"/>
        </w:rPr>
        <w:t>30</w:t>
      </w:r>
      <w:r w:rsidR="00741BFF">
        <w:rPr>
          <w:bCs/>
          <w:lang w:eastAsia="fr-FR"/>
        </w:rPr>
        <w:t> </w:t>
      </w:r>
      <w:r w:rsidR="00064312">
        <w:rPr>
          <w:bCs/>
          <w:lang w:eastAsia="fr-FR"/>
        </w:rPr>
        <w:t xml:space="preserve">% </w:t>
      </w:r>
      <w:r>
        <w:rPr>
          <w:bCs/>
          <w:lang w:eastAsia="fr-FR"/>
        </w:rPr>
        <w:t>compte tenu des sources de données et des modes d’estimation.</w:t>
      </w:r>
      <w:r w:rsidR="00782B77" w:rsidRPr="00782B77">
        <w:rPr>
          <w:noProof/>
        </w:rPr>
        <w:t xml:space="preserve"> </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539"/>
        <w:gridCol w:w="1276"/>
        <w:gridCol w:w="1134"/>
        <w:gridCol w:w="1134"/>
        <w:gridCol w:w="2551"/>
      </w:tblGrid>
      <w:tr w:rsidR="00C94D9A" w:rsidRPr="00C94D9A" w14:paraId="5F25773B" w14:textId="77777777" w:rsidTr="0002537E">
        <w:trPr>
          <w:trHeight w:val="297"/>
        </w:trPr>
        <w:tc>
          <w:tcPr>
            <w:tcW w:w="3539" w:type="dxa"/>
            <w:shd w:val="clear" w:color="auto" w:fill="A6A6A6" w:themeFill="background1" w:themeFillShade="A6"/>
            <w:tcMar>
              <w:top w:w="15" w:type="dxa"/>
              <w:left w:w="15" w:type="dxa"/>
              <w:bottom w:w="0" w:type="dxa"/>
              <w:right w:w="15" w:type="dxa"/>
            </w:tcMar>
            <w:vAlign w:val="center"/>
            <w:hideMark/>
          </w:tcPr>
          <w:p w14:paraId="5023D3D4" w14:textId="77777777" w:rsidR="00C94D9A" w:rsidRPr="0002537E" w:rsidRDefault="00C94D9A" w:rsidP="0002537E">
            <w:pPr>
              <w:pStyle w:val="ValrieN2"/>
              <w:spacing w:after="0" w:line="240" w:lineRule="auto"/>
              <w:ind w:left="-17"/>
              <w:rPr>
                <w:sz w:val="20"/>
                <w:szCs w:val="20"/>
              </w:rPr>
            </w:pPr>
            <w:r w:rsidRPr="0002537E">
              <w:rPr>
                <w:bCs/>
                <w:sz w:val="20"/>
                <w:szCs w:val="20"/>
              </w:rPr>
              <w:t> </w:t>
            </w:r>
          </w:p>
        </w:tc>
        <w:tc>
          <w:tcPr>
            <w:tcW w:w="1276" w:type="dxa"/>
            <w:shd w:val="clear" w:color="auto" w:fill="A6A6A6" w:themeFill="background1" w:themeFillShade="A6"/>
            <w:tcMar>
              <w:top w:w="15" w:type="dxa"/>
              <w:left w:w="15" w:type="dxa"/>
              <w:bottom w:w="0" w:type="dxa"/>
              <w:right w:w="15" w:type="dxa"/>
            </w:tcMar>
            <w:vAlign w:val="center"/>
            <w:hideMark/>
          </w:tcPr>
          <w:p w14:paraId="09823FB7" w14:textId="77777777" w:rsidR="00C94D9A" w:rsidRPr="0002537E" w:rsidRDefault="00C94D9A" w:rsidP="0002537E">
            <w:pPr>
              <w:pStyle w:val="ValrieN2"/>
              <w:spacing w:after="0" w:line="240" w:lineRule="auto"/>
              <w:ind w:left="-17"/>
              <w:rPr>
                <w:sz w:val="20"/>
                <w:szCs w:val="20"/>
              </w:rPr>
            </w:pPr>
            <w:r w:rsidRPr="0002537E">
              <w:rPr>
                <w:bCs/>
                <w:sz w:val="20"/>
                <w:szCs w:val="20"/>
              </w:rPr>
              <w:t xml:space="preserve">Production </w:t>
            </w:r>
          </w:p>
        </w:tc>
        <w:tc>
          <w:tcPr>
            <w:tcW w:w="1134" w:type="dxa"/>
            <w:shd w:val="clear" w:color="auto" w:fill="A6A6A6" w:themeFill="background1" w:themeFillShade="A6"/>
            <w:tcMar>
              <w:top w:w="15" w:type="dxa"/>
              <w:left w:w="15" w:type="dxa"/>
              <w:bottom w:w="0" w:type="dxa"/>
              <w:right w:w="15" w:type="dxa"/>
            </w:tcMar>
            <w:vAlign w:val="center"/>
            <w:hideMark/>
          </w:tcPr>
          <w:p w14:paraId="64D2FED5" w14:textId="77777777" w:rsidR="00C94D9A" w:rsidRPr="0002537E" w:rsidRDefault="00C94D9A" w:rsidP="0002537E">
            <w:pPr>
              <w:pStyle w:val="ValrieN2"/>
              <w:spacing w:after="0" w:line="240" w:lineRule="auto"/>
              <w:ind w:left="-17"/>
              <w:rPr>
                <w:sz w:val="20"/>
                <w:szCs w:val="20"/>
              </w:rPr>
            </w:pPr>
            <w:r w:rsidRPr="0002537E">
              <w:rPr>
                <w:bCs/>
                <w:sz w:val="20"/>
                <w:szCs w:val="20"/>
              </w:rPr>
              <w:t>I</w:t>
            </w:r>
          </w:p>
        </w:tc>
        <w:tc>
          <w:tcPr>
            <w:tcW w:w="1134" w:type="dxa"/>
            <w:shd w:val="clear" w:color="auto" w:fill="A6A6A6" w:themeFill="background1" w:themeFillShade="A6"/>
            <w:tcMar>
              <w:top w:w="15" w:type="dxa"/>
              <w:left w:w="15" w:type="dxa"/>
              <w:bottom w:w="0" w:type="dxa"/>
              <w:right w:w="15" w:type="dxa"/>
            </w:tcMar>
            <w:vAlign w:val="center"/>
            <w:hideMark/>
          </w:tcPr>
          <w:p w14:paraId="0D8729CB" w14:textId="77777777" w:rsidR="00C94D9A" w:rsidRPr="0002537E" w:rsidRDefault="00C94D9A" w:rsidP="0002537E">
            <w:pPr>
              <w:pStyle w:val="ValrieN2"/>
              <w:spacing w:after="0" w:line="240" w:lineRule="auto"/>
              <w:ind w:left="-17"/>
              <w:rPr>
                <w:sz w:val="20"/>
                <w:szCs w:val="20"/>
              </w:rPr>
            </w:pPr>
            <w:r w:rsidRPr="0002537E">
              <w:rPr>
                <w:bCs/>
                <w:sz w:val="20"/>
                <w:szCs w:val="20"/>
              </w:rPr>
              <w:t>Ex</w:t>
            </w:r>
          </w:p>
        </w:tc>
        <w:tc>
          <w:tcPr>
            <w:tcW w:w="2551" w:type="dxa"/>
            <w:shd w:val="clear" w:color="auto" w:fill="A6A6A6" w:themeFill="background1" w:themeFillShade="A6"/>
            <w:tcMar>
              <w:top w:w="15" w:type="dxa"/>
              <w:left w:w="15" w:type="dxa"/>
              <w:bottom w:w="0" w:type="dxa"/>
              <w:right w:w="15" w:type="dxa"/>
            </w:tcMar>
            <w:vAlign w:val="center"/>
            <w:hideMark/>
          </w:tcPr>
          <w:p w14:paraId="155B0041" w14:textId="77777777" w:rsidR="00C94D9A" w:rsidRPr="0002537E" w:rsidRDefault="00C94D9A" w:rsidP="0002537E">
            <w:pPr>
              <w:pStyle w:val="ValrieN2"/>
              <w:spacing w:after="0" w:line="240" w:lineRule="auto"/>
              <w:ind w:left="-17"/>
              <w:rPr>
                <w:sz w:val="20"/>
                <w:szCs w:val="20"/>
              </w:rPr>
            </w:pPr>
            <w:r w:rsidRPr="0002537E">
              <w:rPr>
                <w:bCs/>
                <w:sz w:val="20"/>
                <w:szCs w:val="20"/>
              </w:rPr>
              <w:t xml:space="preserve">Consommation </w:t>
            </w:r>
          </w:p>
        </w:tc>
      </w:tr>
      <w:tr w:rsidR="00C94D9A" w:rsidRPr="00C94D9A" w14:paraId="63F65028" w14:textId="77777777" w:rsidTr="0002537E">
        <w:trPr>
          <w:trHeight w:val="288"/>
        </w:trPr>
        <w:tc>
          <w:tcPr>
            <w:tcW w:w="3539" w:type="dxa"/>
            <w:shd w:val="clear" w:color="auto" w:fill="A6A6A6" w:themeFill="background1" w:themeFillShade="A6"/>
            <w:tcMar>
              <w:top w:w="15" w:type="dxa"/>
              <w:left w:w="15" w:type="dxa"/>
              <w:bottom w:w="0" w:type="dxa"/>
              <w:right w:w="15" w:type="dxa"/>
            </w:tcMar>
            <w:vAlign w:val="center"/>
            <w:hideMark/>
          </w:tcPr>
          <w:p w14:paraId="3B5C066C" w14:textId="77777777" w:rsidR="00C94D9A" w:rsidRPr="0002537E" w:rsidRDefault="00C94D9A" w:rsidP="0002537E">
            <w:pPr>
              <w:pStyle w:val="ValrieN2"/>
              <w:spacing w:after="0" w:line="240" w:lineRule="auto"/>
              <w:ind w:left="-17"/>
              <w:rPr>
                <w:sz w:val="20"/>
                <w:szCs w:val="20"/>
              </w:rPr>
            </w:pPr>
            <w:r w:rsidRPr="0002537E">
              <w:rPr>
                <w:bCs/>
                <w:sz w:val="20"/>
                <w:szCs w:val="20"/>
              </w:rPr>
              <w:t xml:space="preserve">Total </w:t>
            </w:r>
          </w:p>
        </w:tc>
        <w:tc>
          <w:tcPr>
            <w:tcW w:w="1276" w:type="dxa"/>
            <w:shd w:val="clear" w:color="auto" w:fill="A6A6A6" w:themeFill="background1" w:themeFillShade="A6"/>
            <w:tcMar>
              <w:top w:w="15" w:type="dxa"/>
              <w:left w:w="15" w:type="dxa"/>
              <w:bottom w:w="0" w:type="dxa"/>
              <w:right w:w="15" w:type="dxa"/>
            </w:tcMar>
            <w:vAlign w:val="center"/>
            <w:hideMark/>
          </w:tcPr>
          <w:p w14:paraId="546F3DF7" w14:textId="77777777" w:rsidR="00C94D9A" w:rsidRPr="0002537E" w:rsidRDefault="00C94D9A" w:rsidP="0002537E">
            <w:pPr>
              <w:pStyle w:val="ValrieN2"/>
              <w:spacing w:after="0" w:line="240" w:lineRule="auto"/>
              <w:ind w:left="-17"/>
              <w:rPr>
                <w:sz w:val="20"/>
                <w:szCs w:val="20"/>
              </w:rPr>
            </w:pPr>
            <w:r w:rsidRPr="0002537E">
              <w:rPr>
                <w:bCs/>
                <w:sz w:val="20"/>
                <w:szCs w:val="20"/>
              </w:rPr>
              <w:t>180 [126-234]</w:t>
            </w:r>
          </w:p>
        </w:tc>
        <w:tc>
          <w:tcPr>
            <w:tcW w:w="1134" w:type="dxa"/>
            <w:shd w:val="clear" w:color="auto" w:fill="A6A6A6" w:themeFill="background1" w:themeFillShade="A6"/>
            <w:tcMar>
              <w:top w:w="15" w:type="dxa"/>
              <w:left w:w="15" w:type="dxa"/>
              <w:bottom w:w="0" w:type="dxa"/>
              <w:right w:w="15" w:type="dxa"/>
            </w:tcMar>
            <w:vAlign w:val="center"/>
            <w:hideMark/>
          </w:tcPr>
          <w:p w14:paraId="4AA919AD" w14:textId="77777777" w:rsidR="00C94D9A" w:rsidRPr="0002537E" w:rsidRDefault="00C94D9A" w:rsidP="0002537E">
            <w:pPr>
              <w:pStyle w:val="ValrieN2"/>
              <w:spacing w:after="0" w:line="240" w:lineRule="auto"/>
              <w:ind w:left="-17"/>
              <w:rPr>
                <w:sz w:val="20"/>
                <w:szCs w:val="20"/>
              </w:rPr>
            </w:pPr>
            <w:r w:rsidRPr="0002537E">
              <w:rPr>
                <w:bCs/>
                <w:sz w:val="20"/>
                <w:szCs w:val="20"/>
              </w:rPr>
              <w:t>24</w:t>
            </w:r>
          </w:p>
        </w:tc>
        <w:tc>
          <w:tcPr>
            <w:tcW w:w="1134" w:type="dxa"/>
            <w:shd w:val="clear" w:color="auto" w:fill="A6A6A6" w:themeFill="background1" w:themeFillShade="A6"/>
            <w:tcMar>
              <w:top w:w="15" w:type="dxa"/>
              <w:left w:w="15" w:type="dxa"/>
              <w:bottom w:w="0" w:type="dxa"/>
              <w:right w:w="15" w:type="dxa"/>
            </w:tcMar>
            <w:vAlign w:val="center"/>
            <w:hideMark/>
          </w:tcPr>
          <w:p w14:paraId="544ADFBB" w14:textId="6DACD669" w:rsidR="00C94D9A" w:rsidRPr="0002537E" w:rsidRDefault="00741BFF" w:rsidP="0002537E">
            <w:pPr>
              <w:pStyle w:val="ValrieN2"/>
              <w:spacing w:after="0" w:line="240" w:lineRule="auto"/>
              <w:ind w:left="-17"/>
              <w:rPr>
                <w:sz w:val="20"/>
                <w:szCs w:val="20"/>
              </w:rPr>
            </w:pPr>
            <w:r>
              <w:rPr>
                <w:sz w:val="20"/>
                <w:szCs w:val="20"/>
              </w:rPr>
              <w:t>4</w:t>
            </w:r>
          </w:p>
        </w:tc>
        <w:tc>
          <w:tcPr>
            <w:tcW w:w="2551" w:type="dxa"/>
            <w:shd w:val="clear" w:color="auto" w:fill="A6A6A6" w:themeFill="background1" w:themeFillShade="A6"/>
            <w:tcMar>
              <w:top w:w="15" w:type="dxa"/>
              <w:left w:w="15" w:type="dxa"/>
              <w:bottom w:w="0" w:type="dxa"/>
              <w:right w:w="15" w:type="dxa"/>
            </w:tcMar>
            <w:vAlign w:val="center"/>
            <w:hideMark/>
          </w:tcPr>
          <w:p w14:paraId="5775F9A0" w14:textId="77777777" w:rsidR="00C94D9A" w:rsidRPr="0002537E" w:rsidRDefault="00C94D9A" w:rsidP="0002537E">
            <w:pPr>
              <w:pStyle w:val="ValrieN2"/>
              <w:spacing w:after="0" w:line="240" w:lineRule="auto"/>
              <w:ind w:left="-17"/>
              <w:rPr>
                <w:sz w:val="20"/>
                <w:szCs w:val="20"/>
              </w:rPr>
            </w:pPr>
            <w:r w:rsidRPr="0002537E">
              <w:rPr>
                <w:bCs/>
                <w:sz w:val="20"/>
                <w:szCs w:val="20"/>
              </w:rPr>
              <w:t>199 [139-259]</w:t>
            </w:r>
          </w:p>
        </w:tc>
      </w:tr>
      <w:tr w:rsidR="00C94D9A" w:rsidRPr="00C94D9A" w14:paraId="71903765" w14:textId="77777777" w:rsidTr="0002537E">
        <w:trPr>
          <w:trHeight w:val="138"/>
        </w:trPr>
        <w:tc>
          <w:tcPr>
            <w:tcW w:w="3539" w:type="dxa"/>
            <w:shd w:val="clear" w:color="auto" w:fill="auto"/>
            <w:tcMar>
              <w:top w:w="15" w:type="dxa"/>
              <w:left w:w="15" w:type="dxa"/>
              <w:bottom w:w="0" w:type="dxa"/>
              <w:right w:w="15" w:type="dxa"/>
            </w:tcMar>
            <w:vAlign w:val="center"/>
            <w:hideMark/>
          </w:tcPr>
          <w:p w14:paraId="7B6DF0FC"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 xml:space="preserve">Poitrine entière </w:t>
            </w:r>
          </w:p>
        </w:tc>
        <w:tc>
          <w:tcPr>
            <w:tcW w:w="1276" w:type="dxa"/>
            <w:shd w:val="clear" w:color="auto" w:fill="auto"/>
            <w:tcMar>
              <w:top w:w="15" w:type="dxa"/>
              <w:left w:w="15" w:type="dxa"/>
              <w:bottom w:w="0" w:type="dxa"/>
              <w:right w:w="15" w:type="dxa"/>
            </w:tcMar>
            <w:vAlign w:val="center"/>
            <w:hideMark/>
          </w:tcPr>
          <w:p w14:paraId="43C2E750"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36 [25-47]</w:t>
            </w:r>
          </w:p>
        </w:tc>
        <w:tc>
          <w:tcPr>
            <w:tcW w:w="1134" w:type="dxa"/>
            <w:vMerge w:val="restart"/>
            <w:shd w:val="clear" w:color="auto" w:fill="auto"/>
            <w:tcMar>
              <w:top w:w="15" w:type="dxa"/>
              <w:left w:w="15" w:type="dxa"/>
              <w:bottom w:w="0" w:type="dxa"/>
              <w:right w:w="15" w:type="dxa"/>
            </w:tcMar>
            <w:vAlign w:val="center"/>
            <w:hideMark/>
          </w:tcPr>
          <w:p w14:paraId="2730B3F7"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24</w:t>
            </w:r>
          </w:p>
        </w:tc>
        <w:tc>
          <w:tcPr>
            <w:tcW w:w="1134" w:type="dxa"/>
            <w:vMerge w:val="restart"/>
            <w:shd w:val="clear" w:color="auto" w:fill="auto"/>
            <w:tcMar>
              <w:top w:w="15" w:type="dxa"/>
              <w:left w:w="15" w:type="dxa"/>
              <w:bottom w:w="0" w:type="dxa"/>
              <w:right w:w="15" w:type="dxa"/>
            </w:tcMar>
            <w:vAlign w:val="center"/>
            <w:hideMark/>
          </w:tcPr>
          <w:p w14:paraId="1274E4A6" w14:textId="43485CBE" w:rsidR="00C94D9A" w:rsidRPr="0002537E" w:rsidRDefault="00C94D9A" w:rsidP="0002537E">
            <w:pPr>
              <w:pStyle w:val="ValrieN2"/>
              <w:spacing w:after="0" w:line="240" w:lineRule="auto"/>
              <w:ind w:left="-17"/>
              <w:rPr>
                <w:b w:val="0"/>
                <w:sz w:val="20"/>
                <w:szCs w:val="20"/>
              </w:rPr>
            </w:pPr>
          </w:p>
        </w:tc>
        <w:tc>
          <w:tcPr>
            <w:tcW w:w="2551" w:type="dxa"/>
            <w:shd w:val="clear" w:color="auto" w:fill="auto"/>
            <w:tcMar>
              <w:top w:w="15" w:type="dxa"/>
              <w:left w:w="15" w:type="dxa"/>
              <w:bottom w:w="0" w:type="dxa"/>
              <w:right w:w="15" w:type="dxa"/>
            </w:tcMar>
            <w:vAlign w:val="center"/>
            <w:hideMark/>
          </w:tcPr>
          <w:p w14:paraId="29746695"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28 [19-36]</w:t>
            </w:r>
          </w:p>
        </w:tc>
      </w:tr>
      <w:tr w:rsidR="00C94D9A" w:rsidRPr="00C94D9A" w14:paraId="205D32A6" w14:textId="77777777" w:rsidTr="0002537E">
        <w:trPr>
          <w:trHeight w:val="272"/>
        </w:trPr>
        <w:tc>
          <w:tcPr>
            <w:tcW w:w="3539" w:type="dxa"/>
            <w:shd w:val="clear" w:color="auto" w:fill="auto"/>
            <w:tcMar>
              <w:top w:w="15" w:type="dxa"/>
              <w:left w:w="15" w:type="dxa"/>
              <w:bottom w:w="0" w:type="dxa"/>
              <w:right w:w="15" w:type="dxa"/>
            </w:tcMar>
            <w:vAlign w:val="center"/>
            <w:hideMark/>
          </w:tcPr>
          <w:p w14:paraId="44AA12A8" w14:textId="77777777" w:rsidR="00C94D9A" w:rsidRPr="0002537E" w:rsidRDefault="00C94D9A" w:rsidP="0002537E">
            <w:pPr>
              <w:pStyle w:val="ValrieN2"/>
              <w:spacing w:after="0" w:line="240" w:lineRule="auto"/>
              <w:ind w:left="-17"/>
              <w:jc w:val="left"/>
              <w:rPr>
                <w:b w:val="0"/>
                <w:sz w:val="20"/>
                <w:szCs w:val="20"/>
              </w:rPr>
            </w:pPr>
            <w:r w:rsidRPr="0002537E">
              <w:rPr>
                <w:b w:val="0"/>
                <w:sz w:val="20"/>
                <w:szCs w:val="20"/>
              </w:rPr>
              <w:t>Poitrine lardons parée 4 faces n°1/n°2</w:t>
            </w:r>
          </w:p>
        </w:tc>
        <w:tc>
          <w:tcPr>
            <w:tcW w:w="1276" w:type="dxa"/>
            <w:shd w:val="clear" w:color="auto" w:fill="auto"/>
            <w:tcMar>
              <w:top w:w="15" w:type="dxa"/>
              <w:left w:w="15" w:type="dxa"/>
              <w:bottom w:w="0" w:type="dxa"/>
              <w:right w:w="15" w:type="dxa"/>
            </w:tcMar>
            <w:vAlign w:val="center"/>
            <w:hideMark/>
          </w:tcPr>
          <w:p w14:paraId="4B9A7F56"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90 [63-117]</w:t>
            </w:r>
          </w:p>
        </w:tc>
        <w:tc>
          <w:tcPr>
            <w:tcW w:w="1134" w:type="dxa"/>
            <w:vMerge/>
            <w:shd w:val="clear" w:color="auto" w:fill="auto"/>
            <w:vAlign w:val="center"/>
            <w:hideMark/>
          </w:tcPr>
          <w:p w14:paraId="0113EAF3" w14:textId="77777777" w:rsidR="00C94D9A" w:rsidRPr="0002537E" w:rsidRDefault="00C94D9A" w:rsidP="0002537E">
            <w:pPr>
              <w:pStyle w:val="ValrieN2"/>
              <w:spacing w:after="0" w:line="240" w:lineRule="auto"/>
              <w:ind w:left="-17"/>
              <w:rPr>
                <w:b w:val="0"/>
                <w:sz w:val="20"/>
                <w:szCs w:val="20"/>
              </w:rPr>
            </w:pPr>
          </w:p>
        </w:tc>
        <w:tc>
          <w:tcPr>
            <w:tcW w:w="1134" w:type="dxa"/>
            <w:vMerge/>
            <w:shd w:val="clear" w:color="auto" w:fill="auto"/>
            <w:vAlign w:val="center"/>
            <w:hideMark/>
          </w:tcPr>
          <w:p w14:paraId="7429248C" w14:textId="77777777" w:rsidR="00C94D9A" w:rsidRPr="0002537E" w:rsidRDefault="00C94D9A" w:rsidP="0002537E">
            <w:pPr>
              <w:pStyle w:val="ValrieN2"/>
              <w:spacing w:after="0" w:line="240" w:lineRule="auto"/>
              <w:ind w:left="-17"/>
              <w:rPr>
                <w:b w:val="0"/>
                <w:sz w:val="20"/>
                <w:szCs w:val="20"/>
              </w:rPr>
            </w:pPr>
          </w:p>
        </w:tc>
        <w:tc>
          <w:tcPr>
            <w:tcW w:w="2551" w:type="dxa"/>
            <w:shd w:val="clear" w:color="auto" w:fill="auto"/>
            <w:tcMar>
              <w:top w:w="15" w:type="dxa"/>
              <w:left w:w="15" w:type="dxa"/>
              <w:bottom w:w="0" w:type="dxa"/>
              <w:right w:w="15" w:type="dxa"/>
            </w:tcMar>
            <w:vAlign w:val="center"/>
            <w:hideMark/>
          </w:tcPr>
          <w:p w14:paraId="696BF882"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xml:space="preserve">90 [63-117] </w:t>
            </w:r>
          </w:p>
        </w:tc>
      </w:tr>
      <w:tr w:rsidR="00C94D9A" w:rsidRPr="00C94D9A" w14:paraId="458AE063" w14:textId="77777777" w:rsidTr="0002537E">
        <w:trPr>
          <w:trHeight w:val="296"/>
        </w:trPr>
        <w:tc>
          <w:tcPr>
            <w:tcW w:w="3539" w:type="dxa"/>
            <w:shd w:val="clear" w:color="auto" w:fill="auto"/>
            <w:tcMar>
              <w:top w:w="15" w:type="dxa"/>
              <w:left w:w="15" w:type="dxa"/>
              <w:bottom w:w="0" w:type="dxa"/>
              <w:right w:w="15" w:type="dxa"/>
            </w:tcMar>
            <w:vAlign w:val="center"/>
            <w:hideMark/>
          </w:tcPr>
          <w:p w14:paraId="48AB5B6E"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 xml:space="preserve">Travers </w:t>
            </w:r>
          </w:p>
        </w:tc>
        <w:tc>
          <w:tcPr>
            <w:tcW w:w="1276" w:type="dxa"/>
            <w:shd w:val="clear" w:color="auto" w:fill="auto"/>
            <w:tcMar>
              <w:top w:w="15" w:type="dxa"/>
              <w:left w:w="15" w:type="dxa"/>
              <w:bottom w:w="0" w:type="dxa"/>
              <w:right w:w="15" w:type="dxa"/>
            </w:tcMar>
            <w:vAlign w:val="center"/>
            <w:hideMark/>
          </w:tcPr>
          <w:p w14:paraId="70DF6D30"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18 [13-24]</w:t>
            </w:r>
          </w:p>
        </w:tc>
        <w:tc>
          <w:tcPr>
            <w:tcW w:w="1134" w:type="dxa"/>
            <w:vMerge/>
            <w:shd w:val="clear" w:color="auto" w:fill="auto"/>
            <w:vAlign w:val="center"/>
            <w:hideMark/>
          </w:tcPr>
          <w:p w14:paraId="466CCFA9" w14:textId="77777777" w:rsidR="00C94D9A" w:rsidRPr="0002537E" w:rsidRDefault="00C94D9A" w:rsidP="0002537E">
            <w:pPr>
              <w:pStyle w:val="ValrieN2"/>
              <w:spacing w:after="0" w:line="240" w:lineRule="auto"/>
              <w:ind w:left="-17"/>
              <w:rPr>
                <w:b w:val="0"/>
                <w:sz w:val="20"/>
                <w:szCs w:val="20"/>
              </w:rPr>
            </w:pPr>
          </w:p>
        </w:tc>
        <w:tc>
          <w:tcPr>
            <w:tcW w:w="1134" w:type="dxa"/>
            <w:vMerge/>
            <w:shd w:val="clear" w:color="auto" w:fill="auto"/>
            <w:vAlign w:val="center"/>
            <w:hideMark/>
          </w:tcPr>
          <w:p w14:paraId="57675EBC" w14:textId="77777777" w:rsidR="00C94D9A" w:rsidRPr="0002537E" w:rsidRDefault="00C94D9A" w:rsidP="0002537E">
            <w:pPr>
              <w:pStyle w:val="ValrieN2"/>
              <w:spacing w:after="0" w:line="240" w:lineRule="auto"/>
              <w:ind w:left="-17"/>
              <w:rPr>
                <w:b w:val="0"/>
                <w:sz w:val="20"/>
                <w:szCs w:val="20"/>
              </w:rPr>
            </w:pPr>
          </w:p>
        </w:tc>
        <w:tc>
          <w:tcPr>
            <w:tcW w:w="2551" w:type="dxa"/>
            <w:shd w:val="clear" w:color="auto" w:fill="auto"/>
            <w:tcMar>
              <w:top w:w="15" w:type="dxa"/>
              <w:left w:w="15" w:type="dxa"/>
              <w:bottom w:w="0" w:type="dxa"/>
              <w:right w:w="15" w:type="dxa"/>
            </w:tcMar>
            <w:vAlign w:val="center"/>
            <w:hideMark/>
          </w:tcPr>
          <w:p w14:paraId="33AA320E"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17 [12-22]</w:t>
            </w:r>
          </w:p>
        </w:tc>
      </w:tr>
      <w:tr w:rsidR="00C94D9A" w:rsidRPr="00C94D9A" w14:paraId="2C39D512" w14:textId="77777777" w:rsidTr="00741BFF">
        <w:trPr>
          <w:trHeight w:val="322"/>
        </w:trPr>
        <w:tc>
          <w:tcPr>
            <w:tcW w:w="3539" w:type="dxa"/>
            <w:shd w:val="clear" w:color="auto" w:fill="auto"/>
            <w:tcMar>
              <w:top w:w="15" w:type="dxa"/>
              <w:left w:w="15" w:type="dxa"/>
              <w:bottom w:w="0" w:type="dxa"/>
              <w:right w:w="15" w:type="dxa"/>
            </w:tcMar>
            <w:vAlign w:val="center"/>
            <w:hideMark/>
          </w:tcPr>
          <w:p w14:paraId="2DDEB8B8"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Poitrine pour cutter (hachage)</w:t>
            </w:r>
          </w:p>
        </w:tc>
        <w:tc>
          <w:tcPr>
            <w:tcW w:w="1276" w:type="dxa"/>
            <w:shd w:val="clear" w:color="auto" w:fill="auto"/>
            <w:tcMar>
              <w:top w:w="15" w:type="dxa"/>
              <w:left w:w="15" w:type="dxa"/>
              <w:bottom w:w="0" w:type="dxa"/>
              <w:right w:w="15" w:type="dxa"/>
            </w:tcMar>
            <w:vAlign w:val="center"/>
            <w:hideMark/>
          </w:tcPr>
          <w:p w14:paraId="5461304D"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36 [25-47]</w:t>
            </w:r>
          </w:p>
        </w:tc>
        <w:tc>
          <w:tcPr>
            <w:tcW w:w="1134" w:type="dxa"/>
            <w:vMerge/>
            <w:shd w:val="clear" w:color="auto" w:fill="auto"/>
            <w:vAlign w:val="center"/>
            <w:hideMark/>
          </w:tcPr>
          <w:p w14:paraId="2F86E26D" w14:textId="77777777" w:rsidR="00C94D9A" w:rsidRPr="0002537E" w:rsidRDefault="00C94D9A" w:rsidP="0002537E">
            <w:pPr>
              <w:pStyle w:val="ValrieN2"/>
              <w:spacing w:after="0" w:line="240" w:lineRule="auto"/>
              <w:ind w:left="-17"/>
              <w:rPr>
                <w:b w:val="0"/>
                <w:sz w:val="20"/>
                <w:szCs w:val="20"/>
              </w:rPr>
            </w:pPr>
          </w:p>
        </w:tc>
        <w:tc>
          <w:tcPr>
            <w:tcW w:w="1134" w:type="dxa"/>
            <w:vMerge/>
            <w:shd w:val="clear" w:color="auto" w:fill="auto"/>
            <w:vAlign w:val="center"/>
            <w:hideMark/>
          </w:tcPr>
          <w:p w14:paraId="64A92B04" w14:textId="77777777" w:rsidR="00C94D9A" w:rsidRPr="0002537E" w:rsidRDefault="00C94D9A" w:rsidP="0002537E">
            <w:pPr>
              <w:pStyle w:val="ValrieN2"/>
              <w:spacing w:after="0" w:line="240" w:lineRule="auto"/>
              <w:ind w:left="-17"/>
              <w:rPr>
                <w:b w:val="0"/>
                <w:sz w:val="20"/>
                <w:szCs w:val="20"/>
              </w:rPr>
            </w:pPr>
          </w:p>
        </w:tc>
        <w:tc>
          <w:tcPr>
            <w:tcW w:w="2551" w:type="dxa"/>
            <w:shd w:val="clear" w:color="auto" w:fill="auto"/>
            <w:tcMar>
              <w:top w:w="15" w:type="dxa"/>
              <w:left w:w="15" w:type="dxa"/>
              <w:bottom w:w="0" w:type="dxa"/>
              <w:right w:w="15" w:type="dxa"/>
            </w:tcMar>
            <w:vAlign w:val="center"/>
            <w:hideMark/>
          </w:tcPr>
          <w:p w14:paraId="48E413DE"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35 [24-46]</w:t>
            </w:r>
          </w:p>
        </w:tc>
      </w:tr>
      <w:tr w:rsidR="00C94D9A" w:rsidRPr="00C94D9A" w14:paraId="23F799D5" w14:textId="77777777" w:rsidTr="0002537E">
        <w:trPr>
          <w:trHeight w:val="376"/>
        </w:trPr>
        <w:tc>
          <w:tcPr>
            <w:tcW w:w="3539" w:type="dxa"/>
            <w:shd w:val="clear" w:color="auto" w:fill="D9D9D9" w:themeFill="background1" w:themeFillShade="D9"/>
            <w:tcMar>
              <w:top w:w="15" w:type="dxa"/>
              <w:left w:w="15" w:type="dxa"/>
              <w:bottom w:w="0" w:type="dxa"/>
              <w:right w:w="15" w:type="dxa"/>
            </w:tcMar>
            <w:vAlign w:val="center"/>
            <w:hideMark/>
          </w:tcPr>
          <w:p w14:paraId="3667ED3C"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Gras de couenne, autres gras (5%)</w:t>
            </w:r>
          </w:p>
        </w:tc>
        <w:tc>
          <w:tcPr>
            <w:tcW w:w="1276" w:type="dxa"/>
            <w:shd w:val="clear" w:color="auto" w:fill="D9D9D9" w:themeFill="background1" w:themeFillShade="D9"/>
            <w:tcMar>
              <w:top w:w="15" w:type="dxa"/>
              <w:left w:w="15" w:type="dxa"/>
              <w:bottom w:w="0" w:type="dxa"/>
              <w:right w:w="15" w:type="dxa"/>
            </w:tcMar>
            <w:vAlign w:val="center"/>
            <w:hideMark/>
          </w:tcPr>
          <w:p w14:paraId="4C04F176"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74B00D76"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210160A7"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2551" w:type="dxa"/>
            <w:shd w:val="clear" w:color="auto" w:fill="D9D9D9" w:themeFill="background1" w:themeFillShade="D9"/>
            <w:tcMar>
              <w:top w:w="15" w:type="dxa"/>
              <w:left w:w="15" w:type="dxa"/>
              <w:bottom w:w="0" w:type="dxa"/>
              <w:right w:w="15" w:type="dxa"/>
            </w:tcMar>
            <w:vAlign w:val="center"/>
            <w:hideMark/>
          </w:tcPr>
          <w:p w14:paraId="4CE5B904"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10 [7-13]</w:t>
            </w:r>
          </w:p>
        </w:tc>
      </w:tr>
      <w:tr w:rsidR="00C94D9A" w:rsidRPr="00C94D9A" w14:paraId="501189C2" w14:textId="77777777" w:rsidTr="0002537E">
        <w:trPr>
          <w:trHeight w:val="226"/>
        </w:trPr>
        <w:tc>
          <w:tcPr>
            <w:tcW w:w="3539" w:type="dxa"/>
            <w:shd w:val="clear" w:color="auto" w:fill="D9D9D9" w:themeFill="background1" w:themeFillShade="D9"/>
            <w:tcMar>
              <w:top w:w="15" w:type="dxa"/>
              <w:left w:w="15" w:type="dxa"/>
              <w:bottom w:w="0" w:type="dxa"/>
              <w:right w:w="15" w:type="dxa"/>
            </w:tcMar>
            <w:vAlign w:val="center"/>
            <w:hideMark/>
          </w:tcPr>
          <w:p w14:paraId="6CD54FE0"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Parage (8%)</w:t>
            </w:r>
          </w:p>
        </w:tc>
        <w:tc>
          <w:tcPr>
            <w:tcW w:w="1276" w:type="dxa"/>
            <w:shd w:val="clear" w:color="auto" w:fill="D9D9D9" w:themeFill="background1" w:themeFillShade="D9"/>
            <w:tcMar>
              <w:top w:w="15" w:type="dxa"/>
              <w:left w:w="15" w:type="dxa"/>
              <w:bottom w:w="0" w:type="dxa"/>
              <w:right w:w="15" w:type="dxa"/>
            </w:tcMar>
            <w:vAlign w:val="center"/>
            <w:hideMark/>
          </w:tcPr>
          <w:p w14:paraId="4E6639DD"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42C6A5EE"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59D882B6"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2551" w:type="dxa"/>
            <w:shd w:val="clear" w:color="auto" w:fill="D9D9D9" w:themeFill="background1" w:themeFillShade="D9"/>
            <w:tcMar>
              <w:top w:w="15" w:type="dxa"/>
              <w:left w:w="15" w:type="dxa"/>
              <w:bottom w:w="0" w:type="dxa"/>
              <w:right w:w="15" w:type="dxa"/>
            </w:tcMar>
            <w:vAlign w:val="center"/>
            <w:hideMark/>
          </w:tcPr>
          <w:p w14:paraId="621B657E"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15 [10-20]</w:t>
            </w:r>
          </w:p>
        </w:tc>
      </w:tr>
      <w:tr w:rsidR="00C94D9A" w:rsidRPr="00C94D9A" w14:paraId="35DF2FAA" w14:textId="77777777" w:rsidTr="0002537E">
        <w:trPr>
          <w:trHeight w:val="310"/>
        </w:trPr>
        <w:tc>
          <w:tcPr>
            <w:tcW w:w="3539" w:type="dxa"/>
            <w:shd w:val="clear" w:color="auto" w:fill="D9D9D9" w:themeFill="background1" w:themeFillShade="D9"/>
            <w:tcMar>
              <w:top w:w="15" w:type="dxa"/>
              <w:left w:w="15" w:type="dxa"/>
              <w:bottom w:w="0" w:type="dxa"/>
              <w:right w:w="15" w:type="dxa"/>
            </w:tcMar>
            <w:vAlign w:val="center"/>
            <w:hideMark/>
          </w:tcPr>
          <w:p w14:paraId="4BDEC266" w14:textId="77777777" w:rsidR="00C94D9A" w:rsidRPr="0002537E" w:rsidRDefault="00C94D9A" w:rsidP="0002537E">
            <w:pPr>
              <w:pStyle w:val="ValrieN2"/>
              <w:spacing w:after="0" w:line="240" w:lineRule="auto"/>
              <w:ind w:left="-17"/>
              <w:rPr>
                <w:b w:val="0"/>
                <w:sz w:val="20"/>
                <w:szCs w:val="20"/>
              </w:rPr>
            </w:pPr>
            <w:r w:rsidRPr="0002537E">
              <w:rPr>
                <w:b w:val="0"/>
                <w:sz w:val="20"/>
                <w:szCs w:val="20"/>
              </w:rPr>
              <w:t>Evaporation eau (2%)</w:t>
            </w:r>
          </w:p>
        </w:tc>
        <w:tc>
          <w:tcPr>
            <w:tcW w:w="1276" w:type="dxa"/>
            <w:shd w:val="clear" w:color="auto" w:fill="D9D9D9" w:themeFill="background1" w:themeFillShade="D9"/>
            <w:tcMar>
              <w:top w:w="15" w:type="dxa"/>
              <w:left w:w="15" w:type="dxa"/>
              <w:bottom w:w="0" w:type="dxa"/>
              <w:right w:w="15" w:type="dxa"/>
            </w:tcMar>
            <w:vAlign w:val="center"/>
            <w:hideMark/>
          </w:tcPr>
          <w:p w14:paraId="3BD4A49D"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67BBE18A"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1134" w:type="dxa"/>
            <w:shd w:val="clear" w:color="auto" w:fill="D9D9D9" w:themeFill="background1" w:themeFillShade="D9"/>
            <w:tcMar>
              <w:top w:w="15" w:type="dxa"/>
              <w:left w:w="15" w:type="dxa"/>
              <w:bottom w:w="0" w:type="dxa"/>
              <w:right w:w="15" w:type="dxa"/>
            </w:tcMar>
            <w:vAlign w:val="center"/>
            <w:hideMark/>
          </w:tcPr>
          <w:p w14:paraId="2DC8686A" w14:textId="77777777" w:rsidR="00C94D9A" w:rsidRPr="0002537E" w:rsidRDefault="00C94D9A" w:rsidP="0002537E">
            <w:pPr>
              <w:pStyle w:val="ValrieN2"/>
              <w:spacing w:after="0" w:line="240" w:lineRule="auto"/>
              <w:ind w:left="-17"/>
              <w:rPr>
                <w:b w:val="0"/>
                <w:sz w:val="20"/>
                <w:szCs w:val="20"/>
              </w:rPr>
            </w:pPr>
            <w:r w:rsidRPr="0002537E">
              <w:rPr>
                <w:b w:val="0"/>
                <w:bCs/>
                <w:sz w:val="20"/>
                <w:szCs w:val="20"/>
              </w:rPr>
              <w:t> </w:t>
            </w:r>
          </w:p>
        </w:tc>
        <w:tc>
          <w:tcPr>
            <w:tcW w:w="2551" w:type="dxa"/>
            <w:shd w:val="clear" w:color="auto" w:fill="D9D9D9" w:themeFill="background1" w:themeFillShade="D9"/>
            <w:tcMar>
              <w:top w:w="15" w:type="dxa"/>
              <w:left w:w="15" w:type="dxa"/>
              <w:bottom w:w="0" w:type="dxa"/>
              <w:right w:w="15" w:type="dxa"/>
            </w:tcMar>
            <w:vAlign w:val="center"/>
            <w:hideMark/>
          </w:tcPr>
          <w:p w14:paraId="7C5A78F4" w14:textId="6878EB30" w:rsidR="00C94D9A" w:rsidRPr="0002537E" w:rsidRDefault="00741BFF" w:rsidP="0002537E">
            <w:pPr>
              <w:pStyle w:val="ValrieN2"/>
              <w:spacing w:after="0" w:line="240" w:lineRule="auto"/>
              <w:ind w:left="-17"/>
              <w:rPr>
                <w:b w:val="0"/>
                <w:sz w:val="20"/>
                <w:szCs w:val="20"/>
              </w:rPr>
            </w:pPr>
            <w:r>
              <w:rPr>
                <w:b w:val="0"/>
                <w:bCs/>
                <w:sz w:val="20"/>
                <w:szCs w:val="20"/>
              </w:rPr>
              <w:t>4</w:t>
            </w:r>
            <w:r w:rsidR="00C94D9A" w:rsidRPr="0002537E">
              <w:rPr>
                <w:b w:val="0"/>
                <w:bCs/>
                <w:sz w:val="20"/>
                <w:szCs w:val="20"/>
              </w:rPr>
              <w:t xml:space="preserve"> [</w:t>
            </w:r>
            <w:r>
              <w:rPr>
                <w:b w:val="0"/>
                <w:bCs/>
                <w:sz w:val="20"/>
                <w:szCs w:val="20"/>
              </w:rPr>
              <w:t>3</w:t>
            </w:r>
            <w:r w:rsidR="00C94D9A" w:rsidRPr="0002537E">
              <w:rPr>
                <w:b w:val="0"/>
                <w:bCs/>
                <w:sz w:val="20"/>
                <w:szCs w:val="20"/>
              </w:rPr>
              <w:t>-</w:t>
            </w:r>
            <w:r>
              <w:rPr>
                <w:b w:val="0"/>
                <w:bCs/>
                <w:sz w:val="20"/>
                <w:szCs w:val="20"/>
              </w:rPr>
              <w:t>5</w:t>
            </w:r>
            <w:r w:rsidR="00C94D9A" w:rsidRPr="0002537E">
              <w:rPr>
                <w:b w:val="0"/>
                <w:bCs/>
                <w:sz w:val="20"/>
                <w:szCs w:val="20"/>
              </w:rPr>
              <w:t>]</w:t>
            </w:r>
          </w:p>
        </w:tc>
      </w:tr>
    </w:tbl>
    <w:p w14:paraId="66054203" w14:textId="568BA509" w:rsidR="00C94D9A" w:rsidRPr="0002537E" w:rsidRDefault="00D46C06" w:rsidP="0002537E">
      <w:pPr>
        <w:pStyle w:val="figure"/>
        <w:rPr>
          <w:i/>
        </w:rPr>
      </w:pPr>
      <w:bookmarkStart w:id="393" w:name="_Toc72143429"/>
      <w:r w:rsidRPr="00D46C06">
        <w:t xml:space="preserve">Tableau </w:t>
      </w:r>
      <w:r w:rsidRPr="00D54EC4">
        <w:fldChar w:fldCharType="begin"/>
      </w:r>
      <w:r w:rsidRPr="00D46C06">
        <w:instrText xml:space="preserve"> SEQ Tableau \* ARABIC </w:instrText>
      </w:r>
      <w:r w:rsidRPr="00D54EC4">
        <w:fldChar w:fldCharType="separate"/>
      </w:r>
      <w:r w:rsidR="0007597F">
        <w:rPr>
          <w:i/>
          <w:noProof/>
        </w:rPr>
        <w:t>82</w:t>
      </w:r>
      <w:r w:rsidRPr="00D54EC4">
        <w:fldChar w:fldCharType="end"/>
      </w:r>
      <w:r w:rsidR="007538FF">
        <w:rPr>
          <w:i/>
        </w:rPr>
        <w:t xml:space="preserve"> : </w:t>
      </w:r>
      <w:r w:rsidR="00C94D9A" w:rsidRPr="00926407">
        <w:t>Représentation tableau emploi ressource au stade de la découpe secondaire</w:t>
      </w:r>
      <w:bookmarkEnd w:id="393"/>
    </w:p>
    <w:p w14:paraId="687DE492" w14:textId="28436FC0" w:rsidR="00064312" w:rsidRDefault="00A00B4E" w:rsidP="00064312">
      <w:pPr>
        <w:rPr>
          <w:lang w:eastAsia="fr-FR"/>
        </w:rPr>
      </w:pPr>
      <w:r>
        <w:rPr>
          <w:lang w:eastAsia="fr-FR"/>
        </w:rPr>
        <w:t>Une première ventilation des</w:t>
      </w:r>
      <w:r w:rsidR="00064312" w:rsidRPr="00A50150">
        <w:rPr>
          <w:lang w:eastAsia="fr-FR"/>
        </w:rPr>
        <w:t xml:space="preserve"> </w:t>
      </w:r>
      <w:r w:rsidR="00CF757E">
        <w:rPr>
          <w:lang w:eastAsia="fr-FR"/>
        </w:rPr>
        <w:t>catégories</w:t>
      </w:r>
      <w:r w:rsidR="00064312" w:rsidRPr="00A50150">
        <w:rPr>
          <w:lang w:eastAsia="fr-FR"/>
        </w:rPr>
        <w:t xml:space="preserve"> de produits issues de la découpe secondaire</w:t>
      </w:r>
      <w:r>
        <w:rPr>
          <w:lang w:eastAsia="fr-FR"/>
        </w:rPr>
        <w:t xml:space="preserve"> de la po</w:t>
      </w:r>
      <w:r w:rsidR="00871A10">
        <w:rPr>
          <w:lang w:eastAsia="fr-FR"/>
        </w:rPr>
        <w:t>i</w:t>
      </w:r>
      <w:r>
        <w:rPr>
          <w:lang w:eastAsia="fr-FR"/>
        </w:rPr>
        <w:t>trine</w:t>
      </w:r>
      <w:r w:rsidR="00064312" w:rsidRPr="00A50150">
        <w:rPr>
          <w:lang w:eastAsia="fr-FR"/>
        </w:rPr>
        <w:t xml:space="preserve"> peut être</w:t>
      </w:r>
      <w:r w:rsidR="00064312">
        <w:rPr>
          <w:lang w:eastAsia="fr-FR"/>
        </w:rPr>
        <w:t xml:space="preserve"> </w:t>
      </w:r>
      <w:r>
        <w:rPr>
          <w:lang w:eastAsia="fr-FR"/>
        </w:rPr>
        <w:t>estimée : l</w:t>
      </w:r>
      <w:r w:rsidR="00CF757E">
        <w:rPr>
          <w:lang w:eastAsia="fr-FR"/>
        </w:rPr>
        <w:t xml:space="preserve">a poitrine lardons parée 4 faces représenterait 55% </w:t>
      </w:r>
      <w:r w:rsidR="00916D17">
        <w:rPr>
          <w:lang w:eastAsia="fr-FR"/>
        </w:rPr>
        <w:t xml:space="preserve">du total des pièces secondaires </w:t>
      </w:r>
      <w:r w:rsidR="00CF757E">
        <w:rPr>
          <w:lang w:eastAsia="fr-FR"/>
        </w:rPr>
        <w:t>devant la poitrine cutter (19%) et la poitrine entière (16%)</w:t>
      </w:r>
      <w:r w:rsidR="00064312">
        <w:t>.</w:t>
      </w:r>
    </w:p>
    <w:p w14:paraId="40B6AC8D" w14:textId="676D9DB9" w:rsidR="00064312" w:rsidRDefault="00D03780" w:rsidP="00064312">
      <w:pPr>
        <w:jc w:val="center"/>
        <w:rPr>
          <w:lang w:eastAsia="fr-FR"/>
        </w:rPr>
      </w:pPr>
      <w:r>
        <w:rPr>
          <w:noProof/>
        </w:rPr>
        <w:lastRenderedPageBreak/>
        <w:drawing>
          <wp:inline distT="0" distB="0" distL="0" distR="0" wp14:anchorId="7348B2F9" wp14:editId="3A3EC0D5">
            <wp:extent cx="5272391" cy="2373549"/>
            <wp:effectExtent l="0" t="0" r="0" b="0"/>
            <wp:docPr id="80" name="Graphique 80">
              <a:extLst xmlns:a="http://schemas.openxmlformats.org/drawingml/2006/main">
                <a:ext uri="{FF2B5EF4-FFF2-40B4-BE49-F238E27FC236}">
                  <a16:creationId xmlns:a16="http://schemas.microsoft.com/office/drawing/2014/main" id="{D0EF8CE7-9E44-4BE4-BDB5-C0044A50188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14:paraId="78191AA2" w14:textId="6DEC90E3" w:rsidR="00064312" w:rsidRPr="0002537E" w:rsidRDefault="00064312" w:rsidP="0002537E">
      <w:pPr>
        <w:pStyle w:val="figure"/>
        <w:rPr>
          <w:i/>
        </w:rPr>
      </w:pPr>
      <w:r w:rsidRPr="00926407">
        <w:t xml:space="preserve">Figure </w:t>
      </w:r>
      <w:r w:rsidR="00E27D6E">
        <w:fldChar w:fldCharType="begin"/>
      </w:r>
      <w:r w:rsidR="00E27D6E">
        <w:instrText xml:space="preserve"> SEQ Figure \* ARABIC </w:instrText>
      </w:r>
      <w:r w:rsidR="00E27D6E">
        <w:fldChar w:fldCharType="separate"/>
      </w:r>
      <w:r w:rsidR="0007597F">
        <w:rPr>
          <w:noProof/>
        </w:rPr>
        <w:t>38</w:t>
      </w:r>
      <w:r w:rsidR="00E27D6E">
        <w:rPr>
          <w:noProof/>
        </w:rPr>
        <w:fldChar w:fldCharType="end"/>
      </w:r>
      <w:r w:rsidR="007538FF">
        <w:t xml:space="preserve"> : </w:t>
      </w:r>
      <w:r w:rsidRPr="0002537E">
        <w:t>Type des pièces de découpes secondaires en</w:t>
      </w:r>
      <w:r w:rsidR="00D46C06">
        <w:t xml:space="preserve"> poitrine</w:t>
      </w:r>
    </w:p>
    <w:p w14:paraId="61BF8ABB" w14:textId="277F36D9" w:rsidR="00C94D9A" w:rsidRDefault="00C94D9A" w:rsidP="00DE355F">
      <w:pPr>
        <w:pStyle w:val="Titre3"/>
        <w:spacing w:before="240"/>
      </w:pPr>
      <w:bookmarkStart w:id="394" w:name="_Toc78131697"/>
      <w:r w:rsidRPr="0002537E">
        <w:t>2.4.3. Destination pièces saumurées, salées, séchées ou pièces crues</w:t>
      </w:r>
      <w:bookmarkEnd w:id="394"/>
    </w:p>
    <w:p w14:paraId="02BCB458" w14:textId="2E5B191B" w:rsidR="00871A10" w:rsidRDefault="00916D17" w:rsidP="00871A10">
      <w:pPr>
        <w:spacing w:after="0"/>
        <w:rPr>
          <w:lang w:eastAsia="fr-FR"/>
        </w:rPr>
      </w:pPr>
      <w:r w:rsidRPr="002428E6">
        <w:rPr>
          <w:lang w:eastAsia="fr-FR"/>
        </w:rPr>
        <w:t xml:space="preserve">Les pièces secondaires issues </w:t>
      </w:r>
      <w:r w:rsidR="002428E6" w:rsidRPr="0002537E">
        <w:rPr>
          <w:lang w:eastAsia="fr-FR"/>
        </w:rPr>
        <w:t>de la poitrine</w:t>
      </w:r>
      <w:r w:rsidRPr="002428E6">
        <w:rPr>
          <w:lang w:eastAsia="fr-FR"/>
        </w:rPr>
        <w:t xml:space="preserve"> </w:t>
      </w:r>
      <w:r w:rsidR="00A00B4E">
        <w:rPr>
          <w:lang w:eastAsia="fr-FR"/>
        </w:rPr>
        <w:t xml:space="preserve">ont </w:t>
      </w:r>
      <w:r w:rsidR="00B44E89">
        <w:rPr>
          <w:lang w:eastAsia="fr-FR"/>
        </w:rPr>
        <w:t xml:space="preserve">3 destinations </w:t>
      </w:r>
    </w:p>
    <w:p w14:paraId="6575D749" w14:textId="6805479E" w:rsidR="00916D17" w:rsidRPr="002428E6" w:rsidRDefault="00916D17" w:rsidP="0002537E">
      <w:pPr>
        <w:pStyle w:val="Paragraphedeliste"/>
        <w:numPr>
          <w:ilvl w:val="0"/>
          <w:numId w:val="23"/>
        </w:numPr>
        <w:rPr>
          <w:lang w:eastAsia="fr-FR"/>
        </w:rPr>
      </w:pPr>
      <w:r w:rsidRPr="002428E6">
        <w:rPr>
          <w:lang w:eastAsia="fr-FR"/>
        </w:rPr>
        <w:t>La</w:t>
      </w:r>
      <w:r w:rsidR="0088610C">
        <w:rPr>
          <w:lang w:eastAsia="fr-FR"/>
        </w:rPr>
        <w:t xml:space="preserve"> </w:t>
      </w:r>
      <w:r w:rsidR="0088610C" w:rsidRPr="002428E6">
        <w:rPr>
          <w:lang w:eastAsia="fr-FR"/>
        </w:rPr>
        <w:t>transformation en salaison</w:t>
      </w:r>
      <w:r w:rsidR="0088610C">
        <w:rPr>
          <w:lang w:eastAsia="fr-FR"/>
        </w:rPr>
        <w:t xml:space="preserve"> pèserait </w:t>
      </w:r>
      <w:r w:rsidR="00B44E89">
        <w:rPr>
          <w:lang w:eastAsia="fr-FR"/>
        </w:rPr>
        <w:t xml:space="preserve">un peu moins de </w:t>
      </w:r>
      <w:r w:rsidR="0088610C">
        <w:rPr>
          <w:lang w:eastAsia="fr-FR"/>
        </w:rPr>
        <w:t>7</w:t>
      </w:r>
      <w:r w:rsidR="00B44E89">
        <w:rPr>
          <w:lang w:eastAsia="fr-FR"/>
        </w:rPr>
        <w:t>0</w:t>
      </w:r>
      <w:r w:rsidRPr="002428E6">
        <w:rPr>
          <w:lang w:eastAsia="fr-FR"/>
        </w:rPr>
        <w:t xml:space="preserve">% </w:t>
      </w:r>
      <w:r w:rsidR="006904EF">
        <w:rPr>
          <w:lang w:eastAsia="fr-FR"/>
        </w:rPr>
        <w:t xml:space="preserve">soit plus </w:t>
      </w:r>
      <w:r w:rsidR="00B44E89">
        <w:rPr>
          <w:lang w:eastAsia="fr-FR"/>
        </w:rPr>
        <w:t>de</w:t>
      </w:r>
      <w:r w:rsidR="006904EF">
        <w:rPr>
          <w:lang w:eastAsia="fr-FR"/>
        </w:rPr>
        <w:t xml:space="preserve"> 1</w:t>
      </w:r>
      <w:r w:rsidR="00B44E89">
        <w:rPr>
          <w:lang w:eastAsia="fr-FR"/>
        </w:rPr>
        <w:t>15</w:t>
      </w:r>
      <w:r w:rsidR="006904EF">
        <w:rPr>
          <w:lang w:eastAsia="fr-FR"/>
        </w:rPr>
        <w:t xml:space="preserve"> kt </w:t>
      </w:r>
      <w:r w:rsidR="0088610C">
        <w:rPr>
          <w:lang w:eastAsia="fr-FR"/>
        </w:rPr>
        <w:t xml:space="preserve">dont </w:t>
      </w:r>
      <w:r w:rsidR="006904EF">
        <w:rPr>
          <w:lang w:eastAsia="fr-FR"/>
        </w:rPr>
        <w:t>l</w:t>
      </w:r>
      <w:r w:rsidR="00871A10">
        <w:rPr>
          <w:lang w:eastAsia="fr-FR"/>
        </w:rPr>
        <w:t>’essentiel</w:t>
      </w:r>
      <w:r w:rsidR="006904EF">
        <w:rPr>
          <w:lang w:eastAsia="fr-FR"/>
        </w:rPr>
        <w:t xml:space="preserve"> a vocation à </w:t>
      </w:r>
      <w:r w:rsidR="00871A10">
        <w:rPr>
          <w:lang w:eastAsia="fr-FR"/>
        </w:rPr>
        <w:t xml:space="preserve">être </w:t>
      </w:r>
      <w:r w:rsidR="00B44E89">
        <w:rPr>
          <w:lang w:eastAsia="fr-FR"/>
        </w:rPr>
        <w:t>transformée en lardons</w:t>
      </w:r>
      <w:r w:rsidR="006904EF">
        <w:rPr>
          <w:lang w:eastAsia="fr-FR"/>
        </w:rPr>
        <w:t xml:space="preserve"> </w:t>
      </w:r>
      <w:r w:rsidR="004E5614">
        <w:rPr>
          <w:lang w:eastAsia="fr-FR"/>
        </w:rPr>
        <w:t xml:space="preserve">tandis qu’une part moindre serait </w:t>
      </w:r>
      <w:r w:rsidR="006904EF">
        <w:rPr>
          <w:lang w:eastAsia="fr-FR"/>
        </w:rPr>
        <w:t>présenté</w:t>
      </w:r>
      <w:r w:rsidR="004E5614">
        <w:rPr>
          <w:lang w:eastAsia="fr-FR"/>
        </w:rPr>
        <w:t>e</w:t>
      </w:r>
      <w:r w:rsidR="006904EF">
        <w:rPr>
          <w:lang w:eastAsia="fr-FR"/>
        </w:rPr>
        <w:t xml:space="preserve"> en poitrine entière</w:t>
      </w:r>
      <w:r w:rsidR="004E5614">
        <w:rPr>
          <w:lang w:eastAsia="fr-FR"/>
        </w:rPr>
        <w:t xml:space="preserve"> pour être salée ou séchée</w:t>
      </w:r>
      <w:r w:rsidRPr="002428E6">
        <w:rPr>
          <w:lang w:eastAsia="fr-FR"/>
        </w:rPr>
        <w:t>,</w:t>
      </w:r>
    </w:p>
    <w:p w14:paraId="74D0F949" w14:textId="666EF601" w:rsidR="00916D17" w:rsidRDefault="00871A10" w:rsidP="00916D17">
      <w:pPr>
        <w:pStyle w:val="Paragraphedeliste"/>
        <w:numPr>
          <w:ilvl w:val="0"/>
          <w:numId w:val="23"/>
        </w:numPr>
        <w:rPr>
          <w:lang w:eastAsia="fr-FR"/>
        </w:rPr>
      </w:pPr>
      <w:r>
        <w:rPr>
          <w:lang w:eastAsia="fr-FR"/>
        </w:rPr>
        <w:t>L</w:t>
      </w:r>
      <w:r w:rsidR="004E5614">
        <w:rPr>
          <w:lang w:eastAsia="fr-FR"/>
        </w:rPr>
        <w:t xml:space="preserve">a part des pièces de viande de boucherie (un peu plus de 10%) sous la forme notamment de travers consommés crus ou saumurés, </w:t>
      </w:r>
    </w:p>
    <w:p w14:paraId="4B7FCF92" w14:textId="4248C5B3" w:rsidR="00B44E89" w:rsidRPr="002428E6" w:rsidRDefault="00B44E89" w:rsidP="004E5614">
      <w:pPr>
        <w:pStyle w:val="Paragraphedeliste"/>
        <w:numPr>
          <w:ilvl w:val="0"/>
          <w:numId w:val="23"/>
        </w:numPr>
        <w:rPr>
          <w:lang w:eastAsia="fr-FR"/>
        </w:rPr>
      </w:pPr>
      <w:r>
        <w:rPr>
          <w:lang w:eastAsia="fr-FR"/>
        </w:rPr>
        <w:t xml:space="preserve">Le solde </w:t>
      </w:r>
      <w:r w:rsidR="004E5614">
        <w:rPr>
          <w:lang w:eastAsia="fr-FR"/>
        </w:rPr>
        <w:t xml:space="preserve">de l’ordre de 20% </w:t>
      </w:r>
      <w:r>
        <w:rPr>
          <w:lang w:eastAsia="fr-FR"/>
        </w:rPr>
        <w:t>est destiné à la cutter pour être intégré</w:t>
      </w:r>
      <w:r w:rsidR="004E5614">
        <w:rPr>
          <w:lang w:eastAsia="fr-FR"/>
        </w:rPr>
        <w:t xml:space="preserve"> en</w:t>
      </w:r>
      <w:r>
        <w:rPr>
          <w:lang w:eastAsia="fr-FR"/>
        </w:rPr>
        <w:t xml:space="preserve"> </w:t>
      </w:r>
      <w:r w:rsidRPr="0002537E">
        <w:rPr>
          <w:lang w:eastAsia="fr-FR"/>
        </w:rPr>
        <w:t xml:space="preserve">minerai </w:t>
      </w:r>
      <w:r w:rsidR="004E5614">
        <w:rPr>
          <w:lang w:eastAsia="fr-FR"/>
        </w:rPr>
        <w:t xml:space="preserve">pour la transformation de saucisserie </w:t>
      </w:r>
      <w:r w:rsidRPr="0002537E">
        <w:rPr>
          <w:lang w:eastAsia="fr-FR"/>
        </w:rPr>
        <w:t>s</w:t>
      </w:r>
      <w:r w:rsidR="004E5614">
        <w:rPr>
          <w:lang w:eastAsia="fr-FR"/>
        </w:rPr>
        <w:t>èche</w:t>
      </w:r>
      <w:r w:rsidRPr="0002537E">
        <w:rPr>
          <w:lang w:eastAsia="fr-FR"/>
        </w:rPr>
        <w:t xml:space="preserve">, terrines, rillettes </w:t>
      </w:r>
      <w:r>
        <w:rPr>
          <w:lang w:eastAsia="fr-FR"/>
        </w:rPr>
        <w:t xml:space="preserve">et en proportion moindre </w:t>
      </w:r>
      <w:r w:rsidR="004E5614">
        <w:rPr>
          <w:lang w:eastAsia="fr-FR"/>
        </w:rPr>
        <w:t>vers la</w:t>
      </w:r>
      <w:r>
        <w:rPr>
          <w:lang w:eastAsia="fr-FR"/>
        </w:rPr>
        <w:t xml:space="preserve"> </w:t>
      </w:r>
      <w:r w:rsidRPr="0002537E">
        <w:rPr>
          <w:lang w:eastAsia="fr-FR"/>
        </w:rPr>
        <w:t>saucisserie...</w:t>
      </w:r>
      <w:r w:rsidR="004E5614">
        <w:rPr>
          <w:lang w:eastAsia="fr-FR"/>
        </w:rPr>
        <w:t xml:space="preserve"> La part de cette fraction est cependant très difficile à estimer compte tenu de la variabilité des recettes et des pratiques des transformateurs. </w:t>
      </w:r>
    </w:p>
    <w:p w14:paraId="4DCFEEA6" w14:textId="51A1FC02" w:rsidR="0088610C" w:rsidRPr="004E4274" w:rsidRDefault="00916D17" w:rsidP="0002537E">
      <w:pPr>
        <w:rPr>
          <w:bCs/>
        </w:rPr>
      </w:pPr>
      <w:r w:rsidRPr="0088610C">
        <w:rPr>
          <w:bCs/>
          <w:lang w:eastAsia="fr-FR"/>
        </w:rPr>
        <w:t>Les incertitudes en entrée de tableau emploi ressource sont de 30%</w:t>
      </w:r>
      <w:r w:rsidR="004E5614">
        <w:rPr>
          <w:bCs/>
          <w:lang w:eastAsia="fr-FR"/>
        </w:rPr>
        <w:t>.</w:t>
      </w:r>
    </w:p>
    <w:tbl>
      <w:tblPr>
        <w:tblW w:w="9209" w:type="dxa"/>
        <w:tblCellMar>
          <w:left w:w="0" w:type="dxa"/>
          <w:right w:w="0" w:type="dxa"/>
        </w:tblCellMar>
        <w:tblLook w:val="0600" w:firstRow="0" w:lastRow="0" w:firstColumn="0" w:lastColumn="0" w:noHBand="1" w:noVBand="1"/>
      </w:tblPr>
      <w:tblGrid>
        <w:gridCol w:w="2689"/>
        <w:gridCol w:w="1417"/>
        <w:gridCol w:w="992"/>
        <w:gridCol w:w="948"/>
        <w:gridCol w:w="3163"/>
      </w:tblGrid>
      <w:tr w:rsidR="00EA0C75" w:rsidRPr="00EA0C75" w14:paraId="2F3B06E0" w14:textId="77777777" w:rsidTr="0002537E">
        <w:trPr>
          <w:trHeight w:val="366"/>
        </w:trPr>
        <w:tc>
          <w:tcPr>
            <w:tcW w:w="268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FC861D8" w14:textId="401CE295" w:rsidR="00C27F93" w:rsidRPr="00713036" w:rsidRDefault="00C27F93" w:rsidP="0002537E">
            <w:pPr>
              <w:pStyle w:val="ValrieN2"/>
              <w:spacing w:after="0" w:line="240" w:lineRule="auto"/>
              <w:ind w:left="125"/>
              <w:jc w:val="left"/>
              <w:rPr>
                <w:sz w:val="20"/>
                <w:szCs w:val="20"/>
              </w:rPr>
            </w:pP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55E5D8E" w14:textId="2F2D4FE9" w:rsidR="00C27F93" w:rsidRPr="00713036" w:rsidRDefault="00C27F93" w:rsidP="0002537E">
            <w:pPr>
              <w:pStyle w:val="ValrieN2"/>
              <w:spacing w:after="0" w:line="240" w:lineRule="auto"/>
              <w:ind w:left="125"/>
              <w:jc w:val="left"/>
              <w:rPr>
                <w:sz w:val="20"/>
                <w:szCs w:val="20"/>
              </w:rPr>
            </w:pPr>
            <w:r w:rsidRPr="00713036">
              <w:rPr>
                <w:bCs/>
                <w:sz w:val="20"/>
                <w:szCs w:val="20"/>
              </w:rPr>
              <w:t>Production</w:t>
            </w:r>
          </w:p>
        </w:tc>
        <w:tc>
          <w:tcPr>
            <w:tcW w:w="99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037F25F" w14:textId="77777777" w:rsidR="00C27F93" w:rsidRPr="00713036" w:rsidRDefault="00C27F93" w:rsidP="0002537E">
            <w:pPr>
              <w:pStyle w:val="ValrieN2"/>
              <w:spacing w:after="0" w:line="240" w:lineRule="auto"/>
              <w:ind w:left="125"/>
              <w:jc w:val="left"/>
              <w:rPr>
                <w:sz w:val="20"/>
                <w:szCs w:val="20"/>
              </w:rPr>
            </w:pPr>
            <w:r w:rsidRPr="00713036">
              <w:rPr>
                <w:bCs/>
                <w:sz w:val="20"/>
                <w:szCs w:val="20"/>
              </w:rPr>
              <w:t>I</w:t>
            </w:r>
          </w:p>
        </w:tc>
        <w:tc>
          <w:tcPr>
            <w:tcW w:w="94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D59DB8F" w14:textId="77777777" w:rsidR="00C27F93" w:rsidRPr="00713036" w:rsidRDefault="00C27F93" w:rsidP="0002537E">
            <w:pPr>
              <w:pStyle w:val="ValrieN2"/>
              <w:spacing w:after="0" w:line="240" w:lineRule="auto"/>
              <w:ind w:left="125"/>
              <w:jc w:val="left"/>
              <w:rPr>
                <w:sz w:val="20"/>
                <w:szCs w:val="20"/>
              </w:rPr>
            </w:pPr>
            <w:r w:rsidRPr="00713036">
              <w:rPr>
                <w:bCs/>
                <w:sz w:val="20"/>
                <w:szCs w:val="20"/>
              </w:rPr>
              <w:t>Ex</w:t>
            </w:r>
          </w:p>
        </w:tc>
        <w:tc>
          <w:tcPr>
            <w:tcW w:w="316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7B48EDDD" w14:textId="785F790E" w:rsidR="00C27F93" w:rsidRPr="00713036" w:rsidRDefault="00C27F93" w:rsidP="0002537E">
            <w:pPr>
              <w:pStyle w:val="ValrieN2"/>
              <w:spacing w:after="0" w:line="240" w:lineRule="auto"/>
              <w:ind w:left="125"/>
              <w:jc w:val="left"/>
              <w:rPr>
                <w:sz w:val="20"/>
                <w:szCs w:val="20"/>
              </w:rPr>
            </w:pPr>
            <w:r w:rsidRPr="00713036">
              <w:rPr>
                <w:bCs/>
                <w:sz w:val="20"/>
                <w:szCs w:val="20"/>
              </w:rPr>
              <w:t>Consommation</w:t>
            </w:r>
          </w:p>
        </w:tc>
      </w:tr>
      <w:tr w:rsidR="00EA0C75" w:rsidRPr="00EA0C75" w14:paraId="78B42066" w14:textId="77777777" w:rsidTr="0002537E">
        <w:trPr>
          <w:trHeight w:val="282"/>
        </w:trPr>
        <w:tc>
          <w:tcPr>
            <w:tcW w:w="2689"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A3080EA" w14:textId="01B3FF02" w:rsidR="00C27F93" w:rsidRPr="00713036" w:rsidRDefault="00C27F93" w:rsidP="0002537E">
            <w:pPr>
              <w:pStyle w:val="ValrieN2"/>
              <w:spacing w:after="0" w:line="240" w:lineRule="auto"/>
              <w:ind w:left="125"/>
              <w:jc w:val="left"/>
              <w:rPr>
                <w:sz w:val="20"/>
                <w:szCs w:val="20"/>
              </w:rPr>
            </w:pPr>
            <w:r w:rsidRPr="00713036">
              <w:rPr>
                <w:bCs/>
                <w:sz w:val="20"/>
                <w:szCs w:val="20"/>
              </w:rPr>
              <w:t>Total</w:t>
            </w:r>
          </w:p>
        </w:tc>
        <w:tc>
          <w:tcPr>
            <w:tcW w:w="1417"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41CE70C4" w14:textId="77777777" w:rsidR="00C27F93" w:rsidRPr="00713036" w:rsidRDefault="00C27F93" w:rsidP="0002537E">
            <w:pPr>
              <w:pStyle w:val="ValrieN2"/>
              <w:spacing w:after="0" w:line="240" w:lineRule="auto"/>
              <w:ind w:left="125"/>
              <w:jc w:val="left"/>
              <w:rPr>
                <w:sz w:val="20"/>
                <w:szCs w:val="20"/>
              </w:rPr>
            </w:pPr>
            <w:r w:rsidRPr="00713036">
              <w:rPr>
                <w:bCs/>
                <w:sz w:val="20"/>
                <w:szCs w:val="20"/>
              </w:rPr>
              <w:t>174 [122-226]</w:t>
            </w:r>
          </w:p>
        </w:tc>
        <w:tc>
          <w:tcPr>
            <w:tcW w:w="992"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7C8EE4A" w14:textId="05889E53" w:rsidR="00C27F93" w:rsidRPr="00713036" w:rsidRDefault="00C27F93" w:rsidP="0002537E">
            <w:pPr>
              <w:pStyle w:val="ValrieN2"/>
              <w:spacing w:after="0" w:line="240" w:lineRule="auto"/>
              <w:ind w:left="125"/>
              <w:jc w:val="left"/>
              <w:rPr>
                <w:sz w:val="20"/>
                <w:szCs w:val="20"/>
              </w:rPr>
            </w:pPr>
          </w:p>
        </w:tc>
        <w:tc>
          <w:tcPr>
            <w:tcW w:w="948"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626A539D" w14:textId="377FE9B3" w:rsidR="00C27F93" w:rsidRPr="00713036" w:rsidRDefault="00C27F93" w:rsidP="0002537E">
            <w:pPr>
              <w:pStyle w:val="ValrieN2"/>
              <w:spacing w:after="0" w:line="240" w:lineRule="auto"/>
              <w:ind w:left="125"/>
              <w:jc w:val="left"/>
              <w:rPr>
                <w:sz w:val="20"/>
                <w:szCs w:val="20"/>
              </w:rPr>
            </w:pPr>
          </w:p>
        </w:tc>
        <w:tc>
          <w:tcPr>
            <w:tcW w:w="3163"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241699DC" w14:textId="3C380AC4" w:rsidR="00C27F93" w:rsidRPr="00713036" w:rsidRDefault="00C27F93" w:rsidP="0002537E">
            <w:pPr>
              <w:pStyle w:val="ValrieN2"/>
              <w:spacing w:after="0" w:line="240" w:lineRule="auto"/>
              <w:ind w:left="125"/>
              <w:jc w:val="left"/>
              <w:rPr>
                <w:sz w:val="20"/>
                <w:szCs w:val="20"/>
              </w:rPr>
            </w:pPr>
            <w:r w:rsidRPr="00713036">
              <w:rPr>
                <w:bCs/>
                <w:sz w:val="20"/>
                <w:szCs w:val="20"/>
              </w:rPr>
              <w:t>1</w:t>
            </w:r>
            <w:r w:rsidR="00B44E89">
              <w:rPr>
                <w:bCs/>
                <w:sz w:val="20"/>
                <w:szCs w:val="20"/>
              </w:rPr>
              <w:t>7</w:t>
            </w:r>
            <w:r w:rsidRPr="00713036">
              <w:rPr>
                <w:bCs/>
                <w:sz w:val="20"/>
                <w:szCs w:val="20"/>
              </w:rPr>
              <w:t>4 [1</w:t>
            </w:r>
            <w:r w:rsidR="00B44E89">
              <w:rPr>
                <w:bCs/>
                <w:sz w:val="20"/>
                <w:szCs w:val="20"/>
              </w:rPr>
              <w:t>22</w:t>
            </w:r>
            <w:r w:rsidRPr="00713036">
              <w:rPr>
                <w:bCs/>
                <w:sz w:val="20"/>
                <w:szCs w:val="20"/>
              </w:rPr>
              <w:t>-2</w:t>
            </w:r>
            <w:r w:rsidR="00B44E89">
              <w:rPr>
                <w:bCs/>
                <w:sz w:val="20"/>
                <w:szCs w:val="20"/>
              </w:rPr>
              <w:t>26</w:t>
            </w:r>
            <w:r w:rsidRPr="00713036">
              <w:rPr>
                <w:bCs/>
                <w:sz w:val="20"/>
                <w:szCs w:val="20"/>
              </w:rPr>
              <w:t>]</w:t>
            </w:r>
          </w:p>
        </w:tc>
      </w:tr>
      <w:tr w:rsidR="00EA0C75" w:rsidRPr="00EA0C75" w14:paraId="4DAC2790" w14:textId="77777777" w:rsidTr="0002537E">
        <w:trPr>
          <w:trHeight w:val="370"/>
        </w:trPr>
        <w:tc>
          <w:tcPr>
            <w:tcW w:w="2689"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FF8E181" w14:textId="77777777" w:rsidR="00C27F93" w:rsidRPr="00713036" w:rsidRDefault="00C27F93" w:rsidP="0002537E">
            <w:pPr>
              <w:pStyle w:val="ValrieN2"/>
              <w:spacing w:after="0" w:line="240" w:lineRule="auto"/>
              <w:ind w:left="125"/>
              <w:jc w:val="left"/>
              <w:rPr>
                <w:b w:val="0"/>
                <w:sz w:val="20"/>
                <w:szCs w:val="20"/>
              </w:rPr>
            </w:pPr>
            <w:r w:rsidRPr="00713036">
              <w:rPr>
                <w:b w:val="0"/>
                <w:sz w:val="20"/>
                <w:szCs w:val="20"/>
              </w:rPr>
              <w:t>Poitrine entière, salée, saumurée</w:t>
            </w:r>
          </w:p>
        </w:tc>
        <w:tc>
          <w:tcPr>
            <w:tcW w:w="1417"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9F013A4" w14:textId="7777777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28 [19-36]</w:t>
            </w:r>
          </w:p>
        </w:tc>
        <w:tc>
          <w:tcPr>
            <w:tcW w:w="992" w:type="dxa"/>
            <w:vMerge w:val="restar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A2E4522" w14:textId="4D01CE74" w:rsidR="00C27F93" w:rsidRPr="00713036" w:rsidRDefault="00C27F93" w:rsidP="0002537E">
            <w:pPr>
              <w:pStyle w:val="ValrieN2"/>
              <w:spacing w:after="0" w:line="240" w:lineRule="auto"/>
              <w:ind w:left="125"/>
              <w:jc w:val="left"/>
              <w:rPr>
                <w:b w:val="0"/>
                <w:sz w:val="20"/>
                <w:szCs w:val="20"/>
              </w:rPr>
            </w:pPr>
          </w:p>
        </w:tc>
        <w:tc>
          <w:tcPr>
            <w:tcW w:w="948" w:type="dxa"/>
            <w:vMerge w:val="restart"/>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C1EF8EC" w14:textId="2BD91420"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B407230" w14:textId="534C39B0" w:rsidR="00C27F93" w:rsidRPr="00713036" w:rsidRDefault="00457B83" w:rsidP="0002537E">
            <w:pPr>
              <w:pStyle w:val="ValrieN2"/>
              <w:spacing w:after="0" w:line="240" w:lineRule="auto"/>
              <w:ind w:left="125"/>
              <w:jc w:val="left"/>
              <w:rPr>
                <w:b w:val="0"/>
                <w:sz w:val="20"/>
                <w:szCs w:val="20"/>
              </w:rPr>
            </w:pPr>
            <w:r>
              <w:rPr>
                <w:b w:val="0"/>
                <w:bCs/>
                <w:sz w:val="20"/>
                <w:szCs w:val="20"/>
              </w:rPr>
              <w:t>2</w:t>
            </w:r>
            <w:r w:rsidR="00B44E89">
              <w:rPr>
                <w:b w:val="0"/>
                <w:bCs/>
                <w:sz w:val="20"/>
                <w:szCs w:val="20"/>
              </w:rPr>
              <w:t>7</w:t>
            </w:r>
            <w:r w:rsidR="00C27F93" w:rsidRPr="00713036">
              <w:rPr>
                <w:b w:val="0"/>
                <w:bCs/>
                <w:sz w:val="20"/>
                <w:szCs w:val="20"/>
              </w:rPr>
              <w:t xml:space="preserve"> [</w:t>
            </w:r>
            <w:r w:rsidR="00B44E89">
              <w:rPr>
                <w:b w:val="0"/>
                <w:bCs/>
                <w:sz w:val="20"/>
                <w:szCs w:val="20"/>
              </w:rPr>
              <w:t>19</w:t>
            </w:r>
            <w:r w:rsidR="00C27F93" w:rsidRPr="00713036">
              <w:rPr>
                <w:b w:val="0"/>
                <w:bCs/>
                <w:sz w:val="20"/>
                <w:szCs w:val="20"/>
              </w:rPr>
              <w:t>-3</w:t>
            </w:r>
            <w:r w:rsidR="00B44E89">
              <w:rPr>
                <w:b w:val="0"/>
                <w:bCs/>
                <w:sz w:val="20"/>
                <w:szCs w:val="20"/>
              </w:rPr>
              <w:t>5</w:t>
            </w:r>
            <w:r w:rsidR="00C27F93" w:rsidRPr="00713036">
              <w:rPr>
                <w:b w:val="0"/>
                <w:bCs/>
                <w:sz w:val="20"/>
                <w:szCs w:val="20"/>
              </w:rPr>
              <w:t>]</w:t>
            </w:r>
          </w:p>
        </w:tc>
      </w:tr>
      <w:tr w:rsidR="00EA0C75" w:rsidRPr="00EA0C75" w14:paraId="63AAFE5E" w14:textId="77777777" w:rsidTr="0002537E">
        <w:trPr>
          <w:trHeight w:val="535"/>
        </w:trPr>
        <w:tc>
          <w:tcPr>
            <w:tcW w:w="268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6D587B9" w14:textId="77777777" w:rsidR="00C27F93" w:rsidRPr="00713036" w:rsidRDefault="00C27F93" w:rsidP="0002537E">
            <w:pPr>
              <w:pStyle w:val="ValrieN2"/>
              <w:spacing w:after="0" w:line="240" w:lineRule="auto"/>
              <w:ind w:left="125"/>
              <w:jc w:val="left"/>
              <w:rPr>
                <w:b w:val="0"/>
                <w:sz w:val="20"/>
                <w:szCs w:val="20"/>
              </w:rPr>
            </w:pPr>
            <w:r w:rsidRPr="00713036">
              <w:rPr>
                <w:b w:val="0"/>
                <w:sz w:val="20"/>
                <w:szCs w:val="20"/>
              </w:rPr>
              <w:t>Poitrine extra parée 4 faces, salée, fumée, saumurée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8C4A8FC" w14:textId="164FEAA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90 [63-117]</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B93B127" w14:textId="77777777" w:rsidR="00C27F93" w:rsidRPr="00713036" w:rsidRDefault="00C27F93" w:rsidP="0002537E">
            <w:pPr>
              <w:pStyle w:val="ValrieN2"/>
              <w:spacing w:after="0" w:line="240" w:lineRule="auto"/>
              <w:ind w:left="125"/>
              <w:jc w:val="left"/>
              <w:rPr>
                <w:b w:val="0"/>
                <w:sz w:val="20"/>
                <w:szCs w:val="20"/>
              </w:rPr>
            </w:pPr>
          </w:p>
        </w:tc>
        <w:tc>
          <w:tcPr>
            <w:tcW w:w="94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FFE455" w14:textId="77777777"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2E76F70" w14:textId="6BE3004E" w:rsidR="00C27F93" w:rsidRPr="00713036" w:rsidRDefault="00A20660" w:rsidP="0002537E">
            <w:pPr>
              <w:pStyle w:val="ValrieN2"/>
              <w:spacing w:after="0" w:line="240" w:lineRule="auto"/>
              <w:ind w:left="125"/>
              <w:jc w:val="left"/>
              <w:rPr>
                <w:b w:val="0"/>
                <w:sz w:val="20"/>
                <w:szCs w:val="20"/>
              </w:rPr>
            </w:pPr>
            <w:r>
              <w:rPr>
                <w:b w:val="0"/>
                <w:bCs/>
                <w:sz w:val="20"/>
                <w:szCs w:val="20"/>
              </w:rPr>
              <w:t>8</w:t>
            </w:r>
            <w:r w:rsidR="00622F70">
              <w:rPr>
                <w:b w:val="0"/>
                <w:bCs/>
                <w:sz w:val="20"/>
                <w:szCs w:val="20"/>
              </w:rPr>
              <w:t>7</w:t>
            </w:r>
            <w:r w:rsidR="00C27F93" w:rsidRPr="00713036">
              <w:rPr>
                <w:b w:val="0"/>
                <w:bCs/>
                <w:sz w:val="20"/>
                <w:szCs w:val="20"/>
              </w:rPr>
              <w:t xml:space="preserve"> [</w:t>
            </w:r>
            <w:r w:rsidR="00B44E89">
              <w:rPr>
                <w:b w:val="0"/>
                <w:bCs/>
                <w:sz w:val="20"/>
                <w:szCs w:val="20"/>
              </w:rPr>
              <w:t>6</w:t>
            </w:r>
            <w:r w:rsidR="00622F70">
              <w:rPr>
                <w:b w:val="0"/>
                <w:bCs/>
                <w:sz w:val="20"/>
                <w:szCs w:val="20"/>
              </w:rPr>
              <w:t>1</w:t>
            </w:r>
            <w:r w:rsidR="00C27F93" w:rsidRPr="00713036">
              <w:rPr>
                <w:b w:val="0"/>
                <w:bCs/>
                <w:sz w:val="20"/>
                <w:szCs w:val="20"/>
              </w:rPr>
              <w:t>-1</w:t>
            </w:r>
            <w:r w:rsidR="00B44E89">
              <w:rPr>
                <w:b w:val="0"/>
                <w:bCs/>
                <w:sz w:val="20"/>
                <w:szCs w:val="20"/>
              </w:rPr>
              <w:t>1</w:t>
            </w:r>
            <w:r w:rsidR="00622F70">
              <w:rPr>
                <w:b w:val="0"/>
                <w:bCs/>
                <w:sz w:val="20"/>
                <w:szCs w:val="20"/>
              </w:rPr>
              <w:t>3</w:t>
            </w:r>
            <w:r w:rsidR="00C27F93" w:rsidRPr="00713036">
              <w:rPr>
                <w:b w:val="0"/>
                <w:bCs/>
                <w:sz w:val="20"/>
                <w:szCs w:val="20"/>
              </w:rPr>
              <w:t>]</w:t>
            </w:r>
          </w:p>
        </w:tc>
      </w:tr>
      <w:tr w:rsidR="00EA0C75" w:rsidRPr="00EA0C75" w14:paraId="0A431897" w14:textId="77777777" w:rsidTr="0002537E">
        <w:trPr>
          <w:trHeight w:val="278"/>
        </w:trPr>
        <w:tc>
          <w:tcPr>
            <w:tcW w:w="268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1ED3E75" w14:textId="12E9C836" w:rsidR="00C27F93" w:rsidRPr="00713036" w:rsidRDefault="00C27F93" w:rsidP="0002537E">
            <w:pPr>
              <w:pStyle w:val="ValrieN2"/>
              <w:spacing w:after="0" w:line="240" w:lineRule="auto"/>
              <w:ind w:left="125"/>
              <w:jc w:val="left"/>
              <w:rPr>
                <w:b w:val="0"/>
                <w:sz w:val="20"/>
                <w:szCs w:val="20"/>
              </w:rPr>
            </w:pPr>
            <w:r w:rsidRPr="00713036">
              <w:rPr>
                <w:b w:val="0"/>
                <w:sz w:val="20"/>
                <w:szCs w:val="20"/>
              </w:rPr>
              <w:t>Travers cru, mariné,</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581CDF7" w14:textId="7777777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17 [12-22]</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FC7772B" w14:textId="77777777" w:rsidR="00C27F93" w:rsidRPr="00713036" w:rsidRDefault="00C27F93" w:rsidP="0002537E">
            <w:pPr>
              <w:pStyle w:val="ValrieN2"/>
              <w:spacing w:after="0" w:line="240" w:lineRule="auto"/>
              <w:ind w:left="125"/>
              <w:jc w:val="left"/>
              <w:rPr>
                <w:b w:val="0"/>
                <w:sz w:val="20"/>
                <w:szCs w:val="20"/>
              </w:rPr>
            </w:pPr>
          </w:p>
        </w:tc>
        <w:tc>
          <w:tcPr>
            <w:tcW w:w="94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233589A" w14:textId="77777777"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6DAFDB0" w14:textId="6494FF74"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1</w:t>
            </w:r>
            <w:r w:rsidR="00F47572">
              <w:rPr>
                <w:b w:val="0"/>
                <w:bCs/>
                <w:sz w:val="20"/>
                <w:szCs w:val="20"/>
              </w:rPr>
              <w:t>8</w:t>
            </w:r>
            <w:r w:rsidRPr="00713036">
              <w:rPr>
                <w:b w:val="0"/>
                <w:bCs/>
                <w:sz w:val="20"/>
                <w:szCs w:val="20"/>
              </w:rPr>
              <w:t xml:space="preserve"> [1</w:t>
            </w:r>
            <w:r w:rsidR="00B44E89">
              <w:rPr>
                <w:b w:val="0"/>
                <w:bCs/>
                <w:sz w:val="20"/>
                <w:szCs w:val="20"/>
              </w:rPr>
              <w:t>3</w:t>
            </w:r>
            <w:r w:rsidRPr="00713036">
              <w:rPr>
                <w:b w:val="0"/>
                <w:bCs/>
                <w:sz w:val="20"/>
                <w:szCs w:val="20"/>
              </w:rPr>
              <w:t>-2</w:t>
            </w:r>
            <w:r w:rsidR="00B44E89">
              <w:rPr>
                <w:b w:val="0"/>
                <w:bCs/>
                <w:sz w:val="20"/>
                <w:szCs w:val="20"/>
              </w:rPr>
              <w:t>3</w:t>
            </w:r>
            <w:r w:rsidRPr="00713036">
              <w:rPr>
                <w:b w:val="0"/>
                <w:bCs/>
                <w:sz w:val="20"/>
                <w:szCs w:val="20"/>
              </w:rPr>
              <w:t>]</w:t>
            </w:r>
          </w:p>
        </w:tc>
      </w:tr>
      <w:tr w:rsidR="00EA0C75" w:rsidRPr="00EA0C75" w14:paraId="7B0008AB" w14:textId="77777777" w:rsidTr="0002537E">
        <w:trPr>
          <w:trHeight w:val="669"/>
        </w:trPr>
        <w:tc>
          <w:tcPr>
            <w:tcW w:w="268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B130F8E" w14:textId="77777777" w:rsidR="00C27F93" w:rsidRPr="00713036" w:rsidRDefault="00C27F93" w:rsidP="0002537E">
            <w:pPr>
              <w:pStyle w:val="ValrieN2"/>
              <w:spacing w:after="0" w:line="240" w:lineRule="auto"/>
              <w:ind w:left="125"/>
              <w:jc w:val="left"/>
              <w:rPr>
                <w:b w:val="0"/>
                <w:sz w:val="20"/>
                <w:szCs w:val="20"/>
              </w:rPr>
            </w:pPr>
            <w:r w:rsidRPr="00713036">
              <w:rPr>
                <w:b w:val="0"/>
                <w:sz w:val="20"/>
                <w:szCs w:val="20"/>
              </w:rPr>
              <w:t>Poitrine cutter (minerai sec, terrines, rillettes, saucisserie...)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54884FE" w14:textId="7777777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35 [24-46]</w:t>
            </w:r>
          </w:p>
        </w:tc>
        <w:tc>
          <w:tcPr>
            <w:tcW w:w="992"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A22C5E9" w14:textId="77777777" w:rsidR="00C27F93" w:rsidRPr="00713036" w:rsidRDefault="00C27F93" w:rsidP="0002537E">
            <w:pPr>
              <w:pStyle w:val="ValrieN2"/>
              <w:spacing w:after="0" w:line="240" w:lineRule="auto"/>
              <w:ind w:left="125"/>
              <w:jc w:val="left"/>
              <w:rPr>
                <w:b w:val="0"/>
                <w:sz w:val="20"/>
                <w:szCs w:val="20"/>
              </w:rPr>
            </w:pPr>
          </w:p>
        </w:tc>
        <w:tc>
          <w:tcPr>
            <w:tcW w:w="948"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0F59FA" w14:textId="77777777"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EFBBFF5" w14:textId="2C7E27E2"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3</w:t>
            </w:r>
            <w:r w:rsidR="00622F70">
              <w:rPr>
                <w:b w:val="0"/>
                <w:bCs/>
                <w:sz w:val="20"/>
                <w:szCs w:val="20"/>
              </w:rPr>
              <w:t>6</w:t>
            </w:r>
            <w:r w:rsidRPr="00713036">
              <w:rPr>
                <w:b w:val="0"/>
                <w:bCs/>
                <w:sz w:val="20"/>
                <w:szCs w:val="20"/>
              </w:rPr>
              <w:t xml:space="preserve"> [2</w:t>
            </w:r>
            <w:r w:rsidR="00622F70">
              <w:rPr>
                <w:b w:val="0"/>
                <w:bCs/>
                <w:sz w:val="20"/>
                <w:szCs w:val="20"/>
              </w:rPr>
              <w:t>5</w:t>
            </w:r>
            <w:r w:rsidRPr="00713036">
              <w:rPr>
                <w:b w:val="0"/>
                <w:bCs/>
                <w:sz w:val="20"/>
                <w:szCs w:val="20"/>
              </w:rPr>
              <w:t>-4</w:t>
            </w:r>
            <w:r w:rsidR="00622F70">
              <w:rPr>
                <w:b w:val="0"/>
                <w:bCs/>
                <w:sz w:val="20"/>
                <w:szCs w:val="20"/>
              </w:rPr>
              <w:t>7</w:t>
            </w:r>
            <w:r w:rsidRPr="00713036">
              <w:rPr>
                <w:b w:val="0"/>
                <w:bCs/>
                <w:sz w:val="20"/>
                <w:szCs w:val="20"/>
              </w:rPr>
              <w:t>]</w:t>
            </w:r>
          </w:p>
        </w:tc>
      </w:tr>
      <w:tr w:rsidR="00EA0C75" w:rsidRPr="00EA0C75" w14:paraId="749CAEF0" w14:textId="77777777" w:rsidTr="0002537E">
        <w:trPr>
          <w:trHeight w:val="398"/>
        </w:trPr>
        <w:tc>
          <w:tcPr>
            <w:tcW w:w="268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4349EBF" w14:textId="7ECCE33D" w:rsidR="00C27F93" w:rsidRPr="00713036" w:rsidRDefault="00C27F93" w:rsidP="0002537E">
            <w:pPr>
              <w:pStyle w:val="ValrieN2"/>
              <w:spacing w:after="0" w:line="240" w:lineRule="auto"/>
              <w:ind w:left="125"/>
              <w:jc w:val="left"/>
              <w:rPr>
                <w:b w:val="0"/>
                <w:sz w:val="20"/>
                <w:szCs w:val="20"/>
              </w:rPr>
            </w:pPr>
            <w:r w:rsidRPr="00713036">
              <w:rPr>
                <w:b w:val="0"/>
                <w:sz w:val="20"/>
                <w:szCs w:val="20"/>
              </w:rPr>
              <w:t>Saumure, autres additifs</w:t>
            </w:r>
          </w:p>
        </w:tc>
        <w:tc>
          <w:tcPr>
            <w:tcW w:w="141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21BAEB11" w14:textId="77777777" w:rsidR="00C27F93" w:rsidRPr="00713036" w:rsidRDefault="00C27F93" w:rsidP="0002537E">
            <w:pPr>
              <w:pStyle w:val="ValrieN2"/>
              <w:spacing w:after="0" w:line="240" w:lineRule="auto"/>
              <w:ind w:left="125"/>
              <w:jc w:val="left"/>
              <w:rPr>
                <w:b w:val="0"/>
                <w:sz w:val="20"/>
                <w:szCs w:val="20"/>
              </w:rPr>
            </w:pPr>
            <w:r w:rsidRPr="00713036">
              <w:rPr>
                <w:b w:val="0"/>
                <w:bCs/>
                <w:sz w:val="20"/>
                <w:szCs w:val="20"/>
              </w:rPr>
              <w:t>4 [3-5]</w:t>
            </w:r>
          </w:p>
        </w:tc>
        <w:tc>
          <w:tcPr>
            <w:tcW w:w="99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1AD8B163" w14:textId="2DB2744B" w:rsidR="00C27F93" w:rsidRPr="00713036" w:rsidRDefault="00C27F93" w:rsidP="0002537E">
            <w:pPr>
              <w:pStyle w:val="ValrieN2"/>
              <w:spacing w:after="0" w:line="240" w:lineRule="auto"/>
              <w:ind w:left="125"/>
              <w:jc w:val="left"/>
              <w:rPr>
                <w:b w:val="0"/>
                <w:sz w:val="20"/>
                <w:szCs w:val="20"/>
              </w:rPr>
            </w:pPr>
          </w:p>
        </w:tc>
        <w:tc>
          <w:tcPr>
            <w:tcW w:w="9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0619DE03" w14:textId="32242F53"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2966D1AA" w14:textId="313840F8" w:rsidR="00C27F93" w:rsidRPr="00713036" w:rsidRDefault="00C27F93" w:rsidP="0002537E">
            <w:pPr>
              <w:pStyle w:val="ValrieN2"/>
              <w:spacing w:after="0" w:line="240" w:lineRule="auto"/>
              <w:ind w:left="125"/>
              <w:jc w:val="left"/>
              <w:rPr>
                <w:b w:val="0"/>
                <w:sz w:val="20"/>
                <w:szCs w:val="20"/>
              </w:rPr>
            </w:pPr>
          </w:p>
        </w:tc>
      </w:tr>
      <w:tr w:rsidR="00EA0C75" w:rsidRPr="00EA0C75" w14:paraId="3E015435" w14:textId="77777777" w:rsidTr="0002537E">
        <w:trPr>
          <w:trHeight w:val="535"/>
        </w:trPr>
        <w:tc>
          <w:tcPr>
            <w:tcW w:w="268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C755849" w14:textId="153688B5" w:rsidR="00C27F93" w:rsidRPr="00713036" w:rsidRDefault="00C27F93" w:rsidP="0002537E">
            <w:pPr>
              <w:pStyle w:val="ValrieN2"/>
              <w:spacing w:after="0" w:line="240" w:lineRule="auto"/>
              <w:ind w:left="125"/>
              <w:jc w:val="left"/>
              <w:rPr>
                <w:b w:val="0"/>
                <w:sz w:val="20"/>
                <w:szCs w:val="20"/>
              </w:rPr>
            </w:pPr>
            <w:r w:rsidRPr="00713036">
              <w:rPr>
                <w:b w:val="0"/>
                <w:sz w:val="20"/>
                <w:szCs w:val="20"/>
              </w:rPr>
              <w:t>Evaporation eau</w:t>
            </w:r>
          </w:p>
        </w:tc>
        <w:tc>
          <w:tcPr>
            <w:tcW w:w="141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3CC8D039" w14:textId="56213E50" w:rsidR="00C27F93" w:rsidRPr="00713036" w:rsidRDefault="00C27F93" w:rsidP="0002537E">
            <w:pPr>
              <w:pStyle w:val="ValrieN2"/>
              <w:spacing w:after="0" w:line="240" w:lineRule="auto"/>
              <w:ind w:left="125"/>
              <w:jc w:val="left"/>
              <w:rPr>
                <w:b w:val="0"/>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7EE8DD2A" w14:textId="54606332" w:rsidR="00C27F93" w:rsidRPr="00713036" w:rsidRDefault="00C27F93" w:rsidP="0002537E">
            <w:pPr>
              <w:pStyle w:val="ValrieN2"/>
              <w:spacing w:after="0" w:line="240" w:lineRule="auto"/>
              <w:ind w:left="125"/>
              <w:jc w:val="left"/>
              <w:rPr>
                <w:b w:val="0"/>
                <w:sz w:val="20"/>
                <w:szCs w:val="20"/>
              </w:rPr>
            </w:pPr>
          </w:p>
        </w:tc>
        <w:tc>
          <w:tcPr>
            <w:tcW w:w="94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67998E1" w14:textId="10CA50BB" w:rsidR="00C27F93" w:rsidRPr="00713036" w:rsidRDefault="00C27F93" w:rsidP="0002537E">
            <w:pPr>
              <w:pStyle w:val="ValrieN2"/>
              <w:spacing w:after="0" w:line="240" w:lineRule="auto"/>
              <w:ind w:left="125"/>
              <w:jc w:val="left"/>
              <w:rPr>
                <w:b w:val="0"/>
                <w:sz w:val="20"/>
                <w:szCs w:val="20"/>
              </w:rPr>
            </w:pPr>
          </w:p>
        </w:tc>
        <w:tc>
          <w:tcPr>
            <w:tcW w:w="31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15" w:type="dxa"/>
              <w:left w:w="15" w:type="dxa"/>
              <w:bottom w:w="0" w:type="dxa"/>
              <w:right w:w="15" w:type="dxa"/>
            </w:tcMar>
            <w:vAlign w:val="center"/>
            <w:hideMark/>
          </w:tcPr>
          <w:p w14:paraId="41EADD0F" w14:textId="682750CF" w:rsidR="00C27F93" w:rsidRPr="00713036" w:rsidRDefault="00F47572" w:rsidP="0002537E">
            <w:pPr>
              <w:pStyle w:val="ValrieN2"/>
              <w:spacing w:after="0" w:line="240" w:lineRule="auto"/>
              <w:ind w:left="125"/>
              <w:jc w:val="left"/>
              <w:rPr>
                <w:b w:val="0"/>
                <w:sz w:val="20"/>
                <w:szCs w:val="20"/>
              </w:rPr>
            </w:pPr>
            <w:r>
              <w:rPr>
                <w:b w:val="0"/>
                <w:bCs/>
                <w:sz w:val="20"/>
                <w:szCs w:val="20"/>
              </w:rPr>
              <w:t>6</w:t>
            </w:r>
            <w:r w:rsidR="00C27F93" w:rsidRPr="00713036">
              <w:rPr>
                <w:b w:val="0"/>
                <w:bCs/>
                <w:sz w:val="20"/>
                <w:szCs w:val="20"/>
              </w:rPr>
              <w:t xml:space="preserve"> [4-8]</w:t>
            </w:r>
          </w:p>
        </w:tc>
      </w:tr>
    </w:tbl>
    <w:p w14:paraId="7DDFBF9A" w14:textId="36C7A9FE" w:rsidR="00C94D9A" w:rsidRPr="004E4274" w:rsidRDefault="00D46C06" w:rsidP="0002537E">
      <w:pPr>
        <w:pStyle w:val="figure"/>
      </w:pPr>
      <w:bookmarkStart w:id="395" w:name="_Toc72143430"/>
      <w:r w:rsidRPr="00926407">
        <w:rPr>
          <w:bCs w:val="0"/>
          <w:iCs w:val="0"/>
        </w:rPr>
        <w:t xml:space="preserve">Tableau </w:t>
      </w:r>
      <w:r w:rsidR="00E27D6E">
        <w:fldChar w:fldCharType="begin"/>
      </w:r>
      <w:r w:rsidR="00E27D6E">
        <w:instrText xml:space="preserve"> SEQ Tableau \* ARABIC </w:instrText>
      </w:r>
      <w:r w:rsidR="00E27D6E">
        <w:fldChar w:fldCharType="separate"/>
      </w:r>
      <w:r w:rsidR="0007597F">
        <w:rPr>
          <w:i/>
          <w:noProof/>
        </w:rPr>
        <w:t>83</w:t>
      </w:r>
      <w:r w:rsidR="00E27D6E">
        <w:rPr>
          <w:i/>
          <w:noProof/>
        </w:rPr>
        <w:fldChar w:fldCharType="end"/>
      </w:r>
      <w:r w:rsidR="007538FF">
        <w:rPr>
          <w:i/>
        </w:rPr>
        <w:t> :</w:t>
      </w:r>
      <w:bookmarkEnd w:id="395"/>
      <w:r w:rsidR="007538FF">
        <w:rPr>
          <w:i/>
        </w:rPr>
        <w:t xml:space="preserve"> </w:t>
      </w:r>
      <w:r w:rsidR="00916D17" w:rsidRPr="0002537E">
        <w:t xml:space="preserve">Représentation </w:t>
      </w:r>
      <w:r w:rsidR="00D868C7">
        <w:rPr>
          <w:i/>
        </w:rPr>
        <w:t xml:space="preserve">du </w:t>
      </w:r>
      <w:r w:rsidR="00916D17" w:rsidRPr="0002537E">
        <w:t xml:space="preserve">tableau emploi ressource des pièces à destination du piéçage </w:t>
      </w:r>
      <w:r w:rsidR="00916D17" w:rsidRPr="0002537E">
        <w:br/>
        <w:t>en viande fraîche et de la transformation en charcuterie salaison</w:t>
      </w:r>
    </w:p>
    <w:p w14:paraId="1ABC5EC7" w14:textId="6BAC87D5" w:rsidR="00622F70" w:rsidRDefault="00622F70" w:rsidP="0002537E">
      <w:pPr>
        <w:pStyle w:val="Titre3"/>
        <w:spacing w:before="240"/>
      </w:pPr>
      <w:bookmarkStart w:id="396" w:name="_Toc78131698"/>
      <w:r w:rsidRPr="00A50150">
        <w:t>2.4.</w:t>
      </w:r>
      <w:r w:rsidR="00D868C7">
        <w:t>4</w:t>
      </w:r>
      <w:r w:rsidRPr="00A50150">
        <w:t xml:space="preserve">. Destination </w:t>
      </w:r>
      <w:r w:rsidR="00D868C7">
        <w:t xml:space="preserve">des produits finis après </w:t>
      </w:r>
      <w:r w:rsidR="00D868C7" w:rsidRPr="0002537E">
        <w:t>raidissage, tranchage, cuisson</w:t>
      </w:r>
      <w:bookmarkEnd w:id="396"/>
    </w:p>
    <w:p w14:paraId="13A49D28" w14:textId="588A13D8" w:rsidR="00A20660" w:rsidRDefault="00916D17" w:rsidP="00A20660">
      <w:r w:rsidRPr="002E29F0">
        <w:t xml:space="preserve">La part des </w:t>
      </w:r>
      <w:r w:rsidR="00A20660">
        <w:t>importations</w:t>
      </w:r>
      <w:r w:rsidRPr="002E29F0">
        <w:t xml:space="preserve"> correspond</w:t>
      </w:r>
      <w:r w:rsidR="00A20660">
        <w:t>rait</w:t>
      </w:r>
      <w:r w:rsidRPr="002E29F0">
        <w:t xml:space="preserve"> </w:t>
      </w:r>
      <w:r w:rsidR="00A20660">
        <w:t>à une partie des viandes désossées SF</w:t>
      </w:r>
      <w:r w:rsidRPr="002E29F0">
        <w:t xml:space="preserve"> (</w:t>
      </w:r>
      <w:r w:rsidR="00A20660">
        <w:t xml:space="preserve">02101981 ; 16 kt) dans lequel serait retrouvé une part de produits assimilable à de la poitrine naturellement désossée. Le reste serait à rapprocher des autres viandes SS et SF (02101950 et 02101989 ; 2,6 et et 0,5kt). Ces deux sources d’importations </w:t>
      </w:r>
      <w:r w:rsidR="004400A5">
        <w:t>sont</w:t>
      </w:r>
      <w:r w:rsidR="00FE3902">
        <w:t xml:space="preserve"> évalué</w:t>
      </w:r>
      <w:r w:rsidR="004400A5">
        <w:t>es</w:t>
      </w:r>
      <w:r w:rsidR="00FE3902">
        <w:t xml:space="preserve"> </w:t>
      </w:r>
      <w:r w:rsidR="00A20660">
        <w:t>à un total de 20 kt.</w:t>
      </w:r>
    </w:p>
    <w:p w14:paraId="44281A10" w14:textId="3E639076" w:rsidR="006F1709" w:rsidRDefault="006F1709" w:rsidP="00A20660">
      <w:r>
        <w:lastRenderedPageBreak/>
        <w:t xml:space="preserve">Les exportations à hauteur de 3,7 kt sont couvertes par la poitrine SS et la poitrine SF (02101211 et 02101219 ; 1,2 kt et 2,6 kt). </w:t>
      </w:r>
    </w:p>
    <w:p w14:paraId="35057769" w14:textId="2F9DD00B" w:rsidR="00C94D9A" w:rsidRPr="00713036" w:rsidRDefault="00916D17" w:rsidP="0002537E">
      <w:pPr>
        <w:rPr>
          <w:sz w:val="20"/>
          <w:szCs w:val="20"/>
        </w:rPr>
      </w:pPr>
      <w:r w:rsidRPr="00A50150">
        <w:t>Les incertitudes en entrée</w:t>
      </w:r>
      <w:r w:rsidRPr="002E29F0">
        <w:t xml:space="preserve"> et sortie </w:t>
      </w:r>
      <w:r w:rsidRPr="00A50150">
        <w:t>de tableau</w:t>
      </w:r>
      <w:r w:rsidRPr="002E29F0">
        <w:t xml:space="preserve"> emploi et ressources </w:t>
      </w:r>
      <w:r w:rsidRPr="00A50150">
        <w:t xml:space="preserve">sont de 30% </w:t>
      </w:r>
      <w:r w:rsidRPr="002E29F0">
        <w:t>au regard de la nature des source</w:t>
      </w:r>
      <w:r>
        <w:t>s de données mobilisées.</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30"/>
        <w:gridCol w:w="1985"/>
        <w:gridCol w:w="1276"/>
        <w:gridCol w:w="1134"/>
        <w:gridCol w:w="1842"/>
      </w:tblGrid>
      <w:tr w:rsidR="00A20660" w:rsidRPr="00A20660" w14:paraId="219B235D" w14:textId="77777777" w:rsidTr="0002537E">
        <w:trPr>
          <w:trHeight w:val="390"/>
        </w:trPr>
        <w:tc>
          <w:tcPr>
            <w:tcW w:w="2830" w:type="dxa"/>
            <w:shd w:val="clear" w:color="auto" w:fill="A6A6A6" w:themeFill="background1" w:themeFillShade="A6"/>
            <w:vAlign w:val="center"/>
            <w:hideMark/>
          </w:tcPr>
          <w:p w14:paraId="72F81AB4" w14:textId="56D256F8" w:rsidR="00A20660" w:rsidRPr="0002537E" w:rsidRDefault="00A20660" w:rsidP="0002537E">
            <w:pPr>
              <w:spacing w:after="0" w:line="240" w:lineRule="auto"/>
              <w:jc w:val="center"/>
              <w:rPr>
                <w:rFonts w:eastAsia="Times New Roman" w:cs="Arial"/>
                <w:b/>
                <w:bCs/>
                <w:color w:val="000000" w:themeColor="text1"/>
                <w:sz w:val="20"/>
                <w:szCs w:val="20"/>
                <w:lang w:eastAsia="fr-FR"/>
              </w:rPr>
            </w:pPr>
          </w:p>
        </w:tc>
        <w:tc>
          <w:tcPr>
            <w:tcW w:w="1985" w:type="dxa"/>
            <w:shd w:val="clear" w:color="auto" w:fill="A6A6A6" w:themeFill="background1" w:themeFillShade="A6"/>
            <w:vAlign w:val="center"/>
            <w:hideMark/>
          </w:tcPr>
          <w:p w14:paraId="33255DA8" w14:textId="5E5F5C4E"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Production</w:t>
            </w:r>
          </w:p>
        </w:tc>
        <w:tc>
          <w:tcPr>
            <w:tcW w:w="1276" w:type="dxa"/>
            <w:shd w:val="clear" w:color="auto" w:fill="A6A6A6" w:themeFill="background1" w:themeFillShade="A6"/>
            <w:vAlign w:val="center"/>
            <w:hideMark/>
          </w:tcPr>
          <w:p w14:paraId="3B86D005" w14:textId="77777777"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I</w:t>
            </w:r>
          </w:p>
        </w:tc>
        <w:tc>
          <w:tcPr>
            <w:tcW w:w="1134" w:type="dxa"/>
            <w:shd w:val="clear" w:color="auto" w:fill="A6A6A6" w:themeFill="background1" w:themeFillShade="A6"/>
            <w:vAlign w:val="center"/>
            <w:hideMark/>
          </w:tcPr>
          <w:p w14:paraId="3DE72F6D" w14:textId="77777777"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Ex</w:t>
            </w:r>
          </w:p>
        </w:tc>
        <w:tc>
          <w:tcPr>
            <w:tcW w:w="1842" w:type="dxa"/>
            <w:shd w:val="clear" w:color="auto" w:fill="A6A6A6" w:themeFill="background1" w:themeFillShade="A6"/>
            <w:vAlign w:val="center"/>
            <w:hideMark/>
          </w:tcPr>
          <w:p w14:paraId="691339BE" w14:textId="0B6511FA"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Consommation</w:t>
            </w:r>
          </w:p>
        </w:tc>
      </w:tr>
      <w:tr w:rsidR="00A20660" w:rsidRPr="00A20660" w14:paraId="7D313F67" w14:textId="77777777" w:rsidTr="0002537E">
        <w:trPr>
          <w:trHeight w:val="480"/>
        </w:trPr>
        <w:tc>
          <w:tcPr>
            <w:tcW w:w="2830" w:type="dxa"/>
            <w:shd w:val="clear" w:color="auto" w:fill="A6A6A6" w:themeFill="background1" w:themeFillShade="A6"/>
            <w:vAlign w:val="center"/>
            <w:hideMark/>
          </w:tcPr>
          <w:p w14:paraId="57A86B7E" w14:textId="3F6F5E0A" w:rsidR="00A20660" w:rsidRPr="0002537E" w:rsidRDefault="00A20660" w:rsidP="0002537E">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Total</w:t>
            </w:r>
          </w:p>
        </w:tc>
        <w:tc>
          <w:tcPr>
            <w:tcW w:w="1985" w:type="dxa"/>
            <w:shd w:val="clear" w:color="auto" w:fill="A6A6A6" w:themeFill="background1" w:themeFillShade="A6"/>
            <w:vAlign w:val="center"/>
            <w:hideMark/>
          </w:tcPr>
          <w:p w14:paraId="7330B044" w14:textId="68690DEE"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1</w:t>
            </w:r>
            <w:r w:rsidR="00622F70">
              <w:rPr>
                <w:rFonts w:eastAsia="Times New Roman" w:cs="Arial"/>
                <w:b/>
                <w:bCs/>
                <w:color w:val="000000" w:themeColor="text1"/>
                <w:sz w:val="20"/>
                <w:szCs w:val="20"/>
                <w:lang w:eastAsia="fr-FR"/>
              </w:rPr>
              <w:t>14</w:t>
            </w:r>
            <w:r w:rsidRPr="0002537E">
              <w:rPr>
                <w:rFonts w:eastAsia="Times New Roman" w:cs="Arial"/>
                <w:b/>
                <w:bCs/>
                <w:color w:val="000000" w:themeColor="text1"/>
                <w:sz w:val="20"/>
                <w:szCs w:val="20"/>
                <w:lang w:eastAsia="fr-FR"/>
              </w:rPr>
              <w:t xml:space="preserve"> [</w:t>
            </w:r>
            <w:r w:rsidR="00622F70">
              <w:rPr>
                <w:rFonts w:eastAsia="Times New Roman" w:cs="Arial"/>
                <w:b/>
                <w:bCs/>
                <w:color w:val="000000" w:themeColor="text1"/>
                <w:sz w:val="20"/>
                <w:szCs w:val="20"/>
                <w:lang w:eastAsia="fr-FR"/>
              </w:rPr>
              <w:t>80</w:t>
            </w:r>
            <w:r w:rsidRPr="0002537E">
              <w:rPr>
                <w:rFonts w:eastAsia="Times New Roman" w:cs="Arial"/>
                <w:b/>
                <w:bCs/>
                <w:color w:val="000000" w:themeColor="text1"/>
                <w:sz w:val="20"/>
                <w:szCs w:val="20"/>
                <w:lang w:eastAsia="fr-FR"/>
              </w:rPr>
              <w:t>-1</w:t>
            </w:r>
            <w:r w:rsidR="00622F70">
              <w:rPr>
                <w:rFonts w:eastAsia="Times New Roman" w:cs="Arial"/>
                <w:b/>
                <w:bCs/>
                <w:color w:val="000000" w:themeColor="text1"/>
                <w:sz w:val="20"/>
                <w:szCs w:val="20"/>
                <w:lang w:eastAsia="fr-FR"/>
              </w:rPr>
              <w:t>48</w:t>
            </w:r>
            <w:r w:rsidRPr="0002537E">
              <w:rPr>
                <w:rFonts w:eastAsia="Times New Roman" w:cs="Arial"/>
                <w:b/>
                <w:bCs/>
                <w:color w:val="000000" w:themeColor="text1"/>
                <w:sz w:val="20"/>
                <w:szCs w:val="20"/>
                <w:lang w:eastAsia="fr-FR"/>
              </w:rPr>
              <w:t>]</w:t>
            </w:r>
          </w:p>
        </w:tc>
        <w:tc>
          <w:tcPr>
            <w:tcW w:w="1276" w:type="dxa"/>
            <w:shd w:val="clear" w:color="auto" w:fill="A6A6A6" w:themeFill="background1" w:themeFillShade="A6"/>
            <w:vAlign w:val="center"/>
            <w:hideMark/>
          </w:tcPr>
          <w:p w14:paraId="2DE70555" w14:textId="0448AAA0" w:rsidR="00A20660" w:rsidRPr="0002537E" w:rsidRDefault="00A20660" w:rsidP="00332A54">
            <w:pPr>
              <w:spacing w:after="0" w:line="240" w:lineRule="auto"/>
              <w:jc w:val="center"/>
              <w:rPr>
                <w:rFonts w:eastAsia="Times New Roman" w:cs="Arial"/>
                <w:b/>
                <w:bCs/>
                <w:color w:val="000000" w:themeColor="text1"/>
                <w:sz w:val="20"/>
                <w:szCs w:val="20"/>
                <w:lang w:eastAsia="fr-FR"/>
              </w:rPr>
            </w:pPr>
            <w:r>
              <w:rPr>
                <w:rFonts w:eastAsia="Times New Roman" w:cs="Arial"/>
                <w:b/>
                <w:bCs/>
                <w:color w:val="000000" w:themeColor="text1"/>
                <w:sz w:val="20"/>
                <w:szCs w:val="20"/>
                <w:lang w:eastAsia="fr-FR"/>
              </w:rPr>
              <w:t>20</w:t>
            </w:r>
          </w:p>
        </w:tc>
        <w:tc>
          <w:tcPr>
            <w:tcW w:w="1134" w:type="dxa"/>
            <w:shd w:val="clear" w:color="auto" w:fill="A6A6A6" w:themeFill="background1" w:themeFillShade="A6"/>
            <w:vAlign w:val="center"/>
            <w:hideMark/>
          </w:tcPr>
          <w:p w14:paraId="12C4659F" w14:textId="5764A9FC" w:rsidR="00A20660" w:rsidRPr="0002537E" w:rsidRDefault="006F1709" w:rsidP="00332A54">
            <w:pPr>
              <w:spacing w:after="0" w:line="240" w:lineRule="auto"/>
              <w:jc w:val="center"/>
              <w:rPr>
                <w:rFonts w:eastAsia="Times New Roman" w:cs="Arial"/>
                <w:b/>
                <w:bCs/>
                <w:color w:val="000000" w:themeColor="text1"/>
                <w:sz w:val="20"/>
                <w:szCs w:val="20"/>
                <w:lang w:eastAsia="fr-FR"/>
              </w:rPr>
            </w:pPr>
            <w:r>
              <w:rPr>
                <w:rFonts w:eastAsia="Times New Roman" w:cs="Arial"/>
                <w:b/>
                <w:bCs/>
                <w:color w:val="000000" w:themeColor="text1"/>
                <w:sz w:val="20"/>
                <w:szCs w:val="20"/>
                <w:lang w:eastAsia="fr-FR"/>
              </w:rPr>
              <w:t>3,7</w:t>
            </w:r>
          </w:p>
        </w:tc>
        <w:tc>
          <w:tcPr>
            <w:tcW w:w="1842" w:type="dxa"/>
            <w:shd w:val="clear" w:color="auto" w:fill="A6A6A6" w:themeFill="background1" w:themeFillShade="A6"/>
            <w:vAlign w:val="center"/>
            <w:hideMark/>
          </w:tcPr>
          <w:p w14:paraId="137B5324" w14:textId="426B0BA7"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13</w:t>
            </w:r>
            <w:r w:rsidR="006F1709">
              <w:rPr>
                <w:rFonts w:eastAsia="Times New Roman" w:cs="Arial"/>
                <w:b/>
                <w:bCs/>
                <w:color w:val="000000" w:themeColor="text1"/>
                <w:sz w:val="20"/>
                <w:szCs w:val="20"/>
                <w:lang w:eastAsia="fr-FR"/>
              </w:rPr>
              <w:t>0</w:t>
            </w:r>
            <w:r w:rsidRPr="0002537E">
              <w:rPr>
                <w:rFonts w:eastAsia="Times New Roman" w:cs="Arial"/>
                <w:b/>
                <w:bCs/>
                <w:color w:val="000000" w:themeColor="text1"/>
                <w:sz w:val="20"/>
                <w:szCs w:val="20"/>
                <w:lang w:eastAsia="fr-FR"/>
              </w:rPr>
              <w:t xml:space="preserve"> [9</w:t>
            </w:r>
            <w:r w:rsidR="006F1709">
              <w:rPr>
                <w:rFonts w:eastAsia="Times New Roman" w:cs="Arial"/>
                <w:b/>
                <w:bCs/>
                <w:color w:val="000000" w:themeColor="text1"/>
                <w:sz w:val="20"/>
                <w:szCs w:val="20"/>
                <w:lang w:eastAsia="fr-FR"/>
              </w:rPr>
              <w:t>1</w:t>
            </w:r>
            <w:r w:rsidRPr="0002537E">
              <w:rPr>
                <w:rFonts w:eastAsia="Times New Roman" w:cs="Arial"/>
                <w:b/>
                <w:bCs/>
                <w:color w:val="000000" w:themeColor="text1"/>
                <w:sz w:val="20"/>
                <w:szCs w:val="20"/>
                <w:lang w:eastAsia="fr-FR"/>
              </w:rPr>
              <w:t>-1</w:t>
            </w:r>
            <w:r w:rsidR="006F1709">
              <w:rPr>
                <w:rFonts w:eastAsia="Times New Roman" w:cs="Arial"/>
                <w:b/>
                <w:bCs/>
                <w:color w:val="000000" w:themeColor="text1"/>
                <w:sz w:val="20"/>
                <w:szCs w:val="20"/>
                <w:lang w:eastAsia="fr-FR"/>
              </w:rPr>
              <w:t>69</w:t>
            </w:r>
            <w:r w:rsidRPr="0002537E">
              <w:rPr>
                <w:rFonts w:eastAsia="Times New Roman" w:cs="Arial"/>
                <w:b/>
                <w:bCs/>
                <w:color w:val="000000" w:themeColor="text1"/>
                <w:sz w:val="20"/>
                <w:szCs w:val="20"/>
                <w:lang w:eastAsia="fr-FR"/>
              </w:rPr>
              <w:t>]</w:t>
            </w:r>
          </w:p>
        </w:tc>
      </w:tr>
      <w:tr w:rsidR="006F1709" w:rsidRPr="00A20660" w14:paraId="1FE21CCE" w14:textId="77777777" w:rsidTr="00CF2548">
        <w:trPr>
          <w:trHeight w:val="553"/>
        </w:trPr>
        <w:tc>
          <w:tcPr>
            <w:tcW w:w="2830" w:type="dxa"/>
            <w:shd w:val="clear" w:color="auto" w:fill="auto"/>
            <w:vAlign w:val="center"/>
            <w:hideMark/>
          </w:tcPr>
          <w:p w14:paraId="655A3C84" w14:textId="77777777" w:rsidR="006F1709" w:rsidRPr="0002537E" w:rsidRDefault="006F1709" w:rsidP="0002537E">
            <w:pPr>
              <w:spacing w:after="0" w:line="240" w:lineRule="auto"/>
              <w:jc w:val="center"/>
              <w:rPr>
                <w:rFonts w:eastAsia="Times New Roman" w:cs="Arial"/>
                <w:color w:val="000000" w:themeColor="text1"/>
                <w:sz w:val="20"/>
                <w:szCs w:val="20"/>
                <w:lang w:eastAsia="fr-FR"/>
              </w:rPr>
            </w:pPr>
            <w:r w:rsidRPr="0002537E">
              <w:rPr>
                <w:rFonts w:eastAsia="Times New Roman" w:cs="Arial"/>
                <w:color w:val="000000" w:themeColor="text1"/>
                <w:sz w:val="20"/>
                <w:szCs w:val="20"/>
                <w:lang w:eastAsia="fr-FR"/>
              </w:rPr>
              <w:t>Poitrines entières pièces séchées, fumées (*)</w:t>
            </w:r>
          </w:p>
        </w:tc>
        <w:tc>
          <w:tcPr>
            <w:tcW w:w="1985" w:type="dxa"/>
            <w:vMerge w:val="restart"/>
            <w:shd w:val="clear" w:color="auto" w:fill="auto"/>
            <w:vAlign w:val="center"/>
            <w:hideMark/>
          </w:tcPr>
          <w:p w14:paraId="51D07595" w14:textId="17AA669B" w:rsidR="006F1709" w:rsidRPr="0002537E" w:rsidRDefault="006F1709" w:rsidP="00332A54">
            <w:pPr>
              <w:spacing w:after="0" w:line="240" w:lineRule="auto"/>
              <w:jc w:val="center"/>
              <w:rPr>
                <w:rFonts w:eastAsia="Times New Roman" w:cs="Arial"/>
                <w:b/>
                <w:bCs/>
                <w:color w:val="000000" w:themeColor="text1"/>
                <w:sz w:val="20"/>
                <w:szCs w:val="20"/>
                <w:lang w:eastAsia="fr-FR"/>
              </w:rPr>
            </w:pPr>
            <w:r>
              <w:rPr>
                <w:b/>
                <w:bCs/>
                <w:sz w:val="20"/>
                <w:szCs w:val="20"/>
              </w:rPr>
              <w:t>27</w:t>
            </w:r>
            <w:r w:rsidRPr="00713036">
              <w:rPr>
                <w:b/>
                <w:bCs/>
                <w:sz w:val="20"/>
                <w:szCs w:val="20"/>
              </w:rPr>
              <w:t xml:space="preserve"> [</w:t>
            </w:r>
            <w:r>
              <w:rPr>
                <w:b/>
                <w:bCs/>
                <w:sz w:val="20"/>
                <w:szCs w:val="20"/>
              </w:rPr>
              <w:t>19</w:t>
            </w:r>
            <w:r w:rsidRPr="00713036">
              <w:rPr>
                <w:b/>
                <w:bCs/>
                <w:sz w:val="20"/>
                <w:szCs w:val="20"/>
              </w:rPr>
              <w:t>-3</w:t>
            </w:r>
            <w:r>
              <w:rPr>
                <w:b/>
                <w:bCs/>
                <w:sz w:val="20"/>
                <w:szCs w:val="20"/>
              </w:rPr>
              <w:t>5</w:t>
            </w:r>
            <w:r w:rsidRPr="00713036">
              <w:rPr>
                <w:b/>
                <w:bCs/>
                <w:sz w:val="20"/>
                <w:szCs w:val="20"/>
              </w:rPr>
              <w:t>]</w:t>
            </w:r>
          </w:p>
        </w:tc>
        <w:tc>
          <w:tcPr>
            <w:tcW w:w="1276" w:type="dxa"/>
            <w:vMerge w:val="restart"/>
            <w:shd w:val="clear" w:color="auto" w:fill="auto"/>
            <w:vAlign w:val="center"/>
            <w:hideMark/>
          </w:tcPr>
          <w:p w14:paraId="453BC8F8" w14:textId="2A85FB54" w:rsidR="006F1709" w:rsidRPr="0002537E" w:rsidRDefault="006F1709" w:rsidP="00332A54">
            <w:pPr>
              <w:spacing w:after="0" w:line="240" w:lineRule="auto"/>
              <w:jc w:val="center"/>
              <w:rPr>
                <w:rFonts w:eastAsia="Times New Roman" w:cs="Arial"/>
                <w:b/>
                <w:bCs/>
                <w:color w:val="000000" w:themeColor="text1"/>
                <w:sz w:val="20"/>
                <w:szCs w:val="20"/>
                <w:lang w:eastAsia="fr-FR"/>
              </w:rPr>
            </w:pPr>
            <w:r>
              <w:rPr>
                <w:rFonts w:eastAsia="Times New Roman" w:cs="Arial"/>
                <w:b/>
                <w:bCs/>
                <w:color w:val="000000" w:themeColor="text1"/>
                <w:sz w:val="20"/>
                <w:szCs w:val="20"/>
                <w:lang w:eastAsia="fr-FR"/>
              </w:rPr>
              <w:t>20</w:t>
            </w:r>
          </w:p>
        </w:tc>
        <w:tc>
          <w:tcPr>
            <w:tcW w:w="1134" w:type="dxa"/>
            <w:vMerge w:val="restart"/>
            <w:shd w:val="clear" w:color="auto" w:fill="auto"/>
            <w:vAlign w:val="center"/>
            <w:hideMark/>
          </w:tcPr>
          <w:p w14:paraId="2199A4E4" w14:textId="19F088CF" w:rsidR="006F1709" w:rsidRPr="0002537E" w:rsidRDefault="006F1709" w:rsidP="00332A54">
            <w:pPr>
              <w:spacing w:after="0" w:line="240" w:lineRule="auto"/>
              <w:jc w:val="center"/>
              <w:rPr>
                <w:rFonts w:eastAsia="Times New Roman" w:cs="Arial"/>
                <w:b/>
                <w:bCs/>
                <w:color w:val="000000" w:themeColor="text1"/>
                <w:sz w:val="20"/>
                <w:szCs w:val="20"/>
                <w:lang w:eastAsia="fr-FR"/>
              </w:rPr>
            </w:pPr>
            <w:r>
              <w:rPr>
                <w:rFonts w:eastAsia="Times New Roman" w:cs="Arial"/>
                <w:b/>
                <w:bCs/>
                <w:color w:val="000000" w:themeColor="text1"/>
                <w:sz w:val="20"/>
                <w:szCs w:val="20"/>
                <w:lang w:eastAsia="fr-FR"/>
              </w:rPr>
              <w:t>3,7</w:t>
            </w:r>
          </w:p>
        </w:tc>
        <w:tc>
          <w:tcPr>
            <w:tcW w:w="1842" w:type="dxa"/>
            <w:vMerge w:val="restart"/>
            <w:shd w:val="clear" w:color="auto" w:fill="auto"/>
            <w:vAlign w:val="center"/>
            <w:hideMark/>
          </w:tcPr>
          <w:p w14:paraId="1E578DA8" w14:textId="7D9E145A" w:rsidR="006F1709" w:rsidRPr="0002537E" w:rsidRDefault="006F1709"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2</w:t>
            </w:r>
            <w:r>
              <w:rPr>
                <w:rFonts w:eastAsia="Times New Roman" w:cs="Arial"/>
                <w:b/>
                <w:bCs/>
                <w:color w:val="000000" w:themeColor="text1"/>
                <w:sz w:val="20"/>
                <w:szCs w:val="20"/>
                <w:lang w:eastAsia="fr-FR"/>
              </w:rPr>
              <w:t>0</w:t>
            </w:r>
            <w:r w:rsidRPr="0002537E">
              <w:rPr>
                <w:rFonts w:eastAsia="Times New Roman" w:cs="Arial"/>
                <w:b/>
                <w:bCs/>
                <w:color w:val="000000" w:themeColor="text1"/>
                <w:sz w:val="20"/>
                <w:szCs w:val="20"/>
                <w:lang w:eastAsia="fr-FR"/>
              </w:rPr>
              <w:t xml:space="preserve"> [1</w:t>
            </w:r>
            <w:r>
              <w:rPr>
                <w:rFonts w:eastAsia="Times New Roman" w:cs="Arial"/>
                <w:b/>
                <w:bCs/>
                <w:color w:val="000000" w:themeColor="text1"/>
                <w:sz w:val="20"/>
                <w:szCs w:val="20"/>
                <w:lang w:eastAsia="fr-FR"/>
              </w:rPr>
              <w:t>4</w:t>
            </w:r>
            <w:r w:rsidRPr="0002537E">
              <w:rPr>
                <w:rFonts w:eastAsia="Times New Roman" w:cs="Arial"/>
                <w:b/>
                <w:bCs/>
                <w:color w:val="000000" w:themeColor="text1"/>
                <w:sz w:val="20"/>
                <w:szCs w:val="20"/>
                <w:lang w:eastAsia="fr-FR"/>
              </w:rPr>
              <w:t>-</w:t>
            </w:r>
            <w:r>
              <w:rPr>
                <w:rFonts w:eastAsia="Times New Roman" w:cs="Arial"/>
                <w:b/>
                <w:bCs/>
                <w:color w:val="000000" w:themeColor="text1"/>
                <w:sz w:val="20"/>
                <w:szCs w:val="20"/>
                <w:lang w:eastAsia="fr-FR"/>
              </w:rPr>
              <w:t>26</w:t>
            </w:r>
            <w:r w:rsidRPr="0002537E">
              <w:rPr>
                <w:rFonts w:eastAsia="Times New Roman" w:cs="Arial"/>
                <w:b/>
                <w:bCs/>
                <w:color w:val="000000" w:themeColor="text1"/>
                <w:sz w:val="20"/>
                <w:szCs w:val="20"/>
                <w:lang w:eastAsia="fr-FR"/>
              </w:rPr>
              <w:t>]</w:t>
            </w:r>
          </w:p>
        </w:tc>
      </w:tr>
      <w:tr w:rsidR="006F1709" w:rsidRPr="00A20660" w14:paraId="7DBC2CBC" w14:textId="77777777" w:rsidTr="00CF2548">
        <w:trPr>
          <w:trHeight w:val="560"/>
        </w:trPr>
        <w:tc>
          <w:tcPr>
            <w:tcW w:w="2830" w:type="dxa"/>
            <w:shd w:val="clear" w:color="auto" w:fill="auto"/>
            <w:vAlign w:val="center"/>
            <w:hideMark/>
          </w:tcPr>
          <w:p w14:paraId="4077DC35" w14:textId="2E7784A5" w:rsidR="006F1709" w:rsidRPr="0002537E" w:rsidRDefault="006F1709" w:rsidP="0002537E">
            <w:pPr>
              <w:spacing w:after="0" w:line="240" w:lineRule="auto"/>
              <w:jc w:val="center"/>
              <w:rPr>
                <w:rFonts w:eastAsia="Times New Roman" w:cs="Arial"/>
                <w:color w:val="000000" w:themeColor="text1"/>
                <w:sz w:val="20"/>
                <w:szCs w:val="20"/>
                <w:lang w:eastAsia="fr-FR"/>
              </w:rPr>
            </w:pPr>
            <w:r w:rsidRPr="0002537E">
              <w:rPr>
                <w:rFonts w:eastAsia="Times New Roman" w:cs="Arial"/>
                <w:color w:val="000000" w:themeColor="text1"/>
                <w:sz w:val="20"/>
                <w:szCs w:val="20"/>
                <w:lang w:eastAsia="fr-FR"/>
              </w:rPr>
              <w:t>Fritons, gratons, grillons,</w:t>
            </w:r>
          </w:p>
        </w:tc>
        <w:tc>
          <w:tcPr>
            <w:tcW w:w="1985" w:type="dxa"/>
            <w:vMerge/>
            <w:shd w:val="clear" w:color="auto" w:fill="auto"/>
            <w:vAlign w:val="center"/>
            <w:hideMark/>
          </w:tcPr>
          <w:p w14:paraId="5147C122" w14:textId="77777777" w:rsidR="006F1709" w:rsidRPr="0002537E" w:rsidRDefault="006F1709" w:rsidP="0002537E">
            <w:pPr>
              <w:spacing w:after="0" w:line="240" w:lineRule="auto"/>
              <w:jc w:val="center"/>
              <w:rPr>
                <w:rFonts w:eastAsia="Times New Roman" w:cs="Arial"/>
                <w:b/>
                <w:bCs/>
                <w:color w:val="000000" w:themeColor="text1"/>
                <w:sz w:val="20"/>
                <w:szCs w:val="20"/>
                <w:lang w:eastAsia="fr-FR"/>
              </w:rPr>
            </w:pPr>
          </w:p>
        </w:tc>
        <w:tc>
          <w:tcPr>
            <w:tcW w:w="1276" w:type="dxa"/>
            <w:vMerge/>
            <w:shd w:val="clear" w:color="auto" w:fill="auto"/>
            <w:vAlign w:val="center"/>
            <w:hideMark/>
          </w:tcPr>
          <w:p w14:paraId="48C91410" w14:textId="7F0C4749" w:rsidR="006F1709" w:rsidRPr="0002537E" w:rsidRDefault="006F1709" w:rsidP="00332A54">
            <w:pPr>
              <w:spacing w:after="0" w:line="240" w:lineRule="auto"/>
              <w:jc w:val="center"/>
              <w:rPr>
                <w:rFonts w:eastAsia="Times New Roman" w:cs="Arial"/>
                <w:b/>
                <w:bCs/>
                <w:color w:val="000000" w:themeColor="text1"/>
                <w:sz w:val="20"/>
                <w:szCs w:val="20"/>
                <w:lang w:eastAsia="fr-FR"/>
              </w:rPr>
            </w:pPr>
          </w:p>
        </w:tc>
        <w:tc>
          <w:tcPr>
            <w:tcW w:w="1134" w:type="dxa"/>
            <w:vMerge/>
            <w:shd w:val="clear" w:color="auto" w:fill="auto"/>
            <w:vAlign w:val="center"/>
            <w:hideMark/>
          </w:tcPr>
          <w:p w14:paraId="65137411" w14:textId="1C65EBC9" w:rsidR="006F1709" w:rsidRPr="0002537E" w:rsidRDefault="006F1709" w:rsidP="00332A54">
            <w:pPr>
              <w:spacing w:after="0" w:line="240" w:lineRule="auto"/>
              <w:jc w:val="center"/>
              <w:rPr>
                <w:rFonts w:eastAsia="Times New Roman" w:cs="Arial"/>
                <w:b/>
                <w:bCs/>
                <w:color w:val="000000" w:themeColor="text1"/>
                <w:sz w:val="20"/>
                <w:szCs w:val="20"/>
                <w:lang w:eastAsia="fr-FR"/>
              </w:rPr>
            </w:pPr>
          </w:p>
        </w:tc>
        <w:tc>
          <w:tcPr>
            <w:tcW w:w="1842" w:type="dxa"/>
            <w:vMerge/>
            <w:shd w:val="clear" w:color="auto" w:fill="auto"/>
            <w:vAlign w:val="center"/>
            <w:hideMark/>
          </w:tcPr>
          <w:p w14:paraId="36588A3E" w14:textId="77777777" w:rsidR="006F1709" w:rsidRPr="0002537E" w:rsidRDefault="006F1709" w:rsidP="0002537E">
            <w:pPr>
              <w:spacing w:after="0" w:line="240" w:lineRule="auto"/>
              <w:jc w:val="center"/>
              <w:rPr>
                <w:rFonts w:eastAsia="Times New Roman" w:cs="Arial"/>
                <w:b/>
                <w:bCs/>
                <w:color w:val="000000" w:themeColor="text1"/>
                <w:sz w:val="20"/>
                <w:szCs w:val="20"/>
                <w:lang w:eastAsia="fr-FR"/>
              </w:rPr>
            </w:pPr>
          </w:p>
        </w:tc>
      </w:tr>
      <w:tr w:rsidR="006F1709" w:rsidRPr="00A20660" w14:paraId="28F9C281" w14:textId="77777777" w:rsidTr="00CF2548">
        <w:trPr>
          <w:trHeight w:val="554"/>
        </w:trPr>
        <w:tc>
          <w:tcPr>
            <w:tcW w:w="2830" w:type="dxa"/>
            <w:shd w:val="clear" w:color="auto" w:fill="auto"/>
            <w:vAlign w:val="center"/>
            <w:hideMark/>
          </w:tcPr>
          <w:p w14:paraId="370D1BB0" w14:textId="3A286DB5" w:rsidR="006F1709" w:rsidRPr="0002537E" w:rsidRDefault="006F1709" w:rsidP="0002537E">
            <w:pPr>
              <w:spacing w:after="0" w:line="240" w:lineRule="auto"/>
              <w:jc w:val="center"/>
              <w:rPr>
                <w:rFonts w:eastAsia="Times New Roman" w:cs="Arial"/>
                <w:color w:val="000000" w:themeColor="text1"/>
                <w:sz w:val="20"/>
                <w:szCs w:val="20"/>
                <w:lang w:eastAsia="fr-FR"/>
              </w:rPr>
            </w:pPr>
            <w:r w:rsidRPr="0002537E">
              <w:rPr>
                <w:rFonts w:eastAsia="Times New Roman" w:cs="Arial"/>
                <w:color w:val="000000" w:themeColor="text1"/>
                <w:sz w:val="20"/>
                <w:szCs w:val="20"/>
                <w:lang w:eastAsia="fr-FR"/>
              </w:rPr>
              <w:t>Lardons nature, fumés</w:t>
            </w:r>
          </w:p>
        </w:tc>
        <w:tc>
          <w:tcPr>
            <w:tcW w:w="1985" w:type="dxa"/>
            <w:shd w:val="clear" w:color="auto" w:fill="auto"/>
            <w:vAlign w:val="center"/>
            <w:hideMark/>
          </w:tcPr>
          <w:p w14:paraId="0CEBFE4A" w14:textId="4DA134CE" w:rsidR="006F1709" w:rsidRPr="0002537E" w:rsidRDefault="006F1709" w:rsidP="00332A54">
            <w:pPr>
              <w:spacing w:after="0" w:line="240" w:lineRule="auto"/>
              <w:jc w:val="center"/>
              <w:rPr>
                <w:rFonts w:eastAsia="Times New Roman" w:cs="Arial"/>
                <w:b/>
                <w:bCs/>
                <w:color w:val="000000" w:themeColor="text1"/>
                <w:sz w:val="20"/>
                <w:szCs w:val="20"/>
                <w:lang w:eastAsia="fr-FR"/>
              </w:rPr>
            </w:pPr>
            <w:r>
              <w:rPr>
                <w:b/>
                <w:bCs/>
                <w:sz w:val="20"/>
                <w:szCs w:val="20"/>
              </w:rPr>
              <w:t>87</w:t>
            </w:r>
            <w:r w:rsidRPr="00713036">
              <w:rPr>
                <w:b/>
                <w:bCs/>
                <w:sz w:val="20"/>
                <w:szCs w:val="20"/>
              </w:rPr>
              <w:t xml:space="preserve"> [</w:t>
            </w:r>
            <w:r>
              <w:rPr>
                <w:b/>
                <w:bCs/>
                <w:sz w:val="20"/>
                <w:szCs w:val="20"/>
              </w:rPr>
              <w:t>61</w:t>
            </w:r>
            <w:r w:rsidRPr="00713036">
              <w:rPr>
                <w:b/>
                <w:bCs/>
                <w:sz w:val="20"/>
                <w:szCs w:val="20"/>
              </w:rPr>
              <w:t>-1</w:t>
            </w:r>
            <w:r>
              <w:rPr>
                <w:b/>
                <w:bCs/>
                <w:sz w:val="20"/>
                <w:szCs w:val="20"/>
              </w:rPr>
              <w:t>13</w:t>
            </w:r>
            <w:r w:rsidRPr="00713036">
              <w:rPr>
                <w:b/>
                <w:bCs/>
                <w:sz w:val="20"/>
                <w:szCs w:val="20"/>
              </w:rPr>
              <w:t>]</w:t>
            </w:r>
          </w:p>
        </w:tc>
        <w:tc>
          <w:tcPr>
            <w:tcW w:w="1276" w:type="dxa"/>
            <w:vMerge/>
            <w:shd w:val="clear" w:color="auto" w:fill="auto"/>
            <w:vAlign w:val="center"/>
            <w:hideMark/>
          </w:tcPr>
          <w:p w14:paraId="54871E12" w14:textId="57F0C7C8" w:rsidR="006F1709" w:rsidRPr="0002537E" w:rsidRDefault="006F1709" w:rsidP="00332A54">
            <w:pPr>
              <w:spacing w:after="0" w:line="240" w:lineRule="auto"/>
              <w:jc w:val="center"/>
              <w:rPr>
                <w:rFonts w:eastAsia="Times New Roman" w:cs="Arial"/>
                <w:b/>
                <w:bCs/>
                <w:color w:val="000000" w:themeColor="text1"/>
                <w:sz w:val="20"/>
                <w:szCs w:val="20"/>
                <w:lang w:eastAsia="fr-FR"/>
              </w:rPr>
            </w:pPr>
          </w:p>
        </w:tc>
        <w:tc>
          <w:tcPr>
            <w:tcW w:w="1134" w:type="dxa"/>
            <w:vMerge/>
            <w:shd w:val="clear" w:color="auto" w:fill="auto"/>
            <w:vAlign w:val="center"/>
            <w:hideMark/>
          </w:tcPr>
          <w:p w14:paraId="5E99736D" w14:textId="0F9571C1" w:rsidR="006F1709" w:rsidRPr="0002537E" w:rsidRDefault="006F1709" w:rsidP="00332A54">
            <w:pPr>
              <w:spacing w:after="0" w:line="240" w:lineRule="auto"/>
              <w:jc w:val="center"/>
              <w:rPr>
                <w:rFonts w:eastAsia="Times New Roman" w:cs="Arial"/>
                <w:b/>
                <w:bCs/>
                <w:color w:val="000000" w:themeColor="text1"/>
                <w:sz w:val="20"/>
                <w:szCs w:val="20"/>
                <w:lang w:eastAsia="fr-FR"/>
              </w:rPr>
            </w:pPr>
          </w:p>
        </w:tc>
        <w:tc>
          <w:tcPr>
            <w:tcW w:w="1842" w:type="dxa"/>
            <w:shd w:val="clear" w:color="auto" w:fill="auto"/>
            <w:vAlign w:val="center"/>
            <w:hideMark/>
          </w:tcPr>
          <w:p w14:paraId="3FEE031A" w14:textId="77777777" w:rsidR="006F1709" w:rsidRPr="0002537E" w:rsidRDefault="006F1709"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96 [67-125]</w:t>
            </w:r>
          </w:p>
        </w:tc>
      </w:tr>
      <w:tr w:rsidR="00A20660" w:rsidRPr="00A20660" w14:paraId="3CDDFC78" w14:textId="77777777" w:rsidTr="0002537E">
        <w:trPr>
          <w:trHeight w:val="279"/>
        </w:trPr>
        <w:tc>
          <w:tcPr>
            <w:tcW w:w="2830" w:type="dxa"/>
            <w:shd w:val="clear" w:color="auto" w:fill="auto"/>
            <w:vAlign w:val="center"/>
            <w:hideMark/>
          </w:tcPr>
          <w:p w14:paraId="10A7A256" w14:textId="77777777" w:rsidR="00A20660" w:rsidRPr="0002537E" w:rsidRDefault="00A20660" w:rsidP="0002537E">
            <w:pPr>
              <w:spacing w:after="0" w:line="240" w:lineRule="auto"/>
              <w:jc w:val="center"/>
              <w:rPr>
                <w:rFonts w:eastAsia="Times New Roman" w:cs="Arial"/>
                <w:color w:val="000000" w:themeColor="text1"/>
                <w:sz w:val="20"/>
                <w:szCs w:val="20"/>
                <w:lang w:eastAsia="fr-FR"/>
              </w:rPr>
            </w:pPr>
            <w:r w:rsidRPr="0002537E">
              <w:rPr>
                <w:rFonts w:eastAsia="Times New Roman" w:cs="Arial"/>
                <w:color w:val="000000" w:themeColor="text1"/>
                <w:sz w:val="20"/>
                <w:szCs w:val="20"/>
                <w:lang w:eastAsia="fr-FR"/>
              </w:rPr>
              <w:t>Freinte découpe (6%)</w:t>
            </w:r>
          </w:p>
        </w:tc>
        <w:tc>
          <w:tcPr>
            <w:tcW w:w="1985" w:type="dxa"/>
            <w:shd w:val="clear" w:color="auto" w:fill="auto"/>
            <w:vAlign w:val="center"/>
            <w:hideMark/>
          </w:tcPr>
          <w:p w14:paraId="0A0B7E0F" w14:textId="3C058256" w:rsidR="00A20660" w:rsidRPr="0002537E" w:rsidRDefault="00A20660" w:rsidP="00332A54">
            <w:pPr>
              <w:spacing w:after="0" w:line="240" w:lineRule="auto"/>
              <w:jc w:val="center"/>
              <w:rPr>
                <w:rFonts w:eastAsia="Times New Roman" w:cs="Arial"/>
                <w:b/>
                <w:bCs/>
                <w:color w:val="000000" w:themeColor="text1"/>
                <w:sz w:val="20"/>
                <w:szCs w:val="20"/>
                <w:lang w:eastAsia="fr-FR"/>
              </w:rPr>
            </w:pPr>
          </w:p>
        </w:tc>
        <w:tc>
          <w:tcPr>
            <w:tcW w:w="1276" w:type="dxa"/>
            <w:shd w:val="clear" w:color="auto" w:fill="auto"/>
            <w:vAlign w:val="center"/>
            <w:hideMark/>
          </w:tcPr>
          <w:p w14:paraId="75EFBD7E" w14:textId="3A65DEF4" w:rsidR="00A20660" w:rsidRPr="0002537E" w:rsidRDefault="00A20660" w:rsidP="00332A54">
            <w:pPr>
              <w:spacing w:after="0" w:line="240" w:lineRule="auto"/>
              <w:jc w:val="center"/>
              <w:rPr>
                <w:rFonts w:eastAsia="Times New Roman" w:cs="Arial"/>
                <w:b/>
                <w:bCs/>
                <w:color w:val="000000" w:themeColor="text1"/>
                <w:sz w:val="20"/>
                <w:szCs w:val="20"/>
                <w:lang w:eastAsia="fr-FR"/>
              </w:rPr>
            </w:pPr>
          </w:p>
        </w:tc>
        <w:tc>
          <w:tcPr>
            <w:tcW w:w="1134" w:type="dxa"/>
            <w:shd w:val="clear" w:color="auto" w:fill="auto"/>
            <w:vAlign w:val="center"/>
            <w:hideMark/>
          </w:tcPr>
          <w:p w14:paraId="094585E2" w14:textId="71271BF1" w:rsidR="00A20660" w:rsidRPr="0002537E" w:rsidRDefault="00A20660" w:rsidP="00332A54">
            <w:pPr>
              <w:spacing w:after="0" w:line="240" w:lineRule="auto"/>
              <w:jc w:val="center"/>
              <w:rPr>
                <w:rFonts w:eastAsia="Times New Roman" w:cs="Arial"/>
                <w:b/>
                <w:bCs/>
                <w:color w:val="000000" w:themeColor="text1"/>
                <w:sz w:val="20"/>
                <w:szCs w:val="20"/>
                <w:lang w:eastAsia="fr-FR"/>
              </w:rPr>
            </w:pPr>
          </w:p>
        </w:tc>
        <w:tc>
          <w:tcPr>
            <w:tcW w:w="1842" w:type="dxa"/>
            <w:shd w:val="clear" w:color="auto" w:fill="auto"/>
            <w:vAlign w:val="center"/>
            <w:hideMark/>
          </w:tcPr>
          <w:p w14:paraId="4B2DF35C" w14:textId="77777777" w:rsidR="00A20660" w:rsidRPr="0002537E" w:rsidRDefault="00A20660" w:rsidP="00332A54">
            <w:pPr>
              <w:spacing w:after="0" w:line="240" w:lineRule="auto"/>
              <w:jc w:val="center"/>
              <w:rPr>
                <w:rFonts w:eastAsia="Times New Roman" w:cs="Arial"/>
                <w:b/>
                <w:bCs/>
                <w:color w:val="000000" w:themeColor="text1"/>
                <w:sz w:val="20"/>
                <w:szCs w:val="20"/>
                <w:lang w:eastAsia="fr-FR"/>
              </w:rPr>
            </w:pPr>
            <w:r w:rsidRPr="0002537E">
              <w:rPr>
                <w:rFonts w:eastAsia="Times New Roman" w:cs="Arial"/>
                <w:b/>
                <w:bCs/>
                <w:color w:val="000000" w:themeColor="text1"/>
                <w:sz w:val="20"/>
                <w:szCs w:val="20"/>
                <w:lang w:eastAsia="fr-FR"/>
              </w:rPr>
              <w:t>11 [8-14]</w:t>
            </w:r>
          </w:p>
        </w:tc>
      </w:tr>
      <w:tr w:rsidR="00A20660" w:rsidRPr="00A20660" w14:paraId="5956BE52" w14:textId="77777777" w:rsidTr="0002537E">
        <w:trPr>
          <w:trHeight w:val="553"/>
        </w:trPr>
        <w:tc>
          <w:tcPr>
            <w:tcW w:w="2830" w:type="dxa"/>
            <w:shd w:val="clear" w:color="auto" w:fill="D9D9D9" w:themeFill="background1" w:themeFillShade="D9"/>
            <w:vAlign w:val="center"/>
            <w:hideMark/>
          </w:tcPr>
          <w:p w14:paraId="2B2B5E96" w14:textId="77777777" w:rsidR="00A20660" w:rsidRPr="00B12329" w:rsidRDefault="00A20660" w:rsidP="0002537E">
            <w:pPr>
              <w:spacing w:after="0" w:line="240" w:lineRule="auto"/>
              <w:jc w:val="center"/>
              <w:rPr>
                <w:rFonts w:eastAsia="Times New Roman" w:cs="Arial"/>
                <w:color w:val="000000"/>
                <w:sz w:val="20"/>
                <w:szCs w:val="20"/>
                <w:lang w:eastAsia="fr-FR"/>
              </w:rPr>
            </w:pPr>
            <w:r w:rsidRPr="00B12329">
              <w:rPr>
                <w:rFonts w:eastAsia="Times New Roman" w:cs="Arial"/>
                <w:color w:val="000000"/>
                <w:sz w:val="20"/>
                <w:szCs w:val="20"/>
                <w:lang w:eastAsia="fr-FR"/>
              </w:rPr>
              <w:t>Exsudat par cuisson, maturation (20%) sur produits confits</w:t>
            </w:r>
          </w:p>
        </w:tc>
        <w:tc>
          <w:tcPr>
            <w:tcW w:w="1985" w:type="dxa"/>
            <w:shd w:val="clear" w:color="auto" w:fill="D9D9D9" w:themeFill="background1" w:themeFillShade="D9"/>
            <w:vAlign w:val="center"/>
            <w:hideMark/>
          </w:tcPr>
          <w:p w14:paraId="39D875E9" w14:textId="0467DC93" w:rsidR="00A20660" w:rsidRPr="0002537E" w:rsidRDefault="00A20660" w:rsidP="00332A54">
            <w:pPr>
              <w:spacing w:after="0" w:line="240" w:lineRule="auto"/>
              <w:jc w:val="center"/>
              <w:rPr>
                <w:rFonts w:eastAsia="Times New Roman" w:cs="Arial"/>
                <w:b/>
                <w:bCs/>
                <w:color w:val="000000"/>
                <w:sz w:val="20"/>
                <w:szCs w:val="20"/>
                <w:lang w:eastAsia="fr-FR"/>
              </w:rPr>
            </w:pPr>
          </w:p>
        </w:tc>
        <w:tc>
          <w:tcPr>
            <w:tcW w:w="1276" w:type="dxa"/>
            <w:shd w:val="clear" w:color="auto" w:fill="D9D9D9" w:themeFill="background1" w:themeFillShade="D9"/>
            <w:vAlign w:val="center"/>
            <w:hideMark/>
          </w:tcPr>
          <w:p w14:paraId="4030482E" w14:textId="1F8595CC" w:rsidR="00A20660" w:rsidRPr="0002537E" w:rsidRDefault="00A20660" w:rsidP="00332A54">
            <w:pPr>
              <w:spacing w:after="0" w:line="240" w:lineRule="auto"/>
              <w:jc w:val="center"/>
              <w:rPr>
                <w:rFonts w:eastAsia="Times New Roman" w:cs="Arial"/>
                <w:b/>
                <w:bCs/>
                <w:color w:val="000000"/>
                <w:sz w:val="20"/>
                <w:szCs w:val="20"/>
                <w:lang w:eastAsia="fr-FR"/>
              </w:rPr>
            </w:pPr>
          </w:p>
        </w:tc>
        <w:tc>
          <w:tcPr>
            <w:tcW w:w="1134" w:type="dxa"/>
            <w:shd w:val="clear" w:color="auto" w:fill="D9D9D9" w:themeFill="background1" w:themeFillShade="D9"/>
            <w:vAlign w:val="center"/>
            <w:hideMark/>
          </w:tcPr>
          <w:p w14:paraId="174DF311" w14:textId="62D074E5" w:rsidR="00A20660" w:rsidRPr="0002537E" w:rsidRDefault="00A20660" w:rsidP="00332A54">
            <w:pPr>
              <w:spacing w:after="0" w:line="240" w:lineRule="auto"/>
              <w:jc w:val="center"/>
              <w:rPr>
                <w:rFonts w:eastAsia="Times New Roman" w:cs="Arial"/>
                <w:b/>
                <w:bCs/>
                <w:color w:val="000000"/>
                <w:sz w:val="20"/>
                <w:szCs w:val="20"/>
                <w:lang w:eastAsia="fr-FR"/>
              </w:rPr>
            </w:pPr>
          </w:p>
        </w:tc>
        <w:tc>
          <w:tcPr>
            <w:tcW w:w="1842" w:type="dxa"/>
            <w:shd w:val="clear" w:color="auto" w:fill="D9D9D9" w:themeFill="background1" w:themeFillShade="D9"/>
            <w:vAlign w:val="center"/>
            <w:hideMark/>
          </w:tcPr>
          <w:p w14:paraId="24728B4D" w14:textId="77777777" w:rsidR="00A20660" w:rsidRPr="0002537E" w:rsidRDefault="00A20660" w:rsidP="00332A54">
            <w:pPr>
              <w:spacing w:after="0" w:line="240" w:lineRule="auto"/>
              <w:jc w:val="center"/>
              <w:rPr>
                <w:rFonts w:eastAsia="Times New Roman" w:cs="Arial"/>
                <w:b/>
                <w:bCs/>
                <w:color w:val="E46C0A"/>
                <w:sz w:val="20"/>
                <w:szCs w:val="20"/>
                <w:lang w:eastAsia="fr-FR"/>
              </w:rPr>
            </w:pPr>
            <w:r w:rsidRPr="0002537E">
              <w:rPr>
                <w:rFonts w:eastAsia="Times New Roman" w:cs="Arial"/>
                <w:b/>
                <w:bCs/>
                <w:color w:val="000000" w:themeColor="text1"/>
                <w:sz w:val="20"/>
                <w:szCs w:val="20"/>
                <w:lang w:eastAsia="fr-FR"/>
              </w:rPr>
              <w:t>3 [2-4]</w:t>
            </w:r>
          </w:p>
        </w:tc>
      </w:tr>
    </w:tbl>
    <w:p w14:paraId="5334BB2A" w14:textId="27E682E7" w:rsidR="00C94D9A" w:rsidRPr="004E4274" w:rsidRDefault="00D868C7" w:rsidP="0002537E">
      <w:pPr>
        <w:pStyle w:val="figure"/>
      </w:pPr>
      <w:bookmarkStart w:id="397" w:name="_Toc72143431"/>
      <w:r w:rsidRPr="0002537E">
        <w:t xml:space="preserve">Tableau </w:t>
      </w:r>
      <w:r w:rsidR="00E27D6E">
        <w:fldChar w:fldCharType="begin"/>
      </w:r>
      <w:r w:rsidR="00E27D6E">
        <w:instrText xml:space="preserve"> SEQ Tableau \* ARABIC </w:instrText>
      </w:r>
      <w:r w:rsidR="00E27D6E">
        <w:fldChar w:fldCharType="separate"/>
      </w:r>
      <w:r w:rsidR="0007597F">
        <w:rPr>
          <w:noProof/>
        </w:rPr>
        <w:t>84</w:t>
      </w:r>
      <w:r w:rsidR="00E27D6E">
        <w:rPr>
          <w:noProof/>
        </w:rPr>
        <w:fldChar w:fldCharType="end"/>
      </w:r>
      <w:r w:rsidR="007538FF">
        <w:t xml:space="preserve"> : </w:t>
      </w:r>
      <w:r w:rsidRPr="00D868C7">
        <w:t xml:space="preserve">Représentation </w:t>
      </w:r>
      <w:r>
        <w:t xml:space="preserve">du </w:t>
      </w:r>
      <w:r w:rsidRPr="00D868C7">
        <w:t>tableau emploi ressource des pièces à destination du piéçage en viande fraîche et de la transformation en charcuterie salaison</w:t>
      </w:r>
      <w:bookmarkEnd w:id="397"/>
    </w:p>
    <w:p w14:paraId="2F35E570" w14:textId="0419C500" w:rsidR="00767434" w:rsidRDefault="008F62CB" w:rsidP="00FE3902">
      <w:pPr>
        <w:rPr>
          <w:lang w:eastAsia="fr-FR"/>
        </w:rPr>
      </w:pPr>
      <w:r>
        <w:rPr>
          <w:lang w:eastAsia="fr-FR"/>
        </w:rPr>
        <w:t>Les lardons natures et fumés représentent deux tiers des volumes consommés devant les travers (12%).</w:t>
      </w:r>
    </w:p>
    <w:p w14:paraId="5C709137" w14:textId="137186A0" w:rsidR="008F62CB" w:rsidRDefault="008F62CB" w:rsidP="008F62CB">
      <w:pPr>
        <w:pStyle w:val="Lgende"/>
        <w:ind w:left="0"/>
        <w:rPr>
          <w:b/>
          <w:i w:val="0"/>
        </w:rPr>
      </w:pPr>
      <w:r>
        <w:rPr>
          <w:noProof/>
        </w:rPr>
        <w:drawing>
          <wp:inline distT="0" distB="0" distL="0" distR="0" wp14:anchorId="1B4F7A7F" wp14:editId="5499C597">
            <wp:extent cx="4438650" cy="2257425"/>
            <wp:effectExtent l="0" t="0" r="0" b="0"/>
            <wp:docPr id="382" name="Graphique 382">
              <a:extLst xmlns:a="http://schemas.openxmlformats.org/drawingml/2006/main">
                <a:ext uri="{FF2B5EF4-FFF2-40B4-BE49-F238E27FC236}">
                  <a16:creationId xmlns:a16="http://schemas.microsoft.com/office/drawing/2014/main" id="{FE943E5F-36B7-46A8-9698-460A95C5C16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2C57CA84" w14:textId="5E2FE152" w:rsidR="00FE3902" w:rsidRPr="00A50150" w:rsidRDefault="00332A54" w:rsidP="0002537E">
      <w:pPr>
        <w:pStyle w:val="figure"/>
      </w:pPr>
      <w:r w:rsidRPr="00B12329">
        <w:t xml:space="preserve">Figure </w:t>
      </w:r>
      <w:r w:rsidR="00E27D6E">
        <w:fldChar w:fldCharType="begin"/>
      </w:r>
      <w:r w:rsidR="00E27D6E">
        <w:instrText xml:space="preserve"> SEQ Figure \* ARABIC </w:instrText>
      </w:r>
      <w:r w:rsidR="00E27D6E">
        <w:fldChar w:fldCharType="separate"/>
      </w:r>
      <w:r w:rsidR="0007597F">
        <w:rPr>
          <w:noProof/>
        </w:rPr>
        <w:t>39</w:t>
      </w:r>
      <w:r w:rsidR="00E27D6E">
        <w:rPr>
          <w:noProof/>
        </w:rPr>
        <w:fldChar w:fldCharType="end"/>
      </w:r>
      <w:r w:rsidR="007538FF">
        <w:t xml:space="preserve"> : </w:t>
      </w:r>
      <w:r w:rsidR="00FE3902" w:rsidRPr="000A1886">
        <w:t>Part relative des catégories de produits consommés</w:t>
      </w:r>
      <w:r>
        <w:t xml:space="preserve"> en poitrine</w:t>
      </w:r>
    </w:p>
    <w:p w14:paraId="24B097C8" w14:textId="6DE3F11C" w:rsidR="00FE3902" w:rsidRDefault="00FE3902" w:rsidP="00FE3902">
      <w:pPr>
        <w:pStyle w:val="Titre3"/>
        <w:rPr>
          <w:rFonts w:eastAsiaTheme="minorEastAsia"/>
        </w:rPr>
      </w:pPr>
      <w:bookmarkStart w:id="398" w:name="_Toc78131699"/>
      <w:r>
        <w:rPr>
          <w:rFonts w:eastAsiaTheme="minorEastAsia"/>
        </w:rPr>
        <w:t>2.</w:t>
      </w:r>
      <w:r w:rsidR="004B43AF">
        <w:rPr>
          <w:rFonts w:eastAsiaTheme="minorEastAsia"/>
        </w:rPr>
        <w:t>4</w:t>
      </w:r>
      <w:r>
        <w:rPr>
          <w:rFonts w:eastAsiaTheme="minorEastAsia"/>
        </w:rPr>
        <w:t>.</w:t>
      </w:r>
      <w:r w:rsidR="007538FF">
        <w:rPr>
          <w:rFonts w:eastAsiaTheme="minorEastAsia"/>
        </w:rPr>
        <w:t>5</w:t>
      </w:r>
      <w:r>
        <w:rPr>
          <w:rFonts w:eastAsiaTheme="minorEastAsia"/>
        </w:rPr>
        <w:t xml:space="preserve">. Représentation des flux </w:t>
      </w:r>
      <w:r w:rsidR="00322849">
        <w:rPr>
          <w:rFonts w:eastAsiaTheme="minorEastAsia"/>
        </w:rPr>
        <w:t>de poitrine</w:t>
      </w:r>
      <w:r>
        <w:rPr>
          <w:rFonts w:eastAsiaTheme="minorEastAsia"/>
        </w:rPr>
        <w:t xml:space="preserve"> au travers du diagramme de Sankey</w:t>
      </w:r>
      <w:bookmarkEnd w:id="398"/>
      <w:r>
        <w:rPr>
          <w:rFonts w:eastAsiaTheme="minorEastAsia"/>
        </w:rPr>
        <w:t xml:space="preserve"> </w:t>
      </w:r>
    </w:p>
    <w:p w14:paraId="2CAF50C7" w14:textId="77777777" w:rsidR="008F62CB" w:rsidRDefault="008F62CB" w:rsidP="0002537E">
      <w:pPr>
        <w:pStyle w:val="Lgende"/>
        <w:ind w:left="0"/>
        <w:jc w:val="both"/>
      </w:pPr>
    </w:p>
    <w:p w14:paraId="2AB9C14B" w14:textId="72F010E0" w:rsidR="00FE3902" w:rsidRDefault="00332A54" w:rsidP="0002537E">
      <w:pPr>
        <w:pStyle w:val="figure"/>
      </w:pPr>
      <w:r w:rsidRPr="00B12329">
        <w:t xml:space="preserve">Figure </w:t>
      </w:r>
      <w:r w:rsidR="00E27D6E">
        <w:fldChar w:fldCharType="begin"/>
      </w:r>
      <w:r w:rsidR="00E27D6E">
        <w:instrText xml:space="preserve"> SEQ Figure \* ARABIC </w:instrText>
      </w:r>
      <w:r w:rsidR="00E27D6E">
        <w:fldChar w:fldCharType="separate"/>
      </w:r>
      <w:r w:rsidR="0007597F">
        <w:rPr>
          <w:noProof/>
        </w:rPr>
        <w:t>40</w:t>
      </w:r>
      <w:r w:rsidR="00E27D6E">
        <w:rPr>
          <w:noProof/>
        </w:rPr>
        <w:fldChar w:fldCharType="end"/>
      </w:r>
      <w:r w:rsidR="007538FF">
        <w:t xml:space="preserve"> : </w:t>
      </w:r>
      <w:r w:rsidR="00FE3902" w:rsidRPr="005535AA">
        <w:t>Représentation des flux d</w:t>
      </w:r>
      <w:r w:rsidR="00EF5142">
        <w:t>e poitrine</w:t>
      </w:r>
      <w:r w:rsidR="00FE3902">
        <w:t xml:space="preserve"> au travers d’un diagramme de Sankey </w:t>
      </w:r>
    </w:p>
    <w:p w14:paraId="37782711" w14:textId="62D8F412" w:rsidR="00C94D9A" w:rsidRDefault="00C94D9A" w:rsidP="0002537E">
      <w:pPr>
        <w:pStyle w:val="ValrieN2"/>
        <w:ind w:left="0"/>
      </w:pPr>
    </w:p>
    <w:p w14:paraId="72FF46B9" w14:textId="77777777" w:rsidR="00EA0C75" w:rsidRDefault="00EA0C75" w:rsidP="00922E12">
      <w:pPr>
        <w:pStyle w:val="ValrieN2"/>
        <w:ind w:left="390"/>
        <w:sectPr w:rsidR="00EA0C75" w:rsidSect="00B73F4D">
          <w:pgSz w:w="11906" w:h="16838" w:code="9"/>
          <w:pgMar w:top="1304" w:right="1133" w:bottom="1304" w:left="1418" w:header="567" w:footer="709" w:gutter="0"/>
          <w:cols w:space="708"/>
          <w:docGrid w:linePitch="360"/>
        </w:sectPr>
      </w:pPr>
    </w:p>
    <w:p w14:paraId="3818547F" w14:textId="21C33A14" w:rsidR="00C94D9A" w:rsidRDefault="002B3863" w:rsidP="005F20DD">
      <w:pPr>
        <w:pStyle w:val="ValrieN2"/>
        <w:ind w:left="0"/>
      </w:pPr>
      <w:r>
        <w:rPr>
          <w:noProof/>
        </w:rPr>
        <w:lastRenderedPageBreak/>
        <mc:AlternateContent>
          <mc:Choice Requires="wps">
            <w:drawing>
              <wp:anchor distT="0" distB="0" distL="114300" distR="114300" simplePos="0" relativeHeight="251908153" behindDoc="0" locked="0" layoutInCell="1" allowOverlap="1" wp14:anchorId="75F0F30C" wp14:editId="11B8A9DA">
                <wp:simplePos x="0" y="0"/>
                <wp:positionH relativeFrom="column">
                  <wp:posOffset>8356546</wp:posOffset>
                </wp:positionH>
                <wp:positionV relativeFrom="paragraph">
                  <wp:posOffset>3869853</wp:posOffset>
                </wp:positionV>
                <wp:extent cx="715010" cy="245745"/>
                <wp:effectExtent l="0" t="0" r="0" b="0"/>
                <wp:wrapNone/>
                <wp:docPr id="104" name="ZoneTexte 42"/>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2E2669A6" w14:textId="77777777" w:rsidR="00BC6CC4" w:rsidRPr="00237F95" w:rsidRDefault="00BC6CC4" w:rsidP="00BC6CC4">
                            <w:pPr>
                              <w:rPr>
                                <w:sz w:val="18"/>
                                <w:szCs w:val="18"/>
                              </w:rPr>
                            </w:pPr>
                            <w:r w:rsidRPr="00237F95">
                              <w:rPr>
                                <w:rFonts w:cs="Arial"/>
                                <w:i/>
                                <w:iCs/>
                                <w:color w:val="000000" w:themeColor="text1"/>
                                <w:kern w:val="24"/>
                                <w:sz w:val="18"/>
                                <w:szCs w:val="18"/>
                              </w:rPr>
                              <w:t>Total 1</w:t>
                            </w:r>
                            <w:r>
                              <w:rPr>
                                <w:rFonts w:cs="Arial"/>
                                <w:i/>
                                <w:iCs/>
                                <w:color w:val="000000" w:themeColor="text1"/>
                                <w:kern w:val="24"/>
                                <w:sz w:val="18"/>
                                <w:szCs w:val="18"/>
                              </w:rPr>
                              <w:t>34</w:t>
                            </w:r>
                          </w:p>
                        </w:txbxContent>
                      </wps:txbx>
                      <wps:bodyPr wrap="none" rtlCol="0">
                        <a:spAutoFit/>
                      </wps:bodyPr>
                    </wps:wsp>
                  </a:graphicData>
                </a:graphic>
              </wp:anchor>
            </w:drawing>
          </mc:Choice>
          <mc:Fallback>
            <w:pict>
              <v:shape w14:anchorId="75F0F30C" id="_x0000_s1092" type="#_x0000_t202" style="position:absolute;left:0;text-align:left;margin-left:658pt;margin-top:304.7pt;width:56.3pt;height:19.35pt;z-index:25190815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ardlQEAABcDAAAOAAAAZHJzL2Uyb0RvYy54bWysUsFOAyEQvZv4D4S73W3Tqtl0a9RGL0ZN&#10;1Is3ykKXZGEIg93t3zvQ2hq9GS8DzAyP994wvxpsxzYqoAFX8/Go5Ew5CY1x65q/vd6dXXKGUbhG&#10;dOBUzbcK+dXi9GTe+0pNoIWuUYERiMOq9zVvY/RVUaBslRU4Aq8cFTUEKyIdw7pogugJ3XbFpCzP&#10;ix5C4wNIhUjZ5a7IFxlfayXjk9aoIutqTtxijiHHVYrFYi6qdRC+NXJPQ/yBhRXG0aMHqKWIgn0E&#10;8wvKGhkAQceRBFuA1kaqrIHUjMsfal5a4VXWQuagP9iE/wcrHzfPgZmGZldOOXPC0pDeaVSvaoiK&#10;TSfJod5jRY0vnlrjcAMDdX/lkZJJ+KCDTStJYlQnr7cHfwmKSUpejGckkjNJpcl0djGdJZTieNkH&#10;jPcKLEubmgcaX3ZVbB4w7lq/WtJbDu5M16V8YrhjknZxWA1Z0/mB/gqaLbHvadI1d6SPsxC7W8jf&#10;ImGhv/6IhJefSSC7G3tscj8T3f+UNN7v59x1/M+LTwAAAP//AwBQSwMEFAAGAAgAAAAhABYPk1bf&#10;AAAADQEAAA8AAABkcnMvZG93bnJldi54bWxMj8FOwzAQRO9I/IO1SNyonRCiNMSpUIEzUPgAN16S&#10;kHgdxW4b+Hq2JzjO7Gj2TbVZ3CiOOIfek4ZkpUAgNd721Gr4eH++KUCEaMia0RNq+MYAm/ryojKl&#10;9Sd6w+MutoJLKJRGQxfjVEoZmg6dCSs/IfHt08/ORJZzK+1sTlzuRpkqlUtneuIPnZlw22Ez7A5O&#10;Q6HcyzCs09fgsp/krts++qfpS+vrq+XhHkTEJf6F4YzP6FAz094fyAYxsr5Nch4TNeRqnYE4R7K0&#10;yEHs2cqKBGRdyf8r6l8AAAD//wMAUEsBAi0AFAAGAAgAAAAhALaDOJL+AAAA4QEAABMAAAAAAAAA&#10;AAAAAAAAAAAAAFtDb250ZW50X1R5cGVzXS54bWxQSwECLQAUAAYACAAAACEAOP0h/9YAAACUAQAA&#10;CwAAAAAAAAAAAAAAAAAvAQAAX3JlbHMvLnJlbHNQSwECLQAUAAYACAAAACEAqimq3ZUBAAAXAwAA&#10;DgAAAAAAAAAAAAAAAAAuAgAAZHJzL2Uyb0RvYy54bWxQSwECLQAUAAYACAAAACEAFg+TVt8AAAAN&#10;AQAADwAAAAAAAAAAAAAAAADvAwAAZHJzL2Rvd25yZXYueG1sUEsFBgAAAAAEAAQA8wAAAPsEAAAA&#10;AA==&#10;" filled="f" stroked="f">
                <v:textbox style="mso-fit-shape-to-text:t">
                  <w:txbxContent>
                    <w:p w14:paraId="2E2669A6" w14:textId="77777777" w:rsidR="00BC6CC4" w:rsidRPr="00237F95" w:rsidRDefault="00BC6CC4" w:rsidP="00BC6CC4">
                      <w:pPr>
                        <w:rPr>
                          <w:sz w:val="18"/>
                          <w:szCs w:val="18"/>
                        </w:rPr>
                      </w:pPr>
                      <w:r w:rsidRPr="00237F95">
                        <w:rPr>
                          <w:rFonts w:cs="Arial"/>
                          <w:i/>
                          <w:iCs/>
                          <w:color w:val="000000" w:themeColor="text1"/>
                          <w:kern w:val="24"/>
                          <w:sz w:val="18"/>
                          <w:szCs w:val="18"/>
                        </w:rPr>
                        <w:t>Total 1</w:t>
                      </w:r>
                      <w:r>
                        <w:rPr>
                          <w:rFonts w:cs="Arial"/>
                          <w:i/>
                          <w:iCs/>
                          <w:color w:val="000000" w:themeColor="text1"/>
                          <w:kern w:val="24"/>
                          <w:sz w:val="18"/>
                          <w:szCs w:val="18"/>
                        </w:rPr>
                        <w:t>34</w:t>
                      </w:r>
                    </w:p>
                  </w:txbxContent>
                </v:textbox>
              </v:shape>
            </w:pict>
          </mc:Fallback>
        </mc:AlternateContent>
      </w:r>
      <w:r>
        <w:rPr>
          <w:noProof/>
        </w:rPr>
        <mc:AlternateContent>
          <mc:Choice Requires="wps">
            <w:drawing>
              <wp:anchor distT="0" distB="0" distL="114300" distR="114300" simplePos="0" relativeHeight="251906105" behindDoc="0" locked="0" layoutInCell="1" allowOverlap="1" wp14:anchorId="4AEB2560" wp14:editId="4FE4A547">
                <wp:simplePos x="0" y="0"/>
                <wp:positionH relativeFrom="column">
                  <wp:posOffset>6238240</wp:posOffset>
                </wp:positionH>
                <wp:positionV relativeFrom="paragraph">
                  <wp:posOffset>3856220</wp:posOffset>
                </wp:positionV>
                <wp:extent cx="715010" cy="245745"/>
                <wp:effectExtent l="0" t="0" r="0" b="0"/>
                <wp:wrapNone/>
                <wp:docPr id="102" name="ZoneTexte 42"/>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385F6E77" w14:textId="6C4FF656" w:rsidR="00BC6CC4" w:rsidRPr="00237F95" w:rsidRDefault="00BC6CC4" w:rsidP="00BC6CC4">
                            <w:pPr>
                              <w:rPr>
                                <w:sz w:val="18"/>
                                <w:szCs w:val="18"/>
                              </w:rPr>
                            </w:pPr>
                            <w:r w:rsidRPr="00237F95">
                              <w:rPr>
                                <w:rFonts w:cs="Arial"/>
                                <w:i/>
                                <w:iCs/>
                                <w:color w:val="000000" w:themeColor="text1"/>
                                <w:kern w:val="24"/>
                                <w:sz w:val="18"/>
                                <w:szCs w:val="18"/>
                              </w:rPr>
                              <w:t>Total 1</w:t>
                            </w:r>
                            <w:r>
                              <w:rPr>
                                <w:rFonts w:cs="Arial"/>
                                <w:i/>
                                <w:iCs/>
                                <w:color w:val="000000" w:themeColor="text1"/>
                                <w:kern w:val="24"/>
                                <w:sz w:val="18"/>
                                <w:szCs w:val="18"/>
                              </w:rPr>
                              <w:t>34</w:t>
                            </w:r>
                          </w:p>
                        </w:txbxContent>
                      </wps:txbx>
                      <wps:bodyPr wrap="none" rtlCol="0">
                        <a:spAutoFit/>
                      </wps:bodyPr>
                    </wps:wsp>
                  </a:graphicData>
                </a:graphic>
              </wp:anchor>
            </w:drawing>
          </mc:Choice>
          <mc:Fallback>
            <w:pict>
              <v:shape w14:anchorId="4AEB2560" id="_x0000_s1093" type="#_x0000_t202" style="position:absolute;left:0;text-align:left;margin-left:491.2pt;margin-top:303.65pt;width:56.3pt;height:19.35pt;z-index:25190610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rzxmQEAABcDAAAOAAAAZHJzL2Uyb0RvYy54bWysUk2P2yAQvVfqf0DcGztuPiorzmrbKL1U&#10;baXdXvZGMMRIhkEMiZ1/34F8rdrbai8DzAyP996wehhtz44qoAHX8Omk5Ew5Ca1x+4b/ed5++sIZ&#10;RuFa0YNTDT8p5A/rjx9Wg69VBR30rQqMQBzWg294F6OviwJlp6zACXjlqKghWBHpGPZFG8RA6LYv&#10;qrJcFAOE1geQCpGym3ORrzO+1krGX1qjiqxvOHGLOYYcdykW65Wo90H4zsgLDfEGFlYYR4/eoDYi&#10;CnYI5j8oa2QABB0nEmwBWhupsgZSMy3/UfPUCa+yFjIH/c0mfD9Y+fP4OzDT0uzKijMnLA3phUb1&#10;rMao2KxKDg0ea2p88tQax68wUvc1j5RMwkcdbFpJEqM6eX26+UtQTFJyOZ2TSM4klarZfDmbJ5Ti&#10;ftkHjN8VWJY2DQ80vuyqOP7AeG69tqS3HGxN36d8YnhmknZx3I1Z0+LzleYO2hOxH2jSDXekj7MQ&#10;+2+Qv0XCQv94iISXn0kg5xsXbHI/E738lDTe1+fcdf/P678AAAD//wMAUEsDBBQABgAIAAAAIQBy&#10;1cxY3wAAAAwBAAAPAAAAZHJzL2Rvd25yZXYueG1sTI9BTsMwEEX3SNzBGiR21G5IQxLiVKjQNVA4&#10;gBubOCQeR7HbBk7f6QqWM/P05/1qPbuBHc0UOo8SlgsBzGDjdYethM+P7V0OLESFWg0ejYQfE2Bd&#10;X19VqtT+hO/muIstoxAMpZJgYxxLzkNjjVNh4UeDdPvyk1ORxqnlelInCncDT4TIuFMd0gerRrOx&#10;pul3BychF+6174vkLbj0d7mym2f/Mn5LeXszPz0Ci2aOfzBc9EkdanLa+wPqwAYJRZ6khErIxMM9&#10;sAshihXV29MqzQTwuuL/S9RnAAAA//8DAFBLAQItABQABgAIAAAAIQC2gziS/gAAAOEBAAATAAAA&#10;AAAAAAAAAAAAAAAAAABbQ29udGVudF9UeXBlc10ueG1sUEsBAi0AFAAGAAgAAAAhADj9If/WAAAA&#10;lAEAAAsAAAAAAAAAAAAAAAAALwEAAF9yZWxzLy5yZWxzUEsBAi0AFAAGAAgAAAAhAC7qvPGZAQAA&#10;FwMAAA4AAAAAAAAAAAAAAAAALgIAAGRycy9lMm9Eb2MueG1sUEsBAi0AFAAGAAgAAAAhAHLVzFjf&#10;AAAADAEAAA8AAAAAAAAAAAAAAAAA8wMAAGRycy9kb3ducmV2LnhtbFBLBQYAAAAABAAEAPMAAAD/&#10;BAAAAAA=&#10;" filled="f" stroked="f">
                <v:textbox style="mso-fit-shape-to-text:t">
                  <w:txbxContent>
                    <w:p w14:paraId="385F6E77" w14:textId="6C4FF656" w:rsidR="00BC6CC4" w:rsidRPr="00237F95" w:rsidRDefault="00BC6CC4" w:rsidP="00BC6CC4">
                      <w:pPr>
                        <w:rPr>
                          <w:sz w:val="18"/>
                          <w:szCs w:val="18"/>
                        </w:rPr>
                      </w:pPr>
                      <w:r w:rsidRPr="00237F95">
                        <w:rPr>
                          <w:rFonts w:cs="Arial"/>
                          <w:i/>
                          <w:iCs/>
                          <w:color w:val="000000" w:themeColor="text1"/>
                          <w:kern w:val="24"/>
                          <w:sz w:val="18"/>
                          <w:szCs w:val="18"/>
                        </w:rPr>
                        <w:t>Total 1</w:t>
                      </w:r>
                      <w:r>
                        <w:rPr>
                          <w:rFonts w:cs="Arial"/>
                          <w:i/>
                          <w:iCs/>
                          <w:color w:val="000000" w:themeColor="text1"/>
                          <w:kern w:val="24"/>
                          <w:sz w:val="18"/>
                          <w:szCs w:val="18"/>
                        </w:rPr>
                        <w:t>34</w:t>
                      </w:r>
                    </w:p>
                  </w:txbxContent>
                </v:textbox>
              </v:shape>
            </w:pict>
          </mc:Fallback>
        </mc:AlternateContent>
      </w:r>
      <w:r>
        <w:rPr>
          <w:noProof/>
        </w:rPr>
        <mc:AlternateContent>
          <mc:Choice Requires="wps">
            <w:drawing>
              <wp:anchor distT="0" distB="0" distL="114300" distR="114300" simplePos="0" relativeHeight="251834425" behindDoc="0" locked="0" layoutInCell="1" allowOverlap="1" wp14:anchorId="699C62F3" wp14:editId="12380B0A">
                <wp:simplePos x="0" y="0"/>
                <wp:positionH relativeFrom="column">
                  <wp:posOffset>5543969</wp:posOffset>
                </wp:positionH>
                <wp:positionV relativeFrom="paragraph">
                  <wp:posOffset>3852410</wp:posOffset>
                </wp:positionV>
                <wp:extent cx="715010" cy="245745"/>
                <wp:effectExtent l="0" t="0" r="0" b="0"/>
                <wp:wrapNone/>
                <wp:docPr id="384" name="ZoneTexte 42"/>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4BAB8993" w14:textId="2459A14E" w:rsidR="00741BFF" w:rsidRPr="00237F95" w:rsidRDefault="00237F95" w:rsidP="008F62CB">
                            <w:pPr>
                              <w:rPr>
                                <w:sz w:val="18"/>
                                <w:szCs w:val="18"/>
                              </w:rPr>
                            </w:pPr>
                            <w:r w:rsidRPr="00237F95">
                              <w:rPr>
                                <w:rFonts w:cs="Arial"/>
                                <w:i/>
                                <w:iCs/>
                                <w:color w:val="000000" w:themeColor="text1"/>
                                <w:kern w:val="24"/>
                                <w:sz w:val="18"/>
                                <w:szCs w:val="18"/>
                              </w:rPr>
                              <w:t>Total 152</w:t>
                            </w:r>
                          </w:p>
                        </w:txbxContent>
                      </wps:txbx>
                      <wps:bodyPr wrap="none" rtlCol="0">
                        <a:spAutoFit/>
                      </wps:bodyPr>
                    </wps:wsp>
                  </a:graphicData>
                </a:graphic>
              </wp:anchor>
            </w:drawing>
          </mc:Choice>
          <mc:Fallback>
            <w:pict>
              <v:shape w14:anchorId="699C62F3" id="_x0000_s1094" type="#_x0000_t202" style="position:absolute;left:0;text-align:left;margin-left:436.55pt;margin-top:303.35pt;width:56.3pt;height:19.35pt;z-index:251834425;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mMFlwEAABcDAAAOAAAAZHJzL2Uyb0RvYy54bWysUk1PAyEQvZv4Hwh3u23dqtl0a/yIXoya&#10;qBdvlIUuycIQBrvbf+9APzR6M14GmBke771hfjnYjq1VQAOu5pPRmDPlJDTGrWr+9np3csEZRuEa&#10;0YFTNd8o5JeL46N57ys1hRa6RgVGIA6r3te8jdFXRYGyVVbgCLxyVNQQrIh0DKuiCaIndNsV0/H4&#10;rOghND6AVIiUvd0W+SLja61kfNIaVWRdzYlbzDHkuEyxWMxFtQrCt0buaIg/sLDCOHr0AHUromAf&#10;wfyCskYGQNBxJMEWoLWRKmsgNZPxDzUvrfAqayFz0B9swv+DlY/r58BMU/PTi5IzJywN6Z1G9aqG&#10;qFg5TQ71HitqfPHUGodrGGjS+zxSMgkfdLBpJUmM6uT15uAvQTFJyfPJjERyJqk0LWfn5SyhFF+X&#10;fcB4r8CytKl5oPFlV8X6AeO2dd+S3nJwZ7ou5RPDLZO0i8NyyJrOyj3NJTQbYt/TpGvuSB9nIXY3&#10;kL9FwkJ/9REJLz+TQLY3dtjkfia6+ylpvN/PuevrPy8+AQAA//8DAFBLAwQUAAYACAAAACEAOFTP&#10;Ud4AAAALAQAADwAAAGRycy9kb3ducmV2LnhtbEyPTU7DMBBG90jcwRokdtROSdI0jVOhAmugcAA3&#10;HuI0sR3Fbhs4PcMKdvPz9M2bajvbgZ1xCp13EpKFAIau8bpzrYSP9+e7AliIymk1eIcSvjDAtr6+&#10;qlSp/cW94XkfW0YhLpRKgolxLDkPjUGrwsKP6Gj36SerIrVTy/WkLhRuB74UIudWdY4uGDXizmDT&#10;709WQiHsS9+vl6/Bpt9JZnaP/mk8Snl7Mz9sgEWc4x8Mv/qkDjU5HfzJ6cAGyljdJ4RKyEW+AkbE&#10;usioONAkzVLgdcX//1D/AAAA//8DAFBLAQItABQABgAIAAAAIQC2gziS/gAAAOEBAAATAAAAAAAA&#10;AAAAAAAAAAAAAABbQ29udGVudF9UeXBlc10ueG1sUEsBAi0AFAAGAAgAAAAhADj9If/WAAAAlAEA&#10;AAsAAAAAAAAAAAAAAAAALwEAAF9yZWxzLy5yZWxzUEsBAi0AFAAGAAgAAAAhAF2GYwWXAQAAFwMA&#10;AA4AAAAAAAAAAAAAAAAALgIAAGRycy9lMm9Eb2MueG1sUEsBAi0AFAAGAAgAAAAhADhUz1HeAAAA&#10;CwEAAA8AAAAAAAAAAAAAAAAA8QMAAGRycy9kb3ducmV2LnhtbFBLBQYAAAAABAAEAPMAAAD8BAAA&#10;AAA=&#10;" filled="f" stroked="f">
                <v:textbox style="mso-fit-shape-to-text:t">
                  <w:txbxContent>
                    <w:p w14:paraId="4BAB8993" w14:textId="2459A14E" w:rsidR="00741BFF" w:rsidRPr="00237F95" w:rsidRDefault="00237F95" w:rsidP="008F62CB">
                      <w:pPr>
                        <w:rPr>
                          <w:sz w:val="18"/>
                          <w:szCs w:val="18"/>
                        </w:rPr>
                      </w:pPr>
                      <w:r w:rsidRPr="00237F95">
                        <w:rPr>
                          <w:rFonts w:cs="Arial"/>
                          <w:i/>
                          <w:iCs/>
                          <w:color w:val="000000" w:themeColor="text1"/>
                          <w:kern w:val="24"/>
                          <w:sz w:val="18"/>
                          <w:szCs w:val="18"/>
                        </w:rPr>
                        <w:t>Total 152</w:t>
                      </w:r>
                    </w:p>
                  </w:txbxContent>
                </v:textbox>
              </v:shape>
            </w:pict>
          </mc:Fallback>
        </mc:AlternateContent>
      </w:r>
      <w:r>
        <w:rPr>
          <w:noProof/>
        </w:rPr>
        <mc:AlternateContent>
          <mc:Choice Requires="wps">
            <w:drawing>
              <wp:anchor distT="0" distB="0" distL="114300" distR="114300" simplePos="0" relativeHeight="251904057" behindDoc="0" locked="0" layoutInCell="1" allowOverlap="1" wp14:anchorId="13F6A83B" wp14:editId="1A807CBF">
                <wp:simplePos x="0" y="0"/>
                <wp:positionH relativeFrom="column">
                  <wp:posOffset>2840990</wp:posOffset>
                </wp:positionH>
                <wp:positionV relativeFrom="paragraph">
                  <wp:posOffset>3826578</wp:posOffset>
                </wp:positionV>
                <wp:extent cx="715010" cy="245745"/>
                <wp:effectExtent l="0" t="0" r="0" b="0"/>
                <wp:wrapNone/>
                <wp:docPr id="101" name="ZoneTexte 41"/>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2CB19C81" w14:textId="175F6A15" w:rsidR="00237F95" w:rsidRPr="005F20DD" w:rsidRDefault="00237F95" w:rsidP="00237F95">
                            <w:pPr>
                              <w:rPr>
                                <w:sz w:val="18"/>
                                <w:szCs w:val="18"/>
                              </w:rPr>
                            </w:pPr>
                            <w:r w:rsidRPr="005F20DD">
                              <w:rPr>
                                <w:rFonts w:cs="Arial"/>
                                <w:i/>
                                <w:iCs/>
                                <w:color w:val="000000" w:themeColor="text1"/>
                                <w:kern w:val="24"/>
                                <w:sz w:val="18"/>
                                <w:szCs w:val="18"/>
                              </w:rPr>
                              <w:t xml:space="preserve">Total </w:t>
                            </w:r>
                            <w:r>
                              <w:rPr>
                                <w:rFonts w:cs="Arial"/>
                                <w:i/>
                                <w:iCs/>
                                <w:color w:val="000000" w:themeColor="text1"/>
                                <w:kern w:val="24"/>
                                <w:sz w:val="18"/>
                                <w:szCs w:val="18"/>
                              </w:rPr>
                              <w:t>170</w:t>
                            </w:r>
                          </w:p>
                        </w:txbxContent>
                      </wps:txbx>
                      <wps:bodyPr wrap="none" rtlCol="0">
                        <a:spAutoFit/>
                      </wps:bodyPr>
                    </wps:wsp>
                  </a:graphicData>
                </a:graphic>
              </wp:anchor>
            </w:drawing>
          </mc:Choice>
          <mc:Fallback>
            <w:pict>
              <v:shape w14:anchorId="13F6A83B" id="_x0000_s1095" type="#_x0000_t202" style="position:absolute;left:0;text-align:left;margin-left:223.7pt;margin-top:301.3pt;width:56.3pt;height:19.35pt;z-index:25190405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gK0lwEAABcDAAAOAAAAZHJzL2Uyb0RvYy54bWysUslu2zAQvRfoPxC8x5IML4VgOciC5BK0&#10;BZxecqMp0iIgcggOY8l/3yG9Fc0tyIXLzPDNe2+4uh1tz/YqoAHX8GpScqachNa4XcP/vD7d/OAM&#10;o3Ct6MGphh8U8tv192+rwddqCh30rQqMQBzWg294F6OviwJlp6zACXjlKKkhWBHpGnZFG8RA6LYv&#10;pmW5KAYIrQ8gFSJFH49Jvs74WisZf2mNKrK+4cQt5jXkdZvWYr0S9S4I3xl5oiE+wcIK46jpBepR&#10;RMHeg/kAZY0MgKDjRIItQGsjVdZAaqryPzWbTniVtZA56C824dfByp/734GZlmZXVpw5YWlIbzSq&#10;VzVGxWZVcmjwWFPhxlNpHO9hpOpzHCmYhI862LSTJEZ58vpw8ZegmKTgspqTSM4kpaaz+XI2TyjF&#10;9bEPGJ8VWJYODQ80vuyq2L9gPJaeS1IvB0+m71M8MTwySac4bsesaZEbpNAW2gOxH2jSDXekj7MQ&#10;+wfI3yJhob97j4SX21xfnLDJ/Uz09FPSeP+956rrf17/BQAA//8DAFBLAwQUAAYACAAAACEAmxFl&#10;0d4AAAALAQAADwAAAGRycy9kb3ducmV2LnhtbEyPQU7DMBBF95W4gzVI7Fo7wQ0lxKlQgTVQOIAb&#10;mzgkHkex2wZOz7CC5cw8/Xm/2s5+YCc7xS6ggmwlgFlsgumwVfD+9rTcAItJo9FDQKvgy0bY1heL&#10;SpcmnPHVnvapZRSCsdQKXEpjyXlsnPU6rsJokW4fYfI60Ti13Ez6TOF+4LkQBfe6Q/rg9Gh3zjb9&#10;/ugVbIR/7vvb/CV6+Z2t3e4hPI6fSl1dzvd3wJKd0x8Mv/qkDjU5HcIRTWSDAilvJKEKCpEXwIhY&#10;F4LaHWgjs2vgdcX/d6h/AAAA//8DAFBLAQItABQABgAIAAAAIQC2gziS/gAAAOEBAAATAAAAAAAA&#10;AAAAAAAAAAAAAABbQ29udGVudF9UeXBlc10ueG1sUEsBAi0AFAAGAAgAAAAhADj9If/WAAAAlAEA&#10;AAsAAAAAAAAAAAAAAAAALwEAAF9yZWxzLy5yZWxzUEsBAi0AFAAGAAgAAAAhAJgyArSXAQAAFwMA&#10;AA4AAAAAAAAAAAAAAAAALgIAAGRycy9lMm9Eb2MueG1sUEsBAi0AFAAGAAgAAAAhAJsRZdHeAAAA&#10;CwEAAA8AAAAAAAAAAAAAAAAA8QMAAGRycy9kb3ducmV2LnhtbFBLBQYAAAAABAAEAPMAAAD8BAAA&#10;AAA=&#10;" filled="f" stroked="f">
                <v:textbox style="mso-fit-shape-to-text:t">
                  <w:txbxContent>
                    <w:p w14:paraId="2CB19C81" w14:textId="175F6A15" w:rsidR="00237F95" w:rsidRPr="005F20DD" w:rsidRDefault="00237F95" w:rsidP="00237F95">
                      <w:pPr>
                        <w:rPr>
                          <w:sz w:val="18"/>
                          <w:szCs w:val="18"/>
                        </w:rPr>
                      </w:pPr>
                      <w:r w:rsidRPr="005F20DD">
                        <w:rPr>
                          <w:rFonts w:cs="Arial"/>
                          <w:i/>
                          <w:iCs/>
                          <w:color w:val="000000" w:themeColor="text1"/>
                          <w:kern w:val="24"/>
                          <w:sz w:val="18"/>
                          <w:szCs w:val="18"/>
                        </w:rPr>
                        <w:t xml:space="preserve">Total </w:t>
                      </w:r>
                      <w:r>
                        <w:rPr>
                          <w:rFonts w:cs="Arial"/>
                          <w:i/>
                          <w:iCs/>
                          <w:color w:val="000000" w:themeColor="text1"/>
                          <w:kern w:val="24"/>
                          <w:sz w:val="18"/>
                          <w:szCs w:val="18"/>
                        </w:rPr>
                        <w:t>170</w:t>
                      </w:r>
                    </w:p>
                  </w:txbxContent>
                </v:textbox>
              </v:shape>
            </w:pict>
          </mc:Fallback>
        </mc:AlternateContent>
      </w:r>
      <w:r>
        <w:rPr>
          <w:noProof/>
        </w:rPr>
        <mc:AlternateContent>
          <mc:Choice Requires="wps">
            <w:drawing>
              <wp:anchor distT="0" distB="0" distL="114300" distR="114300" simplePos="0" relativeHeight="251818041" behindDoc="0" locked="0" layoutInCell="1" allowOverlap="1" wp14:anchorId="765BE084" wp14:editId="346BBB1D">
                <wp:simplePos x="0" y="0"/>
                <wp:positionH relativeFrom="column">
                  <wp:posOffset>2122440</wp:posOffset>
                </wp:positionH>
                <wp:positionV relativeFrom="paragraph">
                  <wp:posOffset>3830293</wp:posOffset>
                </wp:positionV>
                <wp:extent cx="715010" cy="245745"/>
                <wp:effectExtent l="0" t="0" r="0" b="0"/>
                <wp:wrapNone/>
                <wp:docPr id="210" name="ZoneTexte 41"/>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4EA165A8" w14:textId="5239D88D" w:rsidR="00741BFF" w:rsidRPr="005F20DD" w:rsidRDefault="00741BFF" w:rsidP="004B43AF">
                            <w:pPr>
                              <w:rPr>
                                <w:sz w:val="18"/>
                                <w:szCs w:val="18"/>
                              </w:rPr>
                            </w:pPr>
                            <w:r w:rsidRPr="005F20DD">
                              <w:rPr>
                                <w:rFonts w:cs="Arial"/>
                                <w:i/>
                                <w:iCs/>
                                <w:color w:val="000000" w:themeColor="text1"/>
                                <w:kern w:val="24"/>
                                <w:sz w:val="18"/>
                                <w:szCs w:val="18"/>
                              </w:rPr>
                              <w:t>Total 204</w:t>
                            </w:r>
                          </w:p>
                        </w:txbxContent>
                      </wps:txbx>
                      <wps:bodyPr wrap="none" rtlCol="0">
                        <a:spAutoFit/>
                      </wps:bodyPr>
                    </wps:wsp>
                  </a:graphicData>
                </a:graphic>
              </wp:anchor>
            </w:drawing>
          </mc:Choice>
          <mc:Fallback>
            <w:pict>
              <v:shape w14:anchorId="765BE084" id="_x0000_s1096" type="#_x0000_t202" style="position:absolute;left:0;text-align:left;margin-left:167.1pt;margin-top:301.6pt;width:56.3pt;height:19.35pt;z-index:251818041;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YPvlgEAABcDAAAOAAAAZHJzL2Uyb0RvYy54bWysUk1PAyEQvZv4Hwh3u92mrWbTrfEjejFq&#10;ol68URa6JAtDGOxu/70D/dDozXgZYGZ4vPeGxeVgO7ZRAQ24mpejMWfKSWiMW9f87fXu7IIzjMI1&#10;ogOnar5VyC+XpyeL3ldqAi10jQqMQBxWva95G6OvigJlq6zAEXjlqKghWBHpGNZFE0RP6LYrJuPx&#10;vOghND6AVIiUvd0V+TLja61kfNIaVWRdzYlbzDHkuEqxWC5EtQ7Ct0buaYg/sLDCOHr0CHUromAf&#10;wfyCskYGQNBxJMEWoLWRKmsgNeX4h5qXVniVtZA56I824f/BysfNc2CmqfmkJH+csDSkdxrVqxqi&#10;YtMyOdR7rKjxxVNrHK5hoEkf8kjJJHzQwaaVJDGqE9b26C9BMUnJ83JGIjmTVJpMZ+fTWUIpvi77&#10;gPFegWVpU/NA48uuis0Dxl3roSW95eDOdF3KJ4Y7JmkXh9WQNc3nB5oraLbEvqdJ19yRPs5C7G4g&#10;f4uEhf7qIxJefiaB7G7sscn9THT/U9J4v59z19d/Xn4CAAD//wMAUEsDBBQABgAIAAAAIQBpsnNv&#10;3gAAAAsBAAAPAAAAZHJzL2Rvd25yZXYueG1sTI/BTsMwEETvSPyDtUjcqJ3ERG2IU6ECZ6DwAW68&#10;xCGxHcVuG/h6lhPcdndGs2/q7eJGdsI59sEryFYCGPo2mN53Ct7fnm7WwGLS3ugxeFTwhRG2zeVF&#10;rSsTzv4VT/vUMQrxsdIKbEpTxXlsLTodV2FCT9pHmJ1OtM4dN7M+U7gbeS5EyZ3uPX2wesKdxXbY&#10;H52CtXDPw7DJX6KT39mt3T2Ex+lTqeur5f4OWMIl/ZnhF5/QoSGmQzh6E9mooChkTlYFpShoIIeU&#10;JZU50EVmG+BNzf93aH4AAAD//wMAUEsBAi0AFAAGAAgAAAAhALaDOJL+AAAA4QEAABMAAAAAAAAA&#10;AAAAAAAAAAAAAFtDb250ZW50X1R5cGVzXS54bWxQSwECLQAUAAYACAAAACEAOP0h/9YAAACUAQAA&#10;CwAAAAAAAAAAAAAAAAAvAQAAX3JlbHMvLnJlbHNQSwECLQAUAAYACAAAACEA70mD75YBAAAXAwAA&#10;DgAAAAAAAAAAAAAAAAAuAgAAZHJzL2Uyb0RvYy54bWxQSwECLQAUAAYACAAAACEAabJzb94AAAAL&#10;AQAADwAAAAAAAAAAAAAAAADwAwAAZHJzL2Rvd25yZXYueG1sUEsFBgAAAAAEAAQA8wAAAPsEAAAA&#10;AA==&#10;" filled="f" stroked="f">
                <v:textbox style="mso-fit-shape-to-text:t">
                  <w:txbxContent>
                    <w:p w14:paraId="4EA165A8" w14:textId="5239D88D" w:rsidR="00741BFF" w:rsidRPr="005F20DD" w:rsidRDefault="00741BFF" w:rsidP="004B43AF">
                      <w:pPr>
                        <w:rPr>
                          <w:sz w:val="18"/>
                          <w:szCs w:val="18"/>
                        </w:rPr>
                      </w:pPr>
                      <w:r w:rsidRPr="005F20DD">
                        <w:rPr>
                          <w:rFonts w:cs="Arial"/>
                          <w:i/>
                          <w:iCs/>
                          <w:color w:val="000000" w:themeColor="text1"/>
                          <w:kern w:val="24"/>
                          <w:sz w:val="18"/>
                          <w:szCs w:val="18"/>
                        </w:rPr>
                        <w:t>Total 204</w:t>
                      </w:r>
                    </w:p>
                  </w:txbxContent>
                </v:textbox>
              </v:shape>
            </w:pict>
          </mc:Fallback>
        </mc:AlternateContent>
      </w:r>
      <w:r>
        <w:rPr>
          <w:noProof/>
        </w:rPr>
        <mc:AlternateContent>
          <mc:Choice Requires="wps">
            <w:drawing>
              <wp:anchor distT="0" distB="0" distL="114300" distR="114300" simplePos="0" relativeHeight="251817017" behindDoc="0" locked="0" layoutInCell="1" allowOverlap="1" wp14:anchorId="4C9AF29D" wp14:editId="3CE838E4">
                <wp:simplePos x="0" y="0"/>
                <wp:positionH relativeFrom="column">
                  <wp:posOffset>869950</wp:posOffset>
                </wp:positionH>
                <wp:positionV relativeFrom="paragraph">
                  <wp:posOffset>3854247</wp:posOffset>
                </wp:positionV>
                <wp:extent cx="715010" cy="245745"/>
                <wp:effectExtent l="0" t="0" r="0" b="0"/>
                <wp:wrapNone/>
                <wp:docPr id="209" name="ZoneTexte 39"/>
                <wp:cNvGraphicFramePr/>
                <a:graphic xmlns:a="http://schemas.openxmlformats.org/drawingml/2006/main">
                  <a:graphicData uri="http://schemas.microsoft.com/office/word/2010/wordprocessingShape">
                    <wps:wsp>
                      <wps:cNvSpPr txBox="1"/>
                      <wps:spPr>
                        <a:xfrm>
                          <a:off x="0" y="0"/>
                          <a:ext cx="715010" cy="245745"/>
                        </a:xfrm>
                        <a:prstGeom prst="rect">
                          <a:avLst/>
                        </a:prstGeom>
                        <a:noFill/>
                      </wps:spPr>
                      <wps:txbx>
                        <w:txbxContent>
                          <w:p w14:paraId="6B419055" w14:textId="10358619" w:rsidR="00741BFF" w:rsidRPr="005F20DD" w:rsidRDefault="00741BFF" w:rsidP="004B43AF">
                            <w:pPr>
                              <w:rPr>
                                <w:sz w:val="18"/>
                                <w:szCs w:val="18"/>
                              </w:rPr>
                            </w:pPr>
                            <w:r w:rsidRPr="005F20DD">
                              <w:rPr>
                                <w:rFonts w:cs="Arial"/>
                                <w:i/>
                                <w:iCs/>
                                <w:color w:val="000000" w:themeColor="text1"/>
                                <w:kern w:val="24"/>
                                <w:sz w:val="18"/>
                                <w:szCs w:val="18"/>
                              </w:rPr>
                              <w:t>Total 180</w:t>
                            </w:r>
                          </w:p>
                        </w:txbxContent>
                      </wps:txbx>
                      <wps:bodyPr wrap="none" rtlCol="0">
                        <a:spAutoFit/>
                      </wps:bodyPr>
                    </wps:wsp>
                  </a:graphicData>
                </a:graphic>
              </wp:anchor>
            </w:drawing>
          </mc:Choice>
          <mc:Fallback>
            <w:pict>
              <v:shape w14:anchorId="4C9AF29D" id="_x0000_s1097" type="#_x0000_t202" style="position:absolute;left:0;text-align:left;margin-left:68.5pt;margin-top:303.5pt;width:56.3pt;height:19.35pt;z-index:25181701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lsYmgEAABcDAAAOAAAAZHJzL2Uyb0RvYy54bWysUk1vGyEQvVfKf0Dc4107dpysvLaaWOml&#10;aiMlufSGWfAiLQxiiHf97zvgryi9VbkMMDM83nvDYjXYju1UQAOu5uNRyZlyEhrjtjV/e326vuMM&#10;o3CN6MCpmu8V8tXy6tui95WaQAtdowIjEIdV72vexuirokDZKitwBF45KmoIVkQ6hm3RBNETuu2K&#10;SVneFj2ExgeQCpGy60ORLzO+1krG31qjiqyrOXGLOYYcNykWy4WotkH41sgjDfEfLKwwjh49Q61F&#10;FOw9mH+grJEBEHQcSbAFaG2kyhpIzbj8pOalFV5lLWQO+rNN+HWw8tfuOTDT1HxS3nPmhKUh/aFR&#10;vaohKnZznxzqPVbU+OKpNQ4PMNCkT3mkZBI+6GDTSpIY1cnr/dlfgmKSkvPxjERyJqk0mc7m01lC&#10;KS6XfcD4Q4FlaVPzQOPLrordT4yH1lNLesvBk+m6lE8MD0zSLg6bIWu6nZ9obqDZE/ueJl1zR/o4&#10;C7F7hPwtEhb67++R8PIzCeRw44hN7meix5+SxvvxnLsu/3n5FwAA//8DAFBLAwQUAAYACAAAACEA&#10;I7Dix94AAAALAQAADwAAAGRycy9kb3ducmV2LnhtbEyPwU7DMBBE70j8g7VI3KjTkKZtiFOhAmdK&#10;4QPceIlD4nUUu23g69me4LazO5p9U24m14sTjqH1pGA+S0Ag1d601Cj4eH+5W4EIUZPRvSdU8I0B&#10;NtX1VakL48/0hqd9bASHUCi0AhvjUEgZaotOh5kfkPj26UenI8uxkWbUZw53vUyTJJdOt8QfrB5w&#10;a7Hu9kenYJW4165bp7vgsp/5wm6f/PPwpdTtzfT4ACLiFP/McMFndKiY6eCPZILoWd8vuUtUkCeX&#10;gR1pts5BHHiTLZYgq1L+71D9AgAA//8DAFBLAQItABQABgAIAAAAIQC2gziS/gAAAOEBAAATAAAA&#10;AAAAAAAAAAAAAAAAAABbQ29udGVudF9UeXBlc10ueG1sUEsBAi0AFAAGAAgAAAAhADj9If/WAAAA&#10;lAEAAAsAAAAAAAAAAAAAAAAALwEAAF9yZWxzLy5yZWxzUEsBAi0AFAAGAAgAAAAhANpmWxiaAQAA&#10;FwMAAA4AAAAAAAAAAAAAAAAALgIAAGRycy9lMm9Eb2MueG1sUEsBAi0AFAAGAAgAAAAhACOw4sfe&#10;AAAACwEAAA8AAAAAAAAAAAAAAAAA9AMAAGRycy9kb3ducmV2LnhtbFBLBQYAAAAABAAEAPMAAAD/&#10;BAAAAAA=&#10;" filled="f" stroked="f">
                <v:textbox style="mso-fit-shape-to-text:t">
                  <w:txbxContent>
                    <w:p w14:paraId="6B419055" w14:textId="10358619" w:rsidR="00741BFF" w:rsidRPr="005F20DD" w:rsidRDefault="00741BFF" w:rsidP="004B43AF">
                      <w:pPr>
                        <w:rPr>
                          <w:sz w:val="18"/>
                          <w:szCs w:val="18"/>
                        </w:rPr>
                      </w:pPr>
                      <w:r w:rsidRPr="005F20DD">
                        <w:rPr>
                          <w:rFonts w:cs="Arial"/>
                          <w:i/>
                          <w:iCs/>
                          <w:color w:val="000000" w:themeColor="text1"/>
                          <w:kern w:val="24"/>
                          <w:sz w:val="18"/>
                          <w:szCs w:val="18"/>
                        </w:rPr>
                        <w:t>Total 180</w:t>
                      </w:r>
                    </w:p>
                  </w:txbxContent>
                </v:textbox>
              </v:shape>
            </w:pict>
          </mc:Fallback>
        </mc:AlternateContent>
      </w:r>
      <w:r w:rsidR="000D17AE">
        <w:rPr>
          <w:noProof/>
        </w:rPr>
        <mc:AlternateContent>
          <mc:Choice Requires="wps">
            <w:drawing>
              <wp:anchor distT="0" distB="0" distL="114300" distR="114300" simplePos="0" relativeHeight="251807801" behindDoc="0" locked="0" layoutInCell="1" allowOverlap="1" wp14:anchorId="5A9ED42A" wp14:editId="1BA23517">
                <wp:simplePos x="0" y="0"/>
                <wp:positionH relativeFrom="column">
                  <wp:posOffset>6200978</wp:posOffset>
                </wp:positionH>
                <wp:positionV relativeFrom="paragraph">
                  <wp:posOffset>-557530</wp:posOffset>
                </wp:positionV>
                <wp:extent cx="12700" cy="5664835"/>
                <wp:effectExtent l="0" t="0" r="25400" b="31115"/>
                <wp:wrapNone/>
                <wp:docPr id="196" name="Connecteur droit 15"/>
                <wp:cNvGraphicFramePr/>
                <a:graphic xmlns:a="http://schemas.openxmlformats.org/drawingml/2006/main">
                  <a:graphicData uri="http://schemas.microsoft.com/office/word/2010/wordprocessingShape">
                    <wps:wsp>
                      <wps:cNvCnPr/>
                      <wps:spPr>
                        <a:xfrm flipH="1">
                          <a:off x="0" y="0"/>
                          <a:ext cx="12700" cy="566483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3E1E33" id="Connecteur droit 15" o:spid="_x0000_s1026" style="position:absolute;flip:x;z-index:2518078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88.25pt,-43.9pt" to="489.25pt,4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Y5ePQIAAN8EAAAOAAAAZHJzL2Uyb0RvYy54bWysVE2P0zAQvSPxHyzfadJCy27UdA8tCwdg&#10;KxZ+gOuPxJK/ZLtN++8Z22kWlguLuFiOPe955r2ZrO/OWqET90Fa0+L5rMaIG2qZNF2Lf3y/f3OD&#10;UYjEMKKs4S2+8IDvNq9frQfX8IXtrWLcIyAxoRlci/sYXVNVgfZckzCzjhu4FNZrEuHTdxXzZAB2&#10;rapFXa+qwXrmvKU8BDjdlUu8yfxCcBofhAg8ItViyC3m1ef1kNZqsyZN54nrJR3TIP+QhSbSwKMT&#10;1Y5Ego5e/kGlJfU2WBFn1OrKCiEpzzVANfP6WTWPPXE81wLiBDfJFP4fLf162nskGXh3u8LIEA0m&#10;ba0xoBw/esS8lRHNl0mowYUG4rdm78ev4PY+VX0WXiOhpPsEPFkHqAyds8yXSWZ+jojC4XzxvgYv&#10;KNwsV6t3N28ze1VoEp3zIX7kVqO0abGSJqlAGnL6HCI8DaHXkHSsDBpafLtcLIGUQBMJRSJstYOy&#10;gukwIqqD7qTRZ5pglWT3UqkEzp3Gt8qjE4EeOXQlf3XUXywrZ6tlDfmWd6fwnMVvTCmlHQl9ATHY&#10;le7y9mgYoEnTc8I+GIbixYHKBgYCp8w1ZxgpDhmmXY6MRKq/iQQllIFUkjXFjLyLF8WLMt+4AHez&#10;E6Va3x1SsWUEYEbBiOsgZDIApEAB8rwQO0ISmufJeyF+AuX3rYkTXktjR+vSf+HJrXiej76IEn+V&#10;ogiQtDhYdsn9mjWCKcrGjROfxvTX7wx/+i9tfgIAAP//AwBQSwMEFAAGAAgAAAAhAH2xWY3hAAAA&#10;CwEAAA8AAABkcnMvZG93bnJldi54bWxMj01PwzAMhu9I/IfISFzQlvK1dqXuBEg7ARJ0085pE9pq&#10;jVM12Rb49ZgTHG0/ev28xSraQRzN5HtHCNfzBIShxumeWoTtZj3LQPigSKvBkUH4Mh5W5flZoXLt&#10;TvRhjlVoBYeQzxVCF8KYS+mbzljl5240xLdPN1kVeJxaqSd14nA7yJskWUireuIPnRrNc2eafXWw&#10;CIOmyu1Svd68x7i/+n59q1+eNOLlRXx8ABFMDH8w/OqzOpTsVLsDaS8GhGW6uGcUYZal3IGJZZrx&#10;pkbIkrtbkGUh/3cofwAAAP//AwBQSwECLQAUAAYACAAAACEAtoM4kv4AAADhAQAAEwAAAAAAAAAA&#10;AAAAAAAAAAAAW0NvbnRlbnRfVHlwZXNdLnhtbFBLAQItABQABgAIAAAAIQA4/SH/1gAAAJQBAAAL&#10;AAAAAAAAAAAAAAAAAC8BAABfcmVscy8ucmVsc1BLAQItABQABgAIAAAAIQAiTY5ePQIAAN8EAAAO&#10;AAAAAAAAAAAAAAAAAC4CAABkcnMvZTJvRG9jLnhtbFBLAQItABQABgAIAAAAIQB9sVmN4QAAAAsB&#10;AAAPAAAAAAAAAAAAAAAAAJcEAABkcnMvZG93bnJldi54bWxQSwUGAAAAAAQABADzAAAApQUAAAAA&#10;" strokecolor="#a5a5a5 [2092]">
                <v:stroke dashstyle="dash"/>
              </v:line>
            </w:pict>
          </mc:Fallback>
        </mc:AlternateContent>
      </w:r>
      <w:r w:rsidR="00237F95">
        <w:rPr>
          <w:noProof/>
        </w:rPr>
        <mc:AlternateContent>
          <mc:Choice Requires="wps">
            <w:drawing>
              <wp:anchor distT="0" distB="0" distL="114300" distR="114300" simplePos="0" relativeHeight="251803705" behindDoc="0" locked="0" layoutInCell="1" allowOverlap="1" wp14:anchorId="6116EF15" wp14:editId="62392624">
                <wp:simplePos x="0" y="0"/>
                <wp:positionH relativeFrom="column">
                  <wp:posOffset>2775585</wp:posOffset>
                </wp:positionH>
                <wp:positionV relativeFrom="paragraph">
                  <wp:posOffset>-474345</wp:posOffset>
                </wp:positionV>
                <wp:extent cx="0" cy="5544000"/>
                <wp:effectExtent l="0" t="0" r="38100" b="19050"/>
                <wp:wrapNone/>
                <wp:docPr id="197" name="Connecteur droit 15"/>
                <wp:cNvGraphicFramePr/>
                <a:graphic xmlns:a="http://schemas.openxmlformats.org/drawingml/2006/main">
                  <a:graphicData uri="http://schemas.microsoft.com/office/word/2010/wordprocessingShape">
                    <wps:wsp>
                      <wps:cNvCnPr/>
                      <wps:spPr>
                        <a:xfrm>
                          <a:off x="0" y="0"/>
                          <a:ext cx="0" cy="5544000"/>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3EE81A66" id="Connecteur droit 15" o:spid="_x0000_s1026" style="position:absolute;z-index:25180370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8.55pt,-37.35pt" to="218.55pt,39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E5oLgIAANEEAAAOAAAAZHJzL2Uyb0RvYy54bWysVMmO2zAMvRfoPwi6N3aC8bRjxJlD0uml&#10;SzBtP0CRKFuANkjK9vel5MTpcukUvcgSzUc9PpJaPp6MJgcIUTnb0fmspgQsd0LZvqPfvz29eUdJ&#10;TMwKpp2Fjp4h0sfV61fLo29h4QanBQSCQWxsj76jQ0q+rarIBzAszpwHiz+lC4YlPIa+EoEdMbrR&#10;1aKu76ujC8IHxyFGtG7Gn3RV4ksJPH2RMkIiuqPILZU1lHWX12q1ZG0fmB8Uv9Bg/8DCMGXx0inU&#10;hiVG9kH9EcooHlx0Ms24M5WTUnEoOWA28/q3bL4OzEPJBcWJfpIp/r+w/PNhG4gSWLuHt5RYZrBI&#10;a2ctKgf7QERwKpF5k4U6+tii/9puw+UU/TbkrE8ymPzFfMipiHuexIVTInw0crQ2zd1dXRfhqxvQ&#10;h5g+gDMkbzqqlc15s5YdPsaEl6Hr1SWbtSXHjj40i4YSzrBtpGYJt8ZjItH2lDDdYz/yFEqY6LQS&#10;T0rrDC69BWsdyIFhV+z6efHRe/PJidF239woTu6FxS+RMqUNi8MIErgb+ym4vRWlswZg4r0VJJ09&#10;6mpxBGhmbkBQogEZ5l3xTEzpv/FEJbRFKrkYo/xll84aRmWeQWI9i+BjtqHf5WTHpsepxDG4tn4J&#10;hoDsKFGeF2IvkIyGMmsvxE+gcr+zacIbZd2ldPkluFUrneZZLyQuR/+rFKMAWYudE+fSoUUjnJvi&#10;fpnxPJg/nwv89hKtfgAAAP//AwBQSwMEFAAGAAgAAAAhAIfEo1veAAAACwEAAA8AAABkcnMvZG93&#10;bnJldi54bWxMj8FOwzAMhu9IvENkJG5bOlYto9SdENNukyYG3N3GayuapGqytrw9QRzgaPvT7+/P&#10;d7PpxMiDb51FWC0TEGwrp1tbI7y/HRZbED6Q1dQ5ywhf7GFX3N7klGk32Vcez6EWMcT6jBCaEPpM&#10;Sl81bMgvXc823i5uMBTiONRSDzTFcNPJhyTZSEOtjR8a6vml4erzfDUIyUlt9nQ6fvBx2jeX9lCu&#10;1Vgi3t/Nz08gAs/hD4Yf/agORXQq3dVqLzqEdK1WEUVYqFSBiMTvpkRQj9sUZJHL/x2KbwAAAP//&#10;AwBQSwECLQAUAAYACAAAACEAtoM4kv4AAADhAQAAEwAAAAAAAAAAAAAAAAAAAAAAW0NvbnRlbnRf&#10;VHlwZXNdLnhtbFBLAQItABQABgAIAAAAIQA4/SH/1gAAAJQBAAALAAAAAAAAAAAAAAAAAC8BAABf&#10;cmVscy8ucmVsc1BLAQItABQABgAIAAAAIQA5fE5oLgIAANEEAAAOAAAAAAAAAAAAAAAAAC4CAABk&#10;cnMvZTJvRG9jLnhtbFBLAQItABQABgAIAAAAIQCHxKNb3gAAAAsBAAAPAAAAAAAAAAAAAAAAAIgE&#10;AABkcnMvZG93bnJldi54bWxQSwUGAAAAAAQABADzAAAAkwUAAAAA&#10;" strokecolor="#a5a5a5 [2092]">
                <v:stroke dashstyle="dash"/>
              </v:line>
            </w:pict>
          </mc:Fallback>
        </mc:AlternateContent>
      </w:r>
      <w:r w:rsidR="00237F95">
        <w:rPr>
          <w:noProof/>
        </w:rPr>
        <mc:AlternateContent>
          <mc:Choice Requires="wps">
            <w:drawing>
              <wp:anchor distT="0" distB="0" distL="114300" distR="114300" simplePos="0" relativeHeight="251804729" behindDoc="0" locked="0" layoutInCell="1" allowOverlap="1" wp14:anchorId="13BC40E2" wp14:editId="02F9604F">
                <wp:simplePos x="0" y="0"/>
                <wp:positionH relativeFrom="column">
                  <wp:posOffset>942543</wp:posOffset>
                </wp:positionH>
                <wp:positionV relativeFrom="paragraph">
                  <wp:posOffset>-425450</wp:posOffset>
                </wp:positionV>
                <wp:extent cx="0" cy="5399405"/>
                <wp:effectExtent l="0" t="0" r="38100" b="29845"/>
                <wp:wrapNone/>
                <wp:docPr id="204" name="Connecteur droit 16"/>
                <wp:cNvGraphicFramePr/>
                <a:graphic xmlns:a="http://schemas.openxmlformats.org/drawingml/2006/main">
                  <a:graphicData uri="http://schemas.microsoft.com/office/word/2010/wordprocessingShape">
                    <wps:wsp>
                      <wps:cNvCnPr/>
                      <wps:spPr>
                        <a:xfrm>
                          <a:off x="0" y="0"/>
                          <a:ext cx="0" cy="539940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352BC561" id="Connecteur droit 16" o:spid="_x0000_s1026" style="position:absolute;z-index:25180472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4.2pt,-33.5pt" to="74.2pt,39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ChMQIAANEEAAAOAAAAZHJzL2Uyb0RvYy54bWysVMmO2zAMvRfoPwi6N3bSSdAYceaQdHrp&#10;EkzbD1C02AK0QVLi5O9LSY7T5dIpepEpmo9+fCS9ebxohc7cB2lNi+ezGiNuqGXSdC3+/u3pzTuM&#10;QiSGEWUNb/GVB/y4ff1qM7iGL2xvFeMeQRITmsG1uI/RNVUVaM81CTPruIGXwnpNIlx9VzFPBsiu&#10;VbWo61U1WM+ct5SHAN59eYm3Ob8QnMYvQgQekWoxcIv59Pk8prPabkjTeeJ6SUca5B9YaCINfHRK&#10;tSeRoJOXf6TSknobrIgzanVlhZCU5xqgmnn9WzVfe+J4rgXECW6SKfy/tPTz+eCRZC1e1A8YGaKh&#10;STtrDCjHTx4xb2VE81USanChgfidOfjxFtzBp6ovwuv0hHrQJYt7ncTll4hocVLwLt+u1w/1MuWr&#10;7kDnQ/zArUbJaLGSJtVNGnL+GGIJvYUktzJoaPF6uVhiRAmMjVAkgqkdFBJMhxFRHcwjjT6nCVZJ&#10;9iSVSuA8W3ynPDoTmIpjN88x6qQ/WVZ8q2Vd59kAilN4JvxLpkRpT0JfQAysMk/engwD1qTpOWHv&#10;DUPx6kBXAyuAE3PNGUaKA8Nk5chIpPqbSGCkDFBJzSjyZyteFS/KPHMB/cyCl2p9d0zFlqGHrYQ1&#10;uI1+TgaAFChAnhdiR0hC87xrL8RPoPx9a+KE19LYsXXpT3DvVrzMx9ERJf4mRREgaXG07JonNGsE&#10;e5MbN+54Wsyf7xl+/xNtfwAAAP//AwBQSwMEFAAGAAgAAAAhACaf8FzdAAAACwEAAA8AAABkcnMv&#10;ZG93bnJldi54bWxMj0FPg0AQhe8m/ofNmHhrF6UBgiyNsemtSWOr94GdApHdJewW8N879aLH9+bL&#10;m/eK7WJ6MdHoO2cVPK0jEGRrpzvbKPg471cZCB/QauydJQXf5GFb3t8VmGs323eaTqERHGJ9jgra&#10;EIZcSl+3ZNCv3UCWbxc3Ggwsx0bqEWcON718jqJEGuwsf2hxoLeW6q/T1SiIjmmyw+Phkw7zrr10&#10;+ypOp0qpx4fl9QVEoCX8wXCrz9Wh5E6Vu1rtRc96k20YVbBKUh51I36dSkGaxTHIspD/N5Q/AAAA&#10;//8DAFBLAQItABQABgAIAAAAIQC2gziS/gAAAOEBAAATAAAAAAAAAAAAAAAAAAAAAABbQ29udGVu&#10;dF9UeXBlc10ueG1sUEsBAi0AFAAGAAgAAAAhADj9If/WAAAAlAEAAAsAAAAAAAAAAAAAAAAALwEA&#10;AF9yZWxzLy5yZWxzUEsBAi0AFAAGAAgAAAAhADZL8KExAgAA0QQAAA4AAAAAAAAAAAAAAAAALgIA&#10;AGRycy9lMm9Eb2MueG1sUEsBAi0AFAAGAAgAAAAhACaf8FzdAAAACwEAAA8AAAAAAAAAAAAAAAAA&#10;iwQAAGRycy9kb3ducmV2LnhtbFBLBQYAAAAABAAEAPMAAACVBQAAAAA=&#10;" strokecolor="#a5a5a5 [2092]">
                <v:stroke dashstyle="dash"/>
              </v:line>
            </w:pict>
          </mc:Fallback>
        </mc:AlternateContent>
      </w:r>
      <w:r w:rsidR="005F20DD">
        <w:rPr>
          <w:noProof/>
        </w:rPr>
        <mc:AlternateContent>
          <mc:Choice Requires="wpg">
            <w:drawing>
              <wp:anchor distT="0" distB="0" distL="114300" distR="114300" simplePos="0" relativeHeight="251805753" behindDoc="0" locked="0" layoutInCell="1" allowOverlap="1" wp14:anchorId="68873B76" wp14:editId="017FCD13">
                <wp:simplePos x="0" y="0"/>
                <wp:positionH relativeFrom="margin">
                  <wp:posOffset>-329687</wp:posOffset>
                </wp:positionH>
                <wp:positionV relativeFrom="paragraph">
                  <wp:posOffset>3373134</wp:posOffset>
                </wp:positionV>
                <wp:extent cx="1489817" cy="409232"/>
                <wp:effectExtent l="0" t="0" r="34290" b="0"/>
                <wp:wrapNone/>
                <wp:docPr id="200" name="Groupe 17"/>
                <wp:cNvGraphicFramePr/>
                <a:graphic xmlns:a="http://schemas.openxmlformats.org/drawingml/2006/main">
                  <a:graphicData uri="http://schemas.microsoft.com/office/word/2010/wordprocessingGroup">
                    <wpg:wgp>
                      <wpg:cNvGrpSpPr/>
                      <wpg:grpSpPr>
                        <a:xfrm>
                          <a:off x="0" y="0"/>
                          <a:ext cx="1489817" cy="409232"/>
                          <a:chOff x="118917" y="3934514"/>
                          <a:chExt cx="1768638" cy="688876"/>
                        </a:xfrm>
                      </wpg:grpSpPr>
                      <wps:wsp>
                        <wps:cNvPr id="201" name="Flèche : pentagone 201"/>
                        <wps:cNvSpPr/>
                        <wps:spPr>
                          <a:xfrm>
                            <a:off x="118917" y="3934514"/>
                            <a:ext cx="1768638" cy="565432"/>
                          </a:xfrm>
                          <a:prstGeom prst="homePlate">
                            <a:avLst/>
                          </a:prstGeom>
                          <a:gradFill flip="none" rotWithShape="1">
                            <a:gsLst>
                              <a:gs pos="0">
                                <a:schemeClr val="bg1">
                                  <a:lumMod val="65000"/>
                                  <a:tint val="66000"/>
                                  <a:satMod val="160000"/>
                                </a:schemeClr>
                              </a:gs>
                              <a:gs pos="50000">
                                <a:schemeClr val="bg1">
                                  <a:lumMod val="65000"/>
                                  <a:tint val="44500"/>
                                  <a:satMod val="160000"/>
                                </a:schemeClr>
                              </a:gs>
                              <a:gs pos="100000">
                                <a:schemeClr val="bg1">
                                  <a:lumMod val="65000"/>
                                  <a:tint val="23500"/>
                                  <a:satMod val="160000"/>
                                </a:schemeClr>
                              </a:gs>
                            </a:gsLst>
                            <a:lin ang="5400000" scaled="1"/>
                            <a:tileRect/>
                          </a:gradFill>
                          <a:ln>
                            <a:solidFill>
                              <a:schemeClr val="bg1">
                                <a:lumMod val="75000"/>
                              </a:schemeClr>
                            </a:solidFill>
                          </a:ln>
                        </wps:spPr>
                        <wps:style>
                          <a:lnRef idx="1">
                            <a:schemeClr val="accent1"/>
                          </a:lnRef>
                          <a:fillRef idx="3">
                            <a:schemeClr val="accent1"/>
                          </a:fillRef>
                          <a:effectRef idx="2">
                            <a:schemeClr val="accent1"/>
                          </a:effectRef>
                          <a:fontRef idx="minor">
                            <a:schemeClr val="lt1"/>
                          </a:fontRef>
                        </wps:style>
                        <wps:bodyPr rtlCol="0" anchor="ctr"/>
                      </wps:wsp>
                      <wps:wsp>
                        <wps:cNvPr id="202" name="ZoneTexte 19"/>
                        <wps:cNvSpPr txBox="1"/>
                        <wps:spPr>
                          <a:xfrm>
                            <a:off x="197096" y="4006623"/>
                            <a:ext cx="1443606" cy="616767"/>
                          </a:xfrm>
                          <a:prstGeom prst="rect">
                            <a:avLst/>
                          </a:prstGeom>
                          <a:noFill/>
                        </wps:spPr>
                        <wps:txbx>
                          <w:txbxContent>
                            <w:p w14:paraId="4D33BF6D" w14:textId="77777777" w:rsidR="00741BFF" w:rsidRDefault="00741BFF" w:rsidP="004B43AF">
                              <w:pPr>
                                <w:rPr>
                                  <w:sz w:val="24"/>
                                  <w:szCs w:val="24"/>
                                </w:rPr>
                              </w:pPr>
                              <w:r>
                                <w:rPr>
                                  <w:rFonts w:cs="Arial"/>
                                  <w:b/>
                                  <w:bCs/>
                                  <w:i/>
                                  <w:iCs/>
                                  <w:color w:val="595959" w:themeColor="text1" w:themeTint="A6"/>
                                  <w:kern w:val="24"/>
                                </w:rPr>
                                <w:t xml:space="preserve">Sens de lecture </w:t>
                              </w:r>
                            </w:p>
                          </w:txbxContent>
                        </wps:txbx>
                        <wps:bodyPr wrap="none" rtlCol="0">
                          <a:spAutoFit/>
                        </wps:bodyPr>
                      </wps:wsp>
                    </wpg:wgp>
                  </a:graphicData>
                </a:graphic>
              </wp:anchor>
            </w:drawing>
          </mc:Choice>
          <mc:Fallback>
            <w:pict>
              <v:group w14:anchorId="68873B76" id="_x0000_s1098" style="position:absolute;left:0;text-align:left;margin-left:-25.95pt;margin-top:265.6pt;width:117.3pt;height:32.2pt;z-index:251805753;mso-position-horizontal-relative:margin" coordorigin="1189,39345" coordsize="17686,6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8IqZQMAACQJAAAOAAAAZHJzL2Uyb0RvYy54bWy8Vs1u2zAMvg/YOwi+r7YTx3GMJsXWrr3s&#10;p2g7DNhNkWXHgCwZkvLTt9lxz7G92CjaVtO/FUiBXRybIinyI/kxxye7RpAN16ZWch7ER1FAuGSq&#10;qGU1D77dnL/LAmIslQUVSvJ5cMtNcLJ4++Z42+Z8pFZKFFwTcCJNvm3nwcraNg9Dw1a8oeZItVzC&#10;Yal0Qy186iosNN2C90aEoyhKw63SRasV48aA9Kw7DBbovyw5s1/L0nBLxDyA2Cw+NT6X7hkujmle&#10;adquataHQQ+IoqG1hEu9qzNqKVnr+pGrpmZaGVXaI6aaUJVlzTjmANnE0YNsLrRat5hLlW+r1sME&#10;0D7A6WC37MvmUpO6mAeAZkAkbaBIeC8n8dTBs22rHLQudHvdXupeUHVfLuNdqRv3C7mQHQJ764Hl&#10;O0sYCOMkm2XgjjA4S6LZaDzqkGcrKI8zi+Ns5hTgfDwbJ5M4GRQ+Dj6maZaOoZ2cjzTLsmnqVMIh&#10;gtAF6uPattBP5g4y8zrIrle05VgJ48DwkMUDZOfizy/o2d8/cwIta2kF3U6gpC5EFwsYefhMbgDJ&#10;J7B7DgQP4z4Ek3SSdDB6CGjeamMvuGqIe4GUVcMvBbUudJrTzSdjO8gGPSeG7i/OayFIKWqYQAmR&#10;B0Qr+722K8wbqoP2lQF7tDCkVYBohGKcVX4qNNlQmLJl1WmLdfNZFZ0snUTQXXA1zW0tbS9MvdBQ&#10;63VjJ0ZlyMv7xkJXZv925/N1ESQJ+OjCOiiC2EXwuhBG40NCAGR8MUQtCXVsO0m6cIhhVHCYaGw+&#10;h7jgV0CEXeWHajskhXRPo0SNDYAfjnj/XczpUMxH9dnzBGfOOwzl0O34Zm8F726+4iXQjpv8p5qI&#10;MgZThAmgJ9B2ZiW0qTccv2zY6ztTjsvAG49eNvYWeLOS1hs3tVT6KQfCh1x2+gMCXd4OgqUqboE+&#10;tBWnqttJVLKVgpXErEZCc1pAXR1v/AcOGw0c9gMm/wa4Bph/9oC3iN19UFisns+eY7DZNJqlSOPQ&#10;jWk6Gnfj5RksScZpBApI4nE6TXHHQI2HNTIwU89gGhoXkX6GvKRy1OVa+36n2d1yh2stzYZUeuS3&#10;sOw9y/kquBqb9v3agj+clLta9b6xJLhkYBWD7N6u3/9G/bs/N4u/AAAA//8DAFBLAwQUAAYACAAA&#10;ACEAJIeNROEAAAALAQAADwAAAGRycy9kb3ducmV2LnhtbEyPwW7CMAyG75P2DpGRdoM0RWVQmiKE&#10;tp3QJGDStJtpTFvRJFUT2vL2C6ftaPvT7+/PNqNuWE+dq62RIGYRMDKFVbUpJXyd3qdLYM6jUdhY&#10;QxLu5GCTPz9lmCo7mAP1R1+yEGJcihIq79uUc1dUpNHNbEsm3C620+jD2JVcdTiEcN3wOIoWXGNt&#10;wocKW9pVVFyPNy3hY8BhOxdv/f562d1/Tsnn916QlC+TcbsG5mn0fzA89IM65MHpbG9GOdZImCZi&#10;FVAJyVzEwB7EMn4Fdg6bVbIAnmf8f4f8FwAA//8DAFBLAQItABQABgAIAAAAIQC2gziS/gAAAOEB&#10;AAATAAAAAAAAAAAAAAAAAAAAAABbQ29udGVudF9UeXBlc10ueG1sUEsBAi0AFAAGAAgAAAAhADj9&#10;If/WAAAAlAEAAAsAAAAAAAAAAAAAAAAALwEAAF9yZWxzLy5yZWxzUEsBAi0AFAAGAAgAAAAhAFi7&#10;wiplAwAAJAkAAA4AAAAAAAAAAAAAAAAALgIAAGRycy9lMm9Eb2MueG1sUEsBAi0AFAAGAAgAAAAh&#10;ACSHjUThAAAACwEAAA8AAAAAAAAAAAAAAAAAvwUAAGRycy9kb3ducmV2LnhtbFBLBQYAAAAABAAE&#10;APMAAADNBgAAAAA=&#10;">
                <v:shape id="Flèche : pentagone 201" o:spid="_x0000_s1099" type="#_x0000_t15" style="position:absolute;left:1189;top:39345;width:17686;height:5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AlgxQAAANwAAAAPAAAAZHJzL2Rvd25yZXYueG1sRI/BasMw&#10;EETvhfyD2EJvjWS3hOBGNiUk0FtbJzn0tlgb29haGUtxnL+vCoUch5l5w2yK2fZiotG3jjUkSwWC&#10;uHKm5VrD8bB/XoPwAdlg75g03MhDkS8eNpgZd+VvmspQiwhhn6GGJoQhk9JXDVn0SzcQR+/sRosh&#10;yrGWZsRrhNtepkqtpMWW40KDA20bqrryYjX8qKR7fUk/L+fh63bqDv20S8tJ66fH+f0NRKA53MP/&#10;7Q+jIVUJ/J2JR0DmvwAAAP//AwBQSwECLQAUAAYACAAAACEA2+H2y+4AAACFAQAAEwAAAAAAAAAA&#10;AAAAAAAAAAAAW0NvbnRlbnRfVHlwZXNdLnhtbFBLAQItABQABgAIAAAAIQBa9CxbvwAAABUBAAAL&#10;AAAAAAAAAAAAAAAAAB8BAABfcmVscy8ucmVsc1BLAQItABQABgAIAAAAIQCQkAlgxQAAANwAAAAP&#10;AAAAAAAAAAAAAAAAAAcCAABkcnMvZG93bnJldi54bWxQSwUGAAAAAAMAAwC3AAAA+QIAAAAA&#10;" adj="18147" fillcolor="#a5a5a5 [2092]" strokecolor="#bfbfbf [2412]" strokeweight=".5pt">
                  <v:fill color2="#a5a5a5 [2092]" rotate="t" colors="0 #cacaca;.5 #ddd;1 #eee" focus="100%" type="gradient"/>
                </v:shape>
                <v:shape id="ZoneTexte 19" o:spid="_x0000_s1100" type="#_x0000_t202" style="position:absolute;left:1970;top:40066;width:14437;height:61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b1lxAAAANwAAAAPAAAAZHJzL2Rvd25yZXYueG1sRI/dagIx&#10;FITvC75DOIJ3NXGxRVejiFXoXevPAxw2x826m5Nlk+q2T98UCl4OM/MNs1z3rhE36kLlWcNkrEAQ&#10;F95UXGo4n/bPMxAhIhtsPJOGbwqwXg2elpgbf+cD3Y6xFAnCIUcNNsY2lzIUlhyGsW+Jk3fxncOY&#10;ZFdK0+E9wV0jM6VepcOK04LFlraWivr45TTMlPuo63n2Gdz0Z/Jit29+1161Hg37zQJEpD4+wv/t&#10;d6MhUxn8nUlHQK5+AQAA//8DAFBLAQItABQABgAIAAAAIQDb4fbL7gAAAIUBAAATAAAAAAAAAAAA&#10;AAAAAAAAAABbQ29udGVudF9UeXBlc10ueG1sUEsBAi0AFAAGAAgAAAAhAFr0LFu/AAAAFQEAAAsA&#10;AAAAAAAAAAAAAAAAHwEAAF9yZWxzLy5yZWxzUEsBAi0AFAAGAAgAAAAhACHpvWXEAAAA3AAAAA8A&#10;AAAAAAAAAAAAAAAABwIAAGRycy9kb3ducmV2LnhtbFBLBQYAAAAAAwADALcAAAD4AgAAAAA=&#10;" filled="f" stroked="f">
                  <v:textbox style="mso-fit-shape-to-text:t">
                    <w:txbxContent>
                      <w:p w14:paraId="4D33BF6D" w14:textId="77777777" w:rsidR="00741BFF" w:rsidRDefault="00741BFF" w:rsidP="004B43AF">
                        <w:pPr>
                          <w:rPr>
                            <w:sz w:val="24"/>
                            <w:szCs w:val="24"/>
                          </w:rPr>
                        </w:pPr>
                        <w:r>
                          <w:rPr>
                            <w:rFonts w:cs="Arial"/>
                            <w:b/>
                            <w:bCs/>
                            <w:i/>
                            <w:iCs/>
                            <w:color w:val="595959" w:themeColor="text1" w:themeTint="A6"/>
                            <w:kern w:val="24"/>
                          </w:rPr>
                          <w:t xml:space="preserve">Sens de lecture </w:t>
                        </w:r>
                      </w:p>
                    </w:txbxContent>
                  </v:textbox>
                </v:shape>
                <w10:wrap anchorx="margin"/>
              </v:group>
            </w:pict>
          </mc:Fallback>
        </mc:AlternateContent>
      </w:r>
      <w:r w:rsidR="005F20DD" w:rsidRPr="005F20DD">
        <w:rPr>
          <w:noProof/>
        </w:rPr>
        <w:t xml:space="preserve"> </w:t>
      </w:r>
      <w:r w:rsidR="00B373DA" w:rsidRPr="00B373DA">
        <w:rPr>
          <w:noProof/>
        </w:rPr>
        <w:drawing>
          <wp:inline distT="0" distB="0" distL="0" distR="0" wp14:anchorId="0AFE24A6" wp14:editId="142D62AC">
            <wp:extent cx="9095361" cy="3845560"/>
            <wp:effectExtent l="0" t="0" r="0" b="2540"/>
            <wp:docPr id="113" name="Imag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9121567" cy="3856640"/>
                    </a:xfrm>
                    <a:prstGeom prst="rect">
                      <a:avLst/>
                    </a:prstGeom>
                  </pic:spPr>
                </pic:pic>
              </a:graphicData>
            </a:graphic>
          </wp:inline>
        </w:drawing>
      </w:r>
    </w:p>
    <w:p w14:paraId="13C38EF6" w14:textId="1BAC236A" w:rsidR="000F3090" w:rsidRDefault="000D17AE" w:rsidP="000F3090">
      <w:pPr>
        <w:pStyle w:val="ValrieN1"/>
        <w:ind w:left="0"/>
      </w:pPr>
      <w:r>
        <w:rPr>
          <w:noProof/>
        </w:rPr>
        <mc:AlternateContent>
          <mc:Choice Requires="wps">
            <w:drawing>
              <wp:anchor distT="0" distB="0" distL="114300" distR="114300" simplePos="0" relativeHeight="251859001" behindDoc="0" locked="0" layoutInCell="1" allowOverlap="1" wp14:anchorId="485FD105" wp14:editId="355DB8DE">
                <wp:simplePos x="0" y="0"/>
                <wp:positionH relativeFrom="column">
                  <wp:posOffset>1400607</wp:posOffset>
                </wp:positionH>
                <wp:positionV relativeFrom="paragraph">
                  <wp:posOffset>57785</wp:posOffset>
                </wp:positionV>
                <wp:extent cx="1095375" cy="590550"/>
                <wp:effectExtent l="0" t="0" r="28575" b="19050"/>
                <wp:wrapNone/>
                <wp:docPr id="216" name="Rectangle : coins arrondis 13"/>
                <wp:cNvGraphicFramePr/>
                <a:graphic xmlns:a="http://schemas.openxmlformats.org/drawingml/2006/main">
                  <a:graphicData uri="http://schemas.microsoft.com/office/word/2010/wordprocessingShape">
                    <wps:wsp>
                      <wps:cNvSpPr/>
                      <wps:spPr>
                        <a:xfrm>
                          <a:off x="0" y="0"/>
                          <a:ext cx="1095375" cy="590550"/>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06A44BDE" w14:textId="77777777" w:rsidR="00741BFF" w:rsidRPr="00A50150" w:rsidRDefault="00741BFF" w:rsidP="000F3090">
                            <w:pPr>
                              <w:jc w:val="center"/>
                              <w:rPr>
                                <w:sz w:val="18"/>
                                <w:szCs w:val="18"/>
                              </w:rPr>
                            </w:pPr>
                            <w:r w:rsidRPr="00A50150">
                              <w:rPr>
                                <w:rFonts w:cs="Arial"/>
                                <w:color w:val="FFFFFF" w:themeColor="light1"/>
                                <w:kern w:val="24"/>
                                <w:sz w:val="18"/>
                                <w:szCs w:val="18"/>
                              </w:rPr>
                              <w:t xml:space="preserve">Découpe, Désossage, Découennage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485FD105" id="_x0000_s1101" style="position:absolute;left:0;text-align:left;margin-left:110.3pt;margin-top:4.55pt;width:86.25pt;height:46.5pt;z-index:2518590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Q+YPwIAABUFAAAOAAAAZHJzL2Uyb0RvYy54bWysVEtu2zAQ3RfoHQjuG0k25NSC5aBIkG76&#10;CZL2ADRFWgRIjkrSlnybnqUn65CylPSDBgi6ocThzHszb4bcXA1Gk6NwXoGtaXGRUyIsh0bZfU2/&#10;frl985YSH5htmAYranoSnl5tX7/a9F0lFtCCboQjCGJ91Xc1bUPoqizzvBWG+QvohMVDCc6wgFu3&#10;zxrHekQ3Olvk+SrrwTWdAy68R+vNeEi3CV9KwcNnKb0IRNcUcwtpdWndxTXbbli1d6xrFT+nwV6Q&#10;hWHKIukMdcMCIwen/oAyijvwIMMFB5OBlIqLVANWU+S/VfPQsk6kWlAc380y+f8Hyz8d7xxRTU0X&#10;xYoSyww26R5lY3avxY/vFeGgrCfMObCN8qRYRs36zlcY+tDdufPO428UYJDOxC+WRoak82nWWQyB&#10;cDQW+bpcXpaUcDwr13lZpkZkj9Gd8+G9AEPiT00dHGwTs0oas+MHH5AW/Se/yOhBq+ZWaZ02cYDE&#10;tXbkyLD1YShSqD6Yj9CMtlWZ5+cBQDOOyWheTmaET2MYURLZLwTavoTzcgJn1VPOxWT+FyeeRdIs&#10;aj+qnf7CSYuYirb3QmIno76p1jn5sS7GubChiN1LSOgdwyQKNgcunw88+8dQke7XHLx4PniOSMxg&#10;wxxslAX3NwA9pyxH/0mBse4oQRh2Qxrh1XqazR00J5zrHi92Tf23A3OCEhf0NYzvALO8BXwGeBhJ&#10;Lbw7BJAqjVXEHAHOXHj3kmjndyJe7qf75PX4mm1/AgAA//8DAFBLAwQUAAYACAAAACEAlHjnBd4A&#10;AAAJAQAADwAAAGRycy9kb3ducmV2LnhtbEyPwU7DMAyG70i8Q2QkbixpBxXrmk4DCYkbrOzAMWu8&#10;ttA4VZN1hafHnOBm6//0+3OxmV0vJhxD50lDslAgkGpvO2o07N+ebu5BhGjImt4TavjCAJvy8qIw&#10;ufVn2uFUxUZwCYXcaGhjHHIpQ92iM2HhByTOjn50JvI6NtKO5szlrpepUpl0piO+0JoBH1usP6uT&#10;01A/z9n++/2us932Qz3Qy+t0WzVaX1/N2zWIiHP8g+FXn9WhZKeDP5ENoteQpipjVMMqAcH5crXk&#10;4cCgShOQZSH/f1D+AAAA//8DAFBLAQItABQABgAIAAAAIQC2gziS/gAAAOEBAAATAAAAAAAAAAAA&#10;AAAAAAAAAABbQ29udGVudF9UeXBlc10ueG1sUEsBAi0AFAAGAAgAAAAhADj9If/WAAAAlAEAAAsA&#10;AAAAAAAAAAAAAAAALwEAAF9yZWxzLy5yZWxzUEsBAi0AFAAGAAgAAAAhAO21D5g/AgAAFQUAAA4A&#10;AAAAAAAAAAAAAAAALgIAAGRycy9lMm9Eb2MueG1sUEsBAi0AFAAGAAgAAAAhAJR45wXeAAAACQEA&#10;AA8AAAAAAAAAAAAAAAAAmQQAAGRycy9kb3ducmV2LnhtbFBLBQYAAAAABAAEAPMAAACkBQAAAAA=&#10;" fillcolor="#5a5a5a [2109]" strokecolor="#404040 [2429]" strokeweight=".5pt">
                <v:stroke joinstyle="miter"/>
                <v:textbox>
                  <w:txbxContent>
                    <w:p w14:paraId="06A44BDE" w14:textId="77777777" w:rsidR="00741BFF" w:rsidRPr="00A50150" w:rsidRDefault="00741BFF" w:rsidP="000F3090">
                      <w:pPr>
                        <w:jc w:val="center"/>
                        <w:rPr>
                          <w:sz w:val="18"/>
                          <w:szCs w:val="18"/>
                        </w:rPr>
                      </w:pPr>
                      <w:r w:rsidRPr="00A50150">
                        <w:rPr>
                          <w:rFonts w:cs="Arial"/>
                          <w:color w:val="FFFFFF" w:themeColor="light1"/>
                          <w:kern w:val="24"/>
                          <w:sz w:val="18"/>
                          <w:szCs w:val="18"/>
                        </w:rPr>
                        <w:t xml:space="preserve">Découpe, Désossage, Découennage </w:t>
                      </w:r>
                    </w:p>
                  </w:txbxContent>
                </v:textbox>
              </v:roundrect>
            </w:pict>
          </mc:Fallback>
        </mc:AlternateContent>
      </w:r>
      <w:r w:rsidR="00237F95">
        <w:rPr>
          <w:noProof/>
        </w:rPr>
        <mc:AlternateContent>
          <mc:Choice Requires="wps">
            <w:drawing>
              <wp:anchor distT="0" distB="0" distL="114300" distR="114300" simplePos="0" relativeHeight="251861049" behindDoc="0" locked="0" layoutInCell="1" allowOverlap="1" wp14:anchorId="6BD978D0" wp14:editId="4CDDE0A2">
                <wp:simplePos x="0" y="0"/>
                <wp:positionH relativeFrom="column">
                  <wp:posOffset>3568862</wp:posOffset>
                </wp:positionH>
                <wp:positionV relativeFrom="paragraph">
                  <wp:posOffset>11727</wp:posOffset>
                </wp:positionV>
                <wp:extent cx="1985253" cy="710673"/>
                <wp:effectExtent l="0" t="0" r="15240" b="13335"/>
                <wp:wrapNone/>
                <wp:docPr id="215" name="Rectangle : coins arrondis 28"/>
                <wp:cNvGraphicFramePr/>
                <a:graphic xmlns:a="http://schemas.openxmlformats.org/drawingml/2006/main">
                  <a:graphicData uri="http://schemas.microsoft.com/office/word/2010/wordprocessingShape">
                    <wps:wsp>
                      <wps:cNvSpPr/>
                      <wps:spPr>
                        <a:xfrm>
                          <a:off x="0" y="0"/>
                          <a:ext cx="1985253" cy="710673"/>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6CD82459"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Piéçage viande</w:t>
                            </w:r>
                          </w:p>
                          <w:p w14:paraId="3AF7624B"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Et salage séchage, </w:t>
                            </w:r>
                          </w:p>
                          <w:p w14:paraId="3F82A9BE"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saumurage, fumage </w:t>
                            </w:r>
                          </w:p>
                          <w:p w14:paraId="12B6B757" w14:textId="77777777" w:rsidR="00741BFF" w:rsidRPr="00A50150" w:rsidRDefault="00741BFF" w:rsidP="000F3090">
                            <w:pPr>
                              <w:jc w:val="center"/>
                              <w:rPr>
                                <w:sz w:val="18"/>
                                <w:szCs w:val="18"/>
                              </w:rPr>
                            </w:pPr>
                            <w:r w:rsidRPr="00A50150">
                              <w:rPr>
                                <w:rFonts w:cs="Arial"/>
                                <w:color w:val="FFFFFF" w:themeColor="light1"/>
                                <w:kern w:val="24"/>
                                <w:sz w:val="18"/>
                                <w:szCs w:val="18"/>
                              </w:rPr>
                              <w:t>Cuisson, moulage, maturation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6BD978D0" id="_x0000_s1102" style="position:absolute;left:0;text-align:left;margin-left:281pt;margin-top:.9pt;width:156.3pt;height:55.95pt;z-index:2518610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fmaPAIAABUFAAAOAAAAZHJzL2Uyb0RvYy54bWysVNtuGyEQfa/Uf0C813uxbKcrr6MqUfrS&#10;S5S0H4BZ8CIBswVsr/+m39Iv68Cu1+lFjRT1hcsw58zMYWB93RtNDsJ5BbamxSynRFgOjbK7mn79&#10;cvfmihIfmG2YBitqehKeXm9ev1ofu0qU0IJuhCNIYn117GrahtBVWeZ5KwzzM+iExUMJzrCAW7fL&#10;GseOyG50Vub5MjuCazoHXHiP1tvhkG4Sv5SCh89SehGIrinmFtLo0riNY7ZZs2rnWNcqPqbBXpCF&#10;Ycpi0InqlgVG9k79QWUUd+BBhhkHk4GUiotUA1ZT5L9V89iyTqRaUBzfTTL5/0fLPx3uHVFNTcti&#10;QYllBi/pAWVjdqfFj+8V4aCsJ8w5sI3ypLyKmh07XyH0sbt3487jMgrQS2fijKWRPul8mnQWfSAc&#10;jcXbq0W5mFPC8WxV5MvVPJJmF3TnfHgvwJC4qKmDvW1iVkljdvjgw+B/9osRPWjV3Cmt0yY2kLjR&#10;jhwYXn3oiwTVe/MRmsG2XOT52ABoxjYZzPOzGdNJbRhZUnK/BND2JTFXZ3JWPY1Zns3/iolnMWgW&#10;tR/UTqtw0iKmou2DkHiTUd9U65T8UBfjXNhQjEIn7wiTKNgEnD8PHP0jVKT3NYHL58ETIkUGGyaw&#10;URbc3wj0lLIc/M8KDHVHCUK/7VMLr9J1RtMWmhP29REfdk39tz1zghIX9A0M/wCzvAX8BngYglp4&#10;tw8gVWqrC8EYC99eaoDxn4iP++k+eV1+s81PAAAA//8DAFBLAwQUAAYACAAAACEAbsMZK94AAAAJ&#10;AQAADwAAAGRycy9kb3ducmV2LnhtbEyPQU/CQBCF7yb+h82QeJMtCIXUbgmamHhDKgePS3dsV7qz&#10;TXcplV/veNLjy5u8+b58M7pWDNgH60nBbJqAQKq8sVQrOLy/3K9BhKjJ6NYTKvjGAJvi9ibXmfEX&#10;2uNQxlrwCIVMK2hi7DIpQ9Wg02HqOyTuPn3vdOTY19L0+sLjrpXzJEml05b4Q6M7fG6wOpVnp6B6&#10;HdPD9WNpjd1+JU+0exsWZa3U3WTcPoKIOMa/Y/jFZ3QomOnoz2SCaBUs0zm7RC7YgPv1apGCOHKe&#10;PaxAFrn8b1D8AAAA//8DAFBLAQItABQABgAIAAAAIQC2gziS/gAAAOEBAAATAAAAAAAAAAAAAAAA&#10;AAAAAABbQ29udGVudF9UeXBlc10ueG1sUEsBAi0AFAAGAAgAAAAhADj9If/WAAAAlAEAAAsAAAAA&#10;AAAAAAAAAAAALwEAAF9yZWxzLy5yZWxzUEsBAi0AFAAGAAgAAAAhAGwd+Zo8AgAAFQUAAA4AAAAA&#10;AAAAAAAAAAAALgIAAGRycy9lMm9Eb2MueG1sUEsBAi0AFAAGAAgAAAAhAG7DGSveAAAACQEAAA8A&#10;AAAAAAAAAAAAAAAAlgQAAGRycy9kb3ducmV2LnhtbFBLBQYAAAAABAAEAPMAAAChBQAAAAA=&#10;" fillcolor="#5a5a5a [2109]" strokecolor="#404040 [2429]" strokeweight=".5pt">
                <v:stroke joinstyle="miter"/>
                <v:textbox>
                  <w:txbxContent>
                    <w:p w14:paraId="6CD82459"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Piéçage viande</w:t>
                      </w:r>
                    </w:p>
                    <w:p w14:paraId="3AF7624B"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Et salage séchage, </w:t>
                      </w:r>
                    </w:p>
                    <w:p w14:paraId="3F82A9BE"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saumurage, fumage </w:t>
                      </w:r>
                    </w:p>
                    <w:p w14:paraId="12B6B757" w14:textId="77777777" w:rsidR="00741BFF" w:rsidRPr="00A50150" w:rsidRDefault="00741BFF" w:rsidP="000F3090">
                      <w:pPr>
                        <w:jc w:val="center"/>
                        <w:rPr>
                          <w:sz w:val="18"/>
                          <w:szCs w:val="18"/>
                        </w:rPr>
                      </w:pPr>
                      <w:r w:rsidRPr="00A50150">
                        <w:rPr>
                          <w:rFonts w:cs="Arial"/>
                          <w:color w:val="FFFFFF" w:themeColor="light1"/>
                          <w:kern w:val="24"/>
                          <w:sz w:val="18"/>
                          <w:szCs w:val="18"/>
                        </w:rPr>
                        <w:t>Cuisson, moulage, maturation</w:t>
                      </w:r>
                    </w:p>
                  </w:txbxContent>
                </v:textbox>
              </v:roundrect>
            </w:pict>
          </mc:Fallback>
        </mc:AlternateContent>
      </w:r>
      <w:r w:rsidR="000F3090">
        <w:rPr>
          <w:noProof/>
        </w:rPr>
        <mc:AlternateContent>
          <mc:Choice Requires="wps">
            <w:drawing>
              <wp:anchor distT="0" distB="0" distL="114300" distR="114300" simplePos="0" relativeHeight="251862073" behindDoc="0" locked="0" layoutInCell="1" allowOverlap="1" wp14:anchorId="50502C16" wp14:editId="78688619">
                <wp:simplePos x="0" y="0"/>
                <wp:positionH relativeFrom="margin">
                  <wp:posOffset>7039610</wp:posOffset>
                </wp:positionH>
                <wp:positionV relativeFrom="paragraph">
                  <wp:posOffset>13970</wp:posOffset>
                </wp:positionV>
                <wp:extent cx="1314450" cy="666750"/>
                <wp:effectExtent l="0" t="0" r="19050" b="19050"/>
                <wp:wrapNone/>
                <wp:docPr id="214" name="Rectangle : coins arrondis 9"/>
                <wp:cNvGraphicFramePr/>
                <a:graphic xmlns:a="http://schemas.openxmlformats.org/drawingml/2006/main">
                  <a:graphicData uri="http://schemas.microsoft.com/office/word/2010/wordprocessingShape">
                    <wps:wsp>
                      <wps:cNvSpPr/>
                      <wps:spPr>
                        <a:xfrm>
                          <a:off x="0" y="0"/>
                          <a:ext cx="1314450" cy="666750"/>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76B08480" w14:textId="77777777" w:rsidR="00741BFF" w:rsidRPr="00A50150" w:rsidRDefault="00741BFF" w:rsidP="000F3090">
                            <w:pPr>
                              <w:jc w:val="center"/>
                              <w:rPr>
                                <w:sz w:val="20"/>
                                <w:szCs w:val="20"/>
                              </w:rPr>
                            </w:pPr>
                            <w:r w:rsidRPr="00A06B55">
                              <w:rPr>
                                <w:rFonts w:asciiTheme="minorHAnsi" w:hAnsi="Calibri"/>
                                <w:color w:val="FFFFFF" w:themeColor="light1"/>
                                <w:kern w:val="24"/>
                                <w:sz w:val="20"/>
                                <w:szCs w:val="20"/>
                              </w:rPr>
                              <w:t xml:space="preserve"> </w:t>
                            </w:r>
                            <w:r w:rsidRPr="00A50150">
                              <w:rPr>
                                <w:rFonts w:cs="Arial"/>
                                <w:color w:val="FFFFFF" w:themeColor="light1"/>
                                <w:kern w:val="24"/>
                                <w:sz w:val="20"/>
                                <w:szCs w:val="20"/>
                              </w:rPr>
                              <w:t xml:space="preserve">Tranchage, Assemblage, Conditionnement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50502C16" id="_x0000_s1103" style="position:absolute;left:0;text-align:left;margin-left:554.3pt;margin-top:1.1pt;width:103.5pt;height:52.5pt;z-index:2518620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UISOQIAABQFAAAOAAAAZHJzL2Uyb0RvYy54bWysVEtu2zAQ3RfoHQjua0m246SC5aBIkG76&#10;CZL2ADRFWgRIjkrSlnybnqUn65CS5X6CBgi6kcjhvJl5b4ZcX/dGk4NwXoGtaDHLKRGWQ63srqJf&#10;v9y9uaLEB2ZrpsGKih6Fp9eb16/WXVuKOTSga+EIBrG+7NqKNiG0ZZZ53gjD/AxaYfFQgjMs4Nbt&#10;stqxDqMbnc3zfJV14OrWARfeo/V2OKSbFF9KwcNnKb0IRFcUawvp69J3G7/ZZs3KnWNto/hYBntB&#10;FYYpi0mnULcsMLJ36q9QRnEHHmSYcTAZSKm4SByQTZH/weaxYa1IXFAc304y+f8Xln863Dui6orO&#10;iyUllhls0gPKxuxOix/fS8JBWU+Yc2Br5cnbKFnX+hKRj+29G3cel5F/L52Jf2RG+iTzcZJZ9IFw&#10;NBaLYrm8wG5wPFutVpe4xjDZGd06H94LMCQuKupgb+tYVJKYHT74MPif/GJGD1rVd0rrtInzI260&#10;IweGnQ99kaB6bz5CPdhWF3k+9h/NOCWDeXEyYzlpCmOUVNxvCbR9SU5k+lTO+cn8r5x4FpNmUftB&#10;7bQKRy1iKdo+CImNjPomrlPxAy/GubChGIVO3hEmUbAJuHgeOPpHqEjXawLPnwdPiJQZbJjARllw&#10;TwXQU8ly8D8pMPCOEoR+26cJvkzsomkL9RHHusN7XVH/bc+coMQFfQPDM8AsbwBfAR6GpBbe7QNI&#10;lcbqHGDMhVcvDcD4TMS7/es+eZ0fs81PAAAA//8DAFBLAwQUAAYACAAAACEADvBrld8AAAALAQAA&#10;DwAAAGRycy9kb3ducmV2LnhtbEyPQU/DMAyF70j8h8hI3FjSwsrUNZ0GEhI3oOywY9aYttA4VZN1&#10;hV+Pd4Kbn/30/L1iM7teTDiGzpOGZKFAINXedtRo2L0/3axAhGjImt4TavjGAJvy8qIwufUnesOp&#10;io3gEAq50dDGOORShrpFZ8LCD0h8+/CjM5Hl2Eg7mhOHu16mSmXSmY74Q2sGfGyx/qqOTkP9PGe7&#10;n/2ys932Uz3Qy+t0VzVaX1/N2zWIiHP8M8MZn9GhZKaDP5INomedqFXGXg1pCuJsuE2WvDjwpO5T&#10;kGUh/3cofwEAAP//AwBQSwECLQAUAAYACAAAACEAtoM4kv4AAADhAQAAEwAAAAAAAAAAAAAAAAAA&#10;AAAAW0NvbnRlbnRfVHlwZXNdLnhtbFBLAQItABQABgAIAAAAIQA4/SH/1gAAAJQBAAALAAAAAAAA&#10;AAAAAAAAAC8BAABfcmVscy8ucmVsc1BLAQItABQABgAIAAAAIQC5IUISOQIAABQFAAAOAAAAAAAA&#10;AAAAAAAAAC4CAABkcnMvZTJvRG9jLnhtbFBLAQItABQABgAIAAAAIQAO8GuV3wAAAAsBAAAPAAAA&#10;AAAAAAAAAAAAAJMEAABkcnMvZG93bnJldi54bWxQSwUGAAAAAAQABADzAAAAnwUAAAAA&#10;" fillcolor="#5a5a5a [2109]" strokecolor="#404040 [2429]" strokeweight=".5pt">
                <v:stroke joinstyle="miter"/>
                <v:textbox>
                  <w:txbxContent>
                    <w:p w14:paraId="76B08480" w14:textId="77777777" w:rsidR="00741BFF" w:rsidRPr="00A50150" w:rsidRDefault="00741BFF" w:rsidP="000F3090">
                      <w:pPr>
                        <w:jc w:val="center"/>
                        <w:rPr>
                          <w:sz w:val="20"/>
                          <w:szCs w:val="20"/>
                        </w:rPr>
                      </w:pPr>
                      <w:r w:rsidRPr="00A06B55">
                        <w:rPr>
                          <w:rFonts w:asciiTheme="minorHAnsi" w:hAnsi="Calibri"/>
                          <w:color w:val="FFFFFF" w:themeColor="light1"/>
                          <w:kern w:val="24"/>
                          <w:sz w:val="20"/>
                          <w:szCs w:val="20"/>
                        </w:rPr>
                        <w:t xml:space="preserve"> </w:t>
                      </w:r>
                      <w:r w:rsidRPr="00A50150">
                        <w:rPr>
                          <w:rFonts w:cs="Arial"/>
                          <w:color w:val="FFFFFF" w:themeColor="light1"/>
                          <w:kern w:val="24"/>
                          <w:sz w:val="20"/>
                          <w:szCs w:val="20"/>
                        </w:rPr>
                        <w:t xml:space="preserve">Tranchage, Assemblage, Conditionnement </w:t>
                      </w:r>
                    </w:p>
                  </w:txbxContent>
                </v:textbox>
                <w10:wrap anchorx="margin"/>
              </v:roundrect>
            </w:pict>
          </mc:Fallback>
        </mc:AlternateContent>
      </w:r>
      <w:r w:rsidR="000F3090">
        <w:rPr>
          <w:noProof/>
        </w:rPr>
        <mc:AlternateContent>
          <mc:Choice Requires="wps">
            <w:drawing>
              <wp:anchor distT="0" distB="0" distL="114300" distR="114300" simplePos="0" relativeHeight="251857977" behindDoc="0" locked="0" layoutInCell="1" allowOverlap="1" wp14:anchorId="75A7B1EE" wp14:editId="3D61EE26">
                <wp:simplePos x="0" y="0"/>
                <wp:positionH relativeFrom="column">
                  <wp:posOffset>52070</wp:posOffset>
                </wp:positionH>
                <wp:positionV relativeFrom="paragraph">
                  <wp:posOffset>4894607</wp:posOffset>
                </wp:positionV>
                <wp:extent cx="1900052" cy="249110"/>
                <wp:effectExtent l="0" t="0" r="0" b="0"/>
                <wp:wrapNone/>
                <wp:docPr id="198" name="ZoneTexte 10"/>
                <wp:cNvGraphicFramePr/>
                <a:graphic xmlns:a="http://schemas.openxmlformats.org/drawingml/2006/main">
                  <a:graphicData uri="http://schemas.microsoft.com/office/word/2010/wordprocessingShape">
                    <wps:wsp>
                      <wps:cNvSpPr txBox="1"/>
                      <wps:spPr>
                        <a:xfrm>
                          <a:off x="0" y="0"/>
                          <a:ext cx="1900052" cy="249110"/>
                        </a:xfrm>
                        <a:prstGeom prst="rect">
                          <a:avLst/>
                        </a:prstGeom>
                        <a:noFill/>
                      </wps:spPr>
                      <wps:txbx>
                        <w:txbxContent>
                          <w:p w14:paraId="67FF2D28" w14:textId="77777777" w:rsidR="00741BFF" w:rsidRPr="00713036" w:rsidRDefault="00741BFF" w:rsidP="000F3090">
                            <w:pPr>
                              <w:rPr>
                                <w:sz w:val="20"/>
                                <w:szCs w:val="20"/>
                              </w:rPr>
                            </w:pPr>
                            <w:r w:rsidRPr="004A6317">
                              <w:rPr>
                                <w:rFonts w:cs="Arial"/>
                                <w:i/>
                                <w:iCs/>
                                <w:color w:val="000000" w:themeColor="text1"/>
                                <w:kern w:val="24"/>
                                <w:sz w:val="20"/>
                                <w:szCs w:val="20"/>
                                <w:u w:val="single"/>
                              </w:rPr>
                              <w:t>Données exprimées (</w:t>
                            </w:r>
                            <w:r>
                              <w:rPr>
                                <w:rFonts w:cs="Arial"/>
                                <w:i/>
                                <w:iCs/>
                                <w:color w:val="000000" w:themeColor="text1"/>
                                <w:kern w:val="24"/>
                                <w:sz w:val="20"/>
                                <w:szCs w:val="20"/>
                                <w:u w:val="single"/>
                              </w:rPr>
                              <w:t>k</w:t>
                            </w:r>
                            <w:r w:rsidRPr="004A6317">
                              <w:rPr>
                                <w:rFonts w:cs="Arial"/>
                                <w:i/>
                                <w:iCs/>
                                <w:color w:val="000000" w:themeColor="text1"/>
                                <w:kern w:val="24"/>
                                <w:sz w:val="20"/>
                                <w:szCs w:val="20"/>
                                <w:u w:val="single"/>
                              </w:rPr>
                              <w:t>T</w:t>
                            </w:r>
                            <w:r w:rsidRPr="00713036">
                              <w:rPr>
                                <w:rFonts w:cs="Arial"/>
                                <w:i/>
                                <w:iCs/>
                                <w:color w:val="000000" w:themeColor="text1"/>
                                <w:kern w:val="24"/>
                                <w:sz w:val="20"/>
                                <w:szCs w:val="20"/>
                                <w:u w:val="single"/>
                              </w:rPr>
                              <w:t>)</w:t>
                            </w:r>
                          </w:p>
                          <w:p w14:paraId="4374497F" w14:textId="77777777" w:rsidR="00741BFF" w:rsidRPr="00713036" w:rsidRDefault="00741BFF" w:rsidP="000F3090">
                            <w:pPr>
                              <w:rPr>
                                <w:sz w:val="20"/>
                                <w:szCs w:val="20"/>
                              </w:rPr>
                            </w:pPr>
                            <w:r w:rsidRPr="00713036">
                              <w:rPr>
                                <w:rFonts w:cs="Arial"/>
                                <w:color w:val="000000" w:themeColor="text1"/>
                                <w:kern w:val="24"/>
                                <w:sz w:val="20"/>
                                <w:szCs w:val="20"/>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75A7B1EE" id="_x0000_s1104" type="#_x0000_t202" style="position:absolute;left:0;text-align:left;margin-left:4.1pt;margin-top:385.4pt;width:149.6pt;height:19.6pt;z-index:2518579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QpKmgEAABoDAAAOAAAAZHJzL2Uyb0RvYy54bWysUk1v2zAMvQ/YfxB0X+wY+4oRp9hWdJdh&#10;G9D20psiS7EAS9RIJXb+/SglTYbtNvSiD5J65HtP65vZj+JgkByETi4XtRQmaOhd2HXy8eHuzUcp&#10;KKnQqxGC6eTRkLzZvH61nmJrGhhg7A0KBgnUTrGTQ0qxrSrSg/GKFhBN4KQF9CrxFXdVj2pidD9W&#10;TV2/rybAPiJoQ8TR21NSbgq+tUanH9aSSWLsJM+Wyopl3ea12qxVu0MVB6fPY6j/mMIrF7jpBepW&#10;JSX26P6B8k4jENi00OArsNZpUzgwm2X9F5v7QUVTuLA4FC8y0cvB6u+Hnyhcz96t2KqgPJv0xFY9&#10;mDkZsSwKTZFaLryPXJrmzzBzdVYux4mDmfhs0eedKQnOs9bHi74MJXR+tKrr+l0jheZc83a1PMFX&#10;19cRKX014EU+dBLZvyKrOnyjxB259LkkNwtw58Yxx6+j5FOat3Mh9aF5nnML/ZHHn9jqTtKvvUIj&#10;BabxC5SfcUL7tE9gXWmUYU5vzuhsQOl//izZ4T/vper6pTe/AQAA//8DAFBLAwQUAAYACAAAACEA&#10;unAMjNwAAAAJAQAADwAAAGRycy9kb3ducmV2LnhtbEyPwU7DMBBE70j8g7VI3Ki3pZAS4lQIxBVE&#10;gUq9ufE2iYjXUew24e9ZTnBcvdHsm2I9+U6daIhtYAPzGYIiroJruTbw8f58tQIVk2Vnu8Bk4Jsi&#10;rMvzs8LmLoz8RqdNqpWUcMytgSalPtc6Vg15G2ehJxZ2CIO3Sc6h1m6wo5T7Ti8Qb7W3LcuHxvb0&#10;2FD1tTl6A58vh912ia/1k7/pxzChZn+njbm8mB7uQSWa0l8YfvVFHUpx2ocju6g6A6uFBA1kGcoC&#10;4deYLUHtBcwRQZeF/r+g/AEAAP//AwBQSwECLQAUAAYACAAAACEAtoM4kv4AAADhAQAAEwAAAAAA&#10;AAAAAAAAAAAAAAAAW0NvbnRlbnRfVHlwZXNdLnhtbFBLAQItABQABgAIAAAAIQA4/SH/1gAAAJQB&#10;AAALAAAAAAAAAAAAAAAAAC8BAABfcmVscy8ucmVsc1BLAQItABQABgAIAAAAIQCN3QpKmgEAABoD&#10;AAAOAAAAAAAAAAAAAAAAAC4CAABkcnMvZTJvRG9jLnhtbFBLAQItABQABgAIAAAAIQC6cAyM3AAA&#10;AAkBAAAPAAAAAAAAAAAAAAAAAPQDAABkcnMvZG93bnJldi54bWxQSwUGAAAAAAQABADzAAAA/QQA&#10;AAAA&#10;" filled="f" stroked="f">
                <v:textbox>
                  <w:txbxContent>
                    <w:p w14:paraId="67FF2D28" w14:textId="77777777" w:rsidR="00741BFF" w:rsidRPr="00713036" w:rsidRDefault="00741BFF" w:rsidP="000F3090">
                      <w:pPr>
                        <w:rPr>
                          <w:sz w:val="20"/>
                          <w:szCs w:val="20"/>
                        </w:rPr>
                      </w:pPr>
                      <w:r w:rsidRPr="004A6317">
                        <w:rPr>
                          <w:rFonts w:cs="Arial"/>
                          <w:i/>
                          <w:iCs/>
                          <w:color w:val="000000" w:themeColor="text1"/>
                          <w:kern w:val="24"/>
                          <w:sz w:val="20"/>
                          <w:szCs w:val="20"/>
                          <w:u w:val="single"/>
                        </w:rPr>
                        <w:t>Données exprimées (</w:t>
                      </w:r>
                      <w:r>
                        <w:rPr>
                          <w:rFonts w:cs="Arial"/>
                          <w:i/>
                          <w:iCs/>
                          <w:color w:val="000000" w:themeColor="text1"/>
                          <w:kern w:val="24"/>
                          <w:sz w:val="20"/>
                          <w:szCs w:val="20"/>
                          <w:u w:val="single"/>
                        </w:rPr>
                        <w:t>k</w:t>
                      </w:r>
                      <w:r w:rsidRPr="004A6317">
                        <w:rPr>
                          <w:rFonts w:cs="Arial"/>
                          <w:i/>
                          <w:iCs/>
                          <w:color w:val="000000" w:themeColor="text1"/>
                          <w:kern w:val="24"/>
                          <w:sz w:val="20"/>
                          <w:szCs w:val="20"/>
                          <w:u w:val="single"/>
                        </w:rPr>
                        <w:t>T</w:t>
                      </w:r>
                      <w:r w:rsidRPr="00713036">
                        <w:rPr>
                          <w:rFonts w:cs="Arial"/>
                          <w:i/>
                          <w:iCs/>
                          <w:color w:val="000000" w:themeColor="text1"/>
                          <w:kern w:val="24"/>
                          <w:sz w:val="20"/>
                          <w:szCs w:val="20"/>
                          <w:u w:val="single"/>
                        </w:rPr>
                        <w:t>)</w:t>
                      </w:r>
                    </w:p>
                    <w:p w14:paraId="4374497F" w14:textId="77777777" w:rsidR="00741BFF" w:rsidRPr="00713036" w:rsidRDefault="00741BFF" w:rsidP="000F3090">
                      <w:pPr>
                        <w:rPr>
                          <w:sz w:val="20"/>
                          <w:szCs w:val="20"/>
                        </w:rPr>
                      </w:pPr>
                      <w:r w:rsidRPr="00713036">
                        <w:rPr>
                          <w:rFonts w:cs="Arial"/>
                          <w:color w:val="000000" w:themeColor="text1"/>
                          <w:kern w:val="24"/>
                          <w:sz w:val="20"/>
                          <w:szCs w:val="20"/>
                        </w:rPr>
                        <w:t xml:space="preserve"> </w:t>
                      </w:r>
                    </w:p>
                  </w:txbxContent>
                </v:textbox>
              </v:shape>
            </w:pict>
          </mc:Fallback>
        </mc:AlternateContent>
      </w:r>
      <w:r w:rsidR="000F3090">
        <w:rPr>
          <w:noProof/>
        </w:rPr>
        <mc:AlternateContent>
          <mc:Choice Requires="wps">
            <w:drawing>
              <wp:anchor distT="0" distB="0" distL="114300" distR="114300" simplePos="0" relativeHeight="251863097" behindDoc="0" locked="0" layoutInCell="1" allowOverlap="1" wp14:anchorId="70F9F6DA" wp14:editId="407FFB3D">
                <wp:simplePos x="0" y="0"/>
                <wp:positionH relativeFrom="column">
                  <wp:posOffset>11282789</wp:posOffset>
                </wp:positionH>
                <wp:positionV relativeFrom="paragraph">
                  <wp:posOffset>5127625</wp:posOffset>
                </wp:positionV>
                <wp:extent cx="749935" cy="245745"/>
                <wp:effectExtent l="0" t="0" r="0" b="0"/>
                <wp:wrapNone/>
                <wp:docPr id="199" name="ZoneTexte 45"/>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5F34718A" w14:textId="77777777" w:rsidR="00741BFF" w:rsidRDefault="00741BFF" w:rsidP="000F3090">
                            <w:pPr>
                              <w:rPr>
                                <w:sz w:val="24"/>
                                <w:szCs w:val="24"/>
                              </w:rPr>
                            </w:pPr>
                            <w:r>
                              <w:rPr>
                                <w:rFonts w:cs="Arial"/>
                                <w:i/>
                                <w:iCs/>
                                <w:color w:val="000000" w:themeColor="text1"/>
                                <w:kern w:val="24"/>
                                <w:sz w:val="20"/>
                                <w:szCs w:val="20"/>
                              </w:rPr>
                              <w:t>Total  164</w:t>
                            </w:r>
                          </w:p>
                        </w:txbxContent>
                      </wps:txbx>
                      <wps:bodyPr wrap="none" rtlCol="0">
                        <a:spAutoFit/>
                      </wps:bodyPr>
                    </wps:wsp>
                  </a:graphicData>
                </a:graphic>
              </wp:anchor>
            </w:drawing>
          </mc:Choice>
          <mc:Fallback>
            <w:pict>
              <v:shape w14:anchorId="70F9F6DA" id="_x0000_s1105" type="#_x0000_t202" style="position:absolute;left:0;text-align:left;margin-left:888.4pt;margin-top:403.75pt;width:59.05pt;height:19.35pt;z-index:25186309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CZWmAEAABcDAAAOAAAAZHJzL2Uyb0RvYy54bWysUstOwzAQvCPxD5bvNKW0lEZNEQ/BBQES&#10;cOHmOnZjKfZaXtOkf8/afYDghrj4sbuenZn1/LK3LVurgAZcxU8HQ86Uk1Abt6r42+vdyQVnGIWr&#10;RQtOVXyjkF8ujo/mnS/VCBpoaxUYgTgsO1/xJkZfFgXKRlmBA/DKUVJDsCLSNayKOoiO0G1bjIbD&#10;86KDUPsAUiFS9Hab5IuMr7WS8UlrVJG1FSduMa8hr8u0Fou5KFdB+MbIHQ3xBxZWGEdND1C3Igr2&#10;EcwvKGtkAAQdBxJsAVobqbIGUnM6/KHmpRFeZS1kDvqDTfh/sPJx/RyYqWl2sxlnTlga0juN6lX1&#10;UbHxJDnUeSyp8MVTaeyvoafqfRwpmIT3Oti0kyRGefJ6c/CXoJik4HQ8m51NOJOUGo0n0y168fXY&#10;B4z3CixLh4oHGl92VawfMBIRKt2XpF4O7kzbpnhiuGWSTrFf9lnT9GxPcwn1hth3NOmKO9LHWYjt&#10;DeRvkbDQX31EwsttEsj2xQ6b3M/ddz8ljff7PVd9/efFJwAAAP//AwBQSwMEFAAGAAgAAAAhANdo&#10;LSreAAAADQEAAA8AAABkcnMvZG93bnJldi54bWxMj8tOwzAQRfdI/IM1SOyo0yjNizgVKrAuFD7A&#10;jU0cEo+j2G0DX9/JCpZ35urMmWo724Gd9eQ7hwLWqwiYxsapDlsBnx+vDzkwHyQqOTjUAn60h219&#10;e1PJUrkLvuvzIbSMIOhLKcCEMJac+8ZoK/3KjRpp9+UmKwPFqeVqkheC24HHUZRyKzukC0aOemd0&#10;0x9OVkAe2X3fF/Gbt8nvemN2z+5l/Bbi/m5+egQW9Bz+yrDokzrU5HR0J1SeDZSzLCX3sNCyDbCl&#10;khdJAexIoySNgdcV//9FfQUAAP//AwBQSwECLQAUAAYACAAAACEAtoM4kv4AAADhAQAAEwAAAAAA&#10;AAAAAAAAAAAAAAAAW0NvbnRlbnRfVHlwZXNdLnhtbFBLAQItABQABgAIAAAAIQA4/SH/1gAAAJQB&#10;AAALAAAAAAAAAAAAAAAAAC8BAABfcmVscy8ucmVsc1BLAQItABQABgAIAAAAIQAOJCZWmAEAABcD&#10;AAAOAAAAAAAAAAAAAAAAAC4CAABkcnMvZTJvRG9jLnhtbFBLAQItABQABgAIAAAAIQDXaC0q3gAA&#10;AA0BAAAPAAAAAAAAAAAAAAAAAPIDAABkcnMvZG93bnJldi54bWxQSwUGAAAAAAQABADzAAAA/QQA&#10;AAAA&#10;" filled="f" stroked="f">
                <v:textbox style="mso-fit-shape-to-text:t">
                  <w:txbxContent>
                    <w:p w14:paraId="5F34718A" w14:textId="77777777" w:rsidR="00741BFF" w:rsidRDefault="00741BFF" w:rsidP="000F3090">
                      <w:pPr>
                        <w:rPr>
                          <w:sz w:val="24"/>
                          <w:szCs w:val="24"/>
                        </w:rPr>
                      </w:pPr>
                      <w:r>
                        <w:rPr>
                          <w:rFonts w:cs="Arial"/>
                          <w:i/>
                          <w:iCs/>
                          <w:color w:val="000000" w:themeColor="text1"/>
                          <w:kern w:val="24"/>
                          <w:sz w:val="20"/>
                          <w:szCs w:val="20"/>
                        </w:rPr>
                        <w:t>Total  164</w:t>
                      </w:r>
                    </w:p>
                  </w:txbxContent>
                </v:textbox>
              </v:shape>
            </w:pict>
          </mc:Fallback>
        </mc:AlternateContent>
      </w:r>
      <w:r w:rsidR="000F3090">
        <w:rPr>
          <w:noProof/>
        </w:rPr>
        <mc:AlternateContent>
          <mc:Choice Requires="wps">
            <w:drawing>
              <wp:anchor distT="0" distB="0" distL="114300" distR="114300" simplePos="0" relativeHeight="251860025" behindDoc="0" locked="0" layoutInCell="1" allowOverlap="1" wp14:anchorId="08D61853" wp14:editId="186FCE5E">
                <wp:simplePos x="0" y="0"/>
                <wp:positionH relativeFrom="column">
                  <wp:posOffset>58135</wp:posOffset>
                </wp:positionH>
                <wp:positionV relativeFrom="paragraph">
                  <wp:posOffset>3722479</wp:posOffset>
                </wp:positionV>
                <wp:extent cx="1116280" cy="890650"/>
                <wp:effectExtent l="0" t="0" r="0" b="0"/>
                <wp:wrapNone/>
                <wp:docPr id="203" name="ZoneTexte 27"/>
                <wp:cNvGraphicFramePr/>
                <a:graphic xmlns:a="http://schemas.openxmlformats.org/drawingml/2006/main">
                  <a:graphicData uri="http://schemas.microsoft.com/office/word/2010/wordprocessingShape">
                    <wps:wsp>
                      <wps:cNvSpPr txBox="1"/>
                      <wps:spPr>
                        <a:xfrm>
                          <a:off x="0" y="0"/>
                          <a:ext cx="1116280" cy="890650"/>
                        </a:xfrm>
                        <a:prstGeom prst="rect">
                          <a:avLst/>
                        </a:prstGeom>
                        <a:noFill/>
                      </wps:spPr>
                      <wps:txbx>
                        <w:txbxContent>
                          <w:p w14:paraId="79F4A441"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 xml:space="preserve">Total volumes à destination </w:t>
                            </w:r>
                          </w:p>
                          <w:p w14:paraId="394E4BBF"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Consommation</w:t>
                            </w:r>
                          </w:p>
                          <w:p w14:paraId="0BBCBB3A"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62675591"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08D61853" id="_x0000_s1106" type="#_x0000_t202" style="position:absolute;left:0;text-align:left;margin-left:4.6pt;margin-top:293.1pt;width:87.9pt;height:70.15pt;z-index:2518600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99pnQEAABoDAAAOAAAAZHJzL2Uyb0RvYy54bWysUstu2zAQvAfoPxC815KV1nEEy0HSIL0U&#10;SQCnl95oirQIiFxmSVvy32dJPxK0t6AXPnaXszM7XNyMtmc7hcGAa/h0UnKmnITWuE3Df788fJ1z&#10;FqJwrejBqYbvVeA3yy8Xi8HXqoIO+lYhIxAX6sE3vIvR10URZKesCBPwylFSA1oR6YqbokUxELrt&#10;i6osZ8UA2HoEqUKg6P0hyZcZX2sl45PWQUXWN5y4xbxiXtdpLZYLUW9Q+M7IIw3xCRZWGEdNz1D3&#10;Igq2RfMPlDUSIYCOEwm2AK2NVFkDqZmWf6lZdcKrrIWGE/x5TOH/wcrH3TMy0za8Ki85c8KSSX/I&#10;qhc1RsWqqzShwYeaCleeSuN4ByM5fYoHCibho0abdpLEKE+z3p/nS1BMpkfT6ayaU0pSbn5dzr5n&#10;A4r31x5D/KnAsnRoOJJ/eaxi9ytEYkKlp5LUzMGD6fsUTxQPVNIpjusxi7r6duK5hnZP9AeyuuHh&#10;dStQcYax/wH5ZxzQbrcRtMmNEszhzRGdDMj9j58lOfzxnqvev/TyDQAA//8DAFBLAwQUAAYACAAA&#10;ACEAGbwzLt0AAAAJAQAADwAAAGRycy9kb3ducmV2LnhtbEyPzU7DMBCE70i8g7VI3KhNREIasqkQ&#10;iCuI8iNxc5NtEhGvo9htwtuzPcFtRzOa/abcLG5QR5pC7xnhemVAEde+6blFeH97uspBhWi5sYNn&#10;QvihAJvq/Ky0ReNnfqXjNrZKSjgUFqGLcSy0DnVHzoaVH4nF2/vJ2ShyanUz2VnK3aATYzLtbM/y&#10;obMjPXRUf28PDuHjef/1eWNe2keXjrNfjGa31oiXF8v9HahIS/wLwwlf0KESpp0/cBPUgLBOJIiQ&#10;5pkcJz9PZdsO4TbJUtBVqf8vqH4BAAD//wMAUEsBAi0AFAAGAAgAAAAhALaDOJL+AAAA4QEAABMA&#10;AAAAAAAAAAAAAAAAAAAAAFtDb250ZW50X1R5cGVzXS54bWxQSwECLQAUAAYACAAAACEAOP0h/9YA&#10;AACUAQAACwAAAAAAAAAAAAAAAAAvAQAAX3JlbHMvLnJlbHNQSwECLQAUAAYACAAAACEAXW/faZ0B&#10;AAAaAwAADgAAAAAAAAAAAAAAAAAuAgAAZHJzL2Uyb0RvYy54bWxQSwECLQAUAAYACAAAACEAGbwz&#10;Lt0AAAAJAQAADwAAAAAAAAAAAAAAAAD3AwAAZHJzL2Rvd25yZXYueG1sUEsFBgAAAAAEAAQA8wAA&#10;AAEFAAAAAA==&#10;" filled="f" stroked="f">
                <v:textbox>
                  <w:txbxContent>
                    <w:p w14:paraId="79F4A441"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 xml:space="preserve">Total volumes à destination </w:t>
                      </w:r>
                    </w:p>
                    <w:p w14:paraId="394E4BBF"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Consommation</w:t>
                      </w:r>
                    </w:p>
                    <w:p w14:paraId="0BBCBB3A"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62675591"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v:textbox>
              </v:shape>
            </w:pict>
          </mc:Fallback>
        </mc:AlternateContent>
      </w:r>
      <w:r w:rsidR="000F3090">
        <w:rPr>
          <w:noProof/>
        </w:rPr>
        <mc:AlternateContent>
          <mc:Choice Requires="wps">
            <w:drawing>
              <wp:anchor distT="0" distB="0" distL="114300" distR="114300" simplePos="0" relativeHeight="251854905" behindDoc="0" locked="0" layoutInCell="1" allowOverlap="1" wp14:anchorId="144CB80E" wp14:editId="5E3DA4A3">
                <wp:simplePos x="0" y="0"/>
                <wp:positionH relativeFrom="column">
                  <wp:posOffset>203835</wp:posOffset>
                </wp:positionH>
                <wp:positionV relativeFrom="paragraph">
                  <wp:posOffset>5382895</wp:posOffset>
                </wp:positionV>
                <wp:extent cx="1238026" cy="365125"/>
                <wp:effectExtent l="0" t="0" r="0" b="0"/>
                <wp:wrapNone/>
                <wp:docPr id="205" name="Espace réservé de la date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238026" cy="365125"/>
                        </a:xfrm>
                        <a:prstGeom prst="rect">
                          <a:avLst/>
                        </a:prstGeom>
                      </wps:spPr>
                      <wps:txbx>
                        <w:txbxContent>
                          <w:p w14:paraId="314A900A" w14:textId="77777777" w:rsidR="00741BFF" w:rsidRDefault="00741BFF" w:rsidP="000F3090">
                            <w:pPr>
                              <w:rPr>
                                <w:sz w:val="24"/>
                                <w:szCs w:val="24"/>
                              </w:rPr>
                            </w:pPr>
                            <w:r>
                              <w:rPr>
                                <w:rFonts w:asciiTheme="minorHAnsi" w:hAnsi="Calibri"/>
                                <w:color w:val="DDE0E3"/>
                                <w:kern w:val="24"/>
                                <w:sz w:val="32"/>
                                <w:szCs w:val="32"/>
                              </w:rPr>
                              <w:t>26/04/2021</w:t>
                            </w:r>
                          </w:p>
                        </w:txbxContent>
                      </wps:txbx>
                      <wps:bodyPr vert="horz" lIns="91440" tIns="45720" rIns="91440" bIns="45720" rtlCol="0" anchor="ctr"/>
                    </wps:wsp>
                  </a:graphicData>
                </a:graphic>
              </wp:anchor>
            </w:drawing>
          </mc:Choice>
          <mc:Fallback>
            <w:pict>
              <v:rect w14:anchorId="144CB80E" id="Espace réservé de la date 3" o:spid="_x0000_s1107" style="position:absolute;left:0;text-align:left;margin-left:16.05pt;margin-top:423.85pt;width:97.5pt;height:28.75pt;z-index:25185490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IlrwwEAAF4DAAAOAAAAZHJzL2Uyb0RvYy54bWysU0tu2zAQ3RfoHQjua338SSpYzqJpgwJB&#10;GyDpAcYUZQkVP5hhLbk3yjlysQ5px03aXdENoeEM37w3b7S+mswg9hqpd7aWxSyXQlvlmt7uavnt&#10;4dO7SykogG1gcFbX8qBJXm3evlmPvtKl69zQaBQMYqkafS27EHyVZaQ6bYBmzmvLydahgcAh7rIG&#10;YWR0M2Rlnq+y0WHj0SlNxLfXx6TcJPy21Sp8bVvSQQy1ZG4hnZjObTyzzRqqHYLvenWiAf/AwkBv&#10;uekZ6hoCiB/Y/wVleoWOXBtmypnMtW2vdNLAaor8DzX3HXidtPBwyJ/HRP8PVn3Z36Hom1qW+VIK&#10;C4ZN+kgelBb49Ega90+PotFiANFA0GIeRzZ6qvjlvb/DKJr8rVPfSVh3g+xhEUuyVzUxoFP11KKJ&#10;r1i8mJITh7MTegpC8WVRzi/zciWF4tx8tSzKZQKF6vm1Rwo32hkRP2qJ7HQyAPa3FGJ/qJ5LTmSO&#10;/SOTMG2npPkiocarrWsOPAjeZAbrHP6UYvhsedDvi8UiLk4KFsuLkgN8mdm+yoThgzuuGljFOLVU&#10;Ac/zYBMTs9PCxS15GSeiv3+LzS8AAAD//wMAUEsDBBQABgAIAAAAIQCsHPoQ3QAAAAoBAAAPAAAA&#10;ZHJzL2Rvd25yZXYueG1sTI/LTsMwEEX3SPyDNUjsqB3zSJvGqaCoG3YtSGyn8TSO8COK3TT8PWYF&#10;y5k5unNuvZmdZRONsQ9eQbEQwMi3Qfe+U/DxvrtbAosJvUYbPCn4pgib5vqqxkqHi9/TdEgdyyE+&#10;VqjApDRUnMfWkMO4CAP5fDuF0WHK49hxPeIlhzvLpRBP3GHv8weDA20NtV+Hs1Mwv3wiD9bQCbkT&#10;b9OueC22Vqnbm/l5DSzRnP5g+NXP6tBkp2M4ex2ZVXAvi0wqWD6UJbAMSFnmzVHBSjxK4E3N/1do&#10;fgAAAP//AwBQSwECLQAUAAYACAAAACEAtoM4kv4AAADhAQAAEwAAAAAAAAAAAAAAAAAAAAAAW0Nv&#10;bnRlbnRfVHlwZXNdLnhtbFBLAQItABQABgAIAAAAIQA4/SH/1gAAAJQBAAALAAAAAAAAAAAAAAAA&#10;AC8BAABfcmVscy8ucmVsc1BLAQItABQABgAIAAAAIQDg1IlrwwEAAF4DAAAOAAAAAAAAAAAAAAAA&#10;AC4CAABkcnMvZTJvRG9jLnhtbFBLAQItABQABgAIAAAAIQCsHPoQ3QAAAAoBAAAPAAAAAAAAAAAA&#10;AAAAAB0EAABkcnMvZG93bnJldi54bWxQSwUGAAAAAAQABADzAAAAJwUAAAAA&#10;" filled="f" stroked="f">
                <o:lock v:ext="edit" grouping="t"/>
                <v:textbox>
                  <w:txbxContent>
                    <w:p w14:paraId="314A900A" w14:textId="77777777" w:rsidR="00741BFF" w:rsidRDefault="00741BFF" w:rsidP="000F3090">
                      <w:pPr>
                        <w:rPr>
                          <w:sz w:val="24"/>
                          <w:szCs w:val="24"/>
                        </w:rPr>
                      </w:pPr>
                      <w:r>
                        <w:rPr>
                          <w:rFonts w:asciiTheme="minorHAnsi" w:hAnsi="Calibri"/>
                          <w:color w:val="DDE0E3"/>
                          <w:kern w:val="24"/>
                          <w:sz w:val="32"/>
                          <w:szCs w:val="32"/>
                        </w:rPr>
                        <w:t>26/04/2021</w:t>
                      </w:r>
                    </w:p>
                  </w:txbxContent>
                </v:textbox>
              </v:rect>
            </w:pict>
          </mc:Fallback>
        </mc:AlternateContent>
      </w:r>
      <w:r w:rsidR="000F3090">
        <w:rPr>
          <w:noProof/>
        </w:rPr>
        <mc:AlternateContent>
          <mc:Choice Requires="wps">
            <w:drawing>
              <wp:anchor distT="0" distB="0" distL="114300" distR="114300" simplePos="0" relativeHeight="251855929" behindDoc="0" locked="0" layoutInCell="1" allowOverlap="1" wp14:anchorId="7DE1D9DA" wp14:editId="5C6F7BD3">
                <wp:simplePos x="0" y="0"/>
                <wp:positionH relativeFrom="column">
                  <wp:posOffset>9997440</wp:posOffset>
                </wp:positionH>
                <wp:positionV relativeFrom="paragraph">
                  <wp:posOffset>5382895</wp:posOffset>
                </wp:positionV>
                <wp:extent cx="656216" cy="365125"/>
                <wp:effectExtent l="0" t="0" r="0" b="0"/>
                <wp:wrapNone/>
                <wp:docPr id="206" name="Espace réservé du numéro de diapositive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656216" cy="365125"/>
                        </a:xfrm>
                        <a:prstGeom prst="rect">
                          <a:avLst/>
                        </a:prstGeom>
                      </wps:spPr>
                      <wps:txbx>
                        <w:txbxContent>
                          <w:p w14:paraId="1484ACD9" w14:textId="77777777" w:rsidR="00741BFF" w:rsidRDefault="00741BFF" w:rsidP="000F3090">
                            <w:pPr>
                              <w:jc w:val="right"/>
                              <w:rPr>
                                <w:sz w:val="24"/>
                                <w:szCs w:val="24"/>
                              </w:rPr>
                            </w:pPr>
                            <w:r>
                              <w:rPr>
                                <w:rFonts w:asciiTheme="minorHAnsi" w:hAnsi="Calibri"/>
                                <w:color w:val="DDE0E3"/>
                                <w:kern w:val="24"/>
                                <w:sz w:val="28"/>
                                <w:szCs w:val="28"/>
                              </w:rPr>
                              <w:t>6</w:t>
                            </w:r>
                          </w:p>
                        </w:txbxContent>
                      </wps:txbx>
                      <wps:bodyPr vert="horz" lIns="91440" tIns="45720" rIns="91440" bIns="45720" rtlCol="0" anchor="ctr"/>
                    </wps:wsp>
                  </a:graphicData>
                </a:graphic>
              </wp:anchor>
            </w:drawing>
          </mc:Choice>
          <mc:Fallback>
            <w:pict>
              <v:rect w14:anchorId="7DE1D9DA" id="_x0000_s1108" style="position:absolute;left:0;text-align:left;margin-left:787.2pt;margin-top:423.85pt;width:51.65pt;height:28.75pt;z-index:25185592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241ywEAAGwDAAAOAAAAZHJzL2Uyb0RvYy54bWysU9uO0zAQfUfiHyy/01xosxA13QcWVkgr&#10;WGnhA1zHaSzii2bcJuWP+h39McbuhV14Q7xYGc/4zJlzJsvbyQxspwC1sw0vZjlnykrXartp+Pdv&#10;n9684wyDsK0YnFUN3yvkt6vXr5ajr1Xpeje0ChiBWKxH3/A+BF9nGcpeGYEz55WlZOfAiEAhbLIW&#10;xEjoZsjKPK+y0UHrwUmFSLd3pyRfJfyuUzJ87TpUgQ0NJ24hnZDOdTyz1VLUGxC+1/JMQ/wDCyO0&#10;paZXqDsRBNuC/gvKaAkOXRdm0pnMdZ2WKs1A0xT5H9M89cKrNAuJg/4qE/4/WPll9whMtw0v84oz&#10;KwyZ9BG9kIrB8YAKdscDa7fMbs3xAI61irVaeIc66J1ii6jg6LEmoCf/CFED9A9O/kBm3T2QpUUs&#10;yV7UxADP1VMHJr4iLdiUjNlfjVFTYJIuq0VVFkRPUupttSjK1DYT9eWxBwz3yhkWPxoO5HuyQ+we&#10;MMT2or6UnLmc2kciYVpPSYGb6jLM2rV7koX2msB6Bz85Gz5bkv19MZ/HNUrBfHFTUgDPM+sXmTB8&#10;cKfFE1YSTsNlgKscZGlidl6/uDPP40T090+y+gUAAP//AwBQSwMEFAAGAAgAAAAhACwpyWDeAAAA&#10;DQEAAA8AAABkcnMvZG93bnJldi54bWxMj8tOwzAQRfdI/IM1SOyonSptShqngqJu2FGQ2E7jaRzV&#10;jyh20/D3OCvYzdUc3TlT7SZr2EhD6LyTkC0EMHKNV51rJXx9Hp42wEJEp9B4RxJ+KMCuvr+rsFT+&#10;5j5oPMaWpRIXSpSgY+xLzkOjyWJY+J5c2p39YDGmOLRcDXhL5dbwpRBrbrFz6YLGnvaamsvxaiVM&#10;r9/IvdF0Rm7F+3jI3rK9kfLxYXrZAos0xT8YZv2kDnVyOvmrU4GZlFdFnidWwiYvCmAzsi7m6STh&#10;WayWwOuK//+i/gUAAP//AwBQSwECLQAUAAYACAAAACEAtoM4kv4AAADhAQAAEwAAAAAAAAAAAAAA&#10;AAAAAAAAW0NvbnRlbnRfVHlwZXNdLnhtbFBLAQItABQABgAIAAAAIQA4/SH/1gAAAJQBAAALAAAA&#10;AAAAAAAAAAAAAC8BAABfcmVscy8ucmVsc1BLAQItABQABgAIAAAAIQDJO241ywEAAGwDAAAOAAAA&#10;AAAAAAAAAAAAAC4CAABkcnMvZTJvRG9jLnhtbFBLAQItABQABgAIAAAAIQAsKclg3gAAAA0BAAAP&#10;AAAAAAAAAAAAAAAAACUEAABkcnMvZG93bnJldi54bWxQSwUGAAAAAAQABADzAAAAMAUAAAAA&#10;" filled="f" stroked="f">
                <o:lock v:ext="edit" grouping="t"/>
                <v:textbox>
                  <w:txbxContent>
                    <w:p w14:paraId="1484ACD9" w14:textId="77777777" w:rsidR="00741BFF" w:rsidRDefault="00741BFF" w:rsidP="000F3090">
                      <w:pPr>
                        <w:jc w:val="right"/>
                        <w:rPr>
                          <w:sz w:val="24"/>
                          <w:szCs w:val="24"/>
                        </w:rPr>
                      </w:pPr>
                      <w:r>
                        <w:rPr>
                          <w:rFonts w:asciiTheme="minorHAnsi" w:hAnsi="Calibri"/>
                          <w:color w:val="DDE0E3"/>
                          <w:kern w:val="24"/>
                          <w:sz w:val="28"/>
                          <w:szCs w:val="28"/>
                        </w:rPr>
                        <w:t>6</w:t>
                      </w:r>
                    </w:p>
                  </w:txbxContent>
                </v:textbox>
              </v:rect>
            </w:pict>
          </mc:Fallback>
        </mc:AlternateContent>
      </w:r>
      <w:r w:rsidR="000F3090">
        <w:rPr>
          <w:noProof/>
        </w:rPr>
        <mc:AlternateContent>
          <mc:Choice Requires="wps">
            <w:drawing>
              <wp:anchor distT="0" distB="0" distL="114300" distR="114300" simplePos="0" relativeHeight="251856953" behindDoc="0" locked="0" layoutInCell="1" allowOverlap="1" wp14:anchorId="3BEE42C4" wp14:editId="3E842F5F">
                <wp:simplePos x="0" y="0"/>
                <wp:positionH relativeFrom="column">
                  <wp:posOffset>11105515</wp:posOffset>
                </wp:positionH>
                <wp:positionV relativeFrom="paragraph">
                  <wp:posOffset>4845050</wp:posOffset>
                </wp:positionV>
                <wp:extent cx="750526" cy="246221"/>
                <wp:effectExtent l="0" t="0" r="0" b="0"/>
                <wp:wrapNone/>
                <wp:docPr id="207" name="ZoneTexte 26"/>
                <wp:cNvGraphicFramePr/>
                <a:graphic xmlns:a="http://schemas.openxmlformats.org/drawingml/2006/main">
                  <a:graphicData uri="http://schemas.microsoft.com/office/word/2010/wordprocessingShape">
                    <wps:wsp>
                      <wps:cNvSpPr txBox="1"/>
                      <wps:spPr>
                        <a:xfrm>
                          <a:off x="0" y="0"/>
                          <a:ext cx="750526" cy="246221"/>
                        </a:xfrm>
                        <a:prstGeom prst="rect">
                          <a:avLst/>
                        </a:prstGeom>
                        <a:noFill/>
                      </wps:spPr>
                      <wps:txbx>
                        <w:txbxContent>
                          <w:p w14:paraId="40E7B2CF" w14:textId="77777777" w:rsidR="00741BFF" w:rsidRDefault="00741BFF" w:rsidP="000F3090">
                            <w:pPr>
                              <w:rPr>
                                <w:sz w:val="24"/>
                                <w:szCs w:val="24"/>
                              </w:rPr>
                            </w:pPr>
                            <w:r>
                              <w:rPr>
                                <w:rFonts w:cs="Arial"/>
                                <w:i/>
                                <w:iCs/>
                                <w:color w:val="000000" w:themeColor="text1"/>
                                <w:kern w:val="24"/>
                                <w:sz w:val="20"/>
                                <w:szCs w:val="20"/>
                              </w:rPr>
                              <w:t xml:space="preserve">Total 419 </w:t>
                            </w:r>
                          </w:p>
                        </w:txbxContent>
                      </wps:txbx>
                      <wps:bodyPr wrap="none" rtlCol="0">
                        <a:spAutoFit/>
                      </wps:bodyPr>
                    </wps:wsp>
                  </a:graphicData>
                </a:graphic>
              </wp:anchor>
            </w:drawing>
          </mc:Choice>
          <mc:Fallback>
            <w:pict>
              <v:shape w14:anchorId="3BEE42C4" id="_x0000_s1109" type="#_x0000_t202" style="position:absolute;left:0;text-align:left;margin-left:874.45pt;margin-top:381.5pt;width:59.1pt;height:19.4pt;z-index:25185695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aH/lgEAABcDAAAOAAAAZHJzL2Uyb0RvYy54bWysUstOwzAQvCPxD5bvNCGCFkVNEQ/BBQES&#10;cOHmOnZjKfZaXtOkf8/afYDghrj4sbuenZn1/HK0PVurgAZcw08nJWfKSWiNWzX87fXu5IIzjMK1&#10;ogenGr5RyC8Xx0fzwdeqgg76VgVGIA7rwTe8i9HXRYGyU1bgBLxylNQQrIh0DauiDWIgdNsXVVlO&#10;iwFC6wNIhUjR222SLzK+1krGJ61RRdY3nLjFvIa8LtNaLOaiXgXhOyN3NMQfWFhhHDU9QN2KKNhH&#10;ML+grJEBEHScSLAFaG2kyhpIzWn5Q81LJ7zKWsgc9Aeb8P9g5eP6OTDTNrwqZ5w5YWlI7zSqVzVG&#10;xappcmjwWFPhi6fSOF7DSJPex5GCSfiog007SWKUJ683B38JikkKzs7Lc0JkklLV2bSqMkrx9dgH&#10;jPcKLEuHhgcaX3ZVrB8wEhEq3ZekXg7uTN+neGK4ZZJOcVyOWdNstqe5hHZD7AeadMMd6eMsxP4G&#10;8rdIWOivPiLh5TYJZPtih03u5+67n5LG+/2eq77+8+ITAAD//wMAUEsDBBQABgAIAAAAIQC6v1Wj&#10;3gAAAA0BAAAPAAAAZHJzL2Rvd25yZXYueG1sTI/BTsMwEETvSPyDtUjcqJNSEjeNU6ECZ6DwAW5s&#10;4jTxOordNvD1bE5wHM1o5k25nVzPzmYMrUcJ6SIBZrD2usVGwufHy50AFqJCrXqPRsK3CbCtrq9K&#10;VWh/wXdz3seGUQmGQkmwMQ4F56G2xqmw8INB8r786FQkOTZcj+pC5a7nyyTJuFMt0oJVg9lZU3f7&#10;k5MgEvfadevlW3Crn/TB7p7883CU8vZmetwAi2aKf2GY8QkdKmI6+BPqwHrS+UqsKSshz+7p1RwR&#10;WZ4CO8wDqQBelfz/i+oXAAD//wMAUEsBAi0AFAAGAAgAAAAhALaDOJL+AAAA4QEAABMAAAAAAAAA&#10;AAAAAAAAAAAAAFtDb250ZW50X1R5cGVzXS54bWxQSwECLQAUAAYACAAAACEAOP0h/9YAAACUAQAA&#10;CwAAAAAAAAAAAAAAAAAvAQAAX3JlbHMvLnJlbHNQSwECLQAUAAYACAAAACEA1eGh/5YBAAAXAwAA&#10;DgAAAAAAAAAAAAAAAAAuAgAAZHJzL2Uyb0RvYy54bWxQSwECLQAUAAYACAAAACEAur9Vo94AAAAN&#10;AQAADwAAAAAAAAAAAAAAAADwAwAAZHJzL2Rvd25yZXYueG1sUEsFBgAAAAAEAAQA8wAAAPsEAAAA&#10;AA==&#10;" filled="f" stroked="f">
                <v:textbox style="mso-fit-shape-to-text:t">
                  <w:txbxContent>
                    <w:p w14:paraId="40E7B2CF" w14:textId="77777777" w:rsidR="00741BFF" w:rsidRDefault="00741BFF" w:rsidP="000F3090">
                      <w:pPr>
                        <w:rPr>
                          <w:sz w:val="24"/>
                          <w:szCs w:val="24"/>
                        </w:rPr>
                      </w:pPr>
                      <w:r>
                        <w:rPr>
                          <w:rFonts w:cs="Arial"/>
                          <w:i/>
                          <w:iCs/>
                          <w:color w:val="000000" w:themeColor="text1"/>
                          <w:kern w:val="24"/>
                          <w:sz w:val="20"/>
                          <w:szCs w:val="20"/>
                        </w:rPr>
                        <w:t xml:space="preserve">Total 419 </w:t>
                      </w:r>
                    </w:p>
                  </w:txbxContent>
                </v:textbox>
              </v:shape>
            </w:pict>
          </mc:Fallback>
        </mc:AlternateContent>
      </w:r>
    </w:p>
    <w:p w14:paraId="5299354E" w14:textId="06F3237E" w:rsidR="004B43AF" w:rsidRDefault="000D17AE" w:rsidP="004B43AF">
      <w:pPr>
        <w:pStyle w:val="ValrieN1"/>
        <w:ind w:left="0"/>
        <w:sectPr w:rsidR="004B43AF" w:rsidSect="00B73F4D">
          <w:pgSz w:w="16838" w:h="11906" w:orient="landscape" w:code="9"/>
          <w:pgMar w:top="1418" w:right="1304" w:bottom="1133" w:left="1304" w:header="567" w:footer="709" w:gutter="0"/>
          <w:cols w:space="708"/>
          <w:docGrid w:linePitch="360"/>
        </w:sectPr>
      </w:pPr>
      <w:r>
        <w:rPr>
          <w:noProof/>
        </w:rPr>
        <mc:AlternateContent>
          <mc:Choice Requires="wps">
            <w:drawing>
              <wp:anchor distT="0" distB="0" distL="114300" distR="114300" simplePos="0" relativeHeight="251654140" behindDoc="0" locked="0" layoutInCell="1" allowOverlap="1" wp14:anchorId="55634675" wp14:editId="43EC5AE2">
                <wp:simplePos x="0" y="0"/>
                <wp:positionH relativeFrom="page">
                  <wp:posOffset>1771015</wp:posOffset>
                </wp:positionH>
                <wp:positionV relativeFrom="paragraph">
                  <wp:posOffset>52070</wp:posOffset>
                </wp:positionV>
                <wp:extent cx="1835785" cy="0"/>
                <wp:effectExtent l="38100" t="76200" r="12065" b="95250"/>
                <wp:wrapNone/>
                <wp:docPr id="100"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835785"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DDC66A" id="Connecteur droit avec flèche 12" o:spid="_x0000_s1026" type="#_x0000_t32" style="position:absolute;margin-left:139.45pt;margin-top:4.1pt;width:144.55pt;height:0;flip:y;z-index:2516541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MfjPLQIAALgEAAAOAAAAZHJzL2Uyb0RvYy54bWysVM1uEzEQviPxDtbeyW5SpUSrbHpIKZcC&#10;EQXurj3OWvhPtpNs3oj34MUY28mW0qpIiIu1np/vm/lmvMurQSuyBx+kNV01nTQVAcMsl2bbVV+/&#10;3LxZVCREajhV1kBXHSFUV6vXr5YH18LM9lZx8ARBTGgPrqv6GF1b14H1oGmYWAcGncJ6TSNe/bbm&#10;nh4QXat61jSX9cF67rxlEAJar4uzWmV8IYDFT0IEiER1FdYW8+nzeZ/OerWk7dZT10t2KoP+QxWa&#10;SoOkI9Q1jZTsvHwCpSXzNlgRJ8zq2gohGeQesJtp80c3dz11kHtBcYIbZQr/D5Z93G88kRxn16A+&#10;hmoc0toag8rBzhPurYyE7oERoX7+wLGQ6SypdnChxeS12fjUNxvMnbu17HtAX/3ImS7BlbBBeI1A&#10;0n1DwiwYSkCGPI/jOA8YImFonC4u5m8X84qws6+mbYJIjM6H+B6sJumjq0L0VG77eKrd+gJP97ch&#10;ppIeElKyMukMVkl+I5XKl7RysFae7CkuSxwKgNrpD5YX2+W8QZHyyqAZF6uYL85mJMmLm1Ay5SOC&#10;Hih/ZziJR4caRy+p2SoocJFK9bwPMVOxWdKiYtYzHhWURj6DwPmhWrOs51hAqY0yBiZOE0tGwuiU&#10;JrDpMbH5e+IpPqVCflVjclHpRdYxIzNbE8dkLY31z7En9UvJosSfFSh9JwnuLT9ufApKN3weucPT&#10;U07v7/d7jnr44ax+AQAA//8DAFBLAwQUAAYACAAAACEADI0BK90AAAAHAQAADwAAAGRycy9kb3du&#10;cmV2LnhtbEyPQUvDQBSE74L/YXmCN7vbgDXGbEqJBMFDpVEP3rbZZxLMvg3ZbRv/vU8v9TjMMPNN&#10;vp7dII44hd6ThuVCgUBqvO2p1fD2Wt2kIEI0ZM3gCTV8Y4B1cXmRm8z6E+3wWMdWcAmFzGjoYhwz&#10;KUPToTNh4Uck9j795ExkObXSTubE5W6QiVIr6UxPvNCZEcsOm6/64DRs3l+S5e5RVeXT87ZS27ZW&#10;yUep9fXVvHkAEXGO5zD84jM6FMy09weyQQwakrv0nqMa0gQE+7erlL/t/7Qscvmfv/gBAAD//wMA&#10;UEsBAi0AFAAGAAgAAAAhALaDOJL+AAAA4QEAABMAAAAAAAAAAAAAAAAAAAAAAFtDb250ZW50X1R5&#10;cGVzXS54bWxQSwECLQAUAAYACAAAACEAOP0h/9YAAACUAQAACwAAAAAAAAAAAAAAAAAvAQAAX3Jl&#10;bHMvLnJlbHNQSwECLQAUAAYACAAAACEAozH4zy0CAAC4BAAADgAAAAAAAAAAAAAAAAAuAgAAZHJz&#10;L2Uyb0RvYy54bWxQSwECLQAUAAYACAAAACEADI0BK90AAAAHAQAADwAAAAAAAAAAAAAAAACHBAAA&#10;ZHJzL2Rvd25yZXYueG1sUEsFBgAAAAAEAAQA8wAAAJEFAAAAAA==&#10;" strokecolor="#5a5a5a [2109]" strokeweight="1pt">
                <v:stroke startarrow="block" endarrow="block" joinstyle="miter"/>
                <o:lock v:ext="edit" shapetype="f"/>
                <w10:wrap anchorx="page"/>
              </v:shape>
            </w:pict>
          </mc:Fallback>
        </mc:AlternateContent>
      </w:r>
      <w:r>
        <w:rPr>
          <w:noProof/>
        </w:rPr>
        <mc:AlternateContent>
          <mc:Choice Requires="wps">
            <w:drawing>
              <wp:anchor distT="0" distB="0" distL="114300" distR="114300" simplePos="0" relativeHeight="251814969" behindDoc="0" locked="0" layoutInCell="1" allowOverlap="1" wp14:anchorId="32A040F0" wp14:editId="38A53D57">
                <wp:simplePos x="0" y="0"/>
                <wp:positionH relativeFrom="page">
                  <wp:posOffset>7048500</wp:posOffset>
                </wp:positionH>
                <wp:positionV relativeFrom="paragraph">
                  <wp:posOffset>46558</wp:posOffset>
                </wp:positionV>
                <wp:extent cx="2699385" cy="0"/>
                <wp:effectExtent l="38100" t="76200" r="24765" b="95250"/>
                <wp:wrapNone/>
                <wp:docPr id="218"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699385"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7C9148" id="Connecteur droit avec flèche 12" o:spid="_x0000_s1026" type="#_x0000_t32" style="position:absolute;margin-left:555pt;margin-top:3.65pt;width:212.55pt;height:0;z-index:25181496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pTmJwIAAK4EAAAOAAAAZHJzL2Uyb0RvYy54bWysVNtu1DAQfUfiHyy/s0m26qqNNtuHLeWl&#10;wIqWD3Cd8cbCN9ne2x/xH/wYY3sTKFQgIV6seGbOzJwz4yxvjlqRPfggreloM6spAcNtL822o58f&#10;795cURIiMz1T1kBHTxDozer1q+XBtTC3g1U9eIJJTGgPrqNDjK6tqsAH0CzMrAODTmG9ZhGvflv1&#10;nh0wu1bVvK4X1cH63nnLIQS03hYnXeX8QgCPH4UIEInqKPYW8+nz+ZTOarVk7dYzN0h+boP9Qxea&#10;SYNFp1S3LDKy8/K3VFpyb4MVccatrqwQkkPmgGya+hc2DwNzkLmgOMFNMoX/l5Z/2G88kX1H5w2O&#10;yjCNQ1pbY1A52HnSeysjYXvgRKhvX3EspJkn1Q4utAhem41PvPnRPLh7y78E9FXPnOkSXAk7Cq9T&#10;OBInxzyF0zQFOEbC0ThfXF9fXF1SwkdfxdoR6HyI78Bqkj46GqJncjvEc8fWN3kKbH8fYmqEtSMg&#10;VVUmncEq2d9JpfIlLRqslSd7hisSjyWB2un3ti+2xWVdnxcFzbhOxXwxmrFIXteUJZd8VmAA1r81&#10;PYknh8pGL5nZKih7F5lUL/swZ2o2C1m0yyrGk4JC5BMInFpSKxOeGii9Mc7BxCZVyZkwOsEEkp6A&#10;9d+B5/gEhfyWJnBR6Y9VJ0SubE2cwFoa61+qntQvLYsSPypQeCcJnmx/2vhxx/BRZIbnB5xe3c/3&#10;DP/xm1l9BwAA//8DAFBLAwQUAAYACAAAACEABpmp+dsAAAAJAQAADwAAAGRycy9kb3ducmV2Lnht&#10;bEyPzU7DMBCE70i8g7VI3KgTqvAT4lQUhNQbauEBNvGSWMTrKHbbwNOz5QLH2R3NfFOtZj+oA03R&#10;BTaQLzJQxG2wjjsD728vV3egYkK2OAQmA18UYVWfn1VY2nDkLR12qVMSwrFEA31KY6l1bHvyGBdh&#10;JJbfR5g8JpFTp+2ERwn3g77Oshvt0bE09DjSU0/t527vpdclJNaOi++mXa8bv7l/fd4Yc3kxPz6A&#10;SjSnPzOc8AUdamFqwp5tVIPoPM9kTDJwuwR1MhTLIgfV/B50Xen/C+ofAAAA//8DAFBLAQItABQA&#10;BgAIAAAAIQC2gziS/gAAAOEBAAATAAAAAAAAAAAAAAAAAAAAAABbQ29udGVudF9UeXBlc10ueG1s&#10;UEsBAi0AFAAGAAgAAAAhADj9If/WAAAAlAEAAAsAAAAAAAAAAAAAAAAALwEAAF9yZWxzLy5yZWxz&#10;UEsBAi0AFAAGAAgAAAAhAAPqlOYnAgAArgQAAA4AAAAAAAAAAAAAAAAALgIAAGRycy9lMm9Eb2Mu&#10;eG1sUEsBAi0AFAAGAAgAAAAhAAaZqfnbAAAACQEAAA8AAAAAAAAAAAAAAAAAgQQAAGRycy9kb3du&#10;cmV2LnhtbFBLBQYAAAAABAAEAPMAAACJBQAAAAA=&#10;" strokecolor="#5a5a5a [2109]" strokeweight="1pt">
                <v:stroke startarrow="block" endarrow="block" joinstyle="miter"/>
                <o:lock v:ext="edit" shapetype="f"/>
                <w10:wrap anchorx="page"/>
              </v:shape>
            </w:pict>
          </mc:Fallback>
        </mc:AlternateContent>
      </w:r>
      <w:r w:rsidR="005F20DD">
        <w:rPr>
          <w:noProof/>
        </w:rPr>
        <mc:AlternateContent>
          <mc:Choice Requires="wps">
            <w:drawing>
              <wp:anchor distT="0" distB="0" distL="114300" distR="114300" simplePos="0" relativeHeight="251808825" behindDoc="0" locked="0" layoutInCell="1" allowOverlap="1" wp14:anchorId="05F9B839" wp14:editId="0523BD76">
                <wp:simplePos x="0" y="0"/>
                <wp:positionH relativeFrom="column">
                  <wp:posOffset>2915285</wp:posOffset>
                </wp:positionH>
                <wp:positionV relativeFrom="paragraph">
                  <wp:posOffset>58623</wp:posOffset>
                </wp:positionV>
                <wp:extent cx="3203575" cy="0"/>
                <wp:effectExtent l="38100" t="76200" r="15875" b="95250"/>
                <wp:wrapNone/>
                <wp:docPr id="219" name="Connecteur droit avec flèch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203575"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928D977" id="Connecteur droit avec flèche 7" o:spid="_x0000_s1026" type="#_x0000_t32" style="position:absolute;margin-left:229.55pt;margin-top:4.6pt;width:252.25pt;height:0;flip:y;z-index:2518088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e5BLQIAALcEAAAOAAAAZHJzL2Uyb0RvYy54bWysVM1uEzEQviPxDpbvZDeJ0sIqmx5SyqVA&#10;1AJ31zvOWvhPtpNs3oj34MUY28mWQgUS4jJaz/j7Zuab8S6vBq3IHnyQ1rR0OqkpAcNtJ822pZ8/&#10;3bx6TUmIzHRMWQMtPUKgV6uXL5YH18DM9lZ14AmSmNAcXEv7GF1TVYH3oFmYWAcGg8J6zSIe/bbq&#10;PDsgu1bVrK4vqoP1nfOWQwjovS5Busr8QgCPH4UIEIlqKdYWs/XZPiRbrZas2XrmeslPZbB/qEIz&#10;aTDpSHXNIiM7L3+j0pJ7G6yIE251ZYWQHHIP2M20/qWb+545yL2gOMGNMoX/R8s/7DeeyK6ls+kb&#10;SgzTOKS1NQaVg50nnbcyErYHToT6/g3HQi6TaAcXGsSuzcantvlg7t2t5V8DxqonwXQIrlwbhNfI&#10;I90X3JWsFypAhjyO4zgOGCLh6JzP6vnickEJP8cq1iSKlNH5EN+B1SR9tDREz+S2j6fSrS/0bH8b&#10;YirpEZDAyiQbrJLdjVQqH9LGwVp5sme4K3EoBGqn39uu+C4WdX3aGHTjXhX3/OzGJHlvE0tO+SRB&#10;D6x7azoSjw4ljl4ys1VQFjAyqZ6PIWcqNktaVMx6xqOC0sgdCBwfqjXLeo4FlNoY52DiNGXJTHg7&#10;wQQ2PQLrvwNP9xMU8qMawUWlP2YdETmzNXEEa2msfy57Ur+ULMr9swKl7yTBg+2OG3/eNnwducPT&#10;S07P7+dzhj/+b1Y/AAAA//8DAFBLAwQUAAYACAAAACEA9qwiCd4AAAAHAQAADwAAAGRycy9kb3du&#10;cmV2LnhtbEyOwU7DMBBE70j8g7VI3KidQCOSxqmqoAiJQ1EDHLi58TaJiNdR7Lbh72u4wHE0ozcv&#10;X89mYCecXG9JQrQQwJAaq3tqJby/VXePwJxXpNVgCSV8o4N1cX2Vq0zbM+3wVPuWBQi5TEnovB8z&#10;zl3ToVFuYUek0B3sZJQPcWq5ntQ5wM3AYyESblRP4aFTI5YdNl/10UjYfLzG0e5JVOXzy7YS27YW&#10;8Wcp5e3NvFkB8zj7vzH86Ad1KILT3h5JOzZIeFimUZhKSGNgoU+T+wTY/jfzIuf//YsLAAAA//8D&#10;AFBLAQItABQABgAIAAAAIQC2gziS/gAAAOEBAAATAAAAAAAAAAAAAAAAAAAAAABbQ29udGVudF9U&#10;eXBlc10ueG1sUEsBAi0AFAAGAAgAAAAhADj9If/WAAAAlAEAAAsAAAAAAAAAAAAAAAAALwEAAF9y&#10;ZWxzLy5yZWxzUEsBAi0AFAAGAAgAAAAhABnd7kEtAgAAtwQAAA4AAAAAAAAAAAAAAAAALgIAAGRy&#10;cy9lMm9Eb2MueG1sUEsBAi0AFAAGAAgAAAAhAPasIgneAAAABwEAAA8AAAAAAAAAAAAAAAAAhwQA&#10;AGRycy9kb3ducmV2LnhtbFBLBQYAAAAABAAEAPMAAACSBQAAAAA=&#10;" strokecolor="#5a5a5a [2109]" strokeweight="1pt">
                <v:stroke startarrow="block" endarrow="block" joinstyle="miter"/>
                <o:lock v:ext="edit" shapetype="f"/>
              </v:shape>
            </w:pict>
          </mc:Fallback>
        </mc:AlternateContent>
      </w:r>
    </w:p>
    <w:p w14:paraId="54029DDA" w14:textId="12176102" w:rsidR="00EA0C75" w:rsidRPr="001F37B9" w:rsidRDefault="00EA0C75" w:rsidP="00A63F35">
      <w:pPr>
        <w:pStyle w:val="Titre2"/>
        <w:numPr>
          <w:ilvl w:val="0"/>
          <w:numId w:val="0"/>
        </w:numPr>
        <w:ind w:left="568"/>
      </w:pPr>
      <w:bookmarkStart w:id="399" w:name="_Toc78131700"/>
      <w:r>
        <w:lastRenderedPageBreak/>
        <w:t>2</w:t>
      </w:r>
      <w:r w:rsidRPr="008150C6">
        <w:t>.</w:t>
      </w:r>
      <w:r w:rsidR="004B43AF">
        <w:t>5</w:t>
      </w:r>
      <w:r>
        <w:t>.</w:t>
      </w:r>
      <w:r w:rsidR="00E63EF2">
        <w:t xml:space="preserve"> </w:t>
      </w:r>
      <w:r w:rsidR="001F37B9">
        <w:t>Analyse des flux à partir de la longe comme pièce primaire</w:t>
      </w:r>
      <w:bookmarkEnd w:id="399"/>
      <w:r w:rsidR="001F37B9">
        <w:t> </w:t>
      </w:r>
    </w:p>
    <w:p w14:paraId="276625A7" w14:textId="751DD928" w:rsidR="00D530A0" w:rsidRDefault="00EA0C75" w:rsidP="001F37B9">
      <w:pPr>
        <w:pStyle w:val="Titre3"/>
      </w:pPr>
      <w:bookmarkStart w:id="400" w:name="_Toc78131701"/>
      <w:r>
        <w:t>2.</w:t>
      </w:r>
      <w:r w:rsidR="004B43AF">
        <w:t>5</w:t>
      </w:r>
      <w:r>
        <w:t xml:space="preserve">.1. </w:t>
      </w:r>
      <w:r w:rsidRPr="00F93328">
        <w:t>Disponible de départ en équivalent pièces primaires</w:t>
      </w:r>
      <w:bookmarkEnd w:id="400"/>
      <w:r w:rsidR="001F37B9">
        <w:t> </w:t>
      </w:r>
    </w:p>
    <w:p w14:paraId="5D6DCD5E" w14:textId="07971EC7" w:rsidR="00F004D9" w:rsidRDefault="001F37B9" w:rsidP="001F37B9">
      <w:pPr>
        <w:rPr>
          <w:lang w:eastAsia="fr-FR"/>
        </w:rPr>
      </w:pPr>
      <w:r>
        <w:rPr>
          <w:lang w:eastAsia="fr-FR"/>
        </w:rPr>
        <w:t>A partir des données issue</w:t>
      </w:r>
      <w:r w:rsidR="00CC3DC7">
        <w:rPr>
          <w:lang w:eastAsia="fr-FR"/>
        </w:rPr>
        <w:t>s</w:t>
      </w:r>
      <w:r>
        <w:rPr>
          <w:lang w:eastAsia="fr-FR"/>
        </w:rPr>
        <w:t xml:space="preserve"> de carcasses et déterminée par calcul </w:t>
      </w:r>
      <w:r w:rsidR="008265BE">
        <w:rPr>
          <w:lang w:eastAsia="fr-FR"/>
        </w:rPr>
        <w:t>comme précisé</w:t>
      </w:r>
      <w:r>
        <w:rPr>
          <w:lang w:eastAsia="fr-FR"/>
        </w:rPr>
        <w:t xml:space="preserve"> plus haut (partie 2, paragraphe 1.3.), la fraction comestible de départ</w:t>
      </w:r>
      <w:r w:rsidR="00506319">
        <w:rPr>
          <w:lang w:eastAsia="fr-FR"/>
        </w:rPr>
        <w:t xml:space="preserve"> en longe</w:t>
      </w:r>
      <w:r>
        <w:rPr>
          <w:lang w:eastAsia="fr-FR"/>
        </w:rPr>
        <w:t xml:space="preserve"> est de </w:t>
      </w:r>
      <w:r w:rsidRPr="0088266F">
        <w:t>645</w:t>
      </w:r>
      <w:r w:rsidR="0088266F">
        <w:t> </w:t>
      </w:r>
      <w:r w:rsidRPr="0088266F">
        <w:t>kt</w:t>
      </w:r>
      <w:r>
        <w:rPr>
          <w:lang w:eastAsia="fr-FR"/>
        </w:rPr>
        <w:t>.</w:t>
      </w:r>
    </w:p>
    <w:p w14:paraId="2502819B" w14:textId="420B3CDD" w:rsidR="00CF2548" w:rsidRDefault="001F37B9" w:rsidP="0002537E">
      <w:pPr>
        <w:pStyle w:val="Lgende"/>
        <w:ind w:left="0"/>
        <w:jc w:val="both"/>
      </w:pPr>
      <w:r w:rsidRPr="00B12329">
        <w:rPr>
          <w:rFonts w:eastAsiaTheme="minorHAnsi" w:cstheme="minorBidi"/>
          <w:bCs w:val="0"/>
          <w:i w:val="0"/>
          <w:iCs w:val="0"/>
          <w:sz w:val="22"/>
          <w:szCs w:val="22"/>
        </w:rPr>
        <w:t>L</w:t>
      </w:r>
      <w:r w:rsidR="00F004D9" w:rsidRPr="00B12329">
        <w:rPr>
          <w:rFonts w:eastAsiaTheme="minorHAnsi" w:cstheme="minorBidi"/>
          <w:bCs w:val="0"/>
          <w:i w:val="0"/>
          <w:iCs w:val="0"/>
          <w:sz w:val="22"/>
          <w:szCs w:val="22"/>
        </w:rPr>
        <w:t>e disponible net après importation et exportation est de 571</w:t>
      </w:r>
      <w:r w:rsidR="0088266F">
        <w:rPr>
          <w:rFonts w:eastAsiaTheme="minorHAnsi" w:cstheme="minorBidi"/>
          <w:bCs w:val="0"/>
          <w:i w:val="0"/>
          <w:iCs w:val="0"/>
          <w:sz w:val="22"/>
          <w:szCs w:val="22"/>
        </w:rPr>
        <w:t> </w:t>
      </w:r>
      <w:r w:rsidR="00F004D9" w:rsidRPr="00B12329">
        <w:rPr>
          <w:rFonts w:eastAsiaTheme="minorHAnsi" w:cstheme="minorBidi"/>
          <w:bCs w:val="0"/>
          <w:i w:val="0"/>
          <w:iCs w:val="0"/>
          <w:sz w:val="22"/>
          <w:szCs w:val="22"/>
        </w:rPr>
        <w:t xml:space="preserve">kt en incluant la </w:t>
      </w:r>
      <w:r w:rsidR="00CF2548" w:rsidRPr="00B12329">
        <w:rPr>
          <w:rFonts w:eastAsiaTheme="minorHAnsi" w:cstheme="minorBidi"/>
          <w:bCs w:val="0"/>
          <w:i w:val="0"/>
          <w:iCs w:val="0"/>
          <w:sz w:val="22"/>
          <w:szCs w:val="22"/>
        </w:rPr>
        <w:t>fraction</w:t>
      </w:r>
      <w:r w:rsidR="00F004D9" w:rsidRPr="00B12329">
        <w:rPr>
          <w:rFonts w:eastAsiaTheme="minorHAnsi" w:cstheme="minorBidi"/>
          <w:bCs w:val="0"/>
          <w:i w:val="0"/>
          <w:iCs w:val="0"/>
          <w:sz w:val="22"/>
          <w:szCs w:val="22"/>
        </w:rPr>
        <w:t xml:space="preserve"> de</w:t>
      </w:r>
      <w:r w:rsidRPr="00B12329">
        <w:rPr>
          <w:rFonts w:eastAsiaTheme="minorHAnsi" w:cstheme="minorBidi"/>
          <w:bCs w:val="0"/>
          <w:i w:val="0"/>
          <w:iCs w:val="0"/>
          <w:sz w:val="22"/>
          <w:szCs w:val="22"/>
        </w:rPr>
        <w:t xml:space="preserve"> gras de bardière </w:t>
      </w:r>
      <w:r w:rsidR="00F004D9" w:rsidRPr="00B12329">
        <w:rPr>
          <w:rFonts w:eastAsiaTheme="minorHAnsi" w:cstheme="minorBidi"/>
          <w:bCs w:val="0"/>
          <w:i w:val="0"/>
          <w:iCs w:val="0"/>
          <w:sz w:val="22"/>
          <w:szCs w:val="22"/>
        </w:rPr>
        <w:t>(17</w:t>
      </w:r>
      <w:r w:rsidR="0088266F">
        <w:rPr>
          <w:rFonts w:eastAsiaTheme="minorHAnsi" w:cstheme="minorBidi"/>
          <w:bCs w:val="0"/>
          <w:i w:val="0"/>
          <w:iCs w:val="0"/>
          <w:sz w:val="22"/>
          <w:szCs w:val="22"/>
        </w:rPr>
        <w:t> </w:t>
      </w:r>
      <w:r w:rsidR="00F004D9" w:rsidRPr="00B12329">
        <w:rPr>
          <w:rFonts w:eastAsiaTheme="minorHAnsi" w:cstheme="minorBidi"/>
          <w:bCs w:val="0"/>
          <w:i w:val="0"/>
          <w:iCs w:val="0"/>
          <w:sz w:val="22"/>
          <w:szCs w:val="22"/>
        </w:rPr>
        <w:t>kt)</w:t>
      </w:r>
      <w:r w:rsidR="00506319">
        <w:rPr>
          <w:rFonts w:eastAsiaTheme="minorHAnsi" w:cstheme="minorBidi"/>
          <w:bCs w:val="0"/>
          <w:i w:val="0"/>
          <w:iCs w:val="0"/>
          <w:sz w:val="22"/>
          <w:szCs w:val="22"/>
        </w:rPr>
        <w:t xml:space="preserve"> évaluée</w:t>
      </w:r>
      <w:r w:rsidR="00CF2548" w:rsidRPr="00B12329">
        <w:rPr>
          <w:rFonts w:eastAsiaTheme="minorHAnsi" w:cstheme="minorBidi"/>
          <w:bCs w:val="0"/>
          <w:i w:val="0"/>
          <w:iCs w:val="0"/>
          <w:sz w:val="22"/>
          <w:szCs w:val="22"/>
        </w:rPr>
        <w:t xml:space="preserve"> </w:t>
      </w:r>
      <w:r w:rsidRPr="00B12329">
        <w:rPr>
          <w:rFonts w:eastAsiaTheme="minorHAnsi" w:cstheme="minorBidi"/>
          <w:bCs w:val="0"/>
          <w:i w:val="0"/>
          <w:iCs w:val="0"/>
          <w:sz w:val="22"/>
          <w:szCs w:val="22"/>
        </w:rPr>
        <w:t xml:space="preserve">à partir des données anatomiques </w:t>
      </w:r>
      <w:r w:rsidR="00F004D9" w:rsidRPr="00B12329">
        <w:rPr>
          <w:rFonts w:eastAsiaTheme="minorHAnsi" w:cstheme="minorBidi"/>
          <w:bCs w:val="0"/>
          <w:i w:val="0"/>
          <w:iCs w:val="0"/>
          <w:sz w:val="22"/>
          <w:szCs w:val="22"/>
        </w:rPr>
        <w:t xml:space="preserve">de la longe. </w:t>
      </w:r>
      <w:r w:rsidR="00CF2548">
        <w:rPr>
          <w:rFonts w:eastAsiaTheme="minorHAnsi" w:cstheme="minorBidi"/>
          <w:bCs w:val="0"/>
          <w:i w:val="0"/>
          <w:iCs w:val="0"/>
          <w:sz w:val="22"/>
          <w:szCs w:val="22"/>
        </w:rPr>
        <w:t>La l</w:t>
      </w:r>
      <w:r w:rsidR="00CF2548" w:rsidRPr="00B12329">
        <w:rPr>
          <w:rFonts w:eastAsiaTheme="minorHAnsi" w:cstheme="minorBidi"/>
          <w:bCs w:val="0"/>
          <w:i w:val="0"/>
          <w:iCs w:val="0"/>
          <w:sz w:val="22"/>
          <w:szCs w:val="22"/>
        </w:rPr>
        <w:t xml:space="preserve">onge entière non désossée avec bardière </w:t>
      </w:r>
      <w:r w:rsidR="00CF2548">
        <w:rPr>
          <w:rFonts w:eastAsiaTheme="minorHAnsi" w:cstheme="minorBidi"/>
          <w:bCs w:val="0"/>
          <w:i w:val="0"/>
          <w:iCs w:val="0"/>
          <w:sz w:val="22"/>
          <w:szCs w:val="22"/>
        </w:rPr>
        <w:t>recouvre</w:t>
      </w:r>
      <w:r w:rsidR="00CF2548" w:rsidRPr="00B12329">
        <w:rPr>
          <w:rFonts w:eastAsiaTheme="minorHAnsi" w:cstheme="minorBidi"/>
          <w:bCs w:val="0"/>
          <w:i w:val="0"/>
          <w:iCs w:val="0"/>
          <w:sz w:val="22"/>
          <w:szCs w:val="22"/>
        </w:rPr>
        <w:t xml:space="preserve"> </w:t>
      </w:r>
      <w:r w:rsidR="00CF2548">
        <w:rPr>
          <w:rFonts w:eastAsiaTheme="minorHAnsi" w:cstheme="minorBidi"/>
          <w:bCs w:val="0"/>
          <w:i w:val="0"/>
          <w:iCs w:val="0"/>
          <w:sz w:val="22"/>
          <w:szCs w:val="22"/>
        </w:rPr>
        <w:t>l’</w:t>
      </w:r>
      <w:r w:rsidR="00CF2548" w:rsidRPr="00B12329">
        <w:rPr>
          <w:rFonts w:eastAsiaTheme="minorHAnsi" w:cstheme="minorBidi"/>
          <w:bCs w:val="0"/>
          <w:i w:val="0"/>
          <w:iCs w:val="0"/>
          <w:sz w:val="22"/>
          <w:szCs w:val="22"/>
        </w:rPr>
        <w:t xml:space="preserve">échine,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 xml:space="preserve">carré, </w:t>
      </w:r>
      <w:r w:rsidR="00CF2548">
        <w:rPr>
          <w:rFonts w:eastAsiaTheme="minorHAnsi" w:cstheme="minorBidi"/>
          <w:bCs w:val="0"/>
          <w:i w:val="0"/>
          <w:iCs w:val="0"/>
          <w:sz w:val="22"/>
          <w:szCs w:val="22"/>
        </w:rPr>
        <w:t xml:space="preserve">la </w:t>
      </w:r>
      <w:r w:rsidR="00CF2548" w:rsidRPr="00B12329">
        <w:rPr>
          <w:rFonts w:eastAsiaTheme="minorHAnsi" w:cstheme="minorBidi"/>
          <w:bCs w:val="0"/>
          <w:i w:val="0"/>
          <w:iCs w:val="0"/>
          <w:sz w:val="22"/>
          <w:szCs w:val="22"/>
        </w:rPr>
        <w:t xml:space="preserve">pointe,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 xml:space="preserve">filet mignon,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 xml:space="preserve">loin ribs,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 xml:space="preserve">gras de bardière et </w:t>
      </w:r>
      <w:r w:rsidR="00CF2548">
        <w:rPr>
          <w:rFonts w:eastAsiaTheme="minorHAnsi" w:cstheme="minorBidi"/>
          <w:bCs w:val="0"/>
          <w:i w:val="0"/>
          <w:iCs w:val="0"/>
          <w:sz w:val="22"/>
          <w:szCs w:val="22"/>
        </w:rPr>
        <w:t xml:space="preserve">la </w:t>
      </w:r>
      <w:r w:rsidR="00CF2548" w:rsidRPr="00B12329">
        <w:rPr>
          <w:rFonts w:eastAsiaTheme="minorHAnsi" w:cstheme="minorBidi"/>
          <w:bCs w:val="0"/>
          <w:i w:val="0"/>
          <w:iCs w:val="0"/>
          <w:sz w:val="22"/>
          <w:szCs w:val="22"/>
        </w:rPr>
        <w:t xml:space="preserve">couenne (sans </w:t>
      </w:r>
      <w:r w:rsidR="00CF2548">
        <w:rPr>
          <w:rFonts w:eastAsiaTheme="minorHAnsi" w:cstheme="minorBidi"/>
          <w:bCs w:val="0"/>
          <w:i w:val="0"/>
          <w:iCs w:val="0"/>
          <w:sz w:val="22"/>
          <w:szCs w:val="22"/>
        </w:rPr>
        <w:t xml:space="preserve">le </w:t>
      </w:r>
      <w:r w:rsidR="00CF2548" w:rsidRPr="00B12329">
        <w:rPr>
          <w:rFonts w:eastAsiaTheme="minorHAnsi" w:cstheme="minorBidi"/>
          <w:bCs w:val="0"/>
          <w:i w:val="0"/>
          <w:iCs w:val="0"/>
          <w:sz w:val="22"/>
          <w:szCs w:val="22"/>
        </w:rPr>
        <w:t>travers</w:t>
      </w:r>
      <w:r w:rsidR="00CF2548">
        <w:rPr>
          <w:rFonts w:eastAsiaTheme="minorHAnsi" w:cstheme="minorBidi"/>
          <w:bCs w:val="0"/>
          <w:i w:val="0"/>
          <w:iCs w:val="0"/>
          <w:sz w:val="22"/>
          <w:szCs w:val="22"/>
        </w:rPr>
        <w:t xml:space="preserve"> associé à la poitrine</w:t>
      </w:r>
      <w:r w:rsidR="00CF2548" w:rsidRPr="00B12329">
        <w:rPr>
          <w:rFonts w:eastAsiaTheme="minorHAnsi" w:cstheme="minorBidi"/>
          <w:bCs w:val="0"/>
          <w:i w:val="0"/>
          <w:iCs w:val="0"/>
          <w:sz w:val="22"/>
          <w:szCs w:val="22"/>
        </w:rPr>
        <w:t>).</w:t>
      </w:r>
    </w:p>
    <w:p w14:paraId="2C15FA9F" w14:textId="504DA48F" w:rsidR="001F37B9" w:rsidRDefault="00CF2548" w:rsidP="001F37B9">
      <w:pPr>
        <w:rPr>
          <w:lang w:eastAsia="fr-FR"/>
        </w:rPr>
      </w:pPr>
      <w:r>
        <w:rPr>
          <w:lang w:eastAsia="fr-FR"/>
        </w:rPr>
        <w:t>L</w:t>
      </w:r>
      <w:r w:rsidR="00F004D9">
        <w:rPr>
          <w:lang w:eastAsia="fr-FR"/>
        </w:rPr>
        <w:t>es</w:t>
      </w:r>
      <w:r w:rsidR="001F37B9">
        <w:rPr>
          <w:lang w:eastAsia="fr-FR"/>
        </w:rPr>
        <w:t xml:space="preserve"> importations</w:t>
      </w:r>
      <w:r>
        <w:rPr>
          <w:lang w:eastAsia="fr-FR"/>
        </w:rPr>
        <w:t xml:space="preserve"> sont à associer</w:t>
      </w:r>
      <w:r w:rsidR="001F37B9">
        <w:rPr>
          <w:lang w:eastAsia="fr-FR"/>
        </w:rPr>
        <w:t xml:space="preserve"> aux équivalents </w:t>
      </w:r>
      <w:r w:rsidR="00F004D9">
        <w:rPr>
          <w:lang w:eastAsia="fr-FR"/>
        </w:rPr>
        <w:t>longe</w:t>
      </w:r>
      <w:r w:rsidR="00506319">
        <w:rPr>
          <w:lang w:eastAsia="fr-FR"/>
        </w:rPr>
        <w:t>s</w:t>
      </w:r>
      <w:r w:rsidR="001F37B9">
        <w:rPr>
          <w:lang w:eastAsia="fr-FR"/>
        </w:rPr>
        <w:t xml:space="preserve"> issu</w:t>
      </w:r>
      <w:r w:rsidR="00506319">
        <w:rPr>
          <w:lang w:eastAsia="fr-FR"/>
        </w:rPr>
        <w:t>e</w:t>
      </w:r>
      <w:r w:rsidR="001F37B9">
        <w:rPr>
          <w:lang w:eastAsia="fr-FR"/>
        </w:rPr>
        <w:t>s des carcasses importées (02031110 et 02032110 ; carcasse, demi</w:t>
      </w:r>
      <w:r w:rsidR="0013216B">
        <w:rPr>
          <w:lang w:eastAsia="fr-FR"/>
        </w:rPr>
        <w:t>-</w:t>
      </w:r>
      <w:r w:rsidR="001F37B9">
        <w:rPr>
          <w:lang w:eastAsia="fr-FR"/>
        </w:rPr>
        <w:t>carcasse fraîche ou réfrigérée et congelée)</w:t>
      </w:r>
      <w:r>
        <w:rPr>
          <w:lang w:eastAsia="fr-FR"/>
        </w:rPr>
        <w:t>. L</w:t>
      </w:r>
      <w:r w:rsidR="001F37B9">
        <w:rPr>
          <w:lang w:eastAsia="fr-FR"/>
        </w:rPr>
        <w:t xml:space="preserve">es exportations </w:t>
      </w:r>
      <w:r>
        <w:rPr>
          <w:lang w:eastAsia="fr-FR"/>
        </w:rPr>
        <w:t>représentent un peu plus de 10</w:t>
      </w:r>
      <w:r w:rsidR="0088266F">
        <w:rPr>
          <w:lang w:eastAsia="fr-FR"/>
        </w:rPr>
        <w:t> </w:t>
      </w:r>
      <w:r>
        <w:rPr>
          <w:lang w:eastAsia="fr-FR"/>
        </w:rPr>
        <w:t xml:space="preserve">% du total </w:t>
      </w:r>
      <w:r w:rsidR="00506319">
        <w:rPr>
          <w:lang w:eastAsia="fr-FR"/>
        </w:rPr>
        <w:t xml:space="preserve">en </w:t>
      </w:r>
      <w:r>
        <w:rPr>
          <w:lang w:eastAsia="fr-FR"/>
        </w:rPr>
        <w:t>longes disponible</w:t>
      </w:r>
      <w:r w:rsidR="00506319">
        <w:rPr>
          <w:lang w:eastAsia="fr-FR"/>
        </w:rPr>
        <w:t>s</w:t>
      </w:r>
      <w:r>
        <w:rPr>
          <w:lang w:eastAsia="fr-FR"/>
        </w:rPr>
        <w:t>. Elles s’apparentent aux</w:t>
      </w:r>
      <w:r w:rsidR="001F37B9">
        <w:rPr>
          <w:lang w:eastAsia="fr-FR"/>
        </w:rPr>
        <w:t xml:space="preserve"> exportations en </w:t>
      </w:r>
      <w:r w:rsidR="00F004D9">
        <w:rPr>
          <w:lang w:eastAsia="fr-FR"/>
        </w:rPr>
        <w:t>longes</w:t>
      </w:r>
      <w:r w:rsidR="001F37B9">
        <w:rPr>
          <w:lang w:eastAsia="fr-FR"/>
        </w:rPr>
        <w:t xml:space="preserve"> fraîches et congelées (0203191</w:t>
      </w:r>
      <w:r w:rsidR="00F004D9">
        <w:rPr>
          <w:lang w:eastAsia="fr-FR"/>
        </w:rPr>
        <w:t>3</w:t>
      </w:r>
      <w:r w:rsidR="001F37B9">
        <w:rPr>
          <w:lang w:eastAsia="fr-FR"/>
        </w:rPr>
        <w:t xml:space="preserve"> et 0203291</w:t>
      </w:r>
      <w:r w:rsidR="00F004D9">
        <w:rPr>
          <w:lang w:eastAsia="fr-FR"/>
        </w:rPr>
        <w:t>3</w:t>
      </w:r>
      <w:r w:rsidR="00506319">
        <w:rPr>
          <w:lang w:eastAsia="fr-FR"/>
        </w:rPr>
        <w:t xml:space="preserve"> </w:t>
      </w:r>
      <w:r w:rsidR="001F37B9">
        <w:rPr>
          <w:lang w:eastAsia="fr-FR"/>
        </w:rPr>
        <w:t>;</w:t>
      </w:r>
      <w:r w:rsidR="001F37B9" w:rsidRPr="00CF757E">
        <w:rPr>
          <w:lang w:eastAsia="fr-FR"/>
        </w:rPr>
        <w:t xml:space="preserve"> </w:t>
      </w:r>
      <w:r>
        <w:rPr>
          <w:lang w:eastAsia="fr-FR"/>
        </w:rPr>
        <w:t>44</w:t>
      </w:r>
      <w:r w:rsidR="0088266F">
        <w:rPr>
          <w:lang w:eastAsia="fr-FR"/>
        </w:rPr>
        <w:t> </w:t>
      </w:r>
      <w:r w:rsidR="001F37B9">
        <w:rPr>
          <w:lang w:eastAsia="fr-FR"/>
        </w:rPr>
        <w:t xml:space="preserve">kt et </w:t>
      </w:r>
      <w:r>
        <w:rPr>
          <w:lang w:eastAsia="fr-FR"/>
        </w:rPr>
        <w:t>18</w:t>
      </w:r>
      <w:r w:rsidR="0088266F">
        <w:rPr>
          <w:lang w:eastAsia="fr-FR"/>
        </w:rPr>
        <w:t> </w:t>
      </w:r>
      <w:r w:rsidR="001F37B9">
        <w:rPr>
          <w:lang w:eastAsia="fr-FR"/>
        </w:rPr>
        <w:t>kt) pour un total de 6</w:t>
      </w:r>
      <w:r>
        <w:rPr>
          <w:lang w:eastAsia="fr-FR"/>
        </w:rPr>
        <w:t>2</w:t>
      </w:r>
      <w:r w:rsidR="0088266F">
        <w:rPr>
          <w:lang w:eastAsia="fr-FR"/>
        </w:rPr>
        <w:t> </w:t>
      </w:r>
      <w:r w:rsidR="001F37B9">
        <w:rPr>
          <w:lang w:eastAsia="fr-FR"/>
        </w:rPr>
        <w:t>kt.</w:t>
      </w:r>
    </w:p>
    <w:tbl>
      <w:tblPr>
        <w:tblW w:w="9420" w:type="dxa"/>
        <w:tblCellMar>
          <w:left w:w="0" w:type="dxa"/>
          <w:right w:w="0" w:type="dxa"/>
        </w:tblCellMar>
        <w:tblLook w:val="0600" w:firstRow="0" w:lastRow="0" w:firstColumn="0" w:lastColumn="0" w:noHBand="1" w:noVBand="1"/>
      </w:tblPr>
      <w:tblGrid>
        <w:gridCol w:w="3720"/>
        <w:gridCol w:w="1540"/>
        <w:gridCol w:w="1000"/>
        <w:gridCol w:w="1180"/>
        <w:gridCol w:w="1980"/>
      </w:tblGrid>
      <w:tr w:rsidR="00CF2548" w:rsidRPr="009175CD" w14:paraId="42B3E66C" w14:textId="77777777" w:rsidTr="00CF2548">
        <w:trPr>
          <w:trHeight w:val="254"/>
        </w:trPr>
        <w:tc>
          <w:tcPr>
            <w:tcW w:w="372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5AD07A40" w14:textId="77777777" w:rsidR="00CF2548" w:rsidRPr="00A50150" w:rsidRDefault="00CF2548" w:rsidP="00CF2548">
            <w:pPr>
              <w:pStyle w:val="ValrieN1"/>
              <w:ind w:left="0"/>
              <w:rPr>
                <w:sz w:val="20"/>
                <w:szCs w:val="20"/>
              </w:rPr>
            </w:pPr>
            <w:r w:rsidRPr="00A50150">
              <w:rPr>
                <w:bCs/>
                <w:color w:val="000000"/>
                <w:kern w:val="24"/>
                <w:sz w:val="20"/>
                <w:szCs w:val="20"/>
              </w:rPr>
              <w:t> </w:t>
            </w:r>
          </w:p>
        </w:tc>
        <w:tc>
          <w:tcPr>
            <w:tcW w:w="15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AEED048" w14:textId="77777777" w:rsidR="00CF2548" w:rsidRPr="00A50150" w:rsidRDefault="00CF2548" w:rsidP="00CF2548">
            <w:pPr>
              <w:pStyle w:val="ValrieN1"/>
              <w:ind w:left="0"/>
              <w:rPr>
                <w:sz w:val="20"/>
                <w:szCs w:val="20"/>
              </w:rPr>
            </w:pPr>
            <w:r w:rsidRPr="00A50150">
              <w:rPr>
                <w:bCs/>
                <w:color w:val="000000"/>
                <w:kern w:val="24"/>
                <w:sz w:val="20"/>
                <w:szCs w:val="20"/>
              </w:rPr>
              <w:t xml:space="preserve">Production </w:t>
            </w:r>
          </w:p>
        </w:tc>
        <w:tc>
          <w:tcPr>
            <w:tcW w:w="100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6B90445" w14:textId="77777777" w:rsidR="00CF2548" w:rsidRPr="00A50150" w:rsidRDefault="00CF2548" w:rsidP="00CF2548">
            <w:pPr>
              <w:pStyle w:val="ValrieN1"/>
              <w:ind w:left="0"/>
              <w:rPr>
                <w:sz w:val="20"/>
                <w:szCs w:val="20"/>
              </w:rPr>
            </w:pPr>
            <w:r w:rsidRPr="00A50150">
              <w:rPr>
                <w:bCs/>
                <w:color w:val="000000"/>
                <w:kern w:val="24"/>
                <w:sz w:val="20"/>
                <w:szCs w:val="20"/>
              </w:rPr>
              <w:t>I</w:t>
            </w:r>
          </w:p>
        </w:tc>
        <w:tc>
          <w:tcPr>
            <w:tcW w:w="11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2E581B1" w14:textId="77777777" w:rsidR="00CF2548" w:rsidRPr="00A50150" w:rsidRDefault="00CF2548" w:rsidP="00CF2548">
            <w:pPr>
              <w:pStyle w:val="ValrieN1"/>
              <w:ind w:left="0"/>
              <w:rPr>
                <w:sz w:val="20"/>
                <w:szCs w:val="20"/>
              </w:rPr>
            </w:pPr>
            <w:r w:rsidRPr="00A50150">
              <w:rPr>
                <w:bCs/>
                <w:color w:val="000000"/>
                <w:kern w:val="24"/>
                <w:sz w:val="20"/>
                <w:szCs w:val="20"/>
              </w:rPr>
              <w:t>Ex</w:t>
            </w:r>
          </w:p>
        </w:tc>
        <w:tc>
          <w:tcPr>
            <w:tcW w:w="1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9AD26BD" w14:textId="77777777" w:rsidR="00CF2548" w:rsidRPr="00A50150" w:rsidRDefault="00CF2548" w:rsidP="00CF2548">
            <w:pPr>
              <w:pStyle w:val="ValrieN1"/>
              <w:ind w:left="0"/>
              <w:rPr>
                <w:sz w:val="20"/>
                <w:szCs w:val="20"/>
              </w:rPr>
            </w:pPr>
            <w:r w:rsidRPr="00A50150">
              <w:rPr>
                <w:bCs/>
                <w:color w:val="000000"/>
                <w:kern w:val="24"/>
                <w:sz w:val="20"/>
                <w:szCs w:val="20"/>
              </w:rPr>
              <w:t xml:space="preserve">Consommation </w:t>
            </w:r>
          </w:p>
        </w:tc>
      </w:tr>
      <w:tr w:rsidR="00CF2548" w:rsidRPr="009175CD" w14:paraId="08579D22" w14:textId="77777777" w:rsidTr="00CF2548">
        <w:trPr>
          <w:trHeight w:val="232"/>
        </w:trPr>
        <w:tc>
          <w:tcPr>
            <w:tcW w:w="372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A9B8BD6" w14:textId="77777777" w:rsidR="00CF2548" w:rsidRPr="00A50150" w:rsidRDefault="00CF2548" w:rsidP="00CF2548">
            <w:pPr>
              <w:pStyle w:val="ValrieN1"/>
              <w:ind w:left="0"/>
              <w:rPr>
                <w:sz w:val="20"/>
                <w:szCs w:val="20"/>
              </w:rPr>
            </w:pPr>
            <w:r w:rsidRPr="00A50150">
              <w:rPr>
                <w:bCs/>
                <w:color w:val="000000"/>
                <w:kern w:val="24"/>
                <w:sz w:val="20"/>
                <w:szCs w:val="20"/>
              </w:rPr>
              <w:t xml:space="preserve">Total </w:t>
            </w:r>
          </w:p>
        </w:tc>
        <w:tc>
          <w:tcPr>
            <w:tcW w:w="154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C5058FA" w14:textId="77777777" w:rsidR="00CF2548" w:rsidRPr="00A50150" w:rsidRDefault="00CF2548" w:rsidP="00CF2548">
            <w:pPr>
              <w:pStyle w:val="ValrieN1"/>
              <w:ind w:left="0"/>
              <w:rPr>
                <w:sz w:val="20"/>
                <w:szCs w:val="20"/>
              </w:rPr>
            </w:pPr>
            <w:r w:rsidRPr="00A50150">
              <w:rPr>
                <w:bCs/>
                <w:color w:val="000000"/>
                <w:kern w:val="24"/>
                <w:sz w:val="20"/>
                <w:szCs w:val="20"/>
              </w:rPr>
              <w:t>645</w:t>
            </w:r>
          </w:p>
        </w:tc>
        <w:tc>
          <w:tcPr>
            <w:tcW w:w="100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01722632" w14:textId="77777777" w:rsidR="00CF2548" w:rsidRPr="00A50150" w:rsidRDefault="00CF2548" w:rsidP="00CF2548">
            <w:pPr>
              <w:pStyle w:val="ValrieN1"/>
              <w:ind w:left="0"/>
              <w:rPr>
                <w:sz w:val="20"/>
                <w:szCs w:val="20"/>
              </w:rPr>
            </w:pPr>
            <w:r w:rsidRPr="00A50150">
              <w:rPr>
                <w:bCs/>
                <w:color w:val="000000"/>
                <w:kern w:val="24"/>
                <w:sz w:val="20"/>
                <w:szCs w:val="20"/>
              </w:rPr>
              <w:t>0,7</w:t>
            </w:r>
          </w:p>
        </w:tc>
        <w:tc>
          <w:tcPr>
            <w:tcW w:w="11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1330088F" w14:textId="77777777" w:rsidR="00CF2548" w:rsidRPr="00A50150" w:rsidRDefault="00CF2548" w:rsidP="00CF2548">
            <w:pPr>
              <w:pStyle w:val="ValrieN1"/>
              <w:ind w:left="0"/>
              <w:rPr>
                <w:sz w:val="20"/>
                <w:szCs w:val="20"/>
              </w:rPr>
            </w:pPr>
            <w:r w:rsidRPr="00A50150">
              <w:rPr>
                <w:bCs/>
                <w:color w:val="000000"/>
                <w:kern w:val="24"/>
                <w:sz w:val="20"/>
                <w:szCs w:val="20"/>
              </w:rPr>
              <w:t>62</w:t>
            </w:r>
          </w:p>
        </w:tc>
        <w:tc>
          <w:tcPr>
            <w:tcW w:w="1980" w:type="dxa"/>
            <w:tcBorders>
              <w:top w:val="single" w:sz="4" w:space="0" w:color="auto"/>
              <w:left w:val="single" w:sz="4" w:space="0" w:color="auto"/>
              <w:bottom w:val="single" w:sz="4" w:space="0" w:color="auto"/>
              <w:right w:val="single" w:sz="4" w:space="0" w:color="auto"/>
            </w:tcBorders>
            <w:shd w:val="clear" w:color="auto" w:fill="A6A6A6" w:themeFill="background1" w:themeFillShade="A6"/>
            <w:tcMar>
              <w:top w:w="15" w:type="dxa"/>
              <w:left w:w="15" w:type="dxa"/>
              <w:bottom w:w="0" w:type="dxa"/>
              <w:right w:w="15" w:type="dxa"/>
            </w:tcMar>
            <w:vAlign w:val="center"/>
            <w:hideMark/>
          </w:tcPr>
          <w:p w14:paraId="34C518DD" w14:textId="77777777" w:rsidR="00CF2548" w:rsidRPr="00A50150" w:rsidRDefault="00CF2548" w:rsidP="00CF2548">
            <w:pPr>
              <w:pStyle w:val="ValrieN1"/>
              <w:ind w:left="0"/>
              <w:jc w:val="left"/>
              <w:rPr>
                <w:sz w:val="20"/>
                <w:szCs w:val="20"/>
              </w:rPr>
            </w:pPr>
            <w:r w:rsidRPr="00A50150">
              <w:rPr>
                <w:bCs/>
                <w:color w:val="000000"/>
                <w:kern w:val="24"/>
                <w:sz w:val="20"/>
                <w:szCs w:val="20"/>
              </w:rPr>
              <w:t>584 [526-642]</w:t>
            </w:r>
          </w:p>
        </w:tc>
      </w:tr>
      <w:tr w:rsidR="00CF2548" w:rsidRPr="009175CD" w14:paraId="007A930E" w14:textId="77777777" w:rsidTr="00CF2548">
        <w:trPr>
          <w:trHeight w:val="380"/>
        </w:trPr>
        <w:tc>
          <w:tcPr>
            <w:tcW w:w="372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33DE15" w14:textId="77777777" w:rsidR="00CF2548" w:rsidRPr="00EA0C75" w:rsidRDefault="00CF2548" w:rsidP="00CF2548">
            <w:pPr>
              <w:pStyle w:val="ValrieN1"/>
              <w:ind w:left="0"/>
              <w:rPr>
                <w:b w:val="0"/>
                <w:sz w:val="20"/>
                <w:szCs w:val="20"/>
              </w:rPr>
            </w:pPr>
            <w:r w:rsidRPr="00A06B55">
              <w:rPr>
                <w:color w:val="000000"/>
                <w:kern w:val="24"/>
                <w:sz w:val="20"/>
                <w:szCs w:val="20"/>
              </w:rPr>
              <w:t xml:space="preserve">Longe avec os fraîche ou réfrigérée (*) </w:t>
            </w:r>
          </w:p>
        </w:tc>
        <w:tc>
          <w:tcPr>
            <w:tcW w:w="154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4DB9AB6"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508</w:t>
            </w:r>
          </w:p>
        </w:tc>
        <w:tc>
          <w:tcPr>
            <w:tcW w:w="100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7CB40D3"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0,5</w:t>
            </w:r>
          </w:p>
        </w:tc>
        <w:tc>
          <w:tcPr>
            <w:tcW w:w="118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B82B4E5"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44</w:t>
            </w:r>
          </w:p>
        </w:tc>
        <w:tc>
          <w:tcPr>
            <w:tcW w:w="1980"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06291A8"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445 [400-489]</w:t>
            </w:r>
          </w:p>
        </w:tc>
      </w:tr>
      <w:tr w:rsidR="00CF2548" w:rsidRPr="009175CD" w14:paraId="7A8294CC" w14:textId="77777777" w:rsidTr="00CF2548">
        <w:trPr>
          <w:trHeight w:val="230"/>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9683C53" w14:textId="77777777" w:rsidR="00CF2548" w:rsidRPr="00EA0C75" w:rsidRDefault="00CF2548" w:rsidP="00CF2548">
            <w:pPr>
              <w:pStyle w:val="ValrieN1"/>
              <w:ind w:left="0"/>
              <w:rPr>
                <w:b w:val="0"/>
                <w:sz w:val="20"/>
                <w:szCs w:val="20"/>
              </w:rPr>
            </w:pPr>
            <w:r w:rsidRPr="00A06B55">
              <w:rPr>
                <w:color w:val="000000"/>
                <w:kern w:val="24"/>
                <w:sz w:val="20"/>
                <w:szCs w:val="20"/>
              </w:rPr>
              <w:t>Longe avec os congelée (*)</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EDF3DDB"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137</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554C9C2"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0,2</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0CCF117"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18</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149E27D"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109 [98-120]</w:t>
            </w:r>
          </w:p>
        </w:tc>
      </w:tr>
      <w:tr w:rsidR="00CF2548" w:rsidRPr="009175CD" w14:paraId="1DD0C070" w14:textId="77777777" w:rsidTr="00CF2548">
        <w:trPr>
          <w:trHeight w:val="405"/>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E934992" w14:textId="77777777" w:rsidR="00CF2548" w:rsidRPr="00EA0C75" w:rsidRDefault="00CF2548" w:rsidP="00CF2548">
            <w:pPr>
              <w:pStyle w:val="ValrieN1"/>
              <w:ind w:left="0"/>
              <w:rPr>
                <w:b w:val="0"/>
                <w:sz w:val="20"/>
                <w:szCs w:val="20"/>
              </w:rPr>
            </w:pPr>
            <w:r w:rsidRPr="00A06B55">
              <w:rPr>
                <w:color w:val="000000"/>
                <w:kern w:val="24"/>
                <w:sz w:val="20"/>
                <w:szCs w:val="20"/>
              </w:rPr>
              <w:t>Gras de bardière, autres gras</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37A62CB"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92CF038"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C087288"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9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bottom"/>
            <w:hideMark/>
          </w:tcPr>
          <w:p w14:paraId="3B1E8B3F" w14:textId="77777777" w:rsidR="00CF2548" w:rsidRPr="00A06B55" w:rsidRDefault="00CF2548" w:rsidP="00CF2548">
            <w:pPr>
              <w:pStyle w:val="ValrieN1"/>
              <w:ind w:left="0"/>
              <w:jc w:val="left"/>
              <w:rPr>
                <w:b w:val="0"/>
                <w:color w:val="000000" w:themeColor="text1"/>
                <w:sz w:val="20"/>
                <w:szCs w:val="20"/>
              </w:rPr>
            </w:pPr>
            <w:r w:rsidRPr="00A06B55">
              <w:rPr>
                <w:b w:val="0"/>
                <w:bCs/>
                <w:color w:val="000000" w:themeColor="text1"/>
                <w:kern w:val="24"/>
                <w:sz w:val="20"/>
                <w:szCs w:val="20"/>
              </w:rPr>
              <w:t>17 [15-19]</w:t>
            </w:r>
          </w:p>
        </w:tc>
      </w:tr>
      <w:tr w:rsidR="00CF2548" w:rsidRPr="009175CD" w14:paraId="23FF1876" w14:textId="77777777" w:rsidTr="00CF2548">
        <w:trPr>
          <w:trHeight w:val="193"/>
        </w:trPr>
        <w:tc>
          <w:tcPr>
            <w:tcW w:w="372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C734647" w14:textId="57BF30FB" w:rsidR="00CF2548" w:rsidRPr="00EA0C75" w:rsidRDefault="00CF2548" w:rsidP="00CF2548">
            <w:pPr>
              <w:pStyle w:val="ValrieN1"/>
              <w:ind w:left="0"/>
              <w:rPr>
                <w:b w:val="0"/>
                <w:sz w:val="20"/>
                <w:szCs w:val="20"/>
              </w:rPr>
            </w:pPr>
            <w:r w:rsidRPr="00A06B55">
              <w:rPr>
                <w:color w:val="000000"/>
                <w:kern w:val="24"/>
                <w:sz w:val="20"/>
                <w:szCs w:val="20"/>
              </w:rPr>
              <w:t xml:space="preserve">Freinte </w:t>
            </w:r>
            <w:r w:rsidR="006A6D0C">
              <w:rPr>
                <w:color w:val="000000"/>
                <w:kern w:val="24"/>
                <w:sz w:val="20"/>
                <w:szCs w:val="20"/>
              </w:rPr>
              <w:t>(effluents)</w:t>
            </w:r>
          </w:p>
        </w:tc>
        <w:tc>
          <w:tcPr>
            <w:tcW w:w="154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D5BF779"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00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C31A32A"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118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74D63AA" w14:textId="77777777" w:rsidR="00CF2548" w:rsidRPr="00A06B55" w:rsidRDefault="00CF2548" w:rsidP="00CF2548">
            <w:pPr>
              <w:pStyle w:val="ValrieN1"/>
              <w:ind w:left="0"/>
              <w:jc w:val="left"/>
              <w:rPr>
                <w:b w:val="0"/>
                <w:color w:val="000000" w:themeColor="text1"/>
                <w:sz w:val="20"/>
                <w:szCs w:val="20"/>
              </w:rPr>
            </w:pPr>
            <w:r w:rsidRPr="00A06B55">
              <w:rPr>
                <w:b w:val="0"/>
                <w:bCs/>
                <w:i/>
                <w:iCs/>
                <w:color w:val="000000" w:themeColor="text1"/>
                <w:kern w:val="24"/>
                <w:sz w:val="20"/>
                <w:szCs w:val="20"/>
              </w:rPr>
              <w:t>_</w:t>
            </w:r>
          </w:p>
        </w:tc>
        <w:tc>
          <w:tcPr>
            <w:tcW w:w="0" w:type="auto"/>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EF54FB0" w14:textId="2D8C41B1" w:rsidR="00CF2548" w:rsidRPr="00A06B55" w:rsidRDefault="0088266F" w:rsidP="00CF2548">
            <w:pPr>
              <w:pStyle w:val="ValrieN1"/>
              <w:ind w:left="0"/>
              <w:jc w:val="left"/>
              <w:rPr>
                <w:b w:val="0"/>
                <w:color w:val="000000" w:themeColor="text1"/>
                <w:sz w:val="20"/>
                <w:szCs w:val="20"/>
              </w:rPr>
            </w:pPr>
            <w:r>
              <w:rPr>
                <w:b w:val="0"/>
                <w:bCs/>
                <w:color w:val="000000" w:themeColor="text1"/>
                <w:sz w:val="20"/>
                <w:szCs w:val="20"/>
              </w:rPr>
              <w:t>13</w:t>
            </w:r>
            <w:r w:rsidR="00CF2548" w:rsidRPr="00A06B55">
              <w:rPr>
                <w:b w:val="0"/>
                <w:bCs/>
                <w:color w:val="000000" w:themeColor="text1"/>
                <w:sz w:val="20"/>
                <w:szCs w:val="20"/>
              </w:rPr>
              <w:t xml:space="preserve"> [</w:t>
            </w:r>
            <w:r>
              <w:rPr>
                <w:b w:val="0"/>
                <w:bCs/>
                <w:color w:val="000000" w:themeColor="text1"/>
                <w:sz w:val="20"/>
                <w:szCs w:val="20"/>
              </w:rPr>
              <w:t>9</w:t>
            </w:r>
            <w:r w:rsidR="00CF2548" w:rsidRPr="00A06B55">
              <w:rPr>
                <w:b w:val="0"/>
                <w:bCs/>
                <w:color w:val="000000" w:themeColor="text1"/>
                <w:sz w:val="20"/>
                <w:szCs w:val="20"/>
              </w:rPr>
              <w:t>-</w:t>
            </w:r>
            <w:r>
              <w:rPr>
                <w:b w:val="0"/>
                <w:bCs/>
                <w:color w:val="000000" w:themeColor="text1"/>
                <w:sz w:val="20"/>
                <w:szCs w:val="20"/>
              </w:rPr>
              <w:t>17</w:t>
            </w:r>
            <w:r w:rsidR="00CF2548" w:rsidRPr="00A06B55">
              <w:rPr>
                <w:b w:val="0"/>
                <w:bCs/>
                <w:color w:val="000000" w:themeColor="text1"/>
                <w:sz w:val="20"/>
                <w:szCs w:val="20"/>
              </w:rPr>
              <w:t>]</w:t>
            </w:r>
          </w:p>
        </w:tc>
      </w:tr>
    </w:tbl>
    <w:p w14:paraId="1CB9816E" w14:textId="78C0F964" w:rsidR="00CF2548" w:rsidRPr="00506319" w:rsidRDefault="00CF2548" w:rsidP="0002537E">
      <w:pPr>
        <w:pStyle w:val="figure"/>
      </w:pPr>
      <w:bookmarkStart w:id="401" w:name="_Toc72143432"/>
      <w:r w:rsidRPr="00CF2548">
        <w:t xml:space="preserve">Tableau </w:t>
      </w:r>
      <w:r w:rsidRPr="00926407">
        <w:fldChar w:fldCharType="begin"/>
      </w:r>
      <w:r w:rsidRPr="00CF2548">
        <w:instrText xml:space="preserve"> SEQ Tableau \* ARABIC </w:instrText>
      </w:r>
      <w:r w:rsidRPr="00926407">
        <w:fldChar w:fldCharType="separate"/>
      </w:r>
      <w:r w:rsidR="0007597F">
        <w:rPr>
          <w:noProof/>
        </w:rPr>
        <w:t>85</w:t>
      </w:r>
      <w:r w:rsidRPr="00926407">
        <w:fldChar w:fldCharType="end"/>
      </w:r>
      <w:r w:rsidR="007538FF">
        <w:t xml:space="preserve"> : </w:t>
      </w:r>
      <w:r w:rsidR="00506319" w:rsidRPr="00A50150">
        <w:t xml:space="preserve">Représentation tableau emploi ressource </w:t>
      </w:r>
      <w:r w:rsidR="00506319">
        <w:t>à destination de la formation de longe en équivalent pièce</w:t>
      </w:r>
      <w:r w:rsidR="00506319" w:rsidRPr="00A50150">
        <w:t xml:space="preserve"> primaire</w:t>
      </w:r>
      <w:bookmarkEnd w:id="401"/>
    </w:p>
    <w:p w14:paraId="0AFCE2B5" w14:textId="5C443EF9" w:rsidR="00506319" w:rsidRPr="009175CD" w:rsidRDefault="00CF2548" w:rsidP="00E63EF2">
      <w:pPr>
        <w:pStyle w:val="Titre3"/>
      </w:pPr>
      <w:bookmarkStart w:id="402" w:name="_Toc78131702"/>
      <w:r>
        <w:t>2.</w:t>
      </w:r>
      <w:r w:rsidR="004B43AF">
        <w:t>5</w:t>
      </w:r>
      <w:r>
        <w:t>.</w:t>
      </w:r>
      <w:r w:rsidR="00506319">
        <w:t>2.</w:t>
      </w:r>
      <w:r>
        <w:t xml:space="preserve"> </w:t>
      </w:r>
      <w:r w:rsidR="00506319" w:rsidRPr="00713036">
        <w:rPr>
          <w:rFonts w:eastAsiaTheme="minorEastAsia"/>
        </w:rPr>
        <w:t xml:space="preserve">Destination </w:t>
      </w:r>
      <w:r w:rsidR="00506319">
        <w:rPr>
          <w:rFonts w:eastAsiaTheme="minorEastAsia"/>
        </w:rPr>
        <w:t xml:space="preserve">en </w:t>
      </w:r>
      <w:r w:rsidR="00506319" w:rsidRPr="00713036">
        <w:rPr>
          <w:rFonts w:eastAsiaTheme="minorEastAsia"/>
        </w:rPr>
        <w:t xml:space="preserve">pièces </w:t>
      </w:r>
      <w:r w:rsidR="00506319">
        <w:rPr>
          <w:rFonts w:eastAsiaTheme="minorEastAsia"/>
        </w:rPr>
        <w:t xml:space="preserve">et </w:t>
      </w:r>
      <w:r w:rsidR="00506319" w:rsidRPr="00713036">
        <w:rPr>
          <w:rFonts w:eastAsiaTheme="minorEastAsia"/>
        </w:rPr>
        <w:t xml:space="preserve">muscles </w:t>
      </w:r>
      <w:r w:rsidR="00506319" w:rsidRPr="00E63EF2">
        <w:rPr>
          <w:rFonts w:eastAsiaTheme="minorEastAsia"/>
        </w:rPr>
        <w:t>parés</w:t>
      </w:r>
      <w:r w:rsidR="00506319" w:rsidRPr="00713036">
        <w:rPr>
          <w:rFonts w:eastAsiaTheme="minorEastAsia"/>
        </w:rPr>
        <w:t xml:space="preserve"> (eq. pièces secondaires)</w:t>
      </w:r>
      <w:bookmarkEnd w:id="402"/>
    </w:p>
    <w:p w14:paraId="65736F98" w14:textId="007207DA" w:rsidR="001F478F" w:rsidRPr="00EB5D7E" w:rsidRDefault="00506319" w:rsidP="00506319">
      <w:pPr>
        <w:rPr>
          <w:lang w:eastAsia="fr-FR"/>
        </w:rPr>
      </w:pPr>
      <w:r>
        <w:rPr>
          <w:lang w:eastAsia="fr-FR"/>
        </w:rPr>
        <w:t>Le t</w:t>
      </w:r>
      <w:r w:rsidRPr="009175CD">
        <w:rPr>
          <w:lang w:eastAsia="fr-FR"/>
        </w:rPr>
        <w:t xml:space="preserve">otal disponible à la consommation en </w:t>
      </w:r>
      <w:r>
        <w:rPr>
          <w:lang w:eastAsia="fr-FR"/>
        </w:rPr>
        <w:t>longes parées</w:t>
      </w:r>
      <w:r w:rsidRPr="009175CD">
        <w:rPr>
          <w:lang w:eastAsia="fr-FR"/>
        </w:rPr>
        <w:t xml:space="preserve"> </w:t>
      </w:r>
      <w:r w:rsidRPr="00713036">
        <w:rPr>
          <w:bCs/>
          <w:lang w:eastAsia="fr-FR"/>
        </w:rPr>
        <w:t>e</w:t>
      </w:r>
      <w:r>
        <w:rPr>
          <w:bCs/>
          <w:lang w:eastAsia="fr-FR"/>
        </w:rPr>
        <w:t>n sortie de découpe secondaire est</w:t>
      </w:r>
      <w:r w:rsidRPr="00713036">
        <w:rPr>
          <w:bCs/>
          <w:lang w:eastAsia="fr-FR"/>
        </w:rPr>
        <w:t xml:space="preserve"> inférieur à </w:t>
      </w:r>
      <w:r w:rsidR="00EF5142">
        <w:rPr>
          <w:bCs/>
          <w:lang w:eastAsia="fr-FR"/>
        </w:rPr>
        <w:t>440</w:t>
      </w:r>
      <w:r>
        <w:rPr>
          <w:bCs/>
          <w:lang w:eastAsia="fr-FR"/>
        </w:rPr>
        <w:t xml:space="preserve"> </w:t>
      </w:r>
      <w:r w:rsidRPr="00713036">
        <w:rPr>
          <w:bCs/>
          <w:lang w:eastAsia="fr-FR"/>
        </w:rPr>
        <w:t>kt</w:t>
      </w:r>
      <w:r w:rsidRPr="009175CD">
        <w:rPr>
          <w:bCs/>
          <w:lang w:eastAsia="fr-FR"/>
        </w:rPr>
        <w:t>.</w:t>
      </w:r>
      <w:r>
        <w:rPr>
          <w:bCs/>
          <w:lang w:eastAsia="fr-FR"/>
        </w:rPr>
        <w:t xml:space="preserve"> </w:t>
      </w:r>
      <w:r w:rsidRPr="009175CD">
        <w:rPr>
          <w:lang w:eastAsia="fr-FR"/>
        </w:rPr>
        <w:t>Les données obtenues par enquête ont permis d</w:t>
      </w:r>
      <w:r>
        <w:rPr>
          <w:lang w:eastAsia="fr-FR"/>
        </w:rPr>
        <w:t>’approcher</w:t>
      </w:r>
      <w:r w:rsidRPr="009175CD">
        <w:rPr>
          <w:lang w:eastAsia="fr-FR"/>
        </w:rPr>
        <w:t xml:space="preserve"> l</w:t>
      </w:r>
      <w:r>
        <w:rPr>
          <w:lang w:eastAsia="fr-FR"/>
        </w:rPr>
        <w:t>a part relative des</w:t>
      </w:r>
      <w:r w:rsidRPr="009175CD">
        <w:rPr>
          <w:lang w:eastAsia="fr-FR"/>
        </w:rPr>
        <w:t xml:space="preserve"> typologies de pièces secondaires mises en œuvre</w:t>
      </w:r>
      <w:r>
        <w:rPr>
          <w:lang w:eastAsia="fr-FR"/>
        </w:rPr>
        <w:t xml:space="preserve"> avec une incertitude (</w:t>
      </w:r>
      <w:r w:rsidRPr="008B012C">
        <w:rPr>
          <w:lang w:eastAsia="fr-FR"/>
        </w:rPr>
        <w:fldChar w:fldCharType="begin"/>
      </w:r>
      <w:r w:rsidRPr="008B012C">
        <w:rPr>
          <w:lang w:eastAsia="fr-FR"/>
        </w:rPr>
        <w:instrText xml:space="preserve"> REF _Ref70871883 \h </w:instrText>
      </w:r>
      <w:r w:rsidRPr="00A50150">
        <w:rPr>
          <w:lang w:eastAsia="fr-FR"/>
        </w:rPr>
        <w:instrText xml:space="preserve"> \* MERGEFORMAT </w:instrText>
      </w:r>
      <w:r w:rsidRPr="008B012C">
        <w:rPr>
          <w:lang w:eastAsia="fr-FR"/>
        </w:rPr>
      </w:r>
      <w:r w:rsidRPr="008B012C">
        <w:rPr>
          <w:lang w:eastAsia="fr-FR"/>
        </w:rPr>
        <w:fldChar w:fldCharType="separate"/>
      </w:r>
      <w:r w:rsidR="0007597F" w:rsidRPr="0007597F">
        <w:t xml:space="preserve">Figure </w:t>
      </w:r>
      <w:r w:rsidR="0007597F" w:rsidRPr="0002537E">
        <w:rPr>
          <w:noProof/>
        </w:rPr>
        <w:t>32</w:t>
      </w:r>
      <w:r w:rsidRPr="008B012C">
        <w:rPr>
          <w:lang w:eastAsia="fr-FR"/>
        </w:rPr>
        <w:fldChar w:fldCharType="end"/>
      </w:r>
      <w:r>
        <w:rPr>
          <w:lang w:eastAsia="fr-FR"/>
        </w:rPr>
        <w:t>).</w:t>
      </w:r>
      <w:r w:rsidR="006A6D0C">
        <w:rPr>
          <w:lang w:eastAsia="fr-FR"/>
        </w:rPr>
        <w:t xml:space="preserve"> Les </w:t>
      </w:r>
      <w:r>
        <w:rPr>
          <w:lang w:eastAsia="fr-FR"/>
        </w:rPr>
        <w:t xml:space="preserve">volumes d’importation </w:t>
      </w:r>
      <w:r w:rsidR="006A6D0C">
        <w:rPr>
          <w:lang w:eastAsia="fr-FR"/>
        </w:rPr>
        <w:t xml:space="preserve">représentent </w:t>
      </w:r>
      <w:r w:rsidR="00CC3DC7">
        <w:rPr>
          <w:lang w:eastAsia="fr-FR"/>
        </w:rPr>
        <w:t>7</w:t>
      </w:r>
      <w:r w:rsidR="006A6D0C">
        <w:rPr>
          <w:lang w:eastAsia="fr-FR"/>
        </w:rPr>
        <w:t> </w:t>
      </w:r>
      <w:r>
        <w:rPr>
          <w:lang w:eastAsia="fr-FR"/>
        </w:rPr>
        <w:t>kt</w:t>
      </w:r>
      <w:r w:rsidR="00CC3DC7">
        <w:rPr>
          <w:lang w:eastAsia="fr-FR"/>
        </w:rPr>
        <w:t xml:space="preserve"> </w:t>
      </w:r>
      <w:r w:rsidR="006A6D0C">
        <w:rPr>
          <w:lang w:eastAsia="fr-FR"/>
        </w:rPr>
        <w:t>avec</w:t>
      </w:r>
      <w:r>
        <w:rPr>
          <w:lang w:eastAsia="fr-FR"/>
        </w:rPr>
        <w:t xml:space="preserve"> des pièces </w:t>
      </w:r>
      <w:r w:rsidR="00EF5142">
        <w:rPr>
          <w:lang w:eastAsia="fr-FR"/>
        </w:rPr>
        <w:t xml:space="preserve">de longes </w:t>
      </w:r>
      <w:r>
        <w:rPr>
          <w:lang w:eastAsia="fr-FR"/>
        </w:rPr>
        <w:t>primaires fraîches et congelées (02031</w:t>
      </w:r>
      <w:r w:rsidR="00EF5142">
        <w:rPr>
          <w:lang w:eastAsia="fr-FR"/>
        </w:rPr>
        <w:t>9</w:t>
      </w:r>
      <w:r>
        <w:rPr>
          <w:lang w:eastAsia="fr-FR"/>
        </w:rPr>
        <w:t>1</w:t>
      </w:r>
      <w:r w:rsidR="00EF5142">
        <w:rPr>
          <w:lang w:eastAsia="fr-FR"/>
        </w:rPr>
        <w:t>3</w:t>
      </w:r>
      <w:r>
        <w:rPr>
          <w:lang w:eastAsia="fr-FR"/>
        </w:rPr>
        <w:t xml:space="preserve"> et 02032</w:t>
      </w:r>
      <w:r w:rsidR="00EF5142">
        <w:rPr>
          <w:lang w:eastAsia="fr-FR"/>
        </w:rPr>
        <w:t>9</w:t>
      </w:r>
      <w:r>
        <w:rPr>
          <w:lang w:eastAsia="fr-FR"/>
        </w:rPr>
        <w:t>1</w:t>
      </w:r>
      <w:r w:rsidR="00EF5142">
        <w:rPr>
          <w:lang w:eastAsia="fr-FR"/>
        </w:rPr>
        <w:t>3</w:t>
      </w:r>
      <w:r>
        <w:rPr>
          <w:lang w:eastAsia="fr-FR"/>
        </w:rPr>
        <w:t>).</w:t>
      </w:r>
      <w:r w:rsidR="006A6D0C">
        <w:rPr>
          <w:lang w:eastAsia="fr-FR"/>
        </w:rPr>
        <w:t xml:space="preserve"> </w:t>
      </w:r>
      <w:r w:rsidR="00EF5142">
        <w:rPr>
          <w:lang w:eastAsia="fr-FR"/>
        </w:rPr>
        <w:t>Les volumes d’exportation quant à eux, et sur la base des données à dire d’expert</w:t>
      </w:r>
      <w:r w:rsidR="006A6D0C">
        <w:rPr>
          <w:lang w:eastAsia="fr-FR"/>
        </w:rPr>
        <w:t>,</w:t>
      </w:r>
      <w:r w:rsidR="00EF5142">
        <w:rPr>
          <w:lang w:eastAsia="fr-FR"/>
        </w:rPr>
        <w:t xml:space="preserve"> correspondraient à ce stade à l’exportation de la longe parée et coupée en trois</w:t>
      </w:r>
      <w:r w:rsidR="00CC2FA3">
        <w:rPr>
          <w:lang w:eastAsia="fr-FR"/>
        </w:rPr>
        <w:t xml:space="preserve"> </w:t>
      </w:r>
      <w:r w:rsidR="00A454AF">
        <w:rPr>
          <w:lang w:eastAsia="fr-FR"/>
        </w:rPr>
        <w:t>permettant d’isoler la partie filet, du carré et de l’échine</w:t>
      </w:r>
      <w:r w:rsidR="0013216B">
        <w:rPr>
          <w:lang w:eastAsia="fr-FR"/>
        </w:rPr>
        <w:t xml:space="preserve"> </w:t>
      </w:r>
      <w:r w:rsidR="00EF5142">
        <w:rPr>
          <w:lang w:eastAsia="fr-FR"/>
        </w:rPr>
        <w:t xml:space="preserve">; il ne s’agit pas à proprement parler de longe primaire mais bien d’un niveau de découpe ultérieur. Ces volumes équivaudraient aux typologies produits classées </w:t>
      </w:r>
      <w:r w:rsidR="00A454AF">
        <w:rPr>
          <w:lang w:eastAsia="fr-FR"/>
        </w:rPr>
        <w:t>« </w:t>
      </w:r>
      <w:r w:rsidR="00EF5142">
        <w:rPr>
          <w:lang w:eastAsia="fr-FR"/>
        </w:rPr>
        <w:t>autres</w:t>
      </w:r>
      <w:r w:rsidR="00A454AF">
        <w:rPr>
          <w:lang w:eastAsia="fr-FR"/>
        </w:rPr>
        <w:t> » sur le plan des données douanières</w:t>
      </w:r>
      <w:r w:rsidR="00EF5142">
        <w:rPr>
          <w:lang w:eastAsia="fr-FR"/>
        </w:rPr>
        <w:t xml:space="preserve"> pour un total de 46 kt (02031959 et 02032959 ; </w:t>
      </w:r>
      <w:r w:rsidR="00A454AF">
        <w:rPr>
          <w:lang w:eastAsia="fr-FR"/>
        </w:rPr>
        <w:t>a</w:t>
      </w:r>
      <w:r w:rsidR="00EF5142">
        <w:rPr>
          <w:lang w:eastAsia="fr-FR"/>
        </w:rPr>
        <w:t>utre nd frais et congelé).</w:t>
      </w:r>
      <w:r w:rsidR="00CC2FA3">
        <w:rPr>
          <w:lang w:eastAsia="fr-FR"/>
        </w:rPr>
        <w:t xml:space="preserve"> </w:t>
      </w:r>
      <w:r w:rsidR="001F478F">
        <w:rPr>
          <w:lang w:eastAsia="fr-FR"/>
        </w:rPr>
        <w:t xml:space="preserve">La part des gras et du minerai pour un réemploi en charcuterie </w:t>
      </w:r>
      <w:r w:rsidR="001F478F">
        <w:rPr>
          <w:bCs/>
          <w:lang w:eastAsia="fr-FR"/>
        </w:rPr>
        <w:t xml:space="preserve">représente </w:t>
      </w:r>
      <w:r w:rsidR="001F478F" w:rsidRPr="00713036">
        <w:rPr>
          <w:bCs/>
          <w:lang w:eastAsia="fr-FR"/>
        </w:rPr>
        <w:t xml:space="preserve">environ </w:t>
      </w:r>
      <w:r w:rsidR="001F478F">
        <w:rPr>
          <w:bCs/>
          <w:lang w:eastAsia="fr-FR"/>
        </w:rPr>
        <w:t>13</w:t>
      </w:r>
      <w:r w:rsidR="001F478F" w:rsidRPr="00713036">
        <w:rPr>
          <w:bCs/>
          <w:lang w:eastAsia="fr-FR"/>
        </w:rPr>
        <w:t>%</w:t>
      </w:r>
      <w:r w:rsidR="001F478F">
        <w:rPr>
          <w:lang w:eastAsia="fr-FR"/>
        </w:rPr>
        <w:t xml:space="preserve"> du total disponible en pièces de découpes secondaires.</w:t>
      </w:r>
      <w:r w:rsidR="001F478F" w:rsidRPr="009175CD">
        <w:rPr>
          <w:lang w:eastAsia="fr-FR"/>
        </w:rPr>
        <w:t xml:space="preserve"> </w:t>
      </w:r>
    </w:p>
    <w:tbl>
      <w:tblPr>
        <w:tblW w:w="879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256"/>
        <w:gridCol w:w="1559"/>
        <w:gridCol w:w="992"/>
        <w:gridCol w:w="992"/>
        <w:gridCol w:w="2000"/>
      </w:tblGrid>
      <w:tr w:rsidR="00506319" w:rsidRPr="00D530A0" w14:paraId="17A0D5D8" w14:textId="77777777" w:rsidTr="008F628B">
        <w:trPr>
          <w:trHeight w:val="362"/>
          <w:jc w:val="center"/>
        </w:trPr>
        <w:tc>
          <w:tcPr>
            <w:tcW w:w="3256" w:type="dxa"/>
            <w:shd w:val="clear" w:color="auto" w:fill="BFBFBF" w:themeFill="background1" w:themeFillShade="BF"/>
            <w:tcMar>
              <w:top w:w="15" w:type="dxa"/>
              <w:left w:w="15" w:type="dxa"/>
              <w:bottom w:w="0" w:type="dxa"/>
              <w:right w:w="15" w:type="dxa"/>
            </w:tcMar>
            <w:vAlign w:val="center"/>
            <w:hideMark/>
          </w:tcPr>
          <w:p w14:paraId="2071D355" w14:textId="77777777" w:rsidR="00506319" w:rsidRPr="00D530A0" w:rsidRDefault="00506319" w:rsidP="008F628B">
            <w:pPr>
              <w:pStyle w:val="Lgende"/>
              <w:ind w:left="126"/>
              <w:jc w:val="left"/>
            </w:pPr>
            <w:r w:rsidRPr="00D530A0">
              <w:rPr>
                <w:b/>
              </w:rPr>
              <w:lastRenderedPageBreak/>
              <w:t>Libellé</w:t>
            </w:r>
          </w:p>
        </w:tc>
        <w:tc>
          <w:tcPr>
            <w:tcW w:w="1559" w:type="dxa"/>
            <w:shd w:val="clear" w:color="auto" w:fill="BFBFBF" w:themeFill="background1" w:themeFillShade="BF"/>
            <w:tcMar>
              <w:top w:w="15" w:type="dxa"/>
              <w:left w:w="15" w:type="dxa"/>
              <w:bottom w:w="0" w:type="dxa"/>
              <w:right w:w="15" w:type="dxa"/>
            </w:tcMar>
            <w:vAlign w:val="center"/>
            <w:hideMark/>
          </w:tcPr>
          <w:p w14:paraId="49C533C1" w14:textId="77777777" w:rsidR="00506319" w:rsidRPr="00D530A0" w:rsidRDefault="00506319" w:rsidP="008F628B">
            <w:pPr>
              <w:pStyle w:val="Lgende"/>
              <w:ind w:left="126"/>
              <w:jc w:val="left"/>
            </w:pPr>
            <w:r w:rsidRPr="00D530A0">
              <w:rPr>
                <w:b/>
              </w:rPr>
              <w:t>Production</w:t>
            </w:r>
          </w:p>
        </w:tc>
        <w:tc>
          <w:tcPr>
            <w:tcW w:w="992" w:type="dxa"/>
            <w:shd w:val="clear" w:color="auto" w:fill="BFBFBF" w:themeFill="background1" w:themeFillShade="BF"/>
            <w:tcMar>
              <w:top w:w="15" w:type="dxa"/>
              <w:left w:w="15" w:type="dxa"/>
              <w:bottom w:w="0" w:type="dxa"/>
              <w:right w:w="15" w:type="dxa"/>
            </w:tcMar>
            <w:vAlign w:val="center"/>
            <w:hideMark/>
          </w:tcPr>
          <w:p w14:paraId="2D5F3EB8" w14:textId="77777777" w:rsidR="00506319" w:rsidRPr="00D530A0" w:rsidRDefault="00506319" w:rsidP="008F628B">
            <w:pPr>
              <w:pStyle w:val="Lgende"/>
              <w:ind w:left="126"/>
              <w:jc w:val="left"/>
            </w:pPr>
            <w:r w:rsidRPr="00D530A0">
              <w:rPr>
                <w:b/>
              </w:rPr>
              <w:t>I</w:t>
            </w:r>
          </w:p>
        </w:tc>
        <w:tc>
          <w:tcPr>
            <w:tcW w:w="992" w:type="dxa"/>
            <w:shd w:val="clear" w:color="auto" w:fill="BFBFBF" w:themeFill="background1" w:themeFillShade="BF"/>
            <w:tcMar>
              <w:top w:w="15" w:type="dxa"/>
              <w:left w:w="15" w:type="dxa"/>
              <w:bottom w:w="0" w:type="dxa"/>
              <w:right w:w="15" w:type="dxa"/>
            </w:tcMar>
            <w:vAlign w:val="center"/>
            <w:hideMark/>
          </w:tcPr>
          <w:p w14:paraId="39F5D6E3" w14:textId="77777777" w:rsidR="00506319" w:rsidRPr="00D530A0" w:rsidRDefault="00506319" w:rsidP="008F628B">
            <w:pPr>
              <w:pStyle w:val="Lgende"/>
              <w:ind w:left="126"/>
              <w:jc w:val="left"/>
            </w:pPr>
            <w:r w:rsidRPr="00D530A0">
              <w:rPr>
                <w:b/>
              </w:rPr>
              <w:t>Ex</w:t>
            </w:r>
          </w:p>
        </w:tc>
        <w:tc>
          <w:tcPr>
            <w:tcW w:w="2000" w:type="dxa"/>
            <w:shd w:val="clear" w:color="auto" w:fill="BFBFBF" w:themeFill="background1" w:themeFillShade="BF"/>
            <w:tcMar>
              <w:top w:w="15" w:type="dxa"/>
              <w:left w:w="15" w:type="dxa"/>
              <w:bottom w:w="0" w:type="dxa"/>
              <w:right w:w="15" w:type="dxa"/>
            </w:tcMar>
            <w:vAlign w:val="center"/>
            <w:hideMark/>
          </w:tcPr>
          <w:p w14:paraId="2741853A" w14:textId="77777777" w:rsidR="00506319" w:rsidRPr="00D530A0" w:rsidRDefault="00506319" w:rsidP="008F628B">
            <w:pPr>
              <w:pStyle w:val="Lgende"/>
              <w:ind w:left="126"/>
              <w:jc w:val="left"/>
            </w:pPr>
            <w:r w:rsidRPr="00D530A0">
              <w:rPr>
                <w:b/>
              </w:rPr>
              <w:t>Consommation</w:t>
            </w:r>
          </w:p>
        </w:tc>
      </w:tr>
      <w:tr w:rsidR="00506319" w:rsidRPr="00D530A0" w14:paraId="27B2057E" w14:textId="77777777" w:rsidTr="008F628B">
        <w:trPr>
          <w:trHeight w:val="415"/>
          <w:jc w:val="center"/>
        </w:trPr>
        <w:tc>
          <w:tcPr>
            <w:tcW w:w="3256" w:type="dxa"/>
            <w:shd w:val="clear" w:color="auto" w:fill="BFBFBF" w:themeFill="background1" w:themeFillShade="BF"/>
            <w:tcMar>
              <w:top w:w="15" w:type="dxa"/>
              <w:left w:w="15" w:type="dxa"/>
              <w:bottom w:w="0" w:type="dxa"/>
              <w:right w:w="15" w:type="dxa"/>
            </w:tcMar>
            <w:vAlign w:val="center"/>
            <w:hideMark/>
          </w:tcPr>
          <w:p w14:paraId="103875CC" w14:textId="77777777" w:rsidR="00506319" w:rsidRPr="00D530A0" w:rsidRDefault="00506319" w:rsidP="008F628B">
            <w:pPr>
              <w:pStyle w:val="Lgende"/>
              <w:ind w:left="126"/>
              <w:jc w:val="left"/>
            </w:pPr>
            <w:r w:rsidRPr="00D530A0">
              <w:rPr>
                <w:b/>
              </w:rPr>
              <w:t>Total</w:t>
            </w:r>
          </w:p>
        </w:tc>
        <w:tc>
          <w:tcPr>
            <w:tcW w:w="1559" w:type="dxa"/>
            <w:shd w:val="clear" w:color="auto" w:fill="BFBFBF" w:themeFill="background1" w:themeFillShade="BF"/>
            <w:tcMar>
              <w:top w:w="15" w:type="dxa"/>
              <w:left w:w="15" w:type="dxa"/>
              <w:bottom w:w="0" w:type="dxa"/>
              <w:right w:w="15" w:type="dxa"/>
            </w:tcMar>
            <w:vAlign w:val="center"/>
            <w:hideMark/>
          </w:tcPr>
          <w:p w14:paraId="610BBAAB" w14:textId="77777777" w:rsidR="00506319" w:rsidRPr="00D530A0" w:rsidRDefault="00506319" w:rsidP="008F628B">
            <w:pPr>
              <w:pStyle w:val="Lgende"/>
              <w:ind w:left="126"/>
              <w:jc w:val="left"/>
            </w:pPr>
            <w:r w:rsidRPr="00D530A0">
              <w:rPr>
                <w:b/>
              </w:rPr>
              <w:t>554 [388-720]</w:t>
            </w:r>
          </w:p>
        </w:tc>
        <w:tc>
          <w:tcPr>
            <w:tcW w:w="992" w:type="dxa"/>
            <w:shd w:val="clear" w:color="auto" w:fill="BFBFBF" w:themeFill="background1" w:themeFillShade="BF"/>
            <w:tcMar>
              <w:top w:w="15" w:type="dxa"/>
              <w:left w:w="15" w:type="dxa"/>
              <w:bottom w:w="0" w:type="dxa"/>
              <w:right w:w="15" w:type="dxa"/>
            </w:tcMar>
            <w:vAlign w:val="center"/>
            <w:hideMark/>
          </w:tcPr>
          <w:p w14:paraId="1A052EBB" w14:textId="77777777" w:rsidR="00506319" w:rsidRPr="00D530A0" w:rsidRDefault="00506319" w:rsidP="008F628B">
            <w:pPr>
              <w:pStyle w:val="Lgende"/>
              <w:ind w:left="126"/>
              <w:jc w:val="left"/>
            </w:pPr>
            <w:r w:rsidRPr="00D530A0">
              <w:rPr>
                <w:b/>
              </w:rPr>
              <w:t>9</w:t>
            </w:r>
          </w:p>
        </w:tc>
        <w:tc>
          <w:tcPr>
            <w:tcW w:w="992" w:type="dxa"/>
            <w:shd w:val="clear" w:color="auto" w:fill="BFBFBF" w:themeFill="background1" w:themeFillShade="BF"/>
            <w:tcMar>
              <w:top w:w="15" w:type="dxa"/>
              <w:left w:w="15" w:type="dxa"/>
              <w:bottom w:w="0" w:type="dxa"/>
              <w:right w:w="15" w:type="dxa"/>
            </w:tcMar>
            <w:vAlign w:val="center"/>
            <w:hideMark/>
          </w:tcPr>
          <w:p w14:paraId="53DE7208" w14:textId="77777777" w:rsidR="00506319" w:rsidRPr="00D530A0" w:rsidRDefault="00506319" w:rsidP="008F628B">
            <w:pPr>
              <w:pStyle w:val="Lgende"/>
              <w:ind w:left="126"/>
              <w:jc w:val="left"/>
            </w:pPr>
            <w:r w:rsidRPr="00D530A0">
              <w:rPr>
                <w:b/>
              </w:rPr>
              <w:t>46</w:t>
            </w:r>
          </w:p>
        </w:tc>
        <w:tc>
          <w:tcPr>
            <w:tcW w:w="2000" w:type="dxa"/>
            <w:shd w:val="clear" w:color="auto" w:fill="BFBFBF" w:themeFill="background1" w:themeFillShade="BF"/>
            <w:tcMar>
              <w:top w:w="15" w:type="dxa"/>
              <w:left w:w="15" w:type="dxa"/>
              <w:bottom w:w="0" w:type="dxa"/>
              <w:right w:w="15" w:type="dxa"/>
            </w:tcMar>
            <w:vAlign w:val="center"/>
            <w:hideMark/>
          </w:tcPr>
          <w:p w14:paraId="17C97C4B" w14:textId="77777777" w:rsidR="00506319" w:rsidRPr="00D530A0" w:rsidRDefault="00506319" w:rsidP="008F628B">
            <w:pPr>
              <w:pStyle w:val="Lgende"/>
              <w:ind w:left="126"/>
              <w:jc w:val="left"/>
            </w:pPr>
            <w:r w:rsidRPr="00D530A0">
              <w:rPr>
                <w:b/>
              </w:rPr>
              <w:t>516 [361-671]</w:t>
            </w:r>
          </w:p>
        </w:tc>
      </w:tr>
      <w:tr w:rsidR="00506319" w:rsidRPr="00D530A0" w14:paraId="1702E2D5" w14:textId="77777777" w:rsidTr="008F628B">
        <w:trPr>
          <w:trHeight w:val="509"/>
          <w:jc w:val="center"/>
        </w:trPr>
        <w:tc>
          <w:tcPr>
            <w:tcW w:w="3256" w:type="dxa"/>
            <w:shd w:val="clear" w:color="auto" w:fill="auto"/>
            <w:tcMar>
              <w:top w:w="15" w:type="dxa"/>
              <w:left w:w="15" w:type="dxa"/>
              <w:bottom w:w="0" w:type="dxa"/>
              <w:right w:w="15" w:type="dxa"/>
            </w:tcMar>
            <w:vAlign w:val="center"/>
            <w:hideMark/>
          </w:tcPr>
          <w:p w14:paraId="738967BF" w14:textId="77777777" w:rsidR="00506319" w:rsidRPr="00A06B55" w:rsidRDefault="00506319" w:rsidP="008F628B">
            <w:pPr>
              <w:pStyle w:val="Lgende"/>
              <w:ind w:left="126"/>
              <w:jc w:val="left"/>
              <w:rPr>
                <w:i w:val="0"/>
              </w:rPr>
            </w:pPr>
            <w:r w:rsidRPr="00A06B55">
              <w:rPr>
                <w:i w:val="0"/>
                <w:lang w:val="pt-BR"/>
              </w:rPr>
              <w:t>Longe A/O et S/O</w:t>
            </w:r>
          </w:p>
        </w:tc>
        <w:tc>
          <w:tcPr>
            <w:tcW w:w="1559" w:type="dxa"/>
            <w:shd w:val="clear" w:color="auto" w:fill="auto"/>
            <w:tcMar>
              <w:top w:w="15" w:type="dxa"/>
              <w:left w:w="15" w:type="dxa"/>
              <w:bottom w:w="0" w:type="dxa"/>
              <w:right w:w="15" w:type="dxa"/>
            </w:tcMar>
            <w:vAlign w:val="center"/>
            <w:hideMark/>
          </w:tcPr>
          <w:p w14:paraId="795DF455" w14:textId="77777777" w:rsidR="00506319" w:rsidRPr="00A06B55" w:rsidRDefault="00506319" w:rsidP="008F628B">
            <w:pPr>
              <w:pStyle w:val="Lgende"/>
              <w:ind w:left="126"/>
              <w:jc w:val="left"/>
              <w:rPr>
                <w:i w:val="0"/>
              </w:rPr>
            </w:pPr>
            <w:r w:rsidRPr="00A06B55">
              <w:rPr>
                <w:i w:val="0"/>
              </w:rPr>
              <w:t>60 [42-78]</w:t>
            </w:r>
          </w:p>
        </w:tc>
        <w:tc>
          <w:tcPr>
            <w:tcW w:w="992" w:type="dxa"/>
            <w:vMerge w:val="restart"/>
            <w:shd w:val="clear" w:color="auto" w:fill="auto"/>
            <w:tcMar>
              <w:top w:w="15" w:type="dxa"/>
              <w:left w:w="15" w:type="dxa"/>
              <w:bottom w:w="0" w:type="dxa"/>
              <w:right w:w="15" w:type="dxa"/>
            </w:tcMar>
            <w:vAlign w:val="center"/>
            <w:hideMark/>
          </w:tcPr>
          <w:p w14:paraId="24735B17" w14:textId="77777777" w:rsidR="00506319" w:rsidRPr="00A06B55" w:rsidRDefault="00506319" w:rsidP="008F628B">
            <w:pPr>
              <w:pStyle w:val="Lgende"/>
              <w:ind w:left="126"/>
              <w:jc w:val="left"/>
              <w:rPr>
                <w:i w:val="0"/>
              </w:rPr>
            </w:pPr>
            <w:r w:rsidRPr="00A06B55">
              <w:rPr>
                <w:i w:val="0"/>
              </w:rPr>
              <w:t>9,2</w:t>
            </w:r>
          </w:p>
        </w:tc>
        <w:tc>
          <w:tcPr>
            <w:tcW w:w="992" w:type="dxa"/>
            <w:vMerge w:val="restart"/>
            <w:shd w:val="clear" w:color="auto" w:fill="auto"/>
            <w:tcMar>
              <w:top w:w="15" w:type="dxa"/>
              <w:left w:w="15" w:type="dxa"/>
              <w:bottom w:w="0" w:type="dxa"/>
              <w:right w:w="15" w:type="dxa"/>
            </w:tcMar>
            <w:vAlign w:val="center"/>
            <w:hideMark/>
          </w:tcPr>
          <w:p w14:paraId="787A3EB8" w14:textId="77777777" w:rsidR="00506319" w:rsidRPr="00A06B55" w:rsidRDefault="00506319" w:rsidP="008F628B">
            <w:pPr>
              <w:pStyle w:val="Lgende"/>
              <w:ind w:left="126"/>
              <w:jc w:val="left"/>
              <w:rPr>
                <w:i w:val="0"/>
              </w:rPr>
            </w:pPr>
            <w:r w:rsidRPr="00A06B55">
              <w:rPr>
                <w:i w:val="0"/>
              </w:rPr>
              <w:t>46</w:t>
            </w:r>
          </w:p>
        </w:tc>
        <w:tc>
          <w:tcPr>
            <w:tcW w:w="2000" w:type="dxa"/>
            <w:shd w:val="clear" w:color="auto" w:fill="auto"/>
            <w:tcMar>
              <w:top w:w="15" w:type="dxa"/>
              <w:left w:w="15" w:type="dxa"/>
              <w:bottom w:w="0" w:type="dxa"/>
              <w:right w:w="15" w:type="dxa"/>
            </w:tcMar>
            <w:vAlign w:val="center"/>
            <w:hideMark/>
          </w:tcPr>
          <w:p w14:paraId="04C50FFC" w14:textId="77777777" w:rsidR="00506319" w:rsidRPr="00A06B55" w:rsidRDefault="00506319" w:rsidP="008F628B">
            <w:pPr>
              <w:pStyle w:val="Lgende"/>
              <w:ind w:left="126"/>
              <w:jc w:val="left"/>
              <w:rPr>
                <w:i w:val="0"/>
              </w:rPr>
            </w:pPr>
            <w:r w:rsidRPr="00A06B55">
              <w:rPr>
                <w:i w:val="0"/>
              </w:rPr>
              <w:t>35 [25-46]</w:t>
            </w:r>
          </w:p>
        </w:tc>
      </w:tr>
      <w:tr w:rsidR="00506319" w:rsidRPr="00D530A0" w14:paraId="7E9993F2" w14:textId="77777777" w:rsidTr="008F628B">
        <w:trPr>
          <w:trHeight w:val="576"/>
          <w:jc w:val="center"/>
        </w:trPr>
        <w:tc>
          <w:tcPr>
            <w:tcW w:w="3256" w:type="dxa"/>
            <w:shd w:val="clear" w:color="auto" w:fill="auto"/>
            <w:tcMar>
              <w:top w:w="15" w:type="dxa"/>
              <w:left w:w="15" w:type="dxa"/>
              <w:bottom w:w="0" w:type="dxa"/>
              <w:right w:w="15" w:type="dxa"/>
            </w:tcMar>
            <w:vAlign w:val="center"/>
            <w:hideMark/>
          </w:tcPr>
          <w:p w14:paraId="64C4C644" w14:textId="77777777" w:rsidR="00506319" w:rsidRPr="00A06B55" w:rsidRDefault="00506319" w:rsidP="008F628B">
            <w:pPr>
              <w:pStyle w:val="Lgende"/>
              <w:ind w:left="126"/>
              <w:jc w:val="left"/>
              <w:rPr>
                <w:i w:val="0"/>
              </w:rPr>
            </w:pPr>
            <w:r w:rsidRPr="00A06B55">
              <w:rPr>
                <w:i w:val="0"/>
              </w:rPr>
              <w:t>Carré détalonné, A/O</w:t>
            </w:r>
          </w:p>
        </w:tc>
        <w:tc>
          <w:tcPr>
            <w:tcW w:w="1559" w:type="dxa"/>
            <w:shd w:val="clear" w:color="auto" w:fill="auto"/>
            <w:tcMar>
              <w:top w:w="15" w:type="dxa"/>
              <w:left w:w="15" w:type="dxa"/>
              <w:bottom w:w="0" w:type="dxa"/>
              <w:right w:w="15" w:type="dxa"/>
            </w:tcMar>
            <w:vAlign w:val="center"/>
            <w:hideMark/>
          </w:tcPr>
          <w:p w14:paraId="6BF70414" w14:textId="77777777" w:rsidR="00506319" w:rsidRPr="00A06B55" w:rsidRDefault="00506319" w:rsidP="008F628B">
            <w:pPr>
              <w:pStyle w:val="Lgende"/>
              <w:ind w:left="126"/>
              <w:jc w:val="left"/>
              <w:rPr>
                <w:i w:val="0"/>
              </w:rPr>
            </w:pPr>
            <w:r w:rsidRPr="00A06B55">
              <w:rPr>
                <w:i w:val="0"/>
              </w:rPr>
              <w:t>217 [152-282]</w:t>
            </w:r>
          </w:p>
        </w:tc>
        <w:tc>
          <w:tcPr>
            <w:tcW w:w="992" w:type="dxa"/>
            <w:vMerge/>
            <w:shd w:val="clear" w:color="auto" w:fill="auto"/>
            <w:vAlign w:val="center"/>
            <w:hideMark/>
          </w:tcPr>
          <w:p w14:paraId="7E646A40" w14:textId="77777777" w:rsidR="00506319" w:rsidRPr="00A06B55" w:rsidRDefault="00506319" w:rsidP="008F628B">
            <w:pPr>
              <w:pStyle w:val="Lgende"/>
              <w:ind w:left="126"/>
              <w:jc w:val="left"/>
              <w:rPr>
                <w:i w:val="0"/>
              </w:rPr>
            </w:pPr>
          </w:p>
        </w:tc>
        <w:tc>
          <w:tcPr>
            <w:tcW w:w="992" w:type="dxa"/>
            <w:vMerge/>
            <w:shd w:val="clear" w:color="auto" w:fill="auto"/>
            <w:vAlign w:val="center"/>
            <w:hideMark/>
          </w:tcPr>
          <w:p w14:paraId="6D4D042C" w14:textId="77777777" w:rsidR="00506319" w:rsidRPr="00A06B55" w:rsidRDefault="00506319" w:rsidP="008F628B">
            <w:pPr>
              <w:pStyle w:val="Lgende"/>
              <w:ind w:left="126"/>
              <w:jc w:val="left"/>
              <w:rPr>
                <w:i w:val="0"/>
              </w:rPr>
            </w:pPr>
          </w:p>
        </w:tc>
        <w:tc>
          <w:tcPr>
            <w:tcW w:w="2000" w:type="dxa"/>
            <w:shd w:val="clear" w:color="auto" w:fill="auto"/>
            <w:tcMar>
              <w:top w:w="15" w:type="dxa"/>
              <w:left w:w="15" w:type="dxa"/>
              <w:bottom w:w="0" w:type="dxa"/>
              <w:right w:w="15" w:type="dxa"/>
            </w:tcMar>
            <w:vAlign w:val="center"/>
            <w:hideMark/>
          </w:tcPr>
          <w:p w14:paraId="3EA5ED9E" w14:textId="77777777" w:rsidR="00506319" w:rsidRPr="00A06B55" w:rsidRDefault="00506319" w:rsidP="008F628B">
            <w:pPr>
              <w:pStyle w:val="Lgende"/>
              <w:ind w:left="126"/>
              <w:jc w:val="left"/>
              <w:rPr>
                <w:i w:val="0"/>
              </w:rPr>
            </w:pPr>
            <w:r w:rsidRPr="00A06B55">
              <w:rPr>
                <w:i w:val="0"/>
              </w:rPr>
              <w:t>155 [109-202]</w:t>
            </w:r>
          </w:p>
        </w:tc>
      </w:tr>
      <w:tr w:rsidR="00506319" w:rsidRPr="00D530A0" w14:paraId="6AACD39B" w14:textId="77777777" w:rsidTr="008F628B">
        <w:trPr>
          <w:trHeight w:val="415"/>
          <w:jc w:val="center"/>
        </w:trPr>
        <w:tc>
          <w:tcPr>
            <w:tcW w:w="3256" w:type="dxa"/>
            <w:shd w:val="clear" w:color="auto" w:fill="auto"/>
            <w:tcMar>
              <w:top w:w="15" w:type="dxa"/>
              <w:left w:w="15" w:type="dxa"/>
              <w:bottom w:w="0" w:type="dxa"/>
              <w:right w:w="15" w:type="dxa"/>
            </w:tcMar>
            <w:vAlign w:val="center"/>
            <w:hideMark/>
          </w:tcPr>
          <w:p w14:paraId="64CDAB0A" w14:textId="77777777" w:rsidR="00506319" w:rsidRPr="00A06B55" w:rsidRDefault="00506319" w:rsidP="008F628B">
            <w:pPr>
              <w:pStyle w:val="Lgende"/>
              <w:ind w:left="126"/>
              <w:jc w:val="left"/>
              <w:rPr>
                <w:i w:val="0"/>
                <w:lang w:val="en-US"/>
              </w:rPr>
            </w:pPr>
            <w:r w:rsidRPr="00A06B55">
              <w:rPr>
                <w:i w:val="0"/>
                <w:lang w:val="pt-BR"/>
              </w:rPr>
              <w:t>Echine A/O, S/O</w:t>
            </w:r>
          </w:p>
        </w:tc>
        <w:tc>
          <w:tcPr>
            <w:tcW w:w="1559" w:type="dxa"/>
            <w:shd w:val="clear" w:color="auto" w:fill="auto"/>
            <w:tcMar>
              <w:top w:w="15" w:type="dxa"/>
              <w:left w:w="15" w:type="dxa"/>
              <w:bottom w:w="0" w:type="dxa"/>
              <w:right w:w="15" w:type="dxa"/>
            </w:tcMar>
            <w:vAlign w:val="center"/>
            <w:hideMark/>
          </w:tcPr>
          <w:p w14:paraId="41278FDA" w14:textId="77777777" w:rsidR="00506319" w:rsidRPr="00A06B55" w:rsidRDefault="00506319" w:rsidP="008F628B">
            <w:pPr>
              <w:pStyle w:val="Lgende"/>
              <w:ind w:left="126"/>
              <w:jc w:val="left"/>
              <w:rPr>
                <w:i w:val="0"/>
              </w:rPr>
            </w:pPr>
            <w:r w:rsidRPr="00A06B55">
              <w:rPr>
                <w:i w:val="0"/>
              </w:rPr>
              <w:t>191 [134-248]</w:t>
            </w:r>
          </w:p>
        </w:tc>
        <w:tc>
          <w:tcPr>
            <w:tcW w:w="992" w:type="dxa"/>
            <w:vMerge/>
            <w:shd w:val="clear" w:color="auto" w:fill="auto"/>
            <w:vAlign w:val="center"/>
            <w:hideMark/>
          </w:tcPr>
          <w:p w14:paraId="25C66348" w14:textId="77777777" w:rsidR="00506319" w:rsidRPr="00A06B55" w:rsidRDefault="00506319" w:rsidP="008F628B">
            <w:pPr>
              <w:pStyle w:val="Lgende"/>
              <w:ind w:left="126"/>
              <w:jc w:val="left"/>
              <w:rPr>
                <w:i w:val="0"/>
              </w:rPr>
            </w:pPr>
          </w:p>
        </w:tc>
        <w:tc>
          <w:tcPr>
            <w:tcW w:w="992" w:type="dxa"/>
            <w:vMerge/>
            <w:shd w:val="clear" w:color="auto" w:fill="auto"/>
            <w:vAlign w:val="center"/>
            <w:hideMark/>
          </w:tcPr>
          <w:p w14:paraId="46DB86C4" w14:textId="77777777" w:rsidR="00506319" w:rsidRPr="00A06B55" w:rsidRDefault="00506319" w:rsidP="008F628B">
            <w:pPr>
              <w:pStyle w:val="Lgende"/>
              <w:ind w:left="126"/>
              <w:jc w:val="left"/>
              <w:rPr>
                <w:i w:val="0"/>
              </w:rPr>
            </w:pPr>
          </w:p>
        </w:tc>
        <w:tc>
          <w:tcPr>
            <w:tcW w:w="2000" w:type="dxa"/>
            <w:shd w:val="clear" w:color="auto" w:fill="auto"/>
            <w:tcMar>
              <w:top w:w="15" w:type="dxa"/>
              <w:left w:w="15" w:type="dxa"/>
              <w:bottom w:w="0" w:type="dxa"/>
              <w:right w:w="15" w:type="dxa"/>
            </w:tcMar>
            <w:vAlign w:val="center"/>
            <w:hideMark/>
          </w:tcPr>
          <w:p w14:paraId="6ECDDD39" w14:textId="77777777" w:rsidR="00506319" w:rsidRPr="00A06B55" w:rsidRDefault="00506319" w:rsidP="008F628B">
            <w:pPr>
              <w:pStyle w:val="Lgende"/>
              <w:ind w:left="126"/>
              <w:jc w:val="left"/>
              <w:rPr>
                <w:i w:val="0"/>
              </w:rPr>
            </w:pPr>
            <w:r w:rsidRPr="00A06B55">
              <w:rPr>
                <w:i w:val="0"/>
              </w:rPr>
              <w:t>162 [113-211]</w:t>
            </w:r>
          </w:p>
        </w:tc>
      </w:tr>
      <w:tr w:rsidR="00506319" w:rsidRPr="00D530A0" w14:paraId="617248DF" w14:textId="77777777" w:rsidTr="008F628B">
        <w:trPr>
          <w:trHeight w:val="415"/>
          <w:jc w:val="center"/>
        </w:trPr>
        <w:tc>
          <w:tcPr>
            <w:tcW w:w="3256" w:type="dxa"/>
            <w:shd w:val="clear" w:color="auto" w:fill="auto"/>
            <w:tcMar>
              <w:top w:w="15" w:type="dxa"/>
              <w:left w:w="15" w:type="dxa"/>
              <w:bottom w:w="0" w:type="dxa"/>
              <w:right w:w="15" w:type="dxa"/>
            </w:tcMar>
            <w:vAlign w:val="center"/>
            <w:hideMark/>
          </w:tcPr>
          <w:p w14:paraId="033EE3EA" w14:textId="77777777" w:rsidR="00506319" w:rsidRPr="00A06B55" w:rsidRDefault="00506319" w:rsidP="008F628B">
            <w:pPr>
              <w:pStyle w:val="Lgende"/>
              <w:ind w:left="126"/>
              <w:jc w:val="left"/>
              <w:rPr>
                <w:i w:val="0"/>
              </w:rPr>
            </w:pPr>
            <w:r w:rsidRPr="00A06B55">
              <w:rPr>
                <w:i w:val="0"/>
              </w:rPr>
              <w:t>Filet</w:t>
            </w:r>
          </w:p>
        </w:tc>
        <w:tc>
          <w:tcPr>
            <w:tcW w:w="1559" w:type="dxa"/>
            <w:shd w:val="clear" w:color="auto" w:fill="auto"/>
            <w:tcMar>
              <w:top w:w="15" w:type="dxa"/>
              <w:left w:w="15" w:type="dxa"/>
              <w:bottom w:w="0" w:type="dxa"/>
              <w:right w:w="15" w:type="dxa"/>
            </w:tcMar>
            <w:vAlign w:val="center"/>
            <w:hideMark/>
          </w:tcPr>
          <w:p w14:paraId="1EBA2C20" w14:textId="77777777" w:rsidR="00506319" w:rsidRPr="00A06B55" w:rsidRDefault="00506319" w:rsidP="008F628B">
            <w:pPr>
              <w:pStyle w:val="Lgende"/>
              <w:ind w:left="126"/>
              <w:jc w:val="left"/>
              <w:rPr>
                <w:i w:val="0"/>
              </w:rPr>
            </w:pPr>
            <w:r w:rsidRPr="00A06B55">
              <w:rPr>
                <w:i w:val="0"/>
              </w:rPr>
              <w:t>52 [36-68]</w:t>
            </w:r>
          </w:p>
        </w:tc>
        <w:tc>
          <w:tcPr>
            <w:tcW w:w="992" w:type="dxa"/>
            <w:vMerge/>
            <w:shd w:val="clear" w:color="auto" w:fill="auto"/>
            <w:vAlign w:val="center"/>
            <w:hideMark/>
          </w:tcPr>
          <w:p w14:paraId="673B903B" w14:textId="77777777" w:rsidR="00506319" w:rsidRPr="00A06B55" w:rsidRDefault="00506319" w:rsidP="008F628B">
            <w:pPr>
              <w:pStyle w:val="Lgende"/>
              <w:ind w:left="126"/>
              <w:jc w:val="left"/>
              <w:rPr>
                <w:i w:val="0"/>
              </w:rPr>
            </w:pPr>
          </w:p>
        </w:tc>
        <w:tc>
          <w:tcPr>
            <w:tcW w:w="992" w:type="dxa"/>
            <w:vMerge/>
            <w:shd w:val="clear" w:color="auto" w:fill="auto"/>
            <w:vAlign w:val="center"/>
            <w:hideMark/>
          </w:tcPr>
          <w:p w14:paraId="731918A6" w14:textId="77777777" w:rsidR="00506319" w:rsidRPr="00A06B55" w:rsidRDefault="00506319" w:rsidP="008F628B">
            <w:pPr>
              <w:pStyle w:val="Lgende"/>
              <w:ind w:left="126"/>
              <w:jc w:val="left"/>
              <w:rPr>
                <w:i w:val="0"/>
              </w:rPr>
            </w:pPr>
          </w:p>
        </w:tc>
        <w:tc>
          <w:tcPr>
            <w:tcW w:w="2000" w:type="dxa"/>
            <w:shd w:val="clear" w:color="auto" w:fill="auto"/>
            <w:tcMar>
              <w:top w:w="15" w:type="dxa"/>
              <w:left w:w="15" w:type="dxa"/>
              <w:bottom w:w="0" w:type="dxa"/>
              <w:right w:w="15" w:type="dxa"/>
            </w:tcMar>
            <w:vAlign w:val="center"/>
            <w:hideMark/>
          </w:tcPr>
          <w:p w14:paraId="24D383C1" w14:textId="77777777" w:rsidR="00506319" w:rsidRPr="00A06B55" w:rsidRDefault="00506319" w:rsidP="008F628B">
            <w:pPr>
              <w:pStyle w:val="Lgende"/>
              <w:ind w:left="126"/>
              <w:jc w:val="left"/>
              <w:rPr>
                <w:i w:val="0"/>
              </w:rPr>
            </w:pPr>
            <w:r w:rsidRPr="00A06B55">
              <w:rPr>
                <w:i w:val="0"/>
              </w:rPr>
              <w:t>57 [40-74]</w:t>
            </w:r>
          </w:p>
        </w:tc>
      </w:tr>
      <w:tr w:rsidR="00506319" w:rsidRPr="00D530A0" w14:paraId="6E21ECC5" w14:textId="77777777" w:rsidTr="008F628B">
        <w:trPr>
          <w:trHeight w:val="415"/>
          <w:jc w:val="center"/>
        </w:trPr>
        <w:tc>
          <w:tcPr>
            <w:tcW w:w="3256" w:type="dxa"/>
            <w:shd w:val="clear" w:color="auto" w:fill="auto"/>
            <w:tcMar>
              <w:top w:w="15" w:type="dxa"/>
              <w:left w:w="15" w:type="dxa"/>
              <w:bottom w:w="0" w:type="dxa"/>
              <w:right w:w="15" w:type="dxa"/>
            </w:tcMar>
            <w:vAlign w:val="center"/>
            <w:hideMark/>
          </w:tcPr>
          <w:p w14:paraId="786270F8" w14:textId="77777777" w:rsidR="00506319" w:rsidRPr="00A06B55" w:rsidRDefault="00506319" w:rsidP="008F628B">
            <w:pPr>
              <w:pStyle w:val="Lgende"/>
              <w:ind w:left="126"/>
              <w:jc w:val="left"/>
              <w:rPr>
                <w:i w:val="0"/>
              </w:rPr>
            </w:pPr>
            <w:r w:rsidRPr="00A06B55">
              <w:rPr>
                <w:i w:val="0"/>
              </w:rPr>
              <w:t>Ribs (plats de côtes / spare ribs)</w:t>
            </w:r>
          </w:p>
        </w:tc>
        <w:tc>
          <w:tcPr>
            <w:tcW w:w="1559" w:type="dxa"/>
            <w:shd w:val="clear" w:color="auto" w:fill="auto"/>
            <w:tcMar>
              <w:top w:w="15" w:type="dxa"/>
              <w:left w:w="15" w:type="dxa"/>
              <w:bottom w:w="0" w:type="dxa"/>
              <w:right w:w="15" w:type="dxa"/>
            </w:tcMar>
            <w:vAlign w:val="center"/>
            <w:hideMark/>
          </w:tcPr>
          <w:p w14:paraId="7394D1C0" w14:textId="77777777" w:rsidR="00506319" w:rsidRPr="00A06B55" w:rsidRDefault="00506319" w:rsidP="008F628B">
            <w:pPr>
              <w:pStyle w:val="Lgende"/>
              <w:ind w:left="126"/>
              <w:jc w:val="left"/>
              <w:rPr>
                <w:i w:val="0"/>
              </w:rPr>
            </w:pPr>
            <w:r w:rsidRPr="00A06B55">
              <w:rPr>
                <w:i w:val="0"/>
              </w:rPr>
              <w:t>34 [24-45]</w:t>
            </w:r>
          </w:p>
        </w:tc>
        <w:tc>
          <w:tcPr>
            <w:tcW w:w="992" w:type="dxa"/>
            <w:vMerge/>
            <w:shd w:val="clear" w:color="auto" w:fill="auto"/>
            <w:vAlign w:val="center"/>
            <w:hideMark/>
          </w:tcPr>
          <w:p w14:paraId="2F3FB61A" w14:textId="77777777" w:rsidR="00506319" w:rsidRPr="00A06B55" w:rsidRDefault="00506319" w:rsidP="008F628B">
            <w:pPr>
              <w:pStyle w:val="Lgende"/>
              <w:ind w:left="126"/>
              <w:jc w:val="left"/>
              <w:rPr>
                <w:i w:val="0"/>
              </w:rPr>
            </w:pPr>
          </w:p>
        </w:tc>
        <w:tc>
          <w:tcPr>
            <w:tcW w:w="992" w:type="dxa"/>
            <w:vMerge/>
            <w:shd w:val="clear" w:color="auto" w:fill="auto"/>
            <w:vAlign w:val="center"/>
            <w:hideMark/>
          </w:tcPr>
          <w:p w14:paraId="3A39C6F5" w14:textId="77777777" w:rsidR="00506319" w:rsidRPr="00A06B55" w:rsidRDefault="00506319" w:rsidP="008F628B">
            <w:pPr>
              <w:pStyle w:val="Lgende"/>
              <w:ind w:left="126"/>
              <w:jc w:val="left"/>
              <w:rPr>
                <w:i w:val="0"/>
              </w:rPr>
            </w:pPr>
          </w:p>
        </w:tc>
        <w:tc>
          <w:tcPr>
            <w:tcW w:w="2000" w:type="dxa"/>
            <w:shd w:val="clear" w:color="auto" w:fill="auto"/>
            <w:tcMar>
              <w:top w:w="15" w:type="dxa"/>
              <w:left w:w="15" w:type="dxa"/>
              <w:bottom w:w="0" w:type="dxa"/>
              <w:right w:w="15" w:type="dxa"/>
            </w:tcMar>
            <w:vAlign w:val="center"/>
            <w:hideMark/>
          </w:tcPr>
          <w:p w14:paraId="559271BB" w14:textId="77777777" w:rsidR="00506319" w:rsidRPr="00A06B55" w:rsidRDefault="00506319" w:rsidP="008F628B">
            <w:pPr>
              <w:pStyle w:val="Lgende"/>
              <w:ind w:left="126"/>
              <w:jc w:val="left"/>
              <w:rPr>
                <w:i w:val="0"/>
              </w:rPr>
            </w:pPr>
            <w:r w:rsidRPr="00A06B55">
              <w:rPr>
                <w:i w:val="0"/>
              </w:rPr>
              <w:t>28 [20-36]</w:t>
            </w:r>
          </w:p>
        </w:tc>
      </w:tr>
      <w:tr w:rsidR="00506319" w:rsidRPr="00D530A0" w14:paraId="55A69630" w14:textId="77777777" w:rsidTr="0002537E">
        <w:trPr>
          <w:trHeight w:val="402"/>
          <w:jc w:val="center"/>
        </w:trPr>
        <w:tc>
          <w:tcPr>
            <w:tcW w:w="3256" w:type="dxa"/>
            <w:shd w:val="clear" w:color="auto" w:fill="F2F2F2" w:themeFill="background1" w:themeFillShade="F2"/>
            <w:tcMar>
              <w:top w:w="15" w:type="dxa"/>
              <w:left w:w="15" w:type="dxa"/>
              <w:bottom w:w="0" w:type="dxa"/>
              <w:right w:w="15" w:type="dxa"/>
            </w:tcMar>
            <w:vAlign w:val="center"/>
            <w:hideMark/>
          </w:tcPr>
          <w:p w14:paraId="2685399A" w14:textId="77777777" w:rsidR="00506319" w:rsidRPr="00A06B55" w:rsidRDefault="00506319" w:rsidP="008F628B">
            <w:pPr>
              <w:pStyle w:val="Lgende"/>
              <w:ind w:left="126"/>
              <w:jc w:val="left"/>
              <w:rPr>
                <w:i w:val="0"/>
              </w:rPr>
            </w:pPr>
            <w:r w:rsidRPr="00A06B55">
              <w:rPr>
                <w:i w:val="0"/>
              </w:rPr>
              <w:t>Eau (maturation/évaporation) (2%)</w:t>
            </w:r>
          </w:p>
        </w:tc>
        <w:tc>
          <w:tcPr>
            <w:tcW w:w="1559" w:type="dxa"/>
            <w:shd w:val="clear" w:color="auto" w:fill="F2F2F2" w:themeFill="background1" w:themeFillShade="F2"/>
            <w:tcMar>
              <w:top w:w="15" w:type="dxa"/>
              <w:left w:w="15" w:type="dxa"/>
              <w:bottom w:w="0" w:type="dxa"/>
              <w:right w:w="15" w:type="dxa"/>
            </w:tcMar>
            <w:vAlign w:val="center"/>
            <w:hideMark/>
          </w:tcPr>
          <w:p w14:paraId="5FFFA27C"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6D094B35"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18971A21" w14:textId="77777777" w:rsidR="00506319" w:rsidRPr="00A06B55" w:rsidRDefault="00506319" w:rsidP="008F628B">
            <w:pPr>
              <w:pStyle w:val="Lgende"/>
              <w:ind w:left="126"/>
              <w:jc w:val="left"/>
              <w:rPr>
                <w:i w:val="0"/>
              </w:rPr>
            </w:pPr>
          </w:p>
        </w:tc>
        <w:tc>
          <w:tcPr>
            <w:tcW w:w="2000" w:type="dxa"/>
            <w:shd w:val="clear" w:color="auto" w:fill="F2F2F2" w:themeFill="background1" w:themeFillShade="F2"/>
            <w:tcMar>
              <w:top w:w="15" w:type="dxa"/>
              <w:left w:w="15" w:type="dxa"/>
              <w:bottom w:w="0" w:type="dxa"/>
              <w:right w:w="15" w:type="dxa"/>
            </w:tcMar>
            <w:vAlign w:val="center"/>
            <w:hideMark/>
          </w:tcPr>
          <w:p w14:paraId="77D230C9" w14:textId="77777777" w:rsidR="00506319" w:rsidRPr="00A06B55" w:rsidRDefault="00506319" w:rsidP="008F628B">
            <w:pPr>
              <w:pStyle w:val="Lgende"/>
              <w:ind w:left="126"/>
              <w:jc w:val="left"/>
              <w:rPr>
                <w:i w:val="0"/>
              </w:rPr>
            </w:pPr>
            <w:r w:rsidRPr="00A06B55">
              <w:rPr>
                <w:i w:val="0"/>
              </w:rPr>
              <w:t>11 [8-15]</w:t>
            </w:r>
          </w:p>
        </w:tc>
      </w:tr>
      <w:tr w:rsidR="00506319" w:rsidRPr="00D530A0" w14:paraId="6F34C394" w14:textId="77777777" w:rsidTr="0002537E">
        <w:trPr>
          <w:trHeight w:val="469"/>
          <w:jc w:val="center"/>
        </w:trPr>
        <w:tc>
          <w:tcPr>
            <w:tcW w:w="3256" w:type="dxa"/>
            <w:shd w:val="clear" w:color="auto" w:fill="F2F2F2" w:themeFill="background1" w:themeFillShade="F2"/>
            <w:tcMar>
              <w:top w:w="15" w:type="dxa"/>
              <w:left w:w="15" w:type="dxa"/>
              <w:bottom w:w="0" w:type="dxa"/>
              <w:right w:w="15" w:type="dxa"/>
            </w:tcMar>
            <w:vAlign w:val="center"/>
            <w:hideMark/>
          </w:tcPr>
          <w:p w14:paraId="72DCA359" w14:textId="77777777" w:rsidR="00506319" w:rsidRPr="00A06B55" w:rsidRDefault="00506319" w:rsidP="008F628B">
            <w:pPr>
              <w:pStyle w:val="Lgende"/>
              <w:ind w:left="126"/>
              <w:jc w:val="left"/>
              <w:rPr>
                <w:i w:val="0"/>
              </w:rPr>
            </w:pPr>
            <w:r w:rsidRPr="00A06B55">
              <w:rPr>
                <w:i w:val="0"/>
              </w:rPr>
              <w:t>Gras de bardière (6%)</w:t>
            </w:r>
          </w:p>
        </w:tc>
        <w:tc>
          <w:tcPr>
            <w:tcW w:w="1559" w:type="dxa"/>
            <w:shd w:val="clear" w:color="auto" w:fill="F2F2F2" w:themeFill="background1" w:themeFillShade="F2"/>
            <w:tcMar>
              <w:top w:w="15" w:type="dxa"/>
              <w:left w:w="15" w:type="dxa"/>
              <w:bottom w:w="0" w:type="dxa"/>
              <w:right w:w="15" w:type="dxa"/>
            </w:tcMar>
            <w:vAlign w:val="center"/>
            <w:hideMark/>
          </w:tcPr>
          <w:p w14:paraId="15738D76"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0D06B2B9"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5503284A" w14:textId="77777777" w:rsidR="00506319" w:rsidRPr="00A06B55" w:rsidRDefault="00506319" w:rsidP="008F628B">
            <w:pPr>
              <w:pStyle w:val="Lgende"/>
              <w:ind w:left="126"/>
              <w:jc w:val="left"/>
              <w:rPr>
                <w:i w:val="0"/>
              </w:rPr>
            </w:pPr>
          </w:p>
        </w:tc>
        <w:tc>
          <w:tcPr>
            <w:tcW w:w="2000" w:type="dxa"/>
            <w:shd w:val="clear" w:color="auto" w:fill="F2F2F2" w:themeFill="background1" w:themeFillShade="F2"/>
            <w:tcMar>
              <w:top w:w="15" w:type="dxa"/>
              <w:left w:w="15" w:type="dxa"/>
              <w:bottom w:w="0" w:type="dxa"/>
              <w:right w:w="15" w:type="dxa"/>
            </w:tcMar>
            <w:vAlign w:val="center"/>
            <w:hideMark/>
          </w:tcPr>
          <w:p w14:paraId="752D8ADA" w14:textId="77777777" w:rsidR="00506319" w:rsidRPr="00A06B55" w:rsidRDefault="00506319" w:rsidP="008F628B">
            <w:pPr>
              <w:pStyle w:val="Lgende"/>
              <w:ind w:left="126"/>
              <w:jc w:val="left"/>
              <w:rPr>
                <w:i w:val="0"/>
              </w:rPr>
            </w:pPr>
            <w:r w:rsidRPr="00A06B55">
              <w:rPr>
                <w:i w:val="0"/>
              </w:rPr>
              <w:t>34 [24-45]</w:t>
            </w:r>
          </w:p>
        </w:tc>
      </w:tr>
      <w:tr w:rsidR="00506319" w:rsidRPr="00D530A0" w14:paraId="546B4E1F" w14:textId="77777777" w:rsidTr="0002537E">
        <w:trPr>
          <w:trHeight w:val="402"/>
          <w:jc w:val="center"/>
        </w:trPr>
        <w:tc>
          <w:tcPr>
            <w:tcW w:w="3256" w:type="dxa"/>
            <w:shd w:val="clear" w:color="auto" w:fill="F2F2F2" w:themeFill="background1" w:themeFillShade="F2"/>
            <w:tcMar>
              <w:top w:w="15" w:type="dxa"/>
              <w:left w:w="15" w:type="dxa"/>
              <w:bottom w:w="0" w:type="dxa"/>
              <w:right w:w="15" w:type="dxa"/>
            </w:tcMar>
            <w:vAlign w:val="center"/>
            <w:hideMark/>
          </w:tcPr>
          <w:p w14:paraId="564004AB" w14:textId="77777777" w:rsidR="00506319" w:rsidRPr="00A06B55" w:rsidRDefault="00506319" w:rsidP="008F628B">
            <w:pPr>
              <w:pStyle w:val="Lgende"/>
              <w:ind w:left="126"/>
              <w:jc w:val="left"/>
              <w:rPr>
                <w:i w:val="0"/>
              </w:rPr>
            </w:pPr>
            <w:r w:rsidRPr="00A06B55">
              <w:rPr>
                <w:i w:val="0"/>
              </w:rPr>
              <w:t>Minerai (petites viandes) (10%)</w:t>
            </w:r>
          </w:p>
        </w:tc>
        <w:tc>
          <w:tcPr>
            <w:tcW w:w="1559" w:type="dxa"/>
            <w:shd w:val="clear" w:color="auto" w:fill="F2F2F2" w:themeFill="background1" w:themeFillShade="F2"/>
            <w:tcMar>
              <w:top w:w="15" w:type="dxa"/>
              <w:left w:w="15" w:type="dxa"/>
              <w:bottom w:w="0" w:type="dxa"/>
              <w:right w:w="15" w:type="dxa"/>
            </w:tcMar>
            <w:vAlign w:val="center"/>
            <w:hideMark/>
          </w:tcPr>
          <w:p w14:paraId="70FFF05B"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25B4C3E7"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22CC3DAD" w14:textId="77777777" w:rsidR="00506319" w:rsidRPr="00A06B55" w:rsidRDefault="00506319" w:rsidP="008F628B">
            <w:pPr>
              <w:pStyle w:val="Lgende"/>
              <w:ind w:left="126"/>
              <w:jc w:val="left"/>
              <w:rPr>
                <w:i w:val="0"/>
              </w:rPr>
            </w:pPr>
          </w:p>
        </w:tc>
        <w:tc>
          <w:tcPr>
            <w:tcW w:w="2000" w:type="dxa"/>
            <w:shd w:val="clear" w:color="auto" w:fill="F2F2F2" w:themeFill="background1" w:themeFillShade="F2"/>
            <w:tcMar>
              <w:top w:w="15" w:type="dxa"/>
              <w:left w:w="15" w:type="dxa"/>
              <w:bottom w:w="0" w:type="dxa"/>
              <w:right w:w="15" w:type="dxa"/>
            </w:tcMar>
            <w:vAlign w:val="center"/>
            <w:hideMark/>
          </w:tcPr>
          <w:p w14:paraId="1066D7A3" w14:textId="77777777" w:rsidR="00506319" w:rsidRPr="00A06B55" w:rsidRDefault="00506319" w:rsidP="008F628B">
            <w:pPr>
              <w:pStyle w:val="Lgende"/>
              <w:ind w:left="126"/>
              <w:jc w:val="left"/>
              <w:rPr>
                <w:i w:val="0"/>
              </w:rPr>
            </w:pPr>
            <w:r w:rsidRPr="00A06B55">
              <w:rPr>
                <w:i w:val="0"/>
              </w:rPr>
              <w:t>34 [24-44]</w:t>
            </w:r>
          </w:p>
        </w:tc>
      </w:tr>
      <w:tr w:rsidR="00506319" w:rsidRPr="00D530A0" w14:paraId="5FB43279" w14:textId="77777777" w:rsidTr="0002537E">
        <w:trPr>
          <w:trHeight w:val="755"/>
          <w:jc w:val="center"/>
        </w:trPr>
        <w:tc>
          <w:tcPr>
            <w:tcW w:w="3256" w:type="dxa"/>
            <w:shd w:val="clear" w:color="auto" w:fill="F2F2F2" w:themeFill="background1" w:themeFillShade="F2"/>
            <w:tcMar>
              <w:top w:w="15" w:type="dxa"/>
              <w:left w:w="15" w:type="dxa"/>
              <w:bottom w:w="0" w:type="dxa"/>
              <w:right w:w="15" w:type="dxa"/>
            </w:tcMar>
            <w:vAlign w:val="center"/>
            <w:hideMark/>
          </w:tcPr>
          <w:p w14:paraId="33A0E729" w14:textId="77777777" w:rsidR="00506319" w:rsidRPr="00A06B55" w:rsidRDefault="00506319" w:rsidP="008F628B">
            <w:pPr>
              <w:pStyle w:val="Lgende"/>
              <w:ind w:left="126"/>
              <w:jc w:val="left"/>
              <w:rPr>
                <w:i w:val="0"/>
              </w:rPr>
            </w:pPr>
            <w:r w:rsidRPr="00A06B55">
              <w:rPr>
                <w:i w:val="0"/>
              </w:rPr>
              <w:t>Part os désossage</w:t>
            </w:r>
          </w:p>
        </w:tc>
        <w:tc>
          <w:tcPr>
            <w:tcW w:w="1559" w:type="dxa"/>
            <w:shd w:val="clear" w:color="auto" w:fill="F2F2F2" w:themeFill="background1" w:themeFillShade="F2"/>
            <w:tcMar>
              <w:top w:w="15" w:type="dxa"/>
              <w:left w:w="15" w:type="dxa"/>
              <w:bottom w:w="0" w:type="dxa"/>
              <w:right w:w="15" w:type="dxa"/>
            </w:tcMar>
            <w:vAlign w:val="center"/>
            <w:hideMark/>
          </w:tcPr>
          <w:p w14:paraId="3ED0D8F3"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6D1FBFEF" w14:textId="77777777" w:rsidR="00506319" w:rsidRPr="00A06B55" w:rsidRDefault="00506319" w:rsidP="008F628B">
            <w:pPr>
              <w:pStyle w:val="Lgende"/>
              <w:ind w:left="126"/>
              <w:jc w:val="left"/>
              <w:rPr>
                <w:i w:val="0"/>
              </w:rPr>
            </w:pPr>
          </w:p>
        </w:tc>
        <w:tc>
          <w:tcPr>
            <w:tcW w:w="992" w:type="dxa"/>
            <w:shd w:val="clear" w:color="auto" w:fill="F2F2F2" w:themeFill="background1" w:themeFillShade="F2"/>
            <w:tcMar>
              <w:top w:w="15" w:type="dxa"/>
              <w:left w:w="15" w:type="dxa"/>
              <w:bottom w:w="0" w:type="dxa"/>
              <w:right w:w="15" w:type="dxa"/>
            </w:tcMar>
            <w:vAlign w:val="center"/>
            <w:hideMark/>
          </w:tcPr>
          <w:p w14:paraId="761335F9" w14:textId="77777777" w:rsidR="00506319" w:rsidRPr="00A06B55" w:rsidRDefault="00506319" w:rsidP="008F628B">
            <w:pPr>
              <w:pStyle w:val="Lgende"/>
              <w:ind w:left="126"/>
              <w:jc w:val="left"/>
              <w:rPr>
                <w:i w:val="0"/>
              </w:rPr>
            </w:pPr>
          </w:p>
        </w:tc>
        <w:tc>
          <w:tcPr>
            <w:tcW w:w="2000" w:type="dxa"/>
            <w:shd w:val="clear" w:color="auto" w:fill="F2F2F2" w:themeFill="background1" w:themeFillShade="F2"/>
            <w:tcMar>
              <w:top w:w="15" w:type="dxa"/>
              <w:left w:w="15" w:type="dxa"/>
              <w:bottom w:w="0" w:type="dxa"/>
              <w:right w:w="15" w:type="dxa"/>
            </w:tcMar>
            <w:vAlign w:val="center"/>
            <w:hideMark/>
          </w:tcPr>
          <w:p w14:paraId="5A0A7EED" w14:textId="77777777" w:rsidR="00506319" w:rsidRPr="00A06B55" w:rsidRDefault="00506319" w:rsidP="008F628B">
            <w:pPr>
              <w:pStyle w:val="Lgende"/>
              <w:ind w:left="126"/>
              <w:jc w:val="left"/>
              <w:rPr>
                <w:i w:val="0"/>
              </w:rPr>
            </w:pPr>
            <w:r w:rsidRPr="00A06B55">
              <w:rPr>
                <w:i w:val="0"/>
              </w:rPr>
              <w:t>Déjà comptabilisée</w:t>
            </w:r>
          </w:p>
        </w:tc>
      </w:tr>
    </w:tbl>
    <w:p w14:paraId="1F0126C6" w14:textId="0D4E4E63" w:rsidR="00506319" w:rsidRPr="0002537E" w:rsidRDefault="00EF5142" w:rsidP="0002537E">
      <w:pPr>
        <w:pStyle w:val="figure"/>
        <w:rPr>
          <w:i/>
        </w:rPr>
      </w:pPr>
      <w:bookmarkStart w:id="403" w:name="_Toc72143433"/>
      <w:r w:rsidRPr="00EF5142">
        <w:t xml:space="preserve">Tableau </w:t>
      </w:r>
      <w:r w:rsidRPr="00D54EC4">
        <w:fldChar w:fldCharType="begin"/>
      </w:r>
      <w:r w:rsidRPr="00EF5142">
        <w:instrText xml:space="preserve"> SEQ Tableau \* ARABIC </w:instrText>
      </w:r>
      <w:r w:rsidRPr="00D54EC4">
        <w:fldChar w:fldCharType="separate"/>
      </w:r>
      <w:r w:rsidR="0007597F">
        <w:rPr>
          <w:i/>
          <w:noProof/>
        </w:rPr>
        <w:t>86</w:t>
      </w:r>
      <w:r w:rsidRPr="00D54EC4">
        <w:fldChar w:fldCharType="end"/>
      </w:r>
      <w:r w:rsidR="007538FF">
        <w:rPr>
          <w:i/>
        </w:rPr>
        <w:t> :</w:t>
      </w:r>
      <w:r w:rsidRPr="00EF5142">
        <w:t xml:space="preserve"> </w:t>
      </w:r>
      <w:r w:rsidR="00506319" w:rsidRPr="00926407">
        <w:t xml:space="preserve">Représentation tableau emploi ressource </w:t>
      </w:r>
      <w:r>
        <w:rPr>
          <w:i/>
        </w:rPr>
        <w:t>à destination des pièces de découpe secondaire issues de la longe</w:t>
      </w:r>
      <w:r w:rsidR="00506319" w:rsidRPr="00926407">
        <w:t>.</w:t>
      </w:r>
      <w:bookmarkEnd w:id="403"/>
    </w:p>
    <w:p w14:paraId="0A39331B" w14:textId="11560768" w:rsidR="00506319" w:rsidRDefault="00506319" w:rsidP="00506319">
      <w:r w:rsidRPr="00A06B55">
        <w:rPr>
          <w:lang w:eastAsia="fr-FR"/>
        </w:rPr>
        <w:t>A l’issue de cette étape, les typologies de produits issues de la découpe secondaire p</w:t>
      </w:r>
      <w:r w:rsidR="00A454AF">
        <w:rPr>
          <w:lang w:eastAsia="fr-FR"/>
        </w:rPr>
        <w:t>ourraient</w:t>
      </w:r>
      <w:r w:rsidRPr="00A06B55">
        <w:rPr>
          <w:lang w:eastAsia="fr-FR"/>
        </w:rPr>
        <w:t xml:space="preserve"> être identifiées par grande catégorie de produits </w:t>
      </w:r>
      <w:r w:rsidR="00A454AF">
        <w:rPr>
          <w:lang w:eastAsia="fr-FR"/>
        </w:rPr>
        <w:t xml:space="preserve">comme suit </w:t>
      </w:r>
      <w:r w:rsidRPr="00A06B55">
        <w:rPr>
          <w:lang w:eastAsia="fr-FR"/>
        </w:rPr>
        <w:t>: l</w:t>
      </w:r>
      <w:r w:rsidR="00247E05">
        <w:rPr>
          <w:lang w:eastAsia="fr-FR"/>
        </w:rPr>
        <w:t>e carré</w:t>
      </w:r>
      <w:r w:rsidR="00BA3A03">
        <w:rPr>
          <w:lang w:eastAsia="fr-FR"/>
        </w:rPr>
        <w:t xml:space="preserve"> </w:t>
      </w:r>
      <w:r w:rsidR="00A454AF">
        <w:rPr>
          <w:lang w:eastAsia="fr-FR"/>
        </w:rPr>
        <w:t>représenterait 3</w:t>
      </w:r>
      <w:r w:rsidR="00247E05">
        <w:rPr>
          <w:lang w:eastAsia="fr-FR"/>
        </w:rPr>
        <w:t>9 </w:t>
      </w:r>
      <w:r w:rsidR="00A454AF">
        <w:rPr>
          <w:lang w:eastAsia="fr-FR"/>
        </w:rPr>
        <w:t>%, devant l</w:t>
      </w:r>
      <w:r w:rsidR="00247E05">
        <w:rPr>
          <w:lang w:eastAsia="fr-FR"/>
        </w:rPr>
        <w:t>’échine</w:t>
      </w:r>
      <w:r w:rsidR="00A454AF">
        <w:rPr>
          <w:lang w:eastAsia="fr-FR"/>
        </w:rPr>
        <w:t xml:space="preserve"> (3</w:t>
      </w:r>
      <w:r w:rsidR="00247E05">
        <w:rPr>
          <w:lang w:eastAsia="fr-FR"/>
        </w:rPr>
        <w:t>7 </w:t>
      </w:r>
      <w:r w:rsidR="00A454AF">
        <w:rPr>
          <w:lang w:eastAsia="fr-FR"/>
        </w:rPr>
        <w:t>%) et le filet (</w:t>
      </w:r>
      <w:r w:rsidR="00247E05">
        <w:rPr>
          <w:lang w:eastAsia="fr-FR"/>
        </w:rPr>
        <w:t>9 </w:t>
      </w:r>
      <w:r w:rsidR="00A454AF">
        <w:rPr>
          <w:lang w:eastAsia="fr-FR"/>
        </w:rPr>
        <w:t>%). Ces éléments nécessiteraient d’être consolidées en les confrontant aux pratiques d’un nombre élargi d’opérateurs de l’abattage découpe.</w:t>
      </w:r>
    </w:p>
    <w:p w14:paraId="4F6A36A0" w14:textId="47DE2D7E" w:rsidR="00506319" w:rsidRDefault="00247E05" w:rsidP="0002537E">
      <w:pPr>
        <w:jc w:val="center"/>
        <w:rPr>
          <w:lang w:eastAsia="fr-FR"/>
        </w:rPr>
      </w:pPr>
      <w:r>
        <w:rPr>
          <w:noProof/>
        </w:rPr>
        <w:drawing>
          <wp:inline distT="0" distB="0" distL="0" distR="0" wp14:anchorId="318419C9" wp14:editId="38857B1E">
            <wp:extent cx="5389123" cy="2276272"/>
            <wp:effectExtent l="0" t="0" r="0" b="0"/>
            <wp:docPr id="106" name="Graphique 106">
              <a:extLst xmlns:a="http://schemas.openxmlformats.org/drawingml/2006/main">
                <a:ext uri="{FF2B5EF4-FFF2-40B4-BE49-F238E27FC236}">
                  <a16:creationId xmlns:a16="http://schemas.microsoft.com/office/drawing/2014/main" id="{D28C15E7-D1E1-43A0-B5DC-7361297C98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38BE6B39" w14:textId="03AEA7DF" w:rsidR="00506319" w:rsidRPr="00926407" w:rsidRDefault="00332A54" w:rsidP="0002537E">
      <w:pPr>
        <w:pStyle w:val="figure"/>
      </w:pPr>
      <w:r w:rsidRPr="00332A54">
        <w:t xml:space="preserve">Figure </w:t>
      </w:r>
      <w:r w:rsidRPr="00D54EC4">
        <w:fldChar w:fldCharType="begin"/>
      </w:r>
      <w:r w:rsidRPr="00332A54">
        <w:instrText xml:space="preserve"> SEQ Figure \* ARABIC </w:instrText>
      </w:r>
      <w:r w:rsidRPr="00D54EC4">
        <w:fldChar w:fldCharType="separate"/>
      </w:r>
      <w:r w:rsidR="0007597F">
        <w:rPr>
          <w:i/>
          <w:noProof/>
        </w:rPr>
        <w:t>41</w:t>
      </w:r>
      <w:r w:rsidRPr="00D54EC4">
        <w:fldChar w:fldCharType="end"/>
      </w:r>
      <w:r w:rsidR="007350E8">
        <w:rPr>
          <w:i/>
        </w:rPr>
        <w:t xml:space="preserve"> : </w:t>
      </w:r>
      <w:r w:rsidR="00506319" w:rsidRPr="00EF5142">
        <w:t>Type des pièces de découpes secondaires en longe sortie découpe et disponible pour la transformation</w:t>
      </w:r>
      <w:r w:rsidR="00BA3A03">
        <w:rPr>
          <w:i/>
        </w:rPr>
        <w:t xml:space="preserve"> en charcuterie salaison</w:t>
      </w:r>
    </w:p>
    <w:p w14:paraId="0EB1FABC" w14:textId="5FEC2EC3" w:rsidR="004B43AF" w:rsidRDefault="004B43AF" w:rsidP="0002537E">
      <w:pPr>
        <w:pStyle w:val="Titre3"/>
      </w:pPr>
      <w:bookmarkStart w:id="404" w:name="_Toc78131703"/>
      <w:r w:rsidRPr="00A50150">
        <w:t>2.</w:t>
      </w:r>
      <w:r>
        <w:t>5</w:t>
      </w:r>
      <w:r w:rsidRPr="00A50150">
        <w:t xml:space="preserve">.3. Destination </w:t>
      </w:r>
      <w:r w:rsidR="00CC3894">
        <w:t xml:space="preserve">des </w:t>
      </w:r>
      <w:r w:rsidRPr="00A50150">
        <w:t>pièces saumurées, salées, séchées ou pièces crues</w:t>
      </w:r>
      <w:bookmarkEnd w:id="404"/>
    </w:p>
    <w:p w14:paraId="5CECC182" w14:textId="3754AFFE" w:rsidR="004B43AF" w:rsidRDefault="004B43AF" w:rsidP="004B43AF">
      <w:pPr>
        <w:spacing w:after="0"/>
        <w:rPr>
          <w:lang w:eastAsia="fr-FR"/>
        </w:rPr>
      </w:pPr>
      <w:r>
        <w:rPr>
          <w:lang w:eastAsia="fr-FR"/>
        </w:rPr>
        <w:t>A partir des</w:t>
      </w:r>
      <w:r w:rsidRPr="002428E6">
        <w:rPr>
          <w:lang w:eastAsia="fr-FR"/>
        </w:rPr>
        <w:t xml:space="preserve"> pièces secondaires issues </w:t>
      </w:r>
      <w:r w:rsidRPr="00A50150">
        <w:rPr>
          <w:lang w:eastAsia="fr-FR"/>
        </w:rPr>
        <w:t xml:space="preserve">de la </w:t>
      </w:r>
      <w:r>
        <w:rPr>
          <w:lang w:eastAsia="fr-FR"/>
        </w:rPr>
        <w:t xml:space="preserve">longe, deux affectations existent  </w:t>
      </w:r>
    </w:p>
    <w:p w14:paraId="01C86F72" w14:textId="12F527A8" w:rsidR="004B43AF" w:rsidRPr="002428E6" w:rsidRDefault="004B43AF" w:rsidP="004B43AF">
      <w:pPr>
        <w:pStyle w:val="Paragraphedeliste"/>
        <w:numPr>
          <w:ilvl w:val="0"/>
          <w:numId w:val="23"/>
        </w:numPr>
        <w:rPr>
          <w:lang w:eastAsia="fr-FR"/>
        </w:rPr>
      </w:pPr>
      <w:r w:rsidRPr="002428E6">
        <w:rPr>
          <w:lang w:eastAsia="fr-FR"/>
        </w:rPr>
        <w:t>La</w:t>
      </w:r>
      <w:r w:rsidR="00CC3894">
        <w:rPr>
          <w:lang w:eastAsia="fr-FR"/>
        </w:rPr>
        <w:t xml:space="preserve"> principale </w:t>
      </w:r>
      <w:r w:rsidR="00A336FB">
        <w:rPr>
          <w:lang w:eastAsia="fr-FR"/>
        </w:rPr>
        <w:t>application</w:t>
      </w:r>
      <w:r w:rsidR="00CC3894">
        <w:rPr>
          <w:lang w:eastAsia="fr-FR"/>
        </w:rPr>
        <w:t xml:space="preserve"> est la viande de boucherie à </w:t>
      </w:r>
      <w:r w:rsidR="002A2605">
        <w:rPr>
          <w:lang w:eastAsia="fr-FR"/>
        </w:rPr>
        <w:t xml:space="preserve">plus </w:t>
      </w:r>
      <w:r w:rsidR="00CC3894">
        <w:rPr>
          <w:lang w:eastAsia="fr-FR"/>
        </w:rPr>
        <w:t xml:space="preserve">de </w:t>
      </w:r>
      <w:r w:rsidR="00A336FB">
        <w:rPr>
          <w:lang w:eastAsia="fr-FR"/>
        </w:rPr>
        <w:t>8</w:t>
      </w:r>
      <w:r w:rsidR="002A2605">
        <w:rPr>
          <w:lang w:eastAsia="fr-FR"/>
        </w:rPr>
        <w:t>0</w:t>
      </w:r>
      <w:r w:rsidR="00CC3894">
        <w:rPr>
          <w:lang w:eastAsia="fr-FR"/>
        </w:rPr>
        <w:t xml:space="preserve">% avec environ </w:t>
      </w:r>
      <w:r w:rsidR="00702E60">
        <w:rPr>
          <w:lang w:eastAsia="fr-FR"/>
        </w:rPr>
        <w:br/>
      </w:r>
      <w:r w:rsidR="00CC3894">
        <w:rPr>
          <w:lang w:eastAsia="fr-FR"/>
        </w:rPr>
        <w:t xml:space="preserve">440 kt </w:t>
      </w:r>
      <w:r>
        <w:rPr>
          <w:lang w:eastAsia="fr-FR"/>
        </w:rPr>
        <w:t>d</w:t>
      </w:r>
      <w:r w:rsidR="00CC3894">
        <w:rPr>
          <w:lang w:eastAsia="fr-FR"/>
        </w:rPr>
        <w:t>ont l’essentiel sous la forme de viande brute</w:t>
      </w:r>
      <w:r w:rsidR="00A336FB">
        <w:rPr>
          <w:lang w:eastAsia="fr-FR"/>
        </w:rPr>
        <w:t> ;</w:t>
      </w:r>
      <w:r w:rsidR="00CC3894">
        <w:rPr>
          <w:lang w:eastAsia="fr-FR"/>
        </w:rPr>
        <w:t xml:space="preserve"> les élaborés </w:t>
      </w:r>
      <w:r w:rsidR="00FD37A2">
        <w:rPr>
          <w:lang w:eastAsia="fr-FR"/>
        </w:rPr>
        <w:t>ne compt</w:t>
      </w:r>
      <w:r w:rsidR="00A336FB">
        <w:rPr>
          <w:lang w:eastAsia="fr-FR"/>
        </w:rPr>
        <w:t>e</w:t>
      </w:r>
      <w:r w:rsidR="00FD37A2">
        <w:rPr>
          <w:lang w:eastAsia="fr-FR"/>
        </w:rPr>
        <w:t xml:space="preserve">nt que pour </w:t>
      </w:r>
      <w:r w:rsidR="00702E60">
        <w:rPr>
          <w:lang w:eastAsia="fr-FR"/>
        </w:rPr>
        <w:t>13</w:t>
      </w:r>
      <w:r w:rsidR="00FD37A2">
        <w:rPr>
          <w:lang w:eastAsia="fr-FR"/>
        </w:rPr>
        <w:t>%</w:t>
      </w:r>
      <w:r>
        <w:rPr>
          <w:lang w:eastAsia="fr-FR"/>
        </w:rPr>
        <w:t xml:space="preserve"> </w:t>
      </w:r>
      <w:r w:rsidR="00A336FB">
        <w:rPr>
          <w:lang w:eastAsia="fr-FR"/>
        </w:rPr>
        <w:t xml:space="preserve">même si </w:t>
      </w:r>
      <w:r w:rsidR="00702E60">
        <w:rPr>
          <w:lang w:eastAsia="fr-FR"/>
        </w:rPr>
        <w:t>les sautés et les émincés commercialisés notamment en restauration hors domicile</w:t>
      </w:r>
      <w:r w:rsidR="00A336FB">
        <w:rPr>
          <w:lang w:eastAsia="fr-FR"/>
        </w:rPr>
        <w:t xml:space="preserve"> sont considérés</w:t>
      </w:r>
      <w:r w:rsidRPr="002428E6">
        <w:rPr>
          <w:lang w:eastAsia="fr-FR"/>
        </w:rPr>
        <w:t>,</w:t>
      </w:r>
    </w:p>
    <w:p w14:paraId="4770DF54" w14:textId="6866E049" w:rsidR="00A336FB" w:rsidRDefault="00A336FB" w:rsidP="00A336FB">
      <w:pPr>
        <w:pStyle w:val="Paragraphedeliste"/>
        <w:numPr>
          <w:ilvl w:val="0"/>
          <w:numId w:val="23"/>
        </w:numPr>
        <w:rPr>
          <w:lang w:eastAsia="fr-FR"/>
        </w:rPr>
      </w:pPr>
      <w:r>
        <w:rPr>
          <w:lang w:eastAsia="fr-FR"/>
        </w:rPr>
        <w:lastRenderedPageBreak/>
        <w:t>Secondairement, l</w:t>
      </w:r>
      <w:r w:rsidR="004B43AF">
        <w:rPr>
          <w:lang w:eastAsia="fr-FR"/>
        </w:rPr>
        <w:t xml:space="preserve">es pièces </w:t>
      </w:r>
      <w:r>
        <w:rPr>
          <w:lang w:eastAsia="fr-FR"/>
        </w:rPr>
        <w:t xml:space="preserve">traitées en salaison </w:t>
      </w:r>
      <w:r w:rsidR="008F628B">
        <w:rPr>
          <w:lang w:eastAsia="fr-FR"/>
        </w:rPr>
        <w:t xml:space="preserve">et étuvage </w:t>
      </w:r>
      <w:r>
        <w:rPr>
          <w:lang w:eastAsia="fr-FR"/>
        </w:rPr>
        <w:t xml:space="preserve">pour une part de 8% notamment au travers du bacon et des rôtis. A noter, </w:t>
      </w:r>
      <w:r w:rsidR="008F628B">
        <w:rPr>
          <w:lang w:eastAsia="fr-FR"/>
        </w:rPr>
        <w:t>bien que le bacon soit relativement diffusé notamment restauration, le poids</w:t>
      </w:r>
      <w:r>
        <w:rPr>
          <w:lang w:eastAsia="fr-FR"/>
        </w:rPr>
        <w:t xml:space="preserve"> </w:t>
      </w:r>
      <w:r w:rsidR="008F628B">
        <w:rPr>
          <w:lang w:eastAsia="fr-FR"/>
        </w:rPr>
        <w:t xml:space="preserve">du </w:t>
      </w:r>
      <w:r>
        <w:rPr>
          <w:lang w:eastAsia="fr-FR"/>
        </w:rPr>
        <w:t>bacon de porc</w:t>
      </w:r>
      <w:r w:rsidR="008F628B">
        <w:rPr>
          <w:lang w:eastAsia="fr-FR"/>
        </w:rPr>
        <w:t xml:space="preserve"> notamment élaboré à partir du filet</w:t>
      </w:r>
      <w:r>
        <w:rPr>
          <w:lang w:eastAsia="fr-FR"/>
        </w:rPr>
        <w:t xml:space="preserve"> </w:t>
      </w:r>
      <w:r w:rsidR="008F628B">
        <w:rPr>
          <w:lang w:eastAsia="fr-FR"/>
        </w:rPr>
        <w:t xml:space="preserve">représente un volume modeste. En effet, il </w:t>
      </w:r>
      <w:r>
        <w:rPr>
          <w:lang w:eastAsia="fr-FR"/>
        </w:rPr>
        <w:t xml:space="preserve">est progressivement remplacé </w:t>
      </w:r>
      <w:r w:rsidR="008F628B">
        <w:rPr>
          <w:lang w:eastAsia="fr-FR"/>
        </w:rPr>
        <w:t xml:space="preserve">en particulier </w:t>
      </w:r>
      <w:r>
        <w:rPr>
          <w:lang w:eastAsia="fr-FR"/>
        </w:rPr>
        <w:t>en restauration par le bacon de dinde.</w:t>
      </w:r>
    </w:p>
    <w:p w14:paraId="76FA000F" w14:textId="77777777" w:rsidR="00347705" w:rsidRDefault="00347705" w:rsidP="0002537E">
      <w:pPr>
        <w:pStyle w:val="Paragraphedeliste"/>
        <w:numPr>
          <w:ilvl w:val="0"/>
          <w:numId w:val="0"/>
        </w:numPr>
        <w:ind w:left="720"/>
        <w:rPr>
          <w:lang w:eastAsia="fr-FR"/>
        </w:rPr>
      </w:pPr>
    </w:p>
    <w:p w14:paraId="3B56F22C" w14:textId="04E5E4FA" w:rsidR="004B43AF" w:rsidRPr="001323C5" w:rsidRDefault="00A336FB" w:rsidP="00A336FB">
      <w:pPr>
        <w:rPr>
          <w:lang w:eastAsia="fr-FR"/>
        </w:rPr>
      </w:pPr>
      <w:r>
        <w:rPr>
          <w:lang w:eastAsia="fr-FR"/>
        </w:rPr>
        <w:t>Les volumes d’importation de 16kt trouvent leur origine au travers des catégories autres (02031959 et 02032959 ; Autre nd frais et nd congelé) qui peuvent être assimilés notamment au filet mignon</w:t>
      </w:r>
      <w:r w:rsidR="00347705" w:rsidRPr="00347705">
        <w:rPr>
          <w:b/>
          <w:bCs/>
          <w:lang w:eastAsia="fr-FR"/>
        </w:rPr>
        <w:t xml:space="preserve"> </w:t>
      </w:r>
      <w:r w:rsidR="00347705" w:rsidRPr="0002537E">
        <w:rPr>
          <w:lang w:eastAsia="fr-FR"/>
        </w:rPr>
        <w:t xml:space="preserve">à destination de la restauration commerciale </w:t>
      </w:r>
      <w:r w:rsidR="00347705" w:rsidRPr="00347705">
        <w:rPr>
          <w:lang w:eastAsia="fr-FR"/>
        </w:rPr>
        <w:t>(Espagne), la GMS établissant des contrats annuels avec des approvisionnements spots en période de promotion</w:t>
      </w:r>
      <w:r>
        <w:rPr>
          <w:lang w:eastAsia="fr-FR"/>
        </w:rPr>
        <w:t xml:space="preserve">. A l’exportation, sont retrouvés, </w:t>
      </w:r>
      <w:r w:rsidR="00347705">
        <w:rPr>
          <w:lang w:eastAsia="fr-FR"/>
        </w:rPr>
        <w:t xml:space="preserve">les longes SS et SF ainsi que les autres viandes SS et SF pour un volume </w:t>
      </w:r>
      <w:r w:rsidR="0075609A">
        <w:rPr>
          <w:lang w:eastAsia="fr-FR"/>
        </w:rPr>
        <w:t>inférieur à 1 kt</w:t>
      </w:r>
      <w:r w:rsidR="00347705">
        <w:rPr>
          <w:lang w:eastAsia="fr-FR"/>
        </w:rPr>
        <w:t xml:space="preserve">. </w:t>
      </w:r>
      <w:r w:rsidR="004B43AF" w:rsidRPr="0088610C">
        <w:rPr>
          <w:bCs/>
          <w:lang w:eastAsia="fr-FR"/>
        </w:rPr>
        <w:t>Les incertitudes en entrée de tableau emploi ressource sont de 30%</w:t>
      </w:r>
      <w:r w:rsidR="004B43AF">
        <w:rPr>
          <w:bCs/>
          <w:lang w:eastAsia="fr-FR"/>
        </w:rPr>
        <w:t>.</w:t>
      </w:r>
    </w:p>
    <w:p w14:paraId="289EF607" w14:textId="01CBCA9B" w:rsidR="00EA0C75" w:rsidRDefault="00EA0C75" w:rsidP="0002537E">
      <w:pPr>
        <w:pStyle w:val="Titre3"/>
        <w:spacing w:before="120"/>
        <w:rPr>
          <w:rFonts w:eastAsiaTheme="minorEastAsia"/>
        </w:rPr>
      </w:pPr>
      <w:bookmarkStart w:id="405" w:name="_Toc78131704"/>
      <w:r>
        <w:rPr>
          <w:rFonts w:eastAsiaTheme="minorEastAsia"/>
        </w:rPr>
        <w:t>2.</w:t>
      </w:r>
      <w:r w:rsidR="00A336FB">
        <w:rPr>
          <w:rFonts w:eastAsiaTheme="minorEastAsia"/>
        </w:rPr>
        <w:t>5</w:t>
      </w:r>
      <w:r>
        <w:rPr>
          <w:rFonts w:eastAsiaTheme="minorEastAsia"/>
        </w:rPr>
        <w:t>.</w:t>
      </w:r>
      <w:r w:rsidR="00A336FB">
        <w:rPr>
          <w:rFonts w:eastAsiaTheme="minorEastAsia"/>
        </w:rPr>
        <w:t>4</w:t>
      </w:r>
      <w:r>
        <w:rPr>
          <w:rFonts w:eastAsiaTheme="minorEastAsia"/>
        </w:rPr>
        <w:t xml:space="preserve">. </w:t>
      </w:r>
      <w:r w:rsidRPr="00A06B55">
        <w:rPr>
          <w:rFonts w:eastAsiaTheme="minorEastAsia"/>
        </w:rPr>
        <w:t>Destination pièces saumurées, salées, séchées ou pièces crues</w:t>
      </w:r>
      <w:bookmarkEnd w:id="405"/>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3520"/>
        <w:gridCol w:w="1800"/>
        <w:gridCol w:w="640"/>
        <w:gridCol w:w="900"/>
        <w:gridCol w:w="1960"/>
      </w:tblGrid>
      <w:tr w:rsidR="00E06A72" w:rsidRPr="00E06A72" w14:paraId="18C09366" w14:textId="77777777" w:rsidTr="0002537E">
        <w:trPr>
          <w:trHeight w:val="20"/>
          <w:jc w:val="center"/>
        </w:trPr>
        <w:tc>
          <w:tcPr>
            <w:tcW w:w="3520" w:type="dxa"/>
            <w:shd w:val="clear" w:color="auto" w:fill="A6A6A6" w:themeFill="background1" w:themeFillShade="A6"/>
            <w:tcMar>
              <w:top w:w="15" w:type="dxa"/>
              <w:left w:w="15" w:type="dxa"/>
              <w:bottom w:w="0" w:type="dxa"/>
              <w:right w:w="15" w:type="dxa"/>
            </w:tcMar>
            <w:vAlign w:val="center"/>
            <w:hideMark/>
          </w:tcPr>
          <w:p w14:paraId="09BD87E0" w14:textId="77777777" w:rsidR="00E06A72" w:rsidRPr="00713036" w:rsidRDefault="00E06A72" w:rsidP="0002537E">
            <w:pPr>
              <w:spacing w:after="0" w:line="240" w:lineRule="auto"/>
              <w:rPr>
                <w:rFonts w:cs="Arial"/>
                <w:sz w:val="20"/>
                <w:szCs w:val="20"/>
                <w:lang w:eastAsia="fr-FR"/>
              </w:rPr>
            </w:pPr>
            <w:r w:rsidRPr="00713036">
              <w:rPr>
                <w:rFonts w:cs="Arial"/>
                <w:b/>
                <w:bCs/>
                <w:sz w:val="20"/>
                <w:szCs w:val="20"/>
                <w:lang w:eastAsia="fr-FR"/>
              </w:rPr>
              <w:t xml:space="preserve">Libellé </w:t>
            </w:r>
          </w:p>
        </w:tc>
        <w:tc>
          <w:tcPr>
            <w:tcW w:w="1800" w:type="dxa"/>
            <w:shd w:val="clear" w:color="auto" w:fill="A6A6A6" w:themeFill="background1" w:themeFillShade="A6"/>
            <w:tcMar>
              <w:top w:w="15" w:type="dxa"/>
              <w:left w:w="15" w:type="dxa"/>
              <w:bottom w:w="0" w:type="dxa"/>
              <w:right w:w="15" w:type="dxa"/>
            </w:tcMar>
            <w:vAlign w:val="center"/>
            <w:hideMark/>
          </w:tcPr>
          <w:p w14:paraId="471254DF" w14:textId="2BEC31EA"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Production</w:t>
            </w:r>
          </w:p>
        </w:tc>
        <w:tc>
          <w:tcPr>
            <w:tcW w:w="640" w:type="dxa"/>
            <w:shd w:val="clear" w:color="auto" w:fill="A6A6A6" w:themeFill="background1" w:themeFillShade="A6"/>
            <w:tcMar>
              <w:top w:w="15" w:type="dxa"/>
              <w:left w:w="15" w:type="dxa"/>
              <w:bottom w:w="0" w:type="dxa"/>
              <w:right w:w="15" w:type="dxa"/>
            </w:tcMar>
            <w:vAlign w:val="center"/>
            <w:hideMark/>
          </w:tcPr>
          <w:p w14:paraId="254EC734"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I</w:t>
            </w:r>
          </w:p>
        </w:tc>
        <w:tc>
          <w:tcPr>
            <w:tcW w:w="900" w:type="dxa"/>
            <w:shd w:val="clear" w:color="auto" w:fill="A6A6A6" w:themeFill="background1" w:themeFillShade="A6"/>
            <w:tcMar>
              <w:top w:w="15" w:type="dxa"/>
              <w:left w:w="15" w:type="dxa"/>
              <w:bottom w:w="0" w:type="dxa"/>
              <w:right w:w="15" w:type="dxa"/>
            </w:tcMar>
            <w:vAlign w:val="center"/>
            <w:hideMark/>
          </w:tcPr>
          <w:p w14:paraId="5A3CE7B6"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Ex</w:t>
            </w:r>
          </w:p>
        </w:tc>
        <w:tc>
          <w:tcPr>
            <w:tcW w:w="1960" w:type="dxa"/>
            <w:shd w:val="clear" w:color="auto" w:fill="A6A6A6" w:themeFill="background1" w:themeFillShade="A6"/>
            <w:tcMar>
              <w:top w:w="15" w:type="dxa"/>
              <w:left w:w="15" w:type="dxa"/>
              <w:bottom w:w="0" w:type="dxa"/>
              <w:right w:w="15" w:type="dxa"/>
            </w:tcMar>
            <w:vAlign w:val="center"/>
            <w:hideMark/>
          </w:tcPr>
          <w:p w14:paraId="6D921871"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Consommation</w:t>
            </w:r>
          </w:p>
        </w:tc>
      </w:tr>
      <w:tr w:rsidR="00E06A72" w:rsidRPr="00E06A72" w14:paraId="779ECA79" w14:textId="77777777" w:rsidTr="0002537E">
        <w:trPr>
          <w:trHeight w:val="20"/>
          <w:jc w:val="center"/>
        </w:trPr>
        <w:tc>
          <w:tcPr>
            <w:tcW w:w="3520" w:type="dxa"/>
            <w:shd w:val="clear" w:color="auto" w:fill="A6A6A6" w:themeFill="background1" w:themeFillShade="A6"/>
            <w:tcMar>
              <w:top w:w="15" w:type="dxa"/>
              <w:left w:w="15" w:type="dxa"/>
              <w:bottom w:w="0" w:type="dxa"/>
              <w:right w:w="15" w:type="dxa"/>
            </w:tcMar>
            <w:vAlign w:val="center"/>
            <w:hideMark/>
          </w:tcPr>
          <w:p w14:paraId="2EE37CB5" w14:textId="77777777" w:rsidR="00E06A72" w:rsidRPr="00713036" w:rsidRDefault="00E06A72" w:rsidP="0002537E">
            <w:pPr>
              <w:spacing w:after="0" w:line="240" w:lineRule="auto"/>
              <w:rPr>
                <w:rFonts w:cs="Arial"/>
                <w:sz w:val="20"/>
                <w:szCs w:val="20"/>
                <w:lang w:eastAsia="fr-FR"/>
              </w:rPr>
            </w:pPr>
            <w:r w:rsidRPr="00713036">
              <w:rPr>
                <w:rFonts w:cs="Arial"/>
                <w:b/>
                <w:bCs/>
                <w:sz w:val="20"/>
                <w:szCs w:val="20"/>
                <w:lang w:eastAsia="fr-FR"/>
              </w:rPr>
              <w:t xml:space="preserve">Total </w:t>
            </w:r>
          </w:p>
        </w:tc>
        <w:tc>
          <w:tcPr>
            <w:tcW w:w="1800" w:type="dxa"/>
            <w:shd w:val="clear" w:color="auto" w:fill="A6A6A6" w:themeFill="background1" w:themeFillShade="A6"/>
            <w:tcMar>
              <w:top w:w="15" w:type="dxa"/>
              <w:left w:w="15" w:type="dxa"/>
              <w:bottom w:w="0" w:type="dxa"/>
              <w:right w:w="15" w:type="dxa"/>
            </w:tcMar>
            <w:vAlign w:val="center"/>
            <w:hideMark/>
          </w:tcPr>
          <w:p w14:paraId="6833FE9F"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439 [307-570]</w:t>
            </w:r>
          </w:p>
        </w:tc>
        <w:tc>
          <w:tcPr>
            <w:tcW w:w="640" w:type="dxa"/>
            <w:shd w:val="clear" w:color="auto" w:fill="A6A6A6" w:themeFill="background1" w:themeFillShade="A6"/>
            <w:tcMar>
              <w:top w:w="15" w:type="dxa"/>
              <w:left w:w="15" w:type="dxa"/>
              <w:bottom w:w="0" w:type="dxa"/>
              <w:right w:w="15" w:type="dxa"/>
            </w:tcMar>
            <w:vAlign w:val="center"/>
            <w:hideMark/>
          </w:tcPr>
          <w:p w14:paraId="2DBC15EB"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16</w:t>
            </w:r>
          </w:p>
        </w:tc>
        <w:tc>
          <w:tcPr>
            <w:tcW w:w="900" w:type="dxa"/>
            <w:shd w:val="clear" w:color="auto" w:fill="A6A6A6" w:themeFill="background1" w:themeFillShade="A6"/>
            <w:tcMar>
              <w:top w:w="15" w:type="dxa"/>
              <w:left w:w="15" w:type="dxa"/>
              <w:bottom w:w="0" w:type="dxa"/>
              <w:right w:w="15" w:type="dxa"/>
            </w:tcMar>
            <w:vAlign w:val="center"/>
            <w:hideMark/>
          </w:tcPr>
          <w:p w14:paraId="23A1B163" w14:textId="02283A82" w:rsidR="00E06A72" w:rsidRPr="00713036" w:rsidRDefault="004B1DFA" w:rsidP="0002537E">
            <w:pPr>
              <w:spacing w:after="0" w:line="240" w:lineRule="auto"/>
              <w:jc w:val="center"/>
              <w:rPr>
                <w:rFonts w:cs="Arial"/>
                <w:sz w:val="20"/>
                <w:szCs w:val="20"/>
                <w:lang w:eastAsia="fr-FR"/>
              </w:rPr>
            </w:pPr>
            <w:r>
              <w:rPr>
                <w:rFonts w:cs="Arial"/>
                <w:b/>
                <w:bCs/>
                <w:sz w:val="20"/>
                <w:szCs w:val="20"/>
                <w:lang w:eastAsia="fr-FR"/>
              </w:rPr>
              <w:t>0,2</w:t>
            </w:r>
          </w:p>
        </w:tc>
        <w:tc>
          <w:tcPr>
            <w:tcW w:w="1960" w:type="dxa"/>
            <w:shd w:val="clear" w:color="auto" w:fill="A6A6A6" w:themeFill="background1" w:themeFillShade="A6"/>
            <w:tcMar>
              <w:top w:w="15" w:type="dxa"/>
              <w:left w:w="15" w:type="dxa"/>
              <w:bottom w:w="0" w:type="dxa"/>
              <w:right w:w="15" w:type="dxa"/>
            </w:tcMar>
            <w:vAlign w:val="center"/>
            <w:hideMark/>
          </w:tcPr>
          <w:p w14:paraId="0D1EF4B7" w14:textId="77777777" w:rsidR="00E06A72" w:rsidRPr="00713036" w:rsidRDefault="00E06A72" w:rsidP="0002537E">
            <w:pPr>
              <w:spacing w:after="0" w:line="240" w:lineRule="auto"/>
              <w:jc w:val="center"/>
              <w:rPr>
                <w:rFonts w:cs="Arial"/>
                <w:sz w:val="20"/>
                <w:szCs w:val="20"/>
                <w:lang w:eastAsia="fr-FR"/>
              </w:rPr>
            </w:pPr>
            <w:r w:rsidRPr="00713036">
              <w:rPr>
                <w:rFonts w:cs="Arial"/>
                <w:b/>
                <w:bCs/>
                <w:sz w:val="20"/>
                <w:szCs w:val="20"/>
                <w:lang w:eastAsia="fr-FR"/>
              </w:rPr>
              <w:t>451 [316-586]</w:t>
            </w:r>
          </w:p>
        </w:tc>
      </w:tr>
      <w:tr w:rsidR="00E06A72" w:rsidRPr="00E06A72" w14:paraId="3E825FFB" w14:textId="77777777" w:rsidTr="0002537E">
        <w:trPr>
          <w:trHeight w:val="20"/>
          <w:jc w:val="center"/>
        </w:trPr>
        <w:tc>
          <w:tcPr>
            <w:tcW w:w="3520" w:type="dxa"/>
            <w:shd w:val="clear" w:color="auto" w:fill="A6A6A6"/>
            <w:tcMar>
              <w:top w:w="15" w:type="dxa"/>
              <w:left w:w="15" w:type="dxa"/>
              <w:bottom w:w="0" w:type="dxa"/>
              <w:right w:w="15" w:type="dxa"/>
            </w:tcMar>
            <w:vAlign w:val="center"/>
            <w:hideMark/>
          </w:tcPr>
          <w:p w14:paraId="21CA746D" w14:textId="77777777" w:rsidR="00E06A72" w:rsidRPr="00713036" w:rsidRDefault="00E06A72" w:rsidP="0002537E">
            <w:pPr>
              <w:spacing w:after="0" w:line="240" w:lineRule="auto"/>
              <w:rPr>
                <w:rFonts w:cs="Arial"/>
                <w:sz w:val="20"/>
                <w:szCs w:val="20"/>
                <w:lang w:eastAsia="fr-FR"/>
              </w:rPr>
            </w:pPr>
            <w:r w:rsidRPr="00713036">
              <w:rPr>
                <w:rFonts w:cs="Arial"/>
                <w:b/>
                <w:bCs/>
                <w:i/>
                <w:iCs/>
                <w:sz w:val="20"/>
                <w:szCs w:val="20"/>
                <w:lang w:eastAsia="fr-FR"/>
              </w:rPr>
              <w:t xml:space="preserve">Dont pièces de viandes crues, salées </w:t>
            </w:r>
          </w:p>
        </w:tc>
        <w:tc>
          <w:tcPr>
            <w:tcW w:w="1800" w:type="dxa"/>
            <w:shd w:val="clear" w:color="auto" w:fill="A6A6A6"/>
            <w:tcMar>
              <w:top w:w="15" w:type="dxa"/>
              <w:left w:w="15" w:type="dxa"/>
              <w:bottom w:w="0" w:type="dxa"/>
              <w:right w:w="15" w:type="dxa"/>
            </w:tcMar>
            <w:vAlign w:val="center"/>
            <w:hideMark/>
          </w:tcPr>
          <w:p w14:paraId="6EE145CC" w14:textId="2E146FD7"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3</w:t>
            </w:r>
            <w:r w:rsidR="00FD37A2">
              <w:rPr>
                <w:rFonts w:cs="Arial"/>
                <w:b/>
                <w:bCs/>
                <w:i/>
                <w:iCs/>
                <w:sz w:val="20"/>
                <w:szCs w:val="20"/>
                <w:lang w:eastAsia="fr-FR"/>
              </w:rPr>
              <w:t>5</w:t>
            </w:r>
            <w:r w:rsidRPr="00713036">
              <w:rPr>
                <w:rFonts w:cs="Arial"/>
                <w:b/>
                <w:bCs/>
                <w:i/>
                <w:iCs/>
                <w:sz w:val="20"/>
                <w:szCs w:val="20"/>
                <w:lang w:eastAsia="fr-FR"/>
              </w:rPr>
              <w:t>4 [2</w:t>
            </w:r>
            <w:r w:rsidR="00FD37A2">
              <w:rPr>
                <w:rFonts w:cs="Arial"/>
                <w:b/>
                <w:bCs/>
                <w:i/>
                <w:iCs/>
                <w:sz w:val="20"/>
                <w:szCs w:val="20"/>
                <w:lang w:eastAsia="fr-FR"/>
              </w:rPr>
              <w:t>48</w:t>
            </w:r>
            <w:r w:rsidRPr="00713036">
              <w:rPr>
                <w:rFonts w:cs="Arial"/>
                <w:b/>
                <w:bCs/>
                <w:i/>
                <w:iCs/>
                <w:sz w:val="20"/>
                <w:szCs w:val="20"/>
                <w:lang w:eastAsia="fr-FR"/>
              </w:rPr>
              <w:t>-</w:t>
            </w:r>
            <w:r w:rsidR="00FD37A2">
              <w:rPr>
                <w:rFonts w:cs="Arial"/>
                <w:b/>
                <w:bCs/>
                <w:i/>
                <w:iCs/>
                <w:sz w:val="20"/>
                <w:szCs w:val="20"/>
                <w:lang w:eastAsia="fr-FR"/>
              </w:rPr>
              <w:t>460</w:t>
            </w:r>
            <w:r w:rsidRPr="00713036">
              <w:rPr>
                <w:rFonts w:cs="Arial"/>
                <w:b/>
                <w:bCs/>
                <w:i/>
                <w:iCs/>
                <w:sz w:val="20"/>
                <w:szCs w:val="20"/>
                <w:lang w:eastAsia="fr-FR"/>
              </w:rPr>
              <w:t>]</w:t>
            </w:r>
          </w:p>
        </w:tc>
        <w:tc>
          <w:tcPr>
            <w:tcW w:w="640" w:type="dxa"/>
            <w:shd w:val="clear" w:color="auto" w:fill="A6A6A6"/>
            <w:tcMar>
              <w:top w:w="15" w:type="dxa"/>
              <w:left w:w="15" w:type="dxa"/>
              <w:bottom w:w="0" w:type="dxa"/>
              <w:right w:w="15" w:type="dxa"/>
            </w:tcMar>
            <w:vAlign w:val="center"/>
            <w:hideMark/>
          </w:tcPr>
          <w:p w14:paraId="533F98E5" w14:textId="517991AD"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16</w:t>
            </w:r>
          </w:p>
        </w:tc>
        <w:tc>
          <w:tcPr>
            <w:tcW w:w="900" w:type="dxa"/>
            <w:shd w:val="clear" w:color="auto" w:fill="A6A6A6"/>
            <w:tcMar>
              <w:top w:w="15" w:type="dxa"/>
              <w:left w:w="15" w:type="dxa"/>
              <w:bottom w:w="0" w:type="dxa"/>
              <w:right w:w="15" w:type="dxa"/>
            </w:tcMar>
            <w:vAlign w:val="center"/>
            <w:hideMark/>
          </w:tcPr>
          <w:p w14:paraId="49D977B6" w14:textId="61136A0A" w:rsidR="00E06A72" w:rsidRPr="00713036" w:rsidRDefault="004B1DFA" w:rsidP="0002537E">
            <w:pPr>
              <w:spacing w:after="0" w:line="240" w:lineRule="auto"/>
              <w:jc w:val="center"/>
              <w:rPr>
                <w:rFonts w:cs="Arial"/>
                <w:sz w:val="20"/>
                <w:szCs w:val="20"/>
                <w:lang w:eastAsia="fr-FR"/>
              </w:rPr>
            </w:pPr>
            <w:r>
              <w:rPr>
                <w:rFonts w:cs="Arial"/>
                <w:b/>
                <w:bCs/>
                <w:i/>
                <w:iCs/>
                <w:sz w:val="20"/>
                <w:szCs w:val="20"/>
                <w:lang w:eastAsia="fr-FR"/>
              </w:rPr>
              <w:t>0,2</w:t>
            </w:r>
          </w:p>
        </w:tc>
        <w:tc>
          <w:tcPr>
            <w:tcW w:w="1960" w:type="dxa"/>
            <w:shd w:val="clear" w:color="auto" w:fill="A6A6A6"/>
            <w:tcMar>
              <w:top w:w="15" w:type="dxa"/>
              <w:left w:w="15" w:type="dxa"/>
              <w:bottom w:w="0" w:type="dxa"/>
              <w:right w:w="15" w:type="dxa"/>
            </w:tcMar>
            <w:vAlign w:val="center"/>
            <w:hideMark/>
          </w:tcPr>
          <w:p w14:paraId="36D257E3" w14:textId="4E26921D"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3</w:t>
            </w:r>
            <w:r w:rsidR="00FD37A2">
              <w:rPr>
                <w:rFonts w:cs="Arial"/>
                <w:b/>
                <w:bCs/>
                <w:i/>
                <w:iCs/>
                <w:sz w:val="20"/>
                <w:szCs w:val="20"/>
                <w:lang w:eastAsia="fr-FR"/>
              </w:rPr>
              <w:t>49</w:t>
            </w:r>
            <w:r w:rsidRPr="00713036">
              <w:rPr>
                <w:rFonts w:cs="Arial"/>
                <w:b/>
                <w:bCs/>
                <w:i/>
                <w:iCs/>
                <w:sz w:val="20"/>
                <w:szCs w:val="20"/>
                <w:lang w:eastAsia="fr-FR"/>
              </w:rPr>
              <w:t xml:space="preserve"> [2</w:t>
            </w:r>
            <w:r w:rsidR="00FD37A2">
              <w:rPr>
                <w:rFonts w:cs="Arial"/>
                <w:b/>
                <w:bCs/>
                <w:i/>
                <w:iCs/>
                <w:sz w:val="20"/>
                <w:szCs w:val="20"/>
                <w:lang w:eastAsia="fr-FR"/>
              </w:rPr>
              <w:t>44</w:t>
            </w:r>
            <w:r w:rsidRPr="00713036">
              <w:rPr>
                <w:rFonts w:cs="Arial"/>
                <w:b/>
                <w:bCs/>
                <w:i/>
                <w:iCs/>
                <w:sz w:val="20"/>
                <w:szCs w:val="20"/>
                <w:lang w:eastAsia="fr-FR"/>
              </w:rPr>
              <w:t>-</w:t>
            </w:r>
            <w:r w:rsidR="00FD37A2">
              <w:rPr>
                <w:rFonts w:cs="Arial"/>
                <w:b/>
                <w:bCs/>
                <w:i/>
                <w:iCs/>
                <w:sz w:val="20"/>
                <w:szCs w:val="20"/>
                <w:lang w:eastAsia="fr-FR"/>
              </w:rPr>
              <w:t>453</w:t>
            </w:r>
            <w:r w:rsidRPr="00713036">
              <w:rPr>
                <w:rFonts w:cs="Arial"/>
                <w:b/>
                <w:bCs/>
                <w:i/>
                <w:iCs/>
                <w:sz w:val="20"/>
                <w:szCs w:val="20"/>
                <w:lang w:eastAsia="fr-FR"/>
              </w:rPr>
              <w:t>]</w:t>
            </w:r>
          </w:p>
        </w:tc>
      </w:tr>
      <w:tr w:rsidR="00E06A72" w:rsidRPr="00E06A72" w14:paraId="2782DFDC" w14:textId="77777777" w:rsidTr="0002537E">
        <w:trPr>
          <w:trHeight w:val="20"/>
          <w:jc w:val="center"/>
        </w:trPr>
        <w:tc>
          <w:tcPr>
            <w:tcW w:w="3520" w:type="dxa"/>
            <w:shd w:val="clear" w:color="auto" w:fill="auto"/>
            <w:tcMar>
              <w:top w:w="15" w:type="dxa"/>
              <w:left w:w="15" w:type="dxa"/>
              <w:bottom w:w="0" w:type="dxa"/>
              <w:right w:w="15" w:type="dxa"/>
            </w:tcMar>
            <w:vAlign w:val="center"/>
            <w:hideMark/>
          </w:tcPr>
          <w:p w14:paraId="2AA8E2B9" w14:textId="61FDABF3" w:rsidR="00E06A72" w:rsidRPr="00713036" w:rsidRDefault="00E06A72" w:rsidP="0002537E">
            <w:pPr>
              <w:spacing w:after="0" w:line="240" w:lineRule="auto"/>
              <w:rPr>
                <w:rFonts w:cs="Arial"/>
                <w:sz w:val="20"/>
                <w:szCs w:val="20"/>
                <w:lang w:eastAsia="fr-FR"/>
              </w:rPr>
            </w:pPr>
            <w:r w:rsidRPr="00713036">
              <w:rPr>
                <w:rFonts w:cs="Arial"/>
                <w:sz w:val="20"/>
                <w:szCs w:val="20"/>
                <w:lang w:eastAsia="fr-FR"/>
              </w:rPr>
              <w:t>Côtes, côtelettes a/o et s/o (échine…)</w:t>
            </w:r>
          </w:p>
        </w:tc>
        <w:tc>
          <w:tcPr>
            <w:tcW w:w="1800" w:type="dxa"/>
            <w:shd w:val="clear" w:color="auto" w:fill="auto"/>
            <w:tcMar>
              <w:top w:w="15" w:type="dxa"/>
              <w:left w:w="15" w:type="dxa"/>
              <w:bottom w:w="0" w:type="dxa"/>
              <w:right w:w="15" w:type="dxa"/>
            </w:tcMar>
            <w:vAlign w:val="center"/>
            <w:hideMark/>
          </w:tcPr>
          <w:p w14:paraId="2C0E9213"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157 [110-204]</w:t>
            </w:r>
          </w:p>
        </w:tc>
        <w:tc>
          <w:tcPr>
            <w:tcW w:w="640" w:type="dxa"/>
            <w:vMerge w:val="restart"/>
            <w:shd w:val="clear" w:color="auto" w:fill="auto"/>
            <w:tcMar>
              <w:top w:w="15" w:type="dxa"/>
              <w:left w:w="15" w:type="dxa"/>
              <w:bottom w:w="0" w:type="dxa"/>
              <w:right w:w="15" w:type="dxa"/>
            </w:tcMar>
            <w:vAlign w:val="center"/>
            <w:hideMark/>
          </w:tcPr>
          <w:p w14:paraId="4606A597" w14:textId="17A2009E"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16</w:t>
            </w:r>
          </w:p>
        </w:tc>
        <w:tc>
          <w:tcPr>
            <w:tcW w:w="900" w:type="dxa"/>
            <w:vMerge w:val="restart"/>
            <w:shd w:val="clear" w:color="auto" w:fill="auto"/>
            <w:tcMar>
              <w:top w:w="15" w:type="dxa"/>
              <w:left w:w="15" w:type="dxa"/>
              <w:bottom w:w="0" w:type="dxa"/>
              <w:right w:w="15" w:type="dxa"/>
            </w:tcMar>
            <w:vAlign w:val="center"/>
            <w:hideMark/>
          </w:tcPr>
          <w:p w14:paraId="080B5EA9" w14:textId="38C04B5C"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373B33D7"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152 [106-198]</w:t>
            </w:r>
          </w:p>
        </w:tc>
      </w:tr>
      <w:tr w:rsidR="00E06A72" w:rsidRPr="00E06A72" w14:paraId="1D172D4A" w14:textId="77777777" w:rsidTr="0002537E">
        <w:trPr>
          <w:trHeight w:val="20"/>
          <w:jc w:val="center"/>
        </w:trPr>
        <w:tc>
          <w:tcPr>
            <w:tcW w:w="3520" w:type="dxa"/>
            <w:shd w:val="clear" w:color="auto" w:fill="auto"/>
            <w:tcMar>
              <w:top w:w="15" w:type="dxa"/>
              <w:left w:w="15" w:type="dxa"/>
              <w:bottom w:w="0" w:type="dxa"/>
              <w:right w:w="15" w:type="dxa"/>
            </w:tcMar>
            <w:vAlign w:val="bottom"/>
            <w:hideMark/>
          </w:tcPr>
          <w:p w14:paraId="4860E2CC" w14:textId="77777777" w:rsidR="00E06A72" w:rsidRPr="00713036" w:rsidRDefault="00E06A72" w:rsidP="0002537E">
            <w:pPr>
              <w:spacing w:after="0" w:line="240" w:lineRule="auto"/>
              <w:rPr>
                <w:rFonts w:cs="Arial"/>
                <w:sz w:val="20"/>
                <w:szCs w:val="20"/>
                <w:lang w:eastAsia="fr-FR"/>
              </w:rPr>
            </w:pPr>
            <w:r w:rsidRPr="00713036">
              <w:rPr>
                <w:rFonts w:cs="Arial"/>
                <w:sz w:val="20"/>
                <w:szCs w:val="20"/>
                <w:lang w:eastAsia="fr-FR"/>
              </w:rPr>
              <w:t>Rôti (échine…)</w:t>
            </w:r>
          </w:p>
        </w:tc>
        <w:tc>
          <w:tcPr>
            <w:tcW w:w="1800" w:type="dxa"/>
            <w:shd w:val="clear" w:color="auto" w:fill="auto"/>
            <w:tcMar>
              <w:top w:w="15" w:type="dxa"/>
              <w:left w:w="15" w:type="dxa"/>
              <w:bottom w:w="0" w:type="dxa"/>
              <w:right w:w="15" w:type="dxa"/>
            </w:tcMar>
            <w:vAlign w:val="center"/>
            <w:hideMark/>
          </w:tcPr>
          <w:p w14:paraId="47E976F6"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87 [61-113]</w:t>
            </w:r>
          </w:p>
        </w:tc>
        <w:tc>
          <w:tcPr>
            <w:tcW w:w="0" w:type="auto"/>
            <w:vMerge/>
            <w:shd w:val="clear" w:color="auto" w:fill="auto"/>
            <w:vAlign w:val="center"/>
            <w:hideMark/>
          </w:tcPr>
          <w:p w14:paraId="6285A6D0" w14:textId="77777777" w:rsidR="00E06A72" w:rsidRPr="00713036" w:rsidRDefault="00E06A72" w:rsidP="0002537E">
            <w:pPr>
              <w:spacing w:after="0" w:line="240" w:lineRule="auto"/>
              <w:jc w:val="center"/>
              <w:rPr>
                <w:rFonts w:cs="Arial"/>
                <w:sz w:val="20"/>
                <w:szCs w:val="20"/>
                <w:lang w:eastAsia="fr-FR"/>
              </w:rPr>
            </w:pPr>
          </w:p>
        </w:tc>
        <w:tc>
          <w:tcPr>
            <w:tcW w:w="0" w:type="auto"/>
            <w:vMerge/>
            <w:shd w:val="clear" w:color="auto" w:fill="auto"/>
            <w:vAlign w:val="center"/>
            <w:hideMark/>
          </w:tcPr>
          <w:p w14:paraId="3C5D6589" w14:textId="77777777"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660D08CA"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85 [60-111]</w:t>
            </w:r>
          </w:p>
        </w:tc>
      </w:tr>
      <w:tr w:rsidR="00E06A72" w:rsidRPr="00E06A72" w14:paraId="2474976D" w14:textId="77777777" w:rsidTr="0002537E">
        <w:trPr>
          <w:trHeight w:val="20"/>
          <w:jc w:val="center"/>
        </w:trPr>
        <w:tc>
          <w:tcPr>
            <w:tcW w:w="3520" w:type="dxa"/>
            <w:shd w:val="clear" w:color="auto" w:fill="auto"/>
            <w:tcMar>
              <w:top w:w="15" w:type="dxa"/>
              <w:left w:w="15" w:type="dxa"/>
              <w:bottom w:w="0" w:type="dxa"/>
              <w:right w:w="15" w:type="dxa"/>
            </w:tcMar>
            <w:vAlign w:val="center"/>
            <w:hideMark/>
          </w:tcPr>
          <w:p w14:paraId="1D3125AF" w14:textId="77777777" w:rsidR="00E06A72" w:rsidRPr="00713036" w:rsidRDefault="00E06A72" w:rsidP="0002537E">
            <w:pPr>
              <w:spacing w:after="0" w:line="240" w:lineRule="auto"/>
              <w:rPr>
                <w:rFonts w:cs="Arial"/>
                <w:sz w:val="20"/>
                <w:szCs w:val="20"/>
                <w:lang w:eastAsia="fr-FR"/>
              </w:rPr>
            </w:pPr>
            <w:r w:rsidRPr="00713036">
              <w:rPr>
                <w:rFonts w:cs="Arial"/>
                <w:sz w:val="20"/>
                <w:szCs w:val="20"/>
                <w:lang w:eastAsia="fr-FR"/>
              </w:rPr>
              <w:t>Filet (dont filet mignon…)</w:t>
            </w:r>
          </w:p>
        </w:tc>
        <w:tc>
          <w:tcPr>
            <w:tcW w:w="1800" w:type="dxa"/>
            <w:shd w:val="clear" w:color="auto" w:fill="auto"/>
            <w:tcMar>
              <w:top w:w="15" w:type="dxa"/>
              <w:left w:w="15" w:type="dxa"/>
              <w:bottom w:w="0" w:type="dxa"/>
              <w:right w:w="15" w:type="dxa"/>
            </w:tcMar>
            <w:vAlign w:val="center"/>
            <w:hideMark/>
          </w:tcPr>
          <w:p w14:paraId="017F6E17"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60 [42-78]</w:t>
            </w:r>
          </w:p>
        </w:tc>
        <w:tc>
          <w:tcPr>
            <w:tcW w:w="0" w:type="auto"/>
            <w:vMerge/>
            <w:shd w:val="clear" w:color="auto" w:fill="auto"/>
            <w:vAlign w:val="center"/>
            <w:hideMark/>
          </w:tcPr>
          <w:p w14:paraId="10AF0EB9" w14:textId="77777777" w:rsidR="00E06A72" w:rsidRPr="00713036" w:rsidRDefault="00E06A72" w:rsidP="0002537E">
            <w:pPr>
              <w:spacing w:after="0" w:line="240" w:lineRule="auto"/>
              <w:jc w:val="center"/>
              <w:rPr>
                <w:rFonts w:cs="Arial"/>
                <w:sz w:val="20"/>
                <w:szCs w:val="20"/>
                <w:lang w:eastAsia="fr-FR"/>
              </w:rPr>
            </w:pPr>
          </w:p>
        </w:tc>
        <w:tc>
          <w:tcPr>
            <w:tcW w:w="0" w:type="auto"/>
            <w:vMerge/>
            <w:shd w:val="clear" w:color="auto" w:fill="auto"/>
            <w:vAlign w:val="center"/>
            <w:hideMark/>
          </w:tcPr>
          <w:p w14:paraId="26D482B0" w14:textId="77777777"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41A650BF"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62 [43-81]</w:t>
            </w:r>
          </w:p>
        </w:tc>
      </w:tr>
      <w:tr w:rsidR="00E06A72" w:rsidRPr="00E06A72" w14:paraId="2DE4EDA2" w14:textId="77777777" w:rsidTr="0002537E">
        <w:trPr>
          <w:trHeight w:val="20"/>
          <w:jc w:val="center"/>
        </w:trPr>
        <w:tc>
          <w:tcPr>
            <w:tcW w:w="3520" w:type="dxa"/>
            <w:shd w:val="clear" w:color="auto" w:fill="auto"/>
            <w:tcMar>
              <w:top w:w="15" w:type="dxa"/>
              <w:left w:w="15" w:type="dxa"/>
              <w:bottom w:w="0" w:type="dxa"/>
              <w:right w:w="15" w:type="dxa"/>
            </w:tcMar>
            <w:vAlign w:val="bottom"/>
            <w:hideMark/>
          </w:tcPr>
          <w:p w14:paraId="27E1FF46" w14:textId="77777777" w:rsidR="00E06A72" w:rsidRPr="00713036" w:rsidRDefault="00E06A72" w:rsidP="0002537E">
            <w:pPr>
              <w:spacing w:after="0" w:line="240" w:lineRule="auto"/>
              <w:rPr>
                <w:rFonts w:cs="Arial"/>
                <w:sz w:val="20"/>
                <w:szCs w:val="20"/>
                <w:lang w:eastAsia="fr-FR"/>
              </w:rPr>
            </w:pPr>
            <w:r w:rsidRPr="00713036">
              <w:rPr>
                <w:rFonts w:cs="Arial"/>
                <w:sz w:val="20"/>
                <w:szCs w:val="20"/>
                <w:lang w:eastAsia="fr-FR"/>
              </w:rPr>
              <w:t>Escalopes</w:t>
            </w:r>
          </w:p>
        </w:tc>
        <w:tc>
          <w:tcPr>
            <w:tcW w:w="1800" w:type="dxa"/>
            <w:shd w:val="clear" w:color="auto" w:fill="auto"/>
            <w:tcMar>
              <w:top w:w="15" w:type="dxa"/>
              <w:left w:w="15" w:type="dxa"/>
              <w:bottom w:w="0" w:type="dxa"/>
              <w:right w:w="15" w:type="dxa"/>
            </w:tcMar>
            <w:vAlign w:val="center"/>
            <w:hideMark/>
          </w:tcPr>
          <w:p w14:paraId="240AEFA2"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50 [35-65]</w:t>
            </w:r>
          </w:p>
        </w:tc>
        <w:tc>
          <w:tcPr>
            <w:tcW w:w="0" w:type="auto"/>
            <w:vMerge/>
            <w:shd w:val="clear" w:color="auto" w:fill="auto"/>
            <w:vAlign w:val="center"/>
            <w:hideMark/>
          </w:tcPr>
          <w:p w14:paraId="5297CD1A" w14:textId="77777777" w:rsidR="00E06A72" w:rsidRPr="00713036" w:rsidRDefault="00E06A72" w:rsidP="0002537E">
            <w:pPr>
              <w:spacing w:after="0" w:line="240" w:lineRule="auto"/>
              <w:jc w:val="center"/>
              <w:rPr>
                <w:rFonts w:cs="Arial"/>
                <w:sz w:val="20"/>
                <w:szCs w:val="20"/>
                <w:lang w:eastAsia="fr-FR"/>
              </w:rPr>
            </w:pPr>
          </w:p>
        </w:tc>
        <w:tc>
          <w:tcPr>
            <w:tcW w:w="0" w:type="auto"/>
            <w:vMerge/>
            <w:shd w:val="clear" w:color="auto" w:fill="auto"/>
            <w:vAlign w:val="center"/>
            <w:hideMark/>
          </w:tcPr>
          <w:p w14:paraId="24A44194" w14:textId="77777777"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4C748A28"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50 [35-65]</w:t>
            </w:r>
          </w:p>
        </w:tc>
      </w:tr>
      <w:tr w:rsidR="00E06A72" w:rsidRPr="00E06A72" w14:paraId="55E7E5DD" w14:textId="77777777" w:rsidTr="00713036">
        <w:trPr>
          <w:trHeight w:val="472"/>
          <w:jc w:val="center"/>
        </w:trPr>
        <w:tc>
          <w:tcPr>
            <w:tcW w:w="3520" w:type="dxa"/>
            <w:shd w:val="clear" w:color="auto" w:fill="A6A6A6"/>
            <w:tcMar>
              <w:top w:w="15" w:type="dxa"/>
              <w:left w:w="15" w:type="dxa"/>
              <w:bottom w:w="0" w:type="dxa"/>
              <w:right w:w="15" w:type="dxa"/>
            </w:tcMar>
            <w:vAlign w:val="center"/>
            <w:hideMark/>
          </w:tcPr>
          <w:p w14:paraId="55133345" w14:textId="75D1C237" w:rsidR="00E06A72" w:rsidRPr="00713036" w:rsidRDefault="00E06A72" w:rsidP="0002537E">
            <w:pPr>
              <w:spacing w:after="0" w:line="240" w:lineRule="auto"/>
              <w:rPr>
                <w:rFonts w:cs="Arial"/>
                <w:sz w:val="20"/>
                <w:szCs w:val="20"/>
                <w:lang w:eastAsia="fr-FR"/>
              </w:rPr>
            </w:pPr>
            <w:r w:rsidRPr="00713036">
              <w:rPr>
                <w:rFonts w:cs="Arial"/>
                <w:b/>
                <w:bCs/>
                <w:i/>
                <w:iCs/>
                <w:sz w:val="20"/>
                <w:szCs w:val="20"/>
                <w:lang w:eastAsia="fr-FR"/>
              </w:rPr>
              <w:t>Dont élaborés, marinés, pierrade, brochettes</w:t>
            </w:r>
            <w:r w:rsidR="00FD37A2">
              <w:rPr>
                <w:rFonts w:cs="Arial"/>
                <w:b/>
                <w:bCs/>
                <w:i/>
                <w:iCs/>
                <w:sz w:val="20"/>
                <w:szCs w:val="20"/>
                <w:lang w:eastAsia="fr-FR"/>
              </w:rPr>
              <w:t>, sauté, émincés</w:t>
            </w:r>
          </w:p>
        </w:tc>
        <w:tc>
          <w:tcPr>
            <w:tcW w:w="1800" w:type="dxa"/>
            <w:shd w:val="clear" w:color="auto" w:fill="A6A6A6"/>
            <w:tcMar>
              <w:top w:w="15" w:type="dxa"/>
              <w:left w:w="15" w:type="dxa"/>
              <w:bottom w:w="0" w:type="dxa"/>
              <w:right w:w="15" w:type="dxa"/>
            </w:tcMar>
            <w:vAlign w:val="center"/>
            <w:hideMark/>
          </w:tcPr>
          <w:p w14:paraId="5CA2C88A" w14:textId="77D81206" w:rsidR="00E06A72" w:rsidRPr="00713036" w:rsidRDefault="00FD37A2" w:rsidP="0002537E">
            <w:pPr>
              <w:spacing w:after="0" w:line="240" w:lineRule="auto"/>
              <w:jc w:val="center"/>
              <w:rPr>
                <w:rFonts w:cs="Arial"/>
                <w:sz w:val="20"/>
                <w:szCs w:val="20"/>
                <w:lang w:eastAsia="fr-FR"/>
              </w:rPr>
            </w:pPr>
            <w:r>
              <w:rPr>
                <w:rFonts w:cs="Arial"/>
                <w:b/>
                <w:bCs/>
                <w:i/>
                <w:iCs/>
                <w:sz w:val="20"/>
                <w:szCs w:val="20"/>
                <w:lang w:eastAsia="fr-FR"/>
              </w:rPr>
              <w:t>5</w:t>
            </w:r>
            <w:r w:rsidR="00E06A72" w:rsidRPr="00713036">
              <w:rPr>
                <w:rFonts w:cs="Arial"/>
                <w:b/>
                <w:bCs/>
                <w:i/>
                <w:iCs/>
                <w:sz w:val="20"/>
                <w:szCs w:val="20"/>
                <w:lang w:eastAsia="fr-FR"/>
              </w:rPr>
              <w:t>5 [</w:t>
            </w:r>
            <w:r>
              <w:rPr>
                <w:rFonts w:cs="Arial"/>
                <w:b/>
                <w:bCs/>
                <w:i/>
                <w:iCs/>
                <w:sz w:val="20"/>
                <w:szCs w:val="20"/>
                <w:lang w:eastAsia="fr-FR"/>
              </w:rPr>
              <w:t>39</w:t>
            </w:r>
            <w:r w:rsidR="00E06A72" w:rsidRPr="00713036">
              <w:rPr>
                <w:rFonts w:cs="Arial"/>
                <w:b/>
                <w:bCs/>
                <w:i/>
                <w:iCs/>
                <w:sz w:val="20"/>
                <w:szCs w:val="20"/>
                <w:lang w:eastAsia="fr-FR"/>
              </w:rPr>
              <w:t>-</w:t>
            </w:r>
            <w:r>
              <w:rPr>
                <w:rFonts w:cs="Arial"/>
                <w:b/>
                <w:bCs/>
                <w:i/>
                <w:iCs/>
                <w:sz w:val="20"/>
                <w:szCs w:val="20"/>
                <w:lang w:eastAsia="fr-FR"/>
              </w:rPr>
              <w:t>72</w:t>
            </w:r>
            <w:r w:rsidR="00E06A72" w:rsidRPr="00713036">
              <w:rPr>
                <w:rFonts w:cs="Arial"/>
                <w:b/>
                <w:bCs/>
                <w:i/>
                <w:iCs/>
                <w:sz w:val="20"/>
                <w:szCs w:val="20"/>
                <w:lang w:eastAsia="fr-FR"/>
              </w:rPr>
              <w:t>]</w:t>
            </w:r>
          </w:p>
        </w:tc>
        <w:tc>
          <w:tcPr>
            <w:tcW w:w="640" w:type="dxa"/>
            <w:shd w:val="clear" w:color="auto" w:fill="A6A6A6"/>
            <w:tcMar>
              <w:top w:w="15" w:type="dxa"/>
              <w:left w:w="15" w:type="dxa"/>
              <w:bottom w:w="0" w:type="dxa"/>
              <w:right w:w="15" w:type="dxa"/>
            </w:tcMar>
            <w:vAlign w:val="center"/>
            <w:hideMark/>
          </w:tcPr>
          <w:p w14:paraId="6BF4343E" w14:textId="3CFE757B" w:rsidR="00E06A72" w:rsidRPr="00713036" w:rsidRDefault="00E06A72" w:rsidP="0002537E">
            <w:pPr>
              <w:spacing w:after="0" w:line="240" w:lineRule="auto"/>
              <w:jc w:val="center"/>
              <w:rPr>
                <w:rFonts w:cs="Arial"/>
                <w:sz w:val="20"/>
                <w:szCs w:val="20"/>
                <w:lang w:eastAsia="fr-FR"/>
              </w:rPr>
            </w:pPr>
          </w:p>
        </w:tc>
        <w:tc>
          <w:tcPr>
            <w:tcW w:w="900" w:type="dxa"/>
            <w:shd w:val="clear" w:color="auto" w:fill="A6A6A6"/>
            <w:tcMar>
              <w:top w:w="15" w:type="dxa"/>
              <w:left w:w="15" w:type="dxa"/>
              <w:bottom w:w="0" w:type="dxa"/>
              <w:right w:w="15" w:type="dxa"/>
            </w:tcMar>
            <w:vAlign w:val="center"/>
            <w:hideMark/>
          </w:tcPr>
          <w:p w14:paraId="12850DC3" w14:textId="08EDD67D" w:rsidR="00E06A72" w:rsidRPr="00713036" w:rsidRDefault="00E06A72" w:rsidP="0002537E">
            <w:pPr>
              <w:spacing w:after="0" w:line="240" w:lineRule="auto"/>
              <w:jc w:val="center"/>
              <w:rPr>
                <w:rFonts w:cs="Arial"/>
                <w:sz w:val="20"/>
                <w:szCs w:val="20"/>
                <w:lang w:eastAsia="fr-FR"/>
              </w:rPr>
            </w:pPr>
          </w:p>
        </w:tc>
        <w:tc>
          <w:tcPr>
            <w:tcW w:w="1960" w:type="dxa"/>
            <w:shd w:val="clear" w:color="auto" w:fill="A6A6A6"/>
            <w:tcMar>
              <w:top w:w="15" w:type="dxa"/>
              <w:left w:w="15" w:type="dxa"/>
              <w:bottom w:w="0" w:type="dxa"/>
              <w:right w:w="15" w:type="dxa"/>
            </w:tcMar>
            <w:vAlign w:val="center"/>
            <w:hideMark/>
          </w:tcPr>
          <w:p w14:paraId="156DA039" w14:textId="6DBFEC61" w:rsidR="00E06A72" w:rsidRPr="00713036" w:rsidRDefault="00702E60" w:rsidP="0002537E">
            <w:pPr>
              <w:spacing w:after="0" w:line="240" w:lineRule="auto"/>
              <w:jc w:val="center"/>
              <w:rPr>
                <w:rFonts w:cs="Arial"/>
                <w:sz w:val="20"/>
                <w:szCs w:val="20"/>
                <w:lang w:eastAsia="fr-FR"/>
              </w:rPr>
            </w:pPr>
            <w:r>
              <w:rPr>
                <w:rFonts w:cs="Arial"/>
                <w:b/>
                <w:bCs/>
                <w:i/>
                <w:iCs/>
                <w:sz w:val="20"/>
                <w:szCs w:val="20"/>
                <w:lang w:eastAsia="fr-FR"/>
              </w:rPr>
              <w:t>5</w:t>
            </w:r>
            <w:r w:rsidR="00FD37A2">
              <w:rPr>
                <w:rFonts w:cs="Arial"/>
                <w:b/>
                <w:bCs/>
                <w:i/>
                <w:iCs/>
                <w:sz w:val="20"/>
                <w:szCs w:val="20"/>
                <w:lang w:eastAsia="fr-FR"/>
              </w:rPr>
              <w:t>2</w:t>
            </w:r>
            <w:r w:rsidR="00E06A72" w:rsidRPr="00713036">
              <w:rPr>
                <w:rFonts w:cs="Arial"/>
                <w:b/>
                <w:bCs/>
                <w:i/>
                <w:iCs/>
                <w:sz w:val="20"/>
                <w:szCs w:val="20"/>
                <w:lang w:eastAsia="fr-FR"/>
              </w:rPr>
              <w:t xml:space="preserve"> [</w:t>
            </w:r>
            <w:r>
              <w:rPr>
                <w:rFonts w:cs="Arial"/>
                <w:b/>
                <w:bCs/>
                <w:i/>
                <w:iCs/>
                <w:sz w:val="20"/>
                <w:szCs w:val="20"/>
                <w:lang w:eastAsia="fr-FR"/>
              </w:rPr>
              <w:t>36</w:t>
            </w:r>
            <w:r w:rsidR="00E06A72" w:rsidRPr="00713036">
              <w:rPr>
                <w:rFonts w:cs="Arial"/>
                <w:b/>
                <w:bCs/>
                <w:i/>
                <w:iCs/>
                <w:sz w:val="20"/>
                <w:szCs w:val="20"/>
                <w:lang w:eastAsia="fr-FR"/>
              </w:rPr>
              <w:t>-</w:t>
            </w:r>
            <w:r>
              <w:rPr>
                <w:rFonts w:cs="Arial"/>
                <w:b/>
                <w:bCs/>
                <w:i/>
                <w:iCs/>
                <w:sz w:val="20"/>
                <w:szCs w:val="20"/>
                <w:lang w:eastAsia="fr-FR"/>
              </w:rPr>
              <w:t>68</w:t>
            </w:r>
            <w:r w:rsidR="00E06A72" w:rsidRPr="00713036">
              <w:rPr>
                <w:rFonts w:cs="Arial"/>
                <w:b/>
                <w:bCs/>
                <w:i/>
                <w:iCs/>
                <w:sz w:val="20"/>
                <w:szCs w:val="20"/>
                <w:lang w:eastAsia="fr-FR"/>
              </w:rPr>
              <w:t>]</w:t>
            </w:r>
          </w:p>
        </w:tc>
      </w:tr>
      <w:tr w:rsidR="00E06A72" w:rsidRPr="00E06A72" w14:paraId="2331F631" w14:textId="77777777" w:rsidTr="00E06A72">
        <w:trPr>
          <w:trHeight w:val="364"/>
          <w:jc w:val="center"/>
        </w:trPr>
        <w:tc>
          <w:tcPr>
            <w:tcW w:w="3520" w:type="dxa"/>
            <w:shd w:val="clear" w:color="auto" w:fill="A6A6A6"/>
            <w:tcMar>
              <w:top w:w="15" w:type="dxa"/>
              <w:left w:w="15" w:type="dxa"/>
              <w:bottom w:w="0" w:type="dxa"/>
              <w:right w:w="15" w:type="dxa"/>
            </w:tcMar>
            <w:vAlign w:val="center"/>
            <w:hideMark/>
          </w:tcPr>
          <w:p w14:paraId="3DB305E8" w14:textId="77777777" w:rsidR="00E06A72" w:rsidRPr="00713036" w:rsidRDefault="00E06A72" w:rsidP="0002537E">
            <w:pPr>
              <w:spacing w:after="0" w:line="240" w:lineRule="auto"/>
              <w:rPr>
                <w:rFonts w:cs="Arial"/>
                <w:sz w:val="20"/>
                <w:szCs w:val="20"/>
                <w:lang w:eastAsia="fr-FR"/>
              </w:rPr>
            </w:pPr>
            <w:r w:rsidRPr="00713036">
              <w:rPr>
                <w:rFonts w:cs="Arial"/>
                <w:b/>
                <w:bCs/>
                <w:i/>
                <w:iCs/>
                <w:sz w:val="20"/>
                <w:szCs w:val="20"/>
                <w:lang w:eastAsia="fr-FR"/>
              </w:rPr>
              <w:t>Dont saumurés, séchés</w:t>
            </w:r>
          </w:p>
        </w:tc>
        <w:tc>
          <w:tcPr>
            <w:tcW w:w="1800" w:type="dxa"/>
            <w:shd w:val="clear" w:color="auto" w:fill="A6A6A6"/>
            <w:tcMar>
              <w:top w:w="15" w:type="dxa"/>
              <w:left w:w="15" w:type="dxa"/>
              <w:bottom w:w="0" w:type="dxa"/>
              <w:right w:w="15" w:type="dxa"/>
            </w:tcMar>
            <w:vAlign w:val="center"/>
            <w:hideMark/>
          </w:tcPr>
          <w:p w14:paraId="17F67066" w14:textId="5BE36FE3"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28 [20-37]</w:t>
            </w:r>
          </w:p>
        </w:tc>
        <w:tc>
          <w:tcPr>
            <w:tcW w:w="640" w:type="dxa"/>
            <w:shd w:val="clear" w:color="auto" w:fill="A6A6A6"/>
            <w:tcMar>
              <w:top w:w="15" w:type="dxa"/>
              <w:left w:w="15" w:type="dxa"/>
              <w:bottom w:w="0" w:type="dxa"/>
              <w:right w:w="15" w:type="dxa"/>
            </w:tcMar>
            <w:vAlign w:val="center"/>
            <w:hideMark/>
          </w:tcPr>
          <w:p w14:paraId="6442A7BC" w14:textId="274A34FB" w:rsidR="00E06A72" w:rsidRPr="00713036" w:rsidRDefault="00E06A72" w:rsidP="0002537E">
            <w:pPr>
              <w:spacing w:after="0" w:line="240" w:lineRule="auto"/>
              <w:jc w:val="center"/>
              <w:rPr>
                <w:rFonts w:cs="Arial"/>
                <w:sz w:val="20"/>
                <w:szCs w:val="20"/>
                <w:lang w:eastAsia="fr-FR"/>
              </w:rPr>
            </w:pPr>
          </w:p>
        </w:tc>
        <w:tc>
          <w:tcPr>
            <w:tcW w:w="900" w:type="dxa"/>
            <w:shd w:val="clear" w:color="auto" w:fill="A6A6A6"/>
            <w:tcMar>
              <w:top w:w="15" w:type="dxa"/>
              <w:left w:w="15" w:type="dxa"/>
              <w:bottom w:w="0" w:type="dxa"/>
              <w:right w:w="15" w:type="dxa"/>
            </w:tcMar>
            <w:vAlign w:val="center"/>
            <w:hideMark/>
          </w:tcPr>
          <w:p w14:paraId="6C29B75A" w14:textId="64DF442B" w:rsidR="00E06A72" w:rsidRPr="00713036" w:rsidRDefault="00E06A72" w:rsidP="0002537E">
            <w:pPr>
              <w:spacing w:after="0" w:line="240" w:lineRule="auto"/>
              <w:jc w:val="center"/>
              <w:rPr>
                <w:rFonts w:cs="Arial"/>
                <w:sz w:val="20"/>
                <w:szCs w:val="20"/>
                <w:lang w:eastAsia="fr-FR"/>
              </w:rPr>
            </w:pPr>
          </w:p>
        </w:tc>
        <w:tc>
          <w:tcPr>
            <w:tcW w:w="1960" w:type="dxa"/>
            <w:shd w:val="clear" w:color="auto" w:fill="A6A6A6"/>
            <w:tcMar>
              <w:top w:w="15" w:type="dxa"/>
              <w:left w:w="15" w:type="dxa"/>
              <w:bottom w:w="0" w:type="dxa"/>
              <w:right w:w="15" w:type="dxa"/>
            </w:tcMar>
            <w:vAlign w:val="center"/>
            <w:hideMark/>
          </w:tcPr>
          <w:p w14:paraId="176BF2A8" w14:textId="14FC49EF" w:rsidR="00E06A72" w:rsidRPr="00713036" w:rsidRDefault="00E06A72" w:rsidP="0002537E">
            <w:pPr>
              <w:spacing w:after="0" w:line="240" w:lineRule="auto"/>
              <w:jc w:val="center"/>
              <w:rPr>
                <w:rFonts w:cs="Arial"/>
                <w:sz w:val="20"/>
                <w:szCs w:val="20"/>
                <w:lang w:eastAsia="fr-FR"/>
              </w:rPr>
            </w:pPr>
            <w:r w:rsidRPr="00713036">
              <w:rPr>
                <w:rFonts w:cs="Arial"/>
                <w:b/>
                <w:bCs/>
                <w:i/>
                <w:iCs/>
                <w:sz w:val="20"/>
                <w:szCs w:val="20"/>
                <w:lang w:eastAsia="fr-FR"/>
              </w:rPr>
              <w:t>31 [22-40]</w:t>
            </w:r>
          </w:p>
        </w:tc>
      </w:tr>
      <w:tr w:rsidR="00E06A72" w:rsidRPr="00E06A72" w14:paraId="5516F4CF" w14:textId="77777777" w:rsidTr="0002537E">
        <w:trPr>
          <w:trHeight w:val="20"/>
          <w:jc w:val="center"/>
        </w:trPr>
        <w:tc>
          <w:tcPr>
            <w:tcW w:w="3520" w:type="dxa"/>
            <w:shd w:val="clear" w:color="auto" w:fill="auto"/>
            <w:tcMar>
              <w:top w:w="15" w:type="dxa"/>
              <w:left w:w="15" w:type="dxa"/>
              <w:bottom w:w="0" w:type="dxa"/>
              <w:right w:w="15" w:type="dxa"/>
            </w:tcMar>
            <w:vAlign w:val="center"/>
            <w:hideMark/>
          </w:tcPr>
          <w:p w14:paraId="3AFAE9FC"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Rôti saumuré</w:t>
            </w:r>
          </w:p>
        </w:tc>
        <w:tc>
          <w:tcPr>
            <w:tcW w:w="1800" w:type="dxa"/>
            <w:shd w:val="clear" w:color="auto" w:fill="auto"/>
            <w:tcMar>
              <w:top w:w="15" w:type="dxa"/>
              <w:left w:w="15" w:type="dxa"/>
              <w:bottom w:w="0" w:type="dxa"/>
              <w:right w:w="15" w:type="dxa"/>
            </w:tcMar>
            <w:vAlign w:val="center"/>
            <w:hideMark/>
          </w:tcPr>
          <w:p w14:paraId="46EF3ECA"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15 [11-20]</w:t>
            </w:r>
          </w:p>
        </w:tc>
        <w:tc>
          <w:tcPr>
            <w:tcW w:w="640" w:type="dxa"/>
            <w:shd w:val="clear" w:color="auto" w:fill="auto"/>
            <w:tcMar>
              <w:top w:w="15" w:type="dxa"/>
              <w:left w:w="15" w:type="dxa"/>
              <w:bottom w:w="0" w:type="dxa"/>
              <w:right w:w="15" w:type="dxa"/>
            </w:tcMar>
            <w:vAlign w:val="center"/>
            <w:hideMark/>
          </w:tcPr>
          <w:p w14:paraId="6348A7D8" w14:textId="2DAD24E0" w:rsidR="00E06A72" w:rsidRPr="00713036" w:rsidRDefault="00E06A72" w:rsidP="0002537E">
            <w:pPr>
              <w:spacing w:after="0" w:line="240" w:lineRule="auto"/>
              <w:jc w:val="center"/>
              <w:rPr>
                <w:rFonts w:cs="Arial"/>
                <w:sz w:val="20"/>
                <w:szCs w:val="20"/>
                <w:lang w:eastAsia="fr-FR"/>
              </w:rPr>
            </w:pPr>
          </w:p>
        </w:tc>
        <w:tc>
          <w:tcPr>
            <w:tcW w:w="900" w:type="dxa"/>
            <w:shd w:val="clear" w:color="auto" w:fill="auto"/>
            <w:tcMar>
              <w:top w:w="15" w:type="dxa"/>
              <w:left w:w="15" w:type="dxa"/>
              <w:bottom w:w="0" w:type="dxa"/>
              <w:right w:w="15" w:type="dxa"/>
            </w:tcMar>
            <w:vAlign w:val="center"/>
            <w:hideMark/>
          </w:tcPr>
          <w:p w14:paraId="755BE8D9" w14:textId="666C710D"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6200D5CD"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17 [12-22]</w:t>
            </w:r>
          </w:p>
        </w:tc>
      </w:tr>
      <w:tr w:rsidR="00E06A72" w:rsidRPr="00E06A72" w14:paraId="6A3D1E59" w14:textId="77777777" w:rsidTr="0002537E">
        <w:trPr>
          <w:trHeight w:val="20"/>
          <w:jc w:val="center"/>
        </w:trPr>
        <w:tc>
          <w:tcPr>
            <w:tcW w:w="3520" w:type="dxa"/>
            <w:shd w:val="clear" w:color="auto" w:fill="auto"/>
            <w:tcMar>
              <w:top w:w="15" w:type="dxa"/>
              <w:left w:w="15" w:type="dxa"/>
              <w:bottom w:w="0" w:type="dxa"/>
              <w:right w:w="15" w:type="dxa"/>
            </w:tcMar>
            <w:vAlign w:val="center"/>
            <w:hideMark/>
          </w:tcPr>
          <w:p w14:paraId="6CBA9325"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 xml:space="preserve">Filet de bacon </w:t>
            </w:r>
          </w:p>
        </w:tc>
        <w:tc>
          <w:tcPr>
            <w:tcW w:w="1800" w:type="dxa"/>
            <w:shd w:val="clear" w:color="auto" w:fill="auto"/>
            <w:tcMar>
              <w:top w:w="15" w:type="dxa"/>
              <w:left w:w="15" w:type="dxa"/>
              <w:bottom w:w="0" w:type="dxa"/>
              <w:right w:w="15" w:type="dxa"/>
            </w:tcMar>
            <w:vAlign w:val="center"/>
            <w:hideMark/>
          </w:tcPr>
          <w:p w14:paraId="4CABEC80"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7 [5-9]</w:t>
            </w:r>
          </w:p>
        </w:tc>
        <w:tc>
          <w:tcPr>
            <w:tcW w:w="640" w:type="dxa"/>
            <w:shd w:val="clear" w:color="auto" w:fill="auto"/>
            <w:tcMar>
              <w:top w:w="15" w:type="dxa"/>
              <w:left w:w="15" w:type="dxa"/>
              <w:bottom w:w="0" w:type="dxa"/>
              <w:right w:w="15" w:type="dxa"/>
            </w:tcMar>
            <w:vAlign w:val="center"/>
            <w:hideMark/>
          </w:tcPr>
          <w:p w14:paraId="7A9CC04A" w14:textId="6939EB18" w:rsidR="00E06A72" w:rsidRPr="00713036" w:rsidRDefault="00E06A72" w:rsidP="0002537E">
            <w:pPr>
              <w:spacing w:after="0" w:line="240" w:lineRule="auto"/>
              <w:jc w:val="center"/>
              <w:rPr>
                <w:rFonts w:cs="Arial"/>
                <w:sz w:val="20"/>
                <w:szCs w:val="20"/>
                <w:lang w:eastAsia="fr-FR"/>
              </w:rPr>
            </w:pPr>
          </w:p>
        </w:tc>
        <w:tc>
          <w:tcPr>
            <w:tcW w:w="900" w:type="dxa"/>
            <w:shd w:val="clear" w:color="auto" w:fill="auto"/>
            <w:tcMar>
              <w:top w:w="15" w:type="dxa"/>
              <w:left w:w="15" w:type="dxa"/>
              <w:bottom w:w="0" w:type="dxa"/>
              <w:right w:w="15" w:type="dxa"/>
            </w:tcMar>
            <w:vAlign w:val="center"/>
            <w:hideMark/>
          </w:tcPr>
          <w:p w14:paraId="6A89D642" w14:textId="6DFCDCB8"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44ED9A16"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8 [5-9]</w:t>
            </w:r>
          </w:p>
        </w:tc>
      </w:tr>
      <w:tr w:rsidR="00E06A72" w:rsidRPr="00E06A72" w14:paraId="20DDB97D" w14:textId="77777777" w:rsidTr="00713036">
        <w:trPr>
          <w:trHeight w:val="772"/>
          <w:jc w:val="center"/>
        </w:trPr>
        <w:tc>
          <w:tcPr>
            <w:tcW w:w="3520" w:type="dxa"/>
            <w:shd w:val="clear" w:color="auto" w:fill="auto"/>
            <w:tcMar>
              <w:top w:w="15" w:type="dxa"/>
              <w:left w:w="15" w:type="dxa"/>
              <w:bottom w:w="0" w:type="dxa"/>
              <w:right w:w="15" w:type="dxa"/>
            </w:tcMar>
            <w:vAlign w:val="center"/>
            <w:hideMark/>
          </w:tcPr>
          <w:p w14:paraId="45C22CCD"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Pièces de porc crues maturées séchées (coppa, lonzo, filet et carré de porc séché) tranché</w:t>
            </w:r>
          </w:p>
        </w:tc>
        <w:tc>
          <w:tcPr>
            <w:tcW w:w="1800" w:type="dxa"/>
            <w:shd w:val="clear" w:color="auto" w:fill="auto"/>
            <w:tcMar>
              <w:top w:w="15" w:type="dxa"/>
              <w:left w:w="15" w:type="dxa"/>
              <w:bottom w:w="0" w:type="dxa"/>
              <w:right w:w="15" w:type="dxa"/>
            </w:tcMar>
            <w:vAlign w:val="center"/>
            <w:hideMark/>
          </w:tcPr>
          <w:p w14:paraId="453D809A"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6 [4-8]</w:t>
            </w:r>
          </w:p>
        </w:tc>
        <w:tc>
          <w:tcPr>
            <w:tcW w:w="640" w:type="dxa"/>
            <w:shd w:val="clear" w:color="auto" w:fill="auto"/>
            <w:tcMar>
              <w:top w:w="15" w:type="dxa"/>
              <w:left w:w="15" w:type="dxa"/>
              <w:bottom w:w="0" w:type="dxa"/>
              <w:right w:w="15" w:type="dxa"/>
            </w:tcMar>
            <w:vAlign w:val="center"/>
            <w:hideMark/>
          </w:tcPr>
          <w:p w14:paraId="637B5C66" w14:textId="18AC795B" w:rsidR="00E06A72" w:rsidRPr="00713036" w:rsidRDefault="00E06A72" w:rsidP="0002537E">
            <w:pPr>
              <w:spacing w:after="0" w:line="240" w:lineRule="auto"/>
              <w:jc w:val="center"/>
              <w:rPr>
                <w:rFonts w:cs="Arial"/>
                <w:sz w:val="20"/>
                <w:szCs w:val="20"/>
                <w:lang w:eastAsia="fr-FR"/>
              </w:rPr>
            </w:pPr>
          </w:p>
        </w:tc>
        <w:tc>
          <w:tcPr>
            <w:tcW w:w="900" w:type="dxa"/>
            <w:shd w:val="clear" w:color="auto" w:fill="auto"/>
            <w:tcMar>
              <w:top w:w="15" w:type="dxa"/>
              <w:left w:w="15" w:type="dxa"/>
              <w:bottom w:w="0" w:type="dxa"/>
              <w:right w:w="15" w:type="dxa"/>
            </w:tcMar>
            <w:vAlign w:val="center"/>
            <w:hideMark/>
          </w:tcPr>
          <w:p w14:paraId="0E94A7B3" w14:textId="2BB84AF0" w:rsidR="00E06A72" w:rsidRPr="00713036" w:rsidRDefault="00E06A72" w:rsidP="0002537E">
            <w:pPr>
              <w:spacing w:after="0" w:line="240" w:lineRule="auto"/>
              <w:jc w:val="center"/>
              <w:rPr>
                <w:rFonts w:cs="Arial"/>
                <w:sz w:val="20"/>
                <w:szCs w:val="20"/>
                <w:lang w:eastAsia="fr-FR"/>
              </w:rPr>
            </w:pPr>
          </w:p>
        </w:tc>
        <w:tc>
          <w:tcPr>
            <w:tcW w:w="1960" w:type="dxa"/>
            <w:shd w:val="clear" w:color="auto" w:fill="auto"/>
            <w:tcMar>
              <w:top w:w="15" w:type="dxa"/>
              <w:left w:w="15" w:type="dxa"/>
              <w:bottom w:w="0" w:type="dxa"/>
              <w:right w:w="15" w:type="dxa"/>
            </w:tcMar>
            <w:vAlign w:val="center"/>
            <w:hideMark/>
          </w:tcPr>
          <w:p w14:paraId="77F22E0E"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6 [4-8]</w:t>
            </w:r>
          </w:p>
        </w:tc>
      </w:tr>
      <w:tr w:rsidR="00E06A72" w:rsidRPr="00E06A72" w14:paraId="70A855B0" w14:textId="77777777" w:rsidTr="0002537E">
        <w:trPr>
          <w:trHeight w:val="20"/>
          <w:jc w:val="center"/>
        </w:trPr>
        <w:tc>
          <w:tcPr>
            <w:tcW w:w="3520" w:type="dxa"/>
            <w:shd w:val="clear" w:color="auto" w:fill="D9D9D9" w:themeFill="background1" w:themeFillShade="D9"/>
            <w:tcMar>
              <w:top w:w="15" w:type="dxa"/>
              <w:left w:w="15" w:type="dxa"/>
              <w:bottom w:w="0" w:type="dxa"/>
              <w:right w:w="15" w:type="dxa"/>
            </w:tcMar>
            <w:vAlign w:val="center"/>
            <w:hideMark/>
          </w:tcPr>
          <w:p w14:paraId="388A2298"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 xml:space="preserve">Saumure et autres additifs </w:t>
            </w:r>
          </w:p>
        </w:tc>
        <w:tc>
          <w:tcPr>
            <w:tcW w:w="1800" w:type="dxa"/>
            <w:shd w:val="clear" w:color="auto" w:fill="D9D9D9" w:themeFill="background1" w:themeFillShade="D9"/>
            <w:tcMar>
              <w:top w:w="15" w:type="dxa"/>
              <w:left w:w="15" w:type="dxa"/>
              <w:bottom w:w="0" w:type="dxa"/>
              <w:right w:w="15" w:type="dxa"/>
            </w:tcMar>
            <w:vAlign w:val="center"/>
            <w:hideMark/>
          </w:tcPr>
          <w:p w14:paraId="265DE09C"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2 [1,5-2,5]</w:t>
            </w:r>
          </w:p>
        </w:tc>
        <w:tc>
          <w:tcPr>
            <w:tcW w:w="640" w:type="dxa"/>
            <w:shd w:val="clear" w:color="auto" w:fill="D9D9D9" w:themeFill="background1" w:themeFillShade="D9"/>
            <w:tcMar>
              <w:top w:w="15" w:type="dxa"/>
              <w:left w:w="15" w:type="dxa"/>
              <w:bottom w:w="0" w:type="dxa"/>
              <w:right w:w="15" w:type="dxa"/>
            </w:tcMar>
            <w:vAlign w:val="center"/>
            <w:hideMark/>
          </w:tcPr>
          <w:p w14:paraId="7A7E8DC5" w14:textId="77777777" w:rsidR="00E06A72" w:rsidRPr="00713036" w:rsidRDefault="00E06A72" w:rsidP="0002537E">
            <w:pPr>
              <w:spacing w:after="0" w:line="240" w:lineRule="auto"/>
              <w:jc w:val="center"/>
              <w:rPr>
                <w:rFonts w:cs="Arial"/>
                <w:sz w:val="20"/>
                <w:szCs w:val="20"/>
                <w:lang w:eastAsia="fr-FR"/>
              </w:rPr>
            </w:pPr>
          </w:p>
        </w:tc>
        <w:tc>
          <w:tcPr>
            <w:tcW w:w="900" w:type="dxa"/>
            <w:shd w:val="clear" w:color="auto" w:fill="D9D9D9" w:themeFill="background1" w:themeFillShade="D9"/>
            <w:tcMar>
              <w:top w:w="15" w:type="dxa"/>
              <w:left w:w="15" w:type="dxa"/>
              <w:bottom w:w="0" w:type="dxa"/>
              <w:right w:w="15" w:type="dxa"/>
            </w:tcMar>
            <w:vAlign w:val="center"/>
            <w:hideMark/>
          </w:tcPr>
          <w:p w14:paraId="6411BB3F" w14:textId="77777777" w:rsidR="00E06A72" w:rsidRPr="00713036" w:rsidRDefault="00E06A72" w:rsidP="0002537E">
            <w:pPr>
              <w:spacing w:after="0" w:line="240" w:lineRule="auto"/>
              <w:jc w:val="center"/>
              <w:rPr>
                <w:rFonts w:cs="Arial"/>
                <w:sz w:val="20"/>
                <w:szCs w:val="20"/>
                <w:lang w:eastAsia="fr-FR"/>
              </w:rPr>
            </w:pPr>
          </w:p>
        </w:tc>
        <w:tc>
          <w:tcPr>
            <w:tcW w:w="1960" w:type="dxa"/>
            <w:shd w:val="clear" w:color="auto" w:fill="D9D9D9" w:themeFill="background1" w:themeFillShade="D9"/>
            <w:tcMar>
              <w:top w:w="15" w:type="dxa"/>
              <w:left w:w="15" w:type="dxa"/>
              <w:bottom w:w="0" w:type="dxa"/>
              <w:right w:w="15" w:type="dxa"/>
            </w:tcMar>
            <w:vAlign w:val="center"/>
            <w:hideMark/>
          </w:tcPr>
          <w:p w14:paraId="17494352" w14:textId="77777777" w:rsidR="00E06A72" w:rsidRPr="00713036" w:rsidRDefault="00E06A72" w:rsidP="0002537E">
            <w:pPr>
              <w:spacing w:after="0" w:line="240" w:lineRule="auto"/>
              <w:jc w:val="center"/>
              <w:rPr>
                <w:rFonts w:cs="Arial"/>
                <w:sz w:val="20"/>
                <w:szCs w:val="20"/>
                <w:lang w:eastAsia="fr-FR"/>
              </w:rPr>
            </w:pPr>
          </w:p>
        </w:tc>
      </w:tr>
      <w:tr w:rsidR="00E06A72" w:rsidRPr="00E06A72" w14:paraId="113C7D10" w14:textId="77777777" w:rsidTr="0002537E">
        <w:trPr>
          <w:trHeight w:val="20"/>
          <w:jc w:val="center"/>
        </w:trPr>
        <w:tc>
          <w:tcPr>
            <w:tcW w:w="3520" w:type="dxa"/>
            <w:shd w:val="clear" w:color="auto" w:fill="D9D9D9" w:themeFill="background1" w:themeFillShade="D9"/>
            <w:tcMar>
              <w:top w:w="15" w:type="dxa"/>
              <w:left w:w="15" w:type="dxa"/>
              <w:bottom w:w="0" w:type="dxa"/>
              <w:right w:w="15" w:type="dxa"/>
            </w:tcMar>
            <w:vAlign w:val="center"/>
            <w:hideMark/>
          </w:tcPr>
          <w:p w14:paraId="04EC23EC"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Parage, minerai, petites viandes (3%)</w:t>
            </w:r>
          </w:p>
        </w:tc>
        <w:tc>
          <w:tcPr>
            <w:tcW w:w="1800" w:type="dxa"/>
            <w:shd w:val="clear" w:color="auto" w:fill="D9D9D9" w:themeFill="background1" w:themeFillShade="D9"/>
            <w:tcMar>
              <w:top w:w="15" w:type="dxa"/>
              <w:left w:w="15" w:type="dxa"/>
              <w:bottom w:w="0" w:type="dxa"/>
              <w:right w:w="15" w:type="dxa"/>
            </w:tcMar>
            <w:vAlign w:val="center"/>
            <w:hideMark/>
          </w:tcPr>
          <w:p w14:paraId="722AC642" w14:textId="3F4847EF" w:rsidR="00E06A72" w:rsidRPr="00713036" w:rsidRDefault="00E06A72" w:rsidP="0002537E">
            <w:pPr>
              <w:spacing w:after="0" w:line="240" w:lineRule="auto"/>
              <w:jc w:val="center"/>
              <w:rPr>
                <w:rFonts w:cs="Arial"/>
                <w:sz w:val="20"/>
                <w:szCs w:val="20"/>
                <w:lang w:eastAsia="fr-FR"/>
              </w:rPr>
            </w:pPr>
          </w:p>
        </w:tc>
        <w:tc>
          <w:tcPr>
            <w:tcW w:w="640" w:type="dxa"/>
            <w:shd w:val="clear" w:color="auto" w:fill="D9D9D9" w:themeFill="background1" w:themeFillShade="D9"/>
            <w:tcMar>
              <w:top w:w="15" w:type="dxa"/>
              <w:left w:w="15" w:type="dxa"/>
              <w:bottom w:w="0" w:type="dxa"/>
              <w:right w:w="15" w:type="dxa"/>
            </w:tcMar>
            <w:vAlign w:val="center"/>
            <w:hideMark/>
          </w:tcPr>
          <w:p w14:paraId="6E04D4A6" w14:textId="581F997A" w:rsidR="00E06A72" w:rsidRPr="00713036" w:rsidRDefault="00E06A72" w:rsidP="0002537E">
            <w:pPr>
              <w:spacing w:after="0" w:line="240" w:lineRule="auto"/>
              <w:jc w:val="center"/>
              <w:rPr>
                <w:rFonts w:cs="Arial"/>
                <w:sz w:val="20"/>
                <w:szCs w:val="20"/>
                <w:lang w:eastAsia="fr-FR"/>
              </w:rPr>
            </w:pPr>
          </w:p>
        </w:tc>
        <w:tc>
          <w:tcPr>
            <w:tcW w:w="900" w:type="dxa"/>
            <w:shd w:val="clear" w:color="auto" w:fill="D9D9D9" w:themeFill="background1" w:themeFillShade="D9"/>
            <w:tcMar>
              <w:top w:w="15" w:type="dxa"/>
              <w:left w:w="15" w:type="dxa"/>
              <w:bottom w:w="0" w:type="dxa"/>
              <w:right w:w="15" w:type="dxa"/>
            </w:tcMar>
            <w:vAlign w:val="center"/>
            <w:hideMark/>
          </w:tcPr>
          <w:p w14:paraId="4A5EDC1D" w14:textId="4F4FB150" w:rsidR="00E06A72" w:rsidRPr="00713036" w:rsidRDefault="00E06A72" w:rsidP="0002537E">
            <w:pPr>
              <w:spacing w:after="0" w:line="240" w:lineRule="auto"/>
              <w:jc w:val="center"/>
              <w:rPr>
                <w:rFonts w:cs="Arial"/>
                <w:sz w:val="20"/>
                <w:szCs w:val="20"/>
                <w:lang w:eastAsia="fr-FR"/>
              </w:rPr>
            </w:pPr>
          </w:p>
        </w:tc>
        <w:tc>
          <w:tcPr>
            <w:tcW w:w="1960" w:type="dxa"/>
            <w:shd w:val="clear" w:color="auto" w:fill="D9D9D9" w:themeFill="background1" w:themeFillShade="D9"/>
            <w:tcMar>
              <w:top w:w="15" w:type="dxa"/>
              <w:left w:w="15" w:type="dxa"/>
              <w:bottom w:w="0" w:type="dxa"/>
              <w:right w:w="15" w:type="dxa"/>
            </w:tcMar>
            <w:vAlign w:val="center"/>
            <w:hideMark/>
          </w:tcPr>
          <w:p w14:paraId="342F2F75" w14:textId="77777777" w:rsidR="00E06A72" w:rsidRPr="00713036" w:rsidRDefault="00E06A72" w:rsidP="0002537E">
            <w:pPr>
              <w:spacing w:after="0" w:line="240" w:lineRule="auto"/>
              <w:jc w:val="center"/>
              <w:rPr>
                <w:rFonts w:cs="Arial"/>
                <w:sz w:val="20"/>
                <w:szCs w:val="20"/>
                <w:lang w:eastAsia="fr-FR"/>
              </w:rPr>
            </w:pPr>
            <w:r w:rsidRPr="00713036">
              <w:rPr>
                <w:rFonts w:cs="Arial"/>
                <w:bCs/>
                <w:sz w:val="20"/>
                <w:szCs w:val="20"/>
                <w:lang w:eastAsia="fr-FR"/>
              </w:rPr>
              <w:t>16 [11-21]</w:t>
            </w:r>
          </w:p>
        </w:tc>
      </w:tr>
      <w:tr w:rsidR="00E06A72" w:rsidRPr="00E06A72" w14:paraId="16234DC0" w14:textId="77777777" w:rsidTr="0002537E">
        <w:trPr>
          <w:trHeight w:val="20"/>
          <w:jc w:val="center"/>
        </w:trPr>
        <w:tc>
          <w:tcPr>
            <w:tcW w:w="3520" w:type="dxa"/>
            <w:shd w:val="clear" w:color="auto" w:fill="D9D9D9" w:themeFill="background1" w:themeFillShade="D9"/>
            <w:tcMar>
              <w:top w:w="15" w:type="dxa"/>
              <w:left w:w="15" w:type="dxa"/>
              <w:bottom w:w="0" w:type="dxa"/>
              <w:right w:w="15" w:type="dxa"/>
            </w:tcMar>
            <w:vAlign w:val="center"/>
            <w:hideMark/>
          </w:tcPr>
          <w:p w14:paraId="58969552" w14:textId="77777777" w:rsidR="00E06A72" w:rsidRPr="00713036" w:rsidRDefault="00E06A72" w:rsidP="0002537E">
            <w:pPr>
              <w:spacing w:after="0" w:line="240" w:lineRule="auto"/>
              <w:jc w:val="left"/>
              <w:rPr>
                <w:rFonts w:cs="Arial"/>
                <w:sz w:val="20"/>
                <w:szCs w:val="20"/>
                <w:lang w:eastAsia="fr-FR"/>
              </w:rPr>
            </w:pPr>
            <w:r w:rsidRPr="00713036">
              <w:rPr>
                <w:rFonts w:cs="Arial"/>
                <w:sz w:val="20"/>
                <w:szCs w:val="20"/>
                <w:lang w:eastAsia="fr-FR"/>
              </w:rPr>
              <w:t>Eau (évaporation, maturation)</w:t>
            </w:r>
          </w:p>
        </w:tc>
        <w:tc>
          <w:tcPr>
            <w:tcW w:w="1800" w:type="dxa"/>
            <w:shd w:val="clear" w:color="auto" w:fill="D9D9D9" w:themeFill="background1" w:themeFillShade="D9"/>
            <w:tcMar>
              <w:top w:w="15" w:type="dxa"/>
              <w:left w:w="15" w:type="dxa"/>
              <w:bottom w:w="0" w:type="dxa"/>
              <w:right w:w="15" w:type="dxa"/>
            </w:tcMar>
            <w:vAlign w:val="center"/>
            <w:hideMark/>
          </w:tcPr>
          <w:p w14:paraId="23EB41B5" w14:textId="52FC67F3" w:rsidR="00E06A72" w:rsidRPr="00713036" w:rsidRDefault="00E06A72" w:rsidP="0002537E">
            <w:pPr>
              <w:spacing w:after="0" w:line="240" w:lineRule="auto"/>
              <w:jc w:val="center"/>
              <w:rPr>
                <w:rFonts w:cs="Arial"/>
                <w:sz w:val="20"/>
                <w:szCs w:val="20"/>
                <w:lang w:eastAsia="fr-FR"/>
              </w:rPr>
            </w:pPr>
          </w:p>
        </w:tc>
        <w:tc>
          <w:tcPr>
            <w:tcW w:w="640" w:type="dxa"/>
            <w:shd w:val="clear" w:color="auto" w:fill="D9D9D9" w:themeFill="background1" w:themeFillShade="D9"/>
            <w:tcMar>
              <w:top w:w="15" w:type="dxa"/>
              <w:left w:w="15" w:type="dxa"/>
              <w:bottom w:w="0" w:type="dxa"/>
              <w:right w:w="15" w:type="dxa"/>
            </w:tcMar>
            <w:vAlign w:val="center"/>
            <w:hideMark/>
          </w:tcPr>
          <w:p w14:paraId="13448B35" w14:textId="3F523BA7" w:rsidR="00E06A72" w:rsidRPr="00713036" w:rsidRDefault="00E06A72" w:rsidP="0002537E">
            <w:pPr>
              <w:spacing w:after="0" w:line="240" w:lineRule="auto"/>
              <w:jc w:val="center"/>
              <w:rPr>
                <w:rFonts w:cs="Arial"/>
                <w:sz w:val="20"/>
                <w:szCs w:val="20"/>
                <w:lang w:eastAsia="fr-FR"/>
              </w:rPr>
            </w:pPr>
          </w:p>
        </w:tc>
        <w:tc>
          <w:tcPr>
            <w:tcW w:w="900" w:type="dxa"/>
            <w:shd w:val="clear" w:color="auto" w:fill="D9D9D9" w:themeFill="background1" w:themeFillShade="D9"/>
            <w:tcMar>
              <w:top w:w="15" w:type="dxa"/>
              <w:left w:w="15" w:type="dxa"/>
              <w:bottom w:w="0" w:type="dxa"/>
              <w:right w:w="15" w:type="dxa"/>
            </w:tcMar>
            <w:vAlign w:val="center"/>
            <w:hideMark/>
          </w:tcPr>
          <w:p w14:paraId="479D2A8C" w14:textId="50C75D98" w:rsidR="00E06A72" w:rsidRPr="00713036" w:rsidRDefault="00E06A72" w:rsidP="0002537E">
            <w:pPr>
              <w:spacing w:after="0" w:line="240" w:lineRule="auto"/>
              <w:jc w:val="center"/>
              <w:rPr>
                <w:rFonts w:cs="Arial"/>
                <w:sz w:val="20"/>
                <w:szCs w:val="20"/>
                <w:lang w:eastAsia="fr-FR"/>
              </w:rPr>
            </w:pPr>
          </w:p>
        </w:tc>
        <w:tc>
          <w:tcPr>
            <w:tcW w:w="1960" w:type="dxa"/>
            <w:shd w:val="clear" w:color="auto" w:fill="D9D9D9" w:themeFill="background1" w:themeFillShade="D9"/>
            <w:tcMar>
              <w:top w:w="15" w:type="dxa"/>
              <w:left w:w="15" w:type="dxa"/>
              <w:bottom w:w="0" w:type="dxa"/>
              <w:right w:w="15" w:type="dxa"/>
            </w:tcMar>
            <w:vAlign w:val="center"/>
            <w:hideMark/>
          </w:tcPr>
          <w:p w14:paraId="737622D5" w14:textId="525045F2" w:rsidR="00E06A72" w:rsidRPr="00713036" w:rsidRDefault="004B1DFA" w:rsidP="0002537E">
            <w:pPr>
              <w:spacing w:after="0" w:line="240" w:lineRule="auto"/>
              <w:jc w:val="center"/>
              <w:rPr>
                <w:rFonts w:cs="Arial"/>
                <w:sz w:val="20"/>
                <w:szCs w:val="20"/>
                <w:lang w:eastAsia="fr-FR"/>
              </w:rPr>
            </w:pPr>
            <w:r>
              <w:rPr>
                <w:rFonts w:cs="Arial"/>
                <w:bCs/>
                <w:sz w:val="20"/>
                <w:szCs w:val="20"/>
                <w:lang w:eastAsia="fr-FR"/>
              </w:rPr>
              <w:t>9</w:t>
            </w:r>
            <w:r w:rsidR="00E06A72" w:rsidRPr="00713036">
              <w:rPr>
                <w:rFonts w:cs="Arial"/>
                <w:bCs/>
                <w:sz w:val="20"/>
                <w:szCs w:val="20"/>
                <w:lang w:eastAsia="fr-FR"/>
              </w:rPr>
              <w:t xml:space="preserve"> [</w:t>
            </w:r>
            <w:r>
              <w:rPr>
                <w:rFonts w:cs="Arial"/>
                <w:bCs/>
                <w:sz w:val="20"/>
                <w:szCs w:val="20"/>
                <w:lang w:eastAsia="fr-FR"/>
              </w:rPr>
              <w:t>6</w:t>
            </w:r>
            <w:r w:rsidR="00E06A72" w:rsidRPr="00713036">
              <w:rPr>
                <w:rFonts w:cs="Arial"/>
                <w:bCs/>
                <w:sz w:val="20"/>
                <w:szCs w:val="20"/>
                <w:lang w:eastAsia="fr-FR"/>
              </w:rPr>
              <w:t>-</w:t>
            </w:r>
            <w:r>
              <w:rPr>
                <w:rFonts w:cs="Arial"/>
                <w:bCs/>
                <w:sz w:val="20"/>
                <w:szCs w:val="20"/>
                <w:lang w:eastAsia="fr-FR"/>
              </w:rPr>
              <w:t>12</w:t>
            </w:r>
            <w:r w:rsidR="00E06A72" w:rsidRPr="00713036">
              <w:rPr>
                <w:rFonts w:cs="Arial"/>
                <w:bCs/>
                <w:sz w:val="20"/>
                <w:szCs w:val="20"/>
                <w:lang w:eastAsia="fr-FR"/>
              </w:rPr>
              <w:t>]</w:t>
            </w:r>
          </w:p>
        </w:tc>
      </w:tr>
      <w:tr w:rsidR="00E06A72" w:rsidRPr="00E06A72" w14:paraId="480CB4A2" w14:textId="77777777" w:rsidTr="0002537E">
        <w:trPr>
          <w:trHeight w:val="20"/>
          <w:jc w:val="center"/>
        </w:trPr>
        <w:tc>
          <w:tcPr>
            <w:tcW w:w="3520" w:type="dxa"/>
            <w:shd w:val="clear" w:color="auto" w:fill="D9D9D9" w:themeFill="background1" w:themeFillShade="D9"/>
            <w:tcMar>
              <w:top w:w="15" w:type="dxa"/>
              <w:left w:w="15" w:type="dxa"/>
              <w:bottom w:w="0" w:type="dxa"/>
              <w:right w:w="15" w:type="dxa"/>
            </w:tcMar>
            <w:vAlign w:val="center"/>
            <w:hideMark/>
          </w:tcPr>
          <w:p w14:paraId="636A88B4" w14:textId="6C98442E" w:rsidR="00E06A72" w:rsidRPr="00713036" w:rsidRDefault="00E06A72" w:rsidP="0002537E">
            <w:pPr>
              <w:spacing w:after="0" w:line="240" w:lineRule="auto"/>
              <w:jc w:val="left"/>
              <w:rPr>
                <w:rFonts w:cs="Arial"/>
                <w:sz w:val="20"/>
                <w:szCs w:val="20"/>
                <w:lang w:eastAsia="fr-FR"/>
              </w:rPr>
            </w:pPr>
            <w:r w:rsidRPr="00713036">
              <w:rPr>
                <w:rFonts w:cs="Arial"/>
                <w:sz w:val="20"/>
                <w:szCs w:val="20"/>
                <w:lang w:val="pt-BR" w:eastAsia="fr-FR"/>
              </w:rPr>
              <w:t xml:space="preserve">Part os (40% S/O ) VF + désossage / </w:t>
            </w:r>
            <w:r w:rsidR="00702E60">
              <w:rPr>
                <w:rFonts w:cs="Arial"/>
                <w:sz w:val="20"/>
                <w:szCs w:val="20"/>
                <w:lang w:val="pt-BR" w:eastAsia="fr-FR"/>
              </w:rPr>
              <w:t>l</w:t>
            </w:r>
            <w:r w:rsidRPr="00713036">
              <w:rPr>
                <w:rFonts w:cs="Arial"/>
                <w:sz w:val="20"/>
                <w:szCs w:val="20"/>
                <w:lang w:val="pt-BR" w:eastAsia="fr-FR"/>
              </w:rPr>
              <w:t xml:space="preserve">onge </w:t>
            </w:r>
          </w:p>
        </w:tc>
        <w:tc>
          <w:tcPr>
            <w:tcW w:w="1800" w:type="dxa"/>
            <w:shd w:val="clear" w:color="auto" w:fill="D9D9D9" w:themeFill="background1" w:themeFillShade="D9"/>
            <w:tcMar>
              <w:top w:w="15" w:type="dxa"/>
              <w:left w:w="15" w:type="dxa"/>
              <w:bottom w:w="0" w:type="dxa"/>
              <w:right w:w="15" w:type="dxa"/>
            </w:tcMar>
            <w:vAlign w:val="center"/>
            <w:hideMark/>
          </w:tcPr>
          <w:p w14:paraId="090B45F3" w14:textId="382CC419" w:rsidR="00E06A72" w:rsidRPr="00713036" w:rsidRDefault="00E06A72" w:rsidP="0002537E">
            <w:pPr>
              <w:spacing w:after="0" w:line="240" w:lineRule="auto"/>
              <w:jc w:val="center"/>
              <w:rPr>
                <w:rFonts w:cs="Arial"/>
                <w:sz w:val="20"/>
                <w:szCs w:val="20"/>
                <w:lang w:eastAsia="fr-FR"/>
              </w:rPr>
            </w:pPr>
          </w:p>
        </w:tc>
        <w:tc>
          <w:tcPr>
            <w:tcW w:w="640" w:type="dxa"/>
            <w:shd w:val="clear" w:color="auto" w:fill="D9D9D9" w:themeFill="background1" w:themeFillShade="D9"/>
            <w:tcMar>
              <w:top w:w="15" w:type="dxa"/>
              <w:left w:w="15" w:type="dxa"/>
              <w:bottom w:w="0" w:type="dxa"/>
              <w:right w:w="15" w:type="dxa"/>
            </w:tcMar>
            <w:vAlign w:val="center"/>
            <w:hideMark/>
          </w:tcPr>
          <w:p w14:paraId="1087259D" w14:textId="0B5E6797" w:rsidR="00E06A72" w:rsidRPr="00713036" w:rsidRDefault="00E06A72" w:rsidP="0002537E">
            <w:pPr>
              <w:spacing w:after="0" w:line="240" w:lineRule="auto"/>
              <w:jc w:val="center"/>
              <w:rPr>
                <w:rFonts w:cs="Arial"/>
                <w:sz w:val="20"/>
                <w:szCs w:val="20"/>
                <w:lang w:eastAsia="fr-FR"/>
              </w:rPr>
            </w:pPr>
          </w:p>
        </w:tc>
        <w:tc>
          <w:tcPr>
            <w:tcW w:w="900" w:type="dxa"/>
            <w:shd w:val="clear" w:color="auto" w:fill="D9D9D9" w:themeFill="background1" w:themeFillShade="D9"/>
            <w:tcMar>
              <w:top w:w="15" w:type="dxa"/>
              <w:left w:w="15" w:type="dxa"/>
              <w:bottom w:w="0" w:type="dxa"/>
              <w:right w:w="15" w:type="dxa"/>
            </w:tcMar>
            <w:vAlign w:val="center"/>
            <w:hideMark/>
          </w:tcPr>
          <w:p w14:paraId="2BBAC390" w14:textId="3FB8B764" w:rsidR="00E06A72" w:rsidRPr="00713036" w:rsidRDefault="00E06A72" w:rsidP="0002537E">
            <w:pPr>
              <w:spacing w:after="0" w:line="240" w:lineRule="auto"/>
              <w:jc w:val="center"/>
              <w:rPr>
                <w:rFonts w:cs="Arial"/>
                <w:sz w:val="20"/>
                <w:szCs w:val="20"/>
                <w:lang w:eastAsia="fr-FR"/>
              </w:rPr>
            </w:pPr>
          </w:p>
        </w:tc>
        <w:tc>
          <w:tcPr>
            <w:tcW w:w="1960" w:type="dxa"/>
            <w:shd w:val="clear" w:color="auto" w:fill="D9D9D9" w:themeFill="background1" w:themeFillShade="D9"/>
            <w:tcMar>
              <w:top w:w="15" w:type="dxa"/>
              <w:left w:w="15" w:type="dxa"/>
              <w:bottom w:w="0" w:type="dxa"/>
              <w:right w:w="15" w:type="dxa"/>
            </w:tcMar>
            <w:vAlign w:val="center"/>
            <w:hideMark/>
          </w:tcPr>
          <w:p w14:paraId="36ED48C0" w14:textId="0367AF35" w:rsidR="00E06A72" w:rsidRPr="00713036" w:rsidRDefault="00E06A72" w:rsidP="0002537E">
            <w:pPr>
              <w:spacing w:after="0" w:line="240" w:lineRule="auto"/>
              <w:jc w:val="center"/>
              <w:rPr>
                <w:rFonts w:cs="Arial"/>
                <w:sz w:val="20"/>
                <w:szCs w:val="20"/>
                <w:lang w:eastAsia="fr-FR"/>
              </w:rPr>
            </w:pPr>
            <w:r w:rsidRPr="00713036">
              <w:rPr>
                <w:rFonts w:cs="Arial"/>
                <w:bCs/>
                <w:i/>
                <w:iCs/>
                <w:sz w:val="20"/>
                <w:szCs w:val="20"/>
                <w:lang w:eastAsia="fr-FR"/>
              </w:rPr>
              <w:t>Déjà comptabilisé</w:t>
            </w:r>
          </w:p>
        </w:tc>
      </w:tr>
    </w:tbl>
    <w:p w14:paraId="0B2AA070" w14:textId="19CDB374" w:rsidR="00EA0C75" w:rsidRPr="00D54EC4" w:rsidRDefault="00EA0C75" w:rsidP="0002537E">
      <w:pPr>
        <w:pStyle w:val="figure"/>
      </w:pPr>
      <w:bookmarkStart w:id="406" w:name="_Toc72143434"/>
      <w:r w:rsidRPr="00926407">
        <w:t xml:space="preserve">Tableau </w:t>
      </w:r>
      <w:r w:rsidR="00E27D6E">
        <w:fldChar w:fldCharType="begin"/>
      </w:r>
      <w:r w:rsidR="00E27D6E">
        <w:instrText xml:space="preserve"> SEQ Tableau \* ARABIC </w:instrText>
      </w:r>
      <w:r w:rsidR="00E27D6E">
        <w:fldChar w:fldCharType="separate"/>
      </w:r>
      <w:r w:rsidR="0007597F">
        <w:rPr>
          <w:i/>
          <w:noProof/>
        </w:rPr>
        <w:t>87</w:t>
      </w:r>
      <w:r w:rsidR="00E27D6E">
        <w:rPr>
          <w:i/>
          <w:noProof/>
        </w:rPr>
        <w:fldChar w:fldCharType="end"/>
      </w:r>
      <w:r w:rsidR="007350E8">
        <w:t xml:space="preserve"> : </w:t>
      </w:r>
      <w:r w:rsidRPr="00926407">
        <w:t>Représentation tableau emploi ressource au stade de la transformation en charcuterie salaison</w:t>
      </w:r>
      <w:bookmarkEnd w:id="406"/>
    </w:p>
    <w:p w14:paraId="7D5994F7" w14:textId="149DDC66" w:rsidR="00EA0C75" w:rsidRPr="0002537E" w:rsidRDefault="00EA0C75" w:rsidP="0002537E">
      <w:pPr>
        <w:pStyle w:val="Titre3"/>
        <w:spacing w:before="120"/>
        <w:jc w:val="left"/>
        <w:rPr>
          <w:rFonts w:eastAsiaTheme="minorEastAsia"/>
        </w:rPr>
      </w:pPr>
      <w:bookmarkStart w:id="407" w:name="_Toc78131705"/>
      <w:r>
        <w:rPr>
          <w:rFonts w:eastAsiaTheme="minorEastAsia"/>
        </w:rPr>
        <w:t>2.</w:t>
      </w:r>
      <w:r w:rsidR="00347705">
        <w:rPr>
          <w:rFonts w:eastAsiaTheme="minorEastAsia"/>
        </w:rPr>
        <w:t>5</w:t>
      </w:r>
      <w:r>
        <w:rPr>
          <w:rFonts w:eastAsiaTheme="minorEastAsia"/>
        </w:rPr>
        <w:t>.</w:t>
      </w:r>
      <w:r w:rsidR="00347705">
        <w:rPr>
          <w:rFonts w:eastAsiaTheme="minorEastAsia"/>
        </w:rPr>
        <w:t>5</w:t>
      </w:r>
      <w:r>
        <w:rPr>
          <w:rFonts w:eastAsiaTheme="minorEastAsia"/>
        </w:rPr>
        <w:t xml:space="preserve">. </w:t>
      </w:r>
      <w:r w:rsidR="0075609A">
        <w:rPr>
          <w:rFonts w:eastAsiaTheme="minorEastAsia"/>
        </w:rPr>
        <w:t>P</w:t>
      </w:r>
      <w:r w:rsidRPr="0002537E">
        <w:rPr>
          <w:rFonts w:eastAsiaTheme="minorEastAsia"/>
        </w:rPr>
        <w:t>ièce</w:t>
      </w:r>
      <w:r w:rsidR="00347705">
        <w:rPr>
          <w:rFonts w:eastAsiaTheme="minorEastAsia"/>
        </w:rPr>
        <w:t>s</w:t>
      </w:r>
      <w:r w:rsidRPr="0002537E">
        <w:rPr>
          <w:rFonts w:eastAsiaTheme="minorEastAsia"/>
        </w:rPr>
        <w:t xml:space="preserve"> </w:t>
      </w:r>
      <w:r w:rsidR="0075609A">
        <w:rPr>
          <w:rFonts w:eastAsiaTheme="minorEastAsia"/>
        </w:rPr>
        <w:t>orientées vers b</w:t>
      </w:r>
      <w:r w:rsidR="0075609A" w:rsidRPr="0002537E">
        <w:rPr>
          <w:rFonts w:eastAsiaTheme="minorEastAsia"/>
        </w:rPr>
        <w:t>arattage, cuisson</w:t>
      </w:r>
      <w:r w:rsidR="0075609A">
        <w:rPr>
          <w:rFonts w:eastAsiaTheme="minorEastAsia"/>
        </w:rPr>
        <w:t xml:space="preserve"> à destination des</w:t>
      </w:r>
      <w:r w:rsidR="0075609A" w:rsidRPr="0002537E">
        <w:rPr>
          <w:rFonts w:eastAsiaTheme="minorEastAsia"/>
        </w:rPr>
        <w:t xml:space="preserve"> produits finis</w:t>
      </w:r>
      <w:bookmarkEnd w:id="407"/>
    </w:p>
    <w:p w14:paraId="70B4D558" w14:textId="642A685E" w:rsidR="00EA0C75" w:rsidRDefault="0075609A" w:rsidP="00EA0C75">
      <w:pPr>
        <w:rPr>
          <w:lang w:eastAsia="fr-FR"/>
        </w:rPr>
      </w:pPr>
      <w:r>
        <w:rPr>
          <w:bCs/>
          <w:lang w:eastAsia="fr-FR"/>
        </w:rPr>
        <w:t xml:space="preserve">En sortie de transformation, la part des produits de salaison et étuvés tels que le bacon est de </w:t>
      </w:r>
      <w:r w:rsidR="00BF1077">
        <w:rPr>
          <w:bCs/>
          <w:lang w:eastAsia="fr-FR"/>
        </w:rPr>
        <w:t>31</w:t>
      </w:r>
      <w:r w:rsidR="007350E8">
        <w:rPr>
          <w:bCs/>
          <w:lang w:eastAsia="fr-FR"/>
        </w:rPr>
        <w:t> </w:t>
      </w:r>
      <w:r>
        <w:rPr>
          <w:bCs/>
          <w:lang w:eastAsia="fr-FR"/>
        </w:rPr>
        <w:t>kt.</w:t>
      </w:r>
    </w:p>
    <w:tbl>
      <w:tblPr>
        <w:tblW w:w="9214" w:type="dxa"/>
        <w:jc w:val="center"/>
        <w:tblCellMar>
          <w:left w:w="0" w:type="dxa"/>
          <w:right w:w="0" w:type="dxa"/>
        </w:tblCellMar>
        <w:tblLook w:val="0620" w:firstRow="1" w:lastRow="0" w:firstColumn="0" w:lastColumn="0" w:noHBand="1" w:noVBand="1"/>
      </w:tblPr>
      <w:tblGrid>
        <w:gridCol w:w="2799"/>
        <w:gridCol w:w="1504"/>
        <w:gridCol w:w="1343"/>
        <w:gridCol w:w="983"/>
        <w:gridCol w:w="2585"/>
      </w:tblGrid>
      <w:tr w:rsidR="00E06A72" w:rsidRPr="00E06A72" w14:paraId="06B12A97" w14:textId="77777777" w:rsidTr="0002537E">
        <w:trPr>
          <w:trHeight w:val="255"/>
          <w:jc w:val="center"/>
        </w:trPr>
        <w:tc>
          <w:tcPr>
            <w:tcW w:w="279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7577B6F7" w14:textId="7A66E518" w:rsidR="00E06A72" w:rsidRPr="00E06A72" w:rsidRDefault="00E06A72" w:rsidP="0002537E">
            <w:pPr>
              <w:keepNext/>
              <w:spacing w:after="0" w:line="240" w:lineRule="auto"/>
              <w:rPr>
                <w:b/>
                <w:bCs/>
                <w:sz w:val="20"/>
                <w:szCs w:val="20"/>
                <w:lang w:eastAsia="fr-FR"/>
              </w:rPr>
            </w:pPr>
            <w:r w:rsidRPr="00713036">
              <w:rPr>
                <w:rFonts w:cs="Arial"/>
                <w:b/>
                <w:bCs/>
                <w:color w:val="000000"/>
                <w:kern w:val="24"/>
                <w:sz w:val="20"/>
                <w:szCs w:val="20"/>
              </w:rPr>
              <w:lastRenderedPageBreak/>
              <w:t> </w:t>
            </w:r>
          </w:p>
        </w:tc>
        <w:tc>
          <w:tcPr>
            <w:tcW w:w="150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0CB30A55" w14:textId="586FC1FA" w:rsidR="00E06A72" w:rsidRPr="00E06A72" w:rsidRDefault="00E06A72" w:rsidP="0002537E">
            <w:pPr>
              <w:keepNext/>
              <w:spacing w:after="0" w:line="240" w:lineRule="auto"/>
              <w:rPr>
                <w:b/>
                <w:bCs/>
                <w:sz w:val="20"/>
                <w:szCs w:val="20"/>
                <w:lang w:eastAsia="fr-FR"/>
              </w:rPr>
            </w:pPr>
            <w:r w:rsidRPr="00713036">
              <w:rPr>
                <w:rFonts w:cs="Arial"/>
                <w:b/>
                <w:bCs/>
                <w:color w:val="000000"/>
                <w:kern w:val="24"/>
                <w:sz w:val="20"/>
                <w:szCs w:val="20"/>
              </w:rPr>
              <w:t xml:space="preserve">Production </w:t>
            </w:r>
          </w:p>
        </w:tc>
        <w:tc>
          <w:tcPr>
            <w:tcW w:w="134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4BA0283C" w14:textId="52718230" w:rsidR="00E06A72" w:rsidRPr="00713036" w:rsidRDefault="00E06A72" w:rsidP="0002537E">
            <w:pPr>
              <w:keepNext/>
              <w:spacing w:after="0" w:line="240" w:lineRule="auto"/>
              <w:rPr>
                <w:b/>
                <w:sz w:val="20"/>
                <w:szCs w:val="20"/>
                <w:lang w:eastAsia="fr-FR"/>
              </w:rPr>
            </w:pPr>
            <w:r w:rsidRPr="00713036">
              <w:rPr>
                <w:rFonts w:cs="Arial"/>
                <w:b/>
                <w:bCs/>
                <w:color w:val="000000"/>
                <w:kern w:val="24"/>
                <w:sz w:val="20"/>
                <w:szCs w:val="20"/>
              </w:rPr>
              <w:t>I</w:t>
            </w:r>
          </w:p>
        </w:tc>
        <w:tc>
          <w:tcPr>
            <w:tcW w:w="98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5A3458F7" w14:textId="679C5AA1" w:rsidR="00E06A72" w:rsidRPr="00713036" w:rsidRDefault="00E06A72" w:rsidP="0002537E">
            <w:pPr>
              <w:keepNext/>
              <w:spacing w:after="0" w:line="240" w:lineRule="auto"/>
              <w:rPr>
                <w:b/>
                <w:sz w:val="20"/>
                <w:szCs w:val="20"/>
                <w:lang w:eastAsia="fr-FR"/>
              </w:rPr>
            </w:pPr>
            <w:r w:rsidRPr="00713036">
              <w:rPr>
                <w:rFonts w:cs="Arial"/>
                <w:b/>
                <w:bCs/>
                <w:color w:val="000000"/>
                <w:kern w:val="24"/>
                <w:sz w:val="20"/>
                <w:szCs w:val="20"/>
              </w:rPr>
              <w:t>Ex</w:t>
            </w:r>
          </w:p>
        </w:tc>
        <w:tc>
          <w:tcPr>
            <w:tcW w:w="258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tcPr>
          <w:p w14:paraId="2545ED66" w14:textId="744DC19B" w:rsidR="00E06A72" w:rsidRPr="00E06A72" w:rsidRDefault="00E06A72" w:rsidP="0002537E">
            <w:pPr>
              <w:keepNext/>
              <w:spacing w:after="0" w:line="240" w:lineRule="auto"/>
              <w:rPr>
                <w:b/>
                <w:bCs/>
                <w:sz w:val="20"/>
                <w:szCs w:val="20"/>
                <w:lang w:eastAsia="fr-FR"/>
              </w:rPr>
            </w:pPr>
            <w:r w:rsidRPr="00713036">
              <w:rPr>
                <w:rFonts w:cs="Arial"/>
                <w:b/>
                <w:bCs/>
                <w:color w:val="000000"/>
                <w:kern w:val="24"/>
                <w:sz w:val="20"/>
                <w:szCs w:val="20"/>
              </w:rPr>
              <w:t xml:space="preserve">Consommation </w:t>
            </w:r>
          </w:p>
        </w:tc>
      </w:tr>
      <w:tr w:rsidR="00E06A72" w:rsidRPr="00E06A72" w14:paraId="780C2A8E" w14:textId="77777777" w:rsidTr="0002537E">
        <w:trPr>
          <w:trHeight w:val="247"/>
          <w:jc w:val="center"/>
        </w:trPr>
        <w:tc>
          <w:tcPr>
            <w:tcW w:w="279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746759FE" w14:textId="77777777" w:rsidR="00E06A72" w:rsidRPr="00713036" w:rsidRDefault="00E06A72" w:rsidP="0002537E">
            <w:pPr>
              <w:keepNext/>
              <w:spacing w:after="0" w:line="240" w:lineRule="auto"/>
              <w:rPr>
                <w:sz w:val="20"/>
                <w:szCs w:val="20"/>
                <w:lang w:eastAsia="fr-FR"/>
              </w:rPr>
            </w:pPr>
            <w:r w:rsidRPr="00713036">
              <w:rPr>
                <w:b/>
                <w:bCs/>
                <w:sz w:val="20"/>
                <w:szCs w:val="20"/>
                <w:lang w:eastAsia="fr-FR"/>
              </w:rPr>
              <w:t xml:space="preserve">Total </w:t>
            </w:r>
          </w:p>
        </w:tc>
        <w:tc>
          <w:tcPr>
            <w:tcW w:w="150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3BF45D4F"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31 [22-40]</w:t>
            </w:r>
          </w:p>
        </w:tc>
        <w:tc>
          <w:tcPr>
            <w:tcW w:w="134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28AC793E" w14:textId="77777777"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7BB3F552" w14:textId="77777777"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41D734AA" w14:textId="18AEBC14"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31 [22-40]</w:t>
            </w:r>
          </w:p>
        </w:tc>
      </w:tr>
      <w:tr w:rsidR="00E06A72" w:rsidRPr="00E06A72" w14:paraId="78960B2E" w14:textId="77777777" w:rsidTr="0002537E">
        <w:trPr>
          <w:trHeight w:val="381"/>
          <w:jc w:val="center"/>
        </w:trPr>
        <w:tc>
          <w:tcPr>
            <w:tcW w:w="2799"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05C990C3" w14:textId="77777777" w:rsidR="00E06A72" w:rsidRPr="00713036" w:rsidRDefault="00E06A72" w:rsidP="0002537E">
            <w:pPr>
              <w:keepNext/>
              <w:spacing w:after="0" w:line="240" w:lineRule="auto"/>
              <w:jc w:val="left"/>
              <w:rPr>
                <w:sz w:val="20"/>
                <w:szCs w:val="20"/>
                <w:lang w:eastAsia="fr-FR"/>
              </w:rPr>
            </w:pPr>
            <w:r w:rsidRPr="00713036">
              <w:rPr>
                <w:b/>
                <w:bCs/>
                <w:i/>
                <w:iCs/>
                <w:sz w:val="20"/>
                <w:szCs w:val="20"/>
                <w:lang w:eastAsia="fr-FR"/>
              </w:rPr>
              <w:t>Dont saumurés, séchés</w:t>
            </w:r>
          </w:p>
        </w:tc>
        <w:tc>
          <w:tcPr>
            <w:tcW w:w="150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20C33008" w14:textId="337D64B1" w:rsidR="00E06A72" w:rsidRPr="00713036" w:rsidRDefault="00E06A72" w:rsidP="0002537E">
            <w:pPr>
              <w:keepNext/>
              <w:spacing w:after="0" w:line="240" w:lineRule="auto"/>
              <w:jc w:val="center"/>
              <w:rPr>
                <w:sz w:val="20"/>
                <w:szCs w:val="20"/>
                <w:lang w:eastAsia="fr-FR"/>
              </w:rPr>
            </w:pPr>
            <w:r w:rsidRPr="00713036">
              <w:rPr>
                <w:b/>
                <w:bCs/>
                <w:i/>
                <w:iCs/>
                <w:sz w:val="20"/>
                <w:szCs w:val="20"/>
                <w:lang w:eastAsia="fr-FR"/>
              </w:rPr>
              <w:t>31 [22-40]</w:t>
            </w:r>
          </w:p>
        </w:tc>
        <w:tc>
          <w:tcPr>
            <w:tcW w:w="134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7B16564E" w14:textId="6C8C9E7C"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22F9DF68" w14:textId="69A8E01F"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bottom w:w="0" w:type="dxa"/>
              <w:right w:w="15" w:type="dxa"/>
            </w:tcMar>
            <w:vAlign w:val="center"/>
            <w:hideMark/>
          </w:tcPr>
          <w:p w14:paraId="66FC5000" w14:textId="08B050D3" w:rsidR="00E06A72" w:rsidRPr="00713036" w:rsidRDefault="0075609A" w:rsidP="0002537E">
            <w:pPr>
              <w:keepNext/>
              <w:spacing w:after="0" w:line="240" w:lineRule="auto"/>
              <w:jc w:val="center"/>
              <w:rPr>
                <w:sz w:val="20"/>
                <w:szCs w:val="20"/>
                <w:lang w:eastAsia="fr-FR"/>
              </w:rPr>
            </w:pPr>
            <w:r>
              <w:rPr>
                <w:b/>
                <w:bCs/>
                <w:i/>
                <w:iCs/>
                <w:sz w:val="20"/>
                <w:szCs w:val="20"/>
                <w:lang w:eastAsia="fr-FR"/>
              </w:rPr>
              <w:t>27</w:t>
            </w:r>
            <w:r w:rsidR="00E06A72" w:rsidRPr="00713036">
              <w:rPr>
                <w:b/>
                <w:bCs/>
                <w:i/>
                <w:iCs/>
                <w:sz w:val="20"/>
                <w:szCs w:val="20"/>
                <w:lang w:eastAsia="fr-FR"/>
              </w:rPr>
              <w:t xml:space="preserve"> [</w:t>
            </w:r>
            <w:r>
              <w:rPr>
                <w:b/>
                <w:bCs/>
                <w:i/>
                <w:iCs/>
                <w:sz w:val="20"/>
                <w:szCs w:val="20"/>
                <w:lang w:eastAsia="fr-FR"/>
              </w:rPr>
              <w:t>19</w:t>
            </w:r>
            <w:r w:rsidR="00E06A72" w:rsidRPr="00713036">
              <w:rPr>
                <w:b/>
                <w:bCs/>
                <w:i/>
                <w:iCs/>
                <w:sz w:val="20"/>
                <w:szCs w:val="20"/>
                <w:lang w:eastAsia="fr-FR"/>
              </w:rPr>
              <w:t>-</w:t>
            </w:r>
            <w:r>
              <w:rPr>
                <w:b/>
                <w:bCs/>
                <w:i/>
                <w:iCs/>
                <w:sz w:val="20"/>
                <w:szCs w:val="20"/>
                <w:lang w:eastAsia="fr-FR"/>
              </w:rPr>
              <w:t>35</w:t>
            </w:r>
            <w:r w:rsidR="00E06A72" w:rsidRPr="00713036">
              <w:rPr>
                <w:b/>
                <w:bCs/>
                <w:i/>
                <w:iCs/>
                <w:sz w:val="20"/>
                <w:szCs w:val="20"/>
                <w:lang w:eastAsia="fr-FR"/>
              </w:rPr>
              <w:t>]</w:t>
            </w:r>
          </w:p>
        </w:tc>
      </w:tr>
      <w:tr w:rsidR="00E06A72" w:rsidRPr="00E06A72" w14:paraId="0ADB6A59" w14:textId="77777777" w:rsidTr="0002537E">
        <w:trPr>
          <w:trHeight w:val="248"/>
          <w:jc w:val="center"/>
        </w:trPr>
        <w:tc>
          <w:tcPr>
            <w:tcW w:w="2799"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F37D53B" w14:textId="77777777" w:rsidR="00E06A72" w:rsidRPr="00713036" w:rsidRDefault="00E06A72" w:rsidP="0002537E">
            <w:pPr>
              <w:keepNext/>
              <w:spacing w:after="0" w:line="240" w:lineRule="auto"/>
              <w:rPr>
                <w:sz w:val="20"/>
                <w:szCs w:val="20"/>
                <w:lang w:eastAsia="fr-FR"/>
              </w:rPr>
            </w:pPr>
            <w:r w:rsidRPr="00713036">
              <w:rPr>
                <w:sz w:val="20"/>
                <w:szCs w:val="20"/>
                <w:lang w:eastAsia="fr-FR"/>
              </w:rPr>
              <w:t xml:space="preserve">Rôti cuit </w:t>
            </w:r>
          </w:p>
        </w:tc>
        <w:tc>
          <w:tcPr>
            <w:tcW w:w="1504"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BFBF31B"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17 [12-22]</w:t>
            </w:r>
          </w:p>
        </w:tc>
        <w:tc>
          <w:tcPr>
            <w:tcW w:w="1343"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BAA0EE6" w14:textId="44E12457"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60A8152" w14:textId="0C3BF294"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auto"/>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C0FF29D"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15 [11-20]</w:t>
            </w:r>
          </w:p>
        </w:tc>
      </w:tr>
      <w:tr w:rsidR="00E06A72" w:rsidRPr="00E06A72" w14:paraId="732E25A8" w14:textId="77777777" w:rsidTr="0002537E">
        <w:trPr>
          <w:trHeight w:val="227"/>
          <w:jc w:val="center"/>
        </w:trPr>
        <w:tc>
          <w:tcPr>
            <w:tcW w:w="279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1E8B8ECF" w14:textId="77777777" w:rsidR="00E06A72" w:rsidRPr="00713036" w:rsidRDefault="00E06A72" w:rsidP="0002537E">
            <w:pPr>
              <w:keepNext/>
              <w:spacing w:after="0" w:line="240" w:lineRule="auto"/>
              <w:rPr>
                <w:sz w:val="20"/>
                <w:szCs w:val="20"/>
                <w:lang w:eastAsia="fr-FR"/>
              </w:rPr>
            </w:pPr>
            <w:r w:rsidRPr="00713036">
              <w:rPr>
                <w:sz w:val="20"/>
                <w:szCs w:val="20"/>
                <w:lang w:eastAsia="fr-FR"/>
              </w:rPr>
              <w:t xml:space="preserve">Filet de bacon </w:t>
            </w:r>
          </w:p>
        </w:tc>
        <w:tc>
          <w:tcPr>
            <w:tcW w:w="150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AF250B2"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8 [6-10]</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D0EB106" w14:textId="72D5CA7D"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7AA36D4" w14:textId="0EC61C7E"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8064267" w14:textId="6F195863"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7 [5-9]</w:t>
            </w:r>
          </w:p>
        </w:tc>
      </w:tr>
      <w:tr w:rsidR="00E06A72" w:rsidRPr="00E06A72" w14:paraId="28E3940D" w14:textId="77777777" w:rsidTr="0002537E">
        <w:trPr>
          <w:jc w:val="center"/>
        </w:trPr>
        <w:tc>
          <w:tcPr>
            <w:tcW w:w="2799"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C679FBB" w14:textId="77777777" w:rsidR="00E06A72" w:rsidRPr="00713036" w:rsidRDefault="00E06A72" w:rsidP="0002537E">
            <w:pPr>
              <w:keepNext/>
              <w:spacing w:after="0" w:line="240" w:lineRule="auto"/>
              <w:jc w:val="left"/>
              <w:rPr>
                <w:sz w:val="20"/>
                <w:szCs w:val="20"/>
                <w:lang w:eastAsia="fr-FR"/>
              </w:rPr>
            </w:pPr>
            <w:r w:rsidRPr="00713036">
              <w:rPr>
                <w:sz w:val="20"/>
                <w:szCs w:val="20"/>
                <w:lang w:eastAsia="fr-FR"/>
              </w:rPr>
              <w:t>Pièces de porc crues maturées séchées (coppa, lonzo, filet et carré de porc séché) tranché</w:t>
            </w:r>
          </w:p>
        </w:tc>
        <w:tc>
          <w:tcPr>
            <w:tcW w:w="150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E67B2F5"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6 [4-8]</w:t>
            </w:r>
          </w:p>
        </w:tc>
        <w:tc>
          <w:tcPr>
            <w:tcW w:w="134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B493BAB" w14:textId="613FC3A5"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382E0B8" w14:textId="664181C8"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3EF3C544"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5 [4-7]</w:t>
            </w:r>
          </w:p>
        </w:tc>
      </w:tr>
      <w:tr w:rsidR="00E06A72" w:rsidRPr="00E06A72" w14:paraId="178A1960" w14:textId="77777777" w:rsidTr="0002537E">
        <w:trPr>
          <w:jc w:val="center"/>
        </w:trPr>
        <w:tc>
          <w:tcPr>
            <w:tcW w:w="2799"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3DB3821A" w14:textId="40748E6B" w:rsidR="00E06A72" w:rsidRPr="00713036" w:rsidRDefault="00E06A72" w:rsidP="0002537E">
            <w:pPr>
              <w:keepNext/>
              <w:spacing w:after="0" w:line="240" w:lineRule="auto"/>
              <w:jc w:val="left"/>
              <w:rPr>
                <w:sz w:val="20"/>
                <w:szCs w:val="20"/>
                <w:lang w:eastAsia="fr-FR"/>
              </w:rPr>
            </w:pPr>
            <w:r w:rsidRPr="00713036">
              <w:rPr>
                <w:sz w:val="20"/>
                <w:szCs w:val="20"/>
                <w:lang w:eastAsia="fr-FR"/>
              </w:rPr>
              <w:t>Exsudat par cuisson, maturation (10%)</w:t>
            </w:r>
          </w:p>
        </w:tc>
        <w:tc>
          <w:tcPr>
            <w:tcW w:w="150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2A92EEF2" w14:textId="7A1CC49F" w:rsidR="00E06A72" w:rsidRPr="00713036" w:rsidRDefault="00E06A72" w:rsidP="0002537E">
            <w:pPr>
              <w:keepNext/>
              <w:spacing w:after="0" w:line="240" w:lineRule="auto"/>
              <w:jc w:val="center"/>
              <w:rPr>
                <w:sz w:val="20"/>
                <w:szCs w:val="20"/>
                <w:lang w:eastAsia="fr-FR"/>
              </w:rPr>
            </w:pPr>
          </w:p>
        </w:tc>
        <w:tc>
          <w:tcPr>
            <w:tcW w:w="134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61E58909" w14:textId="3CB00857" w:rsidR="00E06A72" w:rsidRPr="00713036" w:rsidRDefault="00E06A72" w:rsidP="0002537E">
            <w:pPr>
              <w:keepNext/>
              <w:spacing w:after="0" w:line="240" w:lineRule="auto"/>
              <w:jc w:val="center"/>
              <w:rPr>
                <w:sz w:val="20"/>
                <w:szCs w:val="20"/>
                <w:lang w:eastAsia="fr-FR"/>
              </w:rPr>
            </w:pPr>
          </w:p>
        </w:tc>
        <w:tc>
          <w:tcPr>
            <w:tcW w:w="983"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3DC71747" w14:textId="483CBFC1" w:rsidR="00E06A72" w:rsidRPr="00713036" w:rsidRDefault="00E06A72" w:rsidP="0002537E">
            <w:pPr>
              <w:keepNext/>
              <w:spacing w:after="0" w:line="240" w:lineRule="auto"/>
              <w:jc w:val="center"/>
              <w:rPr>
                <w:sz w:val="20"/>
                <w:szCs w:val="20"/>
                <w:lang w:eastAsia="fr-FR"/>
              </w:rPr>
            </w:pPr>
          </w:p>
        </w:tc>
        <w:tc>
          <w:tcPr>
            <w:tcW w:w="2585"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tcMar>
              <w:top w:w="15" w:type="dxa"/>
              <w:left w:w="15" w:type="dxa"/>
              <w:bottom w:w="0" w:type="dxa"/>
              <w:right w:w="15" w:type="dxa"/>
            </w:tcMar>
            <w:vAlign w:val="center"/>
            <w:hideMark/>
          </w:tcPr>
          <w:p w14:paraId="19D4E60C" w14:textId="77777777" w:rsidR="00E06A72" w:rsidRPr="00713036" w:rsidRDefault="00E06A72" w:rsidP="0002537E">
            <w:pPr>
              <w:keepNext/>
              <w:spacing w:after="0" w:line="240" w:lineRule="auto"/>
              <w:jc w:val="center"/>
              <w:rPr>
                <w:sz w:val="20"/>
                <w:szCs w:val="20"/>
                <w:lang w:eastAsia="fr-FR"/>
              </w:rPr>
            </w:pPr>
            <w:r w:rsidRPr="00713036">
              <w:rPr>
                <w:b/>
                <w:bCs/>
                <w:sz w:val="20"/>
                <w:szCs w:val="20"/>
                <w:lang w:eastAsia="fr-FR"/>
              </w:rPr>
              <w:t>4 [3-5]</w:t>
            </w:r>
          </w:p>
        </w:tc>
      </w:tr>
    </w:tbl>
    <w:p w14:paraId="23030D0B" w14:textId="5DE26DC7" w:rsidR="00EA0C75" w:rsidRPr="0002537E" w:rsidRDefault="00E06A72" w:rsidP="0002537E">
      <w:pPr>
        <w:pStyle w:val="figure"/>
        <w:rPr>
          <w:i/>
        </w:rPr>
      </w:pPr>
      <w:bookmarkStart w:id="408" w:name="_Toc72143435"/>
      <w:r w:rsidRPr="0075609A">
        <w:t xml:space="preserve">Tableau </w:t>
      </w:r>
      <w:r w:rsidRPr="00D54EC4">
        <w:fldChar w:fldCharType="begin"/>
      </w:r>
      <w:r w:rsidRPr="0075609A">
        <w:instrText xml:space="preserve"> SEQ Tableau \* ARABIC </w:instrText>
      </w:r>
      <w:r w:rsidRPr="00D54EC4">
        <w:fldChar w:fldCharType="separate"/>
      </w:r>
      <w:r w:rsidR="0007597F">
        <w:rPr>
          <w:i/>
          <w:noProof/>
        </w:rPr>
        <w:t>88</w:t>
      </w:r>
      <w:r w:rsidRPr="00D54EC4">
        <w:fldChar w:fldCharType="end"/>
      </w:r>
      <w:r w:rsidR="007350E8">
        <w:rPr>
          <w:i/>
        </w:rPr>
        <w:t xml:space="preserve"> : </w:t>
      </w:r>
      <w:r w:rsidR="00EA0C75" w:rsidRPr="00926407">
        <w:t>Représentation tableau emploi ressource au stade de la transformation en charcuterie salaison</w:t>
      </w:r>
      <w:bookmarkEnd w:id="408"/>
    </w:p>
    <w:p w14:paraId="7004C543" w14:textId="3FE28F8B" w:rsidR="008F628B" w:rsidRPr="00FC14F1" w:rsidRDefault="008F628B" w:rsidP="008F628B">
      <w:pPr>
        <w:rPr>
          <w:lang w:eastAsia="fr-FR"/>
        </w:rPr>
      </w:pPr>
      <w:r>
        <w:rPr>
          <w:lang w:eastAsia="fr-FR"/>
        </w:rPr>
        <w:t>Par ailleurs, tel que mentionné plus haut, les</w:t>
      </w:r>
      <w:r w:rsidRPr="00B621B9">
        <w:rPr>
          <w:lang w:eastAsia="fr-FR"/>
        </w:rPr>
        <w:t xml:space="preserve"> </w:t>
      </w:r>
      <w:r w:rsidR="00AB2830">
        <w:rPr>
          <w:lang w:eastAsia="fr-FR"/>
        </w:rPr>
        <w:t xml:space="preserve">pièces de boucherie (côtes, filets, rôtis) </w:t>
      </w:r>
      <w:r>
        <w:rPr>
          <w:lang w:eastAsia="fr-FR"/>
        </w:rPr>
        <w:t>sont l</w:t>
      </w:r>
      <w:r w:rsidR="00AB2830">
        <w:rPr>
          <w:lang w:eastAsia="fr-FR"/>
        </w:rPr>
        <w:t>es</w:t>
      </w:r>
      <w:r>
        <w:rPr>
          <w:lang w:eastAsia="fr-FR"/>
        </w:rPr>
        <w:t xml:space="preserve"> premi</w:t>
      </w:r>
      <w:r w:rsidR="00AB2830">
        <w:rPr>
          <w:lang w:eastAsia="fr-FR"/>
        </w:rPr>
        <w:t>e</w:t>
      </w:r>
      <w:r>
        <w:rPr>
          <w:lang w:eastAsia="fr-FR"/>
        </w:rPr>
        <w:t>r</w:t>
      </w:r>
      <w:r w:rsidR="00AB2830">
        <w:rPr>
          <w:lang w:eastAsia="fr-FR"/>
        </w:rPr>
        <w:t>s</w:t>
      </w:r>
      <w:r>
        <w:rPr>
          <w:lang w:eastAsia="fr-FR"/>
        </w:rPr>
        <w:t xml:space="preserve"> </w:t>
      </w:r>
      <w:r w:rsidR="00AB2830">
        <w:rPr>
          <w:lang w:eastAsia="fr-FR"/>
        </w:rPr>
        <w:t xml:space="preserve">débouchés </w:t>
      </w:r>
      <w:r>
        <w:rPr>
          <w:lang w:eastAsia="fr-FR"/>
        </w:rPr>
        <w:t>et</w:t>
      </w:r>
      <w:r w:rsidRPr="00B621B9">
        <w:rPr>
          <w:lang w:eastAsia="fr-FR"/>
        </w:rPr>
        <w:t xml:space="preserve"> absorbent </w:t>
      </w:r>
      <w:r w:rsidR="00AB2830">
        <w:rPr>
          <w:lang w:eastAsia="fr-FR"/>
        </w:rPr>
        <w:t>plus de</w:t>
      </w:r>
      <w:r w:rsidRPr="00B621B9">
        <w:rPr>
          <w:lang w:eastAsia="fr-FR"/>
        </w:rPr>
        <w:t xml:space="preserve"> </w:t>
      </w:r>
      <w:r w:rsidR="00AB2830">
        <w:rPr>
          <w:lang w:eastAsia="fr-FR"/>
        </w:rPr>
        <w:t>80</w:t>
      </w:r>
      <w:r w:rsidRPr="00B621B9">
        <w:rPr>
          <w:lang w:eastAsia="fr-FR"/>
        </w:rPr>
        <w:t>% du total de la consommation</w:t>
      </w:r>
      <w:r>
        <w:rPr>
          <w:lang w:eastAsia="fr-FR"/>
        </w:rPr>
        <w:t xml:space="preserve">. </w:t>
      </w:r>
    </w:p>
    <w:p w14:paraId="55447926" w14:textId="3C27ACFB" w:rsidR="001323C5" w:rsidRPr="001323C5" w:rsidRDefault="001323C5" w:rsidP="001323C5">
      <w:pPr>
        <w:pStyle w:val="ValrieN1"/>
        <w:ind w:left="0"/>
        <w:jc w:val="center"/>
        <w:rPr>
          <w:b w:val="0"/>
          <w:sz w:val="20"/>
          <w:szCs w:val="20"/>
          <w:lang w:val="fr-CA"/>
        </w:rPr>
      </w:pPr>
      <w:r>
        <w:rPr>
          <w:noProof/>
        </w:rPr>
        <w:drawing>
          <wp:inline distT="0" distB="0" distL="0" distR="0" wp14:anchorId="31269831" wp14:editId="57E5E70D">
            <wp:extent cx="4610100" cy="2247900"/>
            <wp:effectExtent l="0" t="0" r="0" b="0"/>
            <wp:docPr id="365" name="Graphique 365">
              <a:extLst xmlns:a="http://schemas.openxmlformats.org/drawingml/2006/main">
                <a:ext uri="{FF2B5EF4-FFF2-40B4-BE49-F238E27FC236}">
                  <a16:creationId xmlns:a16="http://schemas.microsoft.com/office/drawing/2014/main" id="{833AA5B9-CAB1-4ECC-B776-7E1A675BCF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14:paraId="65ACD87B" w14:textId="05BDAEA5" w:rsidR="008F628B" w:rsidRPr="00A50150" w:rsidRDefault="00332A54" w:rsidP="0002537E">
      <w:pPr>
        <w:pStyle w:val="figure"/>
      </w:pPr>
      <w:r w:rsidRPr="00332A54">
        <w:t xml:space="preserve">Figure </w:t>
      </w:r>
      <w:r w:rsidRPr="00D54EC4">
        <w:fldChar w:fldCharType="begin"/>
      </w:r>
      <w:r w:rsidRPr="00332A54">
        <w:instrText xml:space="preserve"> SEQ Figure \* ARABIC </w:instrText>
      </w:r>
      <w:r w:rsidRPr="00D54EC4">
        <w:fldChar w:fldCharType="separate"/>
      </w:r>
      <w:r w:rsidR="0007597F">
        <w:rPr>
          <w:noProof/>
        </w:rPr>
        <w:t>42</w:t>
      </w:r>
      <w:r w:rsidRPr="00D54EC4">
        <w:fldChar w:fldCharType="end"/>
      </w:r>
      <w:r w:rsidR="007350E8">
        <w:t xml:space="preserve"> : </w:t>
      </w:r>
      <w:r w:rsidR="001323C5">
        <w:t xml:space="preserve"> </w:t>
      </w:r>
      <w:r w:rsidR="008F628B" w:rsidRPr="00A50150">
        <w:t>Part relative des catégories de produits</w:t>
      </w:r>
      <w:r w:rsidR="001323C5">
        <w:t xml:space="preserve"> de la longe</w:t>
      </w:r>
      <w:r w:rsidR="008F628B" w:rsidRPr="00A50150">
        <w:t xml:space="preserve"> consommées</w:t>
      </w:r>
    </w:p>
    <w:p w14:paraId="32F9C120" w14:textId="0F8139C4" w:rsidR="008F628B" w:rsidRPr="00A06B55" w:rsidRDefault="008F628B" w:rsidP="008F628B">
      <w:pPr>
        <w:pStyle w:val="Titre3"/>
        <w:rPr>
          <w:rFonts w:eastAsiaTheme="minorHAnsi"/>
          <w:szCs w:val="20"/>
        </w:rPr>
      </w:pPr>
      <w:bookmarkStart w:id="409" w:name="_Toc78131706"/>
      <w:r>
        <w:rPr>
          <w:rFonts w:eastAsiaTheme="minorEastAsia"/>
        </w:rPr>
        <w:t>2.</w:t>
      </w:r>
      <w:r w:rsidR="00C51AE3">
        <w:rPr>
          <w:rFonts w:eastAsiaTheme="minorEastAsia"/>
        </w:rPr>
        <w:t>5</w:t>
      </w:r>
      <w:r>
        <w:rPr>
          <w:rFonts w:eastAsiaTheme="minorEastAsia"/>
        </w:rPr>
        <w:t xml:space="preserve">.6. Représentation des flux en </w:t>
      </w:r>
      <w:r w:rsidR="001323C5">
        <w:rPr>
          <w:rFonts w:eastAsiaTheme="minorEastAsia"/>
        </w:rPr>
        <w:t>longe</w:t>
      </w:r>
      <w:r>
        <w:rPr>
          <w:rFonts w:eastAsiaTheme="minorEastAsia"/>
        </w:rPr>
        <w:t xml:space="preserve"> au travers du diagramme de Sankey</w:t>
      </w:r>
      <w:bookmarkEnd w:id="409"/>
      <w:r>
        <w:rPr>
          <w:rFonts w:eastAsiaTheme="minorEastAsia"/>
        </w:rPr>
        <w:t xml:space="preserve"> </w:t>
      </w:r>
    </w:p>
    <w:p w14:paraId="1EE06B51" w14:textId="085E37A5" w:rsidR="008F628B" w:rsidRDefault="00332A54" w:rsidP="0002537E">
      <w:pPr>
        <w:pStyle w:val="figure"/>
      </w:pPr>
      <w:r w:rsidRPr="00332A54">
        <w:t xml:space="preserve">Figure </w:t>
      </w:r>
      <w:r w:rsidRPr="00D54EC4">
        <w:fldChar w:fldCharType="begin"/>
      </w:r>
      <w:r w:rsidRPr="00332A54">
        <w:instrText xml:space="preserve"> SEQ Figure \* ARABIC </w:instrText>
      </w:r>
      <w:r w:rsidRPr="00D54EC4">
        <w:fldChar w:fldCharType="separate"/>
      </w:r>
      <w:r w:rsidR="0007597F">
        <w:rPr>
          <w:noProof/>
        </w:rPr>
        <w:t>43</w:t>
      </w:r>
      <w:r w:rsidRPr="00D54EC4">
        <w:fldChar w:fldCharType="end"/>
      </w:r>
      <w:r w:rsidR="007350E8">
        <w:t xml:space="preserve"> : </w:t>
      </w:r>
      <w:r w:rsidR="008F628B" w:rsidRPr="001323C5">
        <w:t>Représentation</w:t>
      </w:r>
      <w:r w:rsidR="008F628B" w:rsidRPr="00A50150">
        <w:t xml:space="preserve"> des flux de </w:t>
      </w:r>
      <w:r w:rsidR="001323C5">
        <w:t>longe</w:t>
      </w:r>
      <w:r w:rsidR="008F628B" w:rsidRPr="00A50150">
        <w:t xml:space="preserve"> au travers d’un graphe de Sankey</w:t>
      </w:r>
      <w:r w:rsidR="008F628B">
        <w:t xml:space="preserve"> </w:t>
      </w:r>
    </w:p>
    <w:p w14:paraId="5DE19484" w14:textId="77777777" w:rsidR="001323C5" w:rsidRPr="004E4274" w:rsidRDefault="001323C5" w:rsidP="0002537E"/>
    <w:p w14:paraId="733CF335" w14:textId="5A022208" w:rsidR="0002537E" w:rsidRPr="0002537E" w:rsidRDefault="0002537E" w:rsidP="0002537E">
      <w:pPr>
        <w:sectPr w:rsidR="0002537E" w:rsidRPr="0002537E" w:rsidSect="00B73F4D">
          <w:pgSz w:w="11906" w:h="16838" w:code="9"/>
          <w:pgMar w:top="1304" w:right="1133" w:bottom="1304" w:left="1418" w:header="567" w:footer="709" w:gutter="0"/>
          <w:cols w:space="708"/>
          <w:docGrid w:linePitch="360"/>
        </w:sectPr>
      </w:pPr>
    </w:p>
    <w:p w14:paraId="6FDA5E68" w14:textId="5108771C" w:rsidR="00C94D9A" w:rsidRDefault="00AD7AE8" w:rsidP="00922E12">
      <w:pPr>
        <w:pStyle w:val="ValrieN2"/>
        <w:ind w:left="390"/>
      </w:pPr>
      <w:r>
        <w:rPr>
          <w:noProof/>
        </w:rPr>
        <w:lastRenderedPageBreak/>
        <mc:AlternateContent>
          <mc:Choice Requires="wps">
            <w:drawing>
              <wp:anchor distT="0" distB="0" distL="114300" distR="114300" simplePos="0" relativeHeight="251879481" behindDoc="0" locked="0" layoutInCell="1" allowOverlap="1" wp14:anchorId="5CD23F6D" wp14:editId="0724FC18">
                <wp:simplePos x="0" y="0"/>
                <wp:positionH relativeFrom="column">
                  <wp:posOffset>6387897</wp:posOffset>
                </wp:positionH>
                <wp:positionV relativeFrom="paragraph">
                  <wp:posOffset>90170</wp:posOffset>
                </wp:positionV>
                <wp:extent cx="0" cy="5399405"/>
                <wp:effectExtent l="0" t="0" r="38100" b="29845"/>
                <wp:wrapNone/>
                <wp:docPr id="446" name="Connecteur droit 16"/>
                <wp:cNvGraphicFramePr/>
                <a:graphic xmlns:a="http://schemas.openxmlformats.org/drawingml/2006/main">
                  <a:graphicData uri="http://schemas.microsoft.com/office/word/2010/wordprocessingShape">
                    <wps:wsp>
                      <wps:cNvCnPr/>
                      <wps:spPr>
                        <a:xfrm>
                          <a:off x="0" y="0"/>
                          <a:ext cx="0" cy="539940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53180B6C" id="Connecteur droit 16" o:spid="_x0000_s1026" style="position:absolute;z-index:25187948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03pt,7.1pt" to="503pt,43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gZZMQIAANEEAAAOAAAAZHJzL2Uyb0RvYy54bWysVMmO2zAMvRfoPwi6N3bSJGiMOHNIOr10&#10;GUzbD1C02AK0QVLi5O9LSY7T5dIpepEpmo9+fCS9fbhohc7cB2lNi+ezGiNuqGXSdC3+/u3xzTuM&#10;QiSGEWUNb/GVB/ywe/1qO7iGL2xvFeMeQRITmsG1uI/RNVUVaM81CTPruIGXwnpNIlx9VzFPBsiu&#10;VbWo63U1WM+ct5SHAN5DeYl3Ob8QnMYvQgQekWoxcIv59Pk8prPabUnTeeJ6SUca5B9YaCINfHRK&#10;dSCRoJOXf6TSknobrIgzanVlhZCU5xqgmnn9WzVfe+J4rgXECW6SKfy/tPTz+ckjyVq8XK4xMkRD&#10;k/bWGFCOnzxi3sqI5usk1OBCA/F78+THW3BPPlV9EV6nJ9SDLlnc6yQuv0REi5OCd/V2s1nWq5Sv&#10;ugOdD/EDtxolo8VKmlQ3acj5Y4gl9BaS3MqgocWb1WKFESUwNkKRCKZ2UEgwHUZEdTCPNPqcJlgl&#10;2aNUKoHzbPG98uhMYCqO3TzHqJP+ZFnxrVd1nWcDKE7hmfAvmRKlAwl9ATGwyjx5ezIMWJOm54S9&#10;NwzFqwNdDawATsw1ZxgpDgyTlSMjkepvIoGRMkAlNaPIn614Vbwo88wF9DMLXqr13TEVW4YethLW&#10;4Db6ORkAUqAAeV6IHSEJzfOuvRA/gfL3rYkTXktjx9alP8G9W/EyH0dHlPibFEWApMXRsmue0KwR&#10;7E1u3LjjaTF/vmf4/U+0+wEAAP//AwBQSwMEFAAGAAgAAAAhAFM9xsjdAAAADAEAAA8AAABkcnMv&#10;ZG93bnJldi54bWxMj0FPwzAMhe9I/IfISNxYujG6qTSdENNukyYG3N3Ga6o1SdVkbfn3eOLAbn72&#10;0/P38s1kWzFQHxrvFMxnCQhyldeNqxV8fe6e1iBCRKex9Y4U/FCATXF/l2Om/eg+aDjGWnCICxkq&#10;MDF2mZShMmQxzHxHjm8n31uMLPta6h5HDretXCRJKi02jj8Y7OjdUHU+XqyC5LBKt3jYf9N+3JpT&#10;syufV0Op1OPD9PYKItIU/81wxWd0KJip9Beng2hZczqXiTwtFyCujr9NqWCdLl9AFrm8LVH8AgAA&#10;//8DAFBLAQItABQABgAIAAAAIQC2gziS/gAAAOEBAAATAAAAAAAAAAAAAAAAAAAAAABbQ29udGVu&#10;dF9UeXBlc10ueG1sUEsBAi0AFAAGAAgAAAAhADj9If/WAAAAlAEAAAsAAAAAAAAAAAAAAAAALwEA&#10;AF9yZWxzLy5yZWxzUEsBAi0AFAAGAAgAAAAhAORuBlkxAgAA0QQAAA4AAAAAAAAAAAAAAAAALgIA&#10;AGRycy9lMm9Eb2MueG1sUEsBAi0AFAAGAAgAAAAhAFM9xsjdAAAADAEAAA8AAAAAAAAAAAAAAAAA&#10;iwQAAGRycy9kb3ducmV2LnhtbFBLBQYAAAAABAAEAPMAAACVBQAAAAA=&#10;" strokecolor="#a5a5a5 [2092]">
                <v:stroke dashstyle="dash"/>
              </v:line>
            </w:pict>
          </mc:Fallback>
        </mc:AlternateContent>
      </w:r>
      <w:r>
        <w:rPr>
          <w:noProof/>
        </w:rPr>
        <mc:AlternateContent>
          <mc:Choice Requires="wpg">
            <w:drawing>
              <wp:anchor distT="0" distB="0" distL="114300" distR="114300" simplePos="0" relativeHeight="251887673" behindDoc="0" locked="0" layoutInCell="1" allowOverlap="1" wp14:anchorId="6DFB2CD8" wp14:editId="010D333F">
                <wp:simplePos x="0" y="0"/>
                <wp:positionH relativeFrom="margin">
                  <wp:posOffset>0</wp:posOffset>
                </wp:positionH>
                <wp:positionV relativeFrom="paragraph">
                  <wp:posOffset>3652142</wp:posOffset>
                </wp:positionV>
                <wp:extent cx="1489710" cy="408940"/>
                <wp:effectExtent l="0" t="0" r="34290" b="0"/>
                <wp:wrapNone/>
                <wp:docPr id="453" name="Groupe 17"/>
                <wp:cNvGraphicFramePr/>
                <a:graphic xmlns:a="http://schemas.openxmlformats.org/drawingml/2006/main">
                  <a:graphicData uri="http://schemas.microsoft.com/office/word/2010/wordprocessingGroup">
                    <wpg:wgp>
                      <wpg:cNvGrpSpPr/>
                      <wpg:grpSpPr>
                        <a:xfrm>
                          <a:off x="0" y="0"/>
                          <a:ext cx="1489710" cy="408940"/>
                          <a:chOff x="118917" y="3934514"/>
                          <a:chExt cx="1768638" cy="688882"/>
                        </a:xfrm>
                      </wpg:grpSpPr>
                      <wps:wsp>
                        <wps:cNvPr id="454" name="Flèche : pentagone 454"/>
                        <wps:cNvSpPr/>
                        <wps:spPr>
                          <a:xfrm>
                            <a:off x="118917" y="3934514"/>
                            <a:ext cx="1768638" cy="565432"/>
                          </a:xfrm>
                          <a:prstGeom prst="homePlate">
                            <a:avLst/>
                          </a:prstGeom>
                          <a:gradFill flip="none" rotWithShape="1">
                            <a:gsLst>
                              <a:gs pos="0">
                                <a:schemeClr val="bg1">
                                  <a:lumMod val="65000"/>
                                  <a:tint val="66000"/>
                                  <a:satMod val="160000"/>
                                </a:schemeClr>
                              </a:gs>
                              <a:gs pos="50000">
                                <a:schemeClr val="bg1">
                                  <a:lumMod val="65000"/>
                                  <a:tint val="44500"/>
                                  <a:satMod val="160000"/>
                                </a:schemeClr>
                              </a:gs>
                              <a:gs pos="100000">
                                <a:schemeClr val="bg1">
                                  <a:lumMod val="65000"/>
                                  <a:tint val="23500"/>
                                  <a:satMod val="160000"/>
                                </a:schemeClr>
                              </a:gs>
                            </a:gsLst>
                            <a:lin ang="5400000" scaled="1"/>
                            <a:tileRect/>
                          </a:gradFill>
                          <a:ln>
                            <a:solidFill>
                              <a:schemeClr val="bg1">
                                <a:lumMod val="75000"/>
                              </a:schemeClr>
                            </a:solidFill>
                          </a:ln>
                        </wps:spPr>
                        <wps:style>
                          <a:lnRef idx="1">
                            <a:schemeClr val="accent1"/>
                          </a:lnRef>
                          <a:fillRef idx="3">
                            <a:schemeClr val="accent1"/>
                          </a:fillRef>
                          <a:effectRef idx="2">
                            <a:schemeClr val="accent1"/>
                          </a:effectRef>
                          <a:fontRef idx="minor">
                            <a:schemeClr val="lt1"/>
                          </a:fontRef>
                        </wps:style>
                        <wps:bodyPr rtlCol="0" anchor="ctr"/>
                      </wps:wsp>
                      <wps:wsp>
                        <wps:cNvPr id="455" name="ZoneTexte 19"/>
                        <wps:cNvSpPr txBox="1"/>
                        <wps:spPr>
                          <a:xfrm>
                            <a:off x="197097" y="4006628"/>
                            <a:ext cx="1443606" cy="616768"/>
                          </a:xfrm>
                          <a:prstGeom prst="rect">
                            <a:avLst/>
                          </a:prstGeom>
                          <a:noFill/>
                        </wps:spPr>
                        <wps:txbx>
                          <w:txbxContent>
                            <w:p w14:paraId="2EB01C5A" w14:textId="77777777" w:rsidR="00741BFF" w:rsidRDefault="00741BFF" w:rsidP="00C03588">
                              <w:pPr>
                                <w:rPr>
                                  <w:sz w:val="24"/>
                                  <w:szCs w:val="24"/>
                                </w:rPr>
                              </w:pPr>
                              <w:r>
                                <w:rPr>
                                  <w:rFonts w:cs="Arial"/>
                                  <w:b/>
                                  <w:bCs/>
                                  <w:i/>
                                  <w:iCs/>
                                  <w:color w:val="595959" w:themeColor="text1" w:themeTint="A6"/>
                                  <w:kern w:val="24"/>
                                </w:rPr>
                                <w:t xml:space="preserve">Sens de lecture </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6DFB2CD8" id="_x0000_s1110" style="position:absolute;left:0;text-align:left;margin-left:0;margin-top:287.55pt;width:117.3pt;height:32.2pt;z-index:251887673;mso-position-horizontal-relative:margin;mso-width-relative:margin;mso-height-relative:margin" coordorigin="1189,39345" coordsize="17686,6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s+lawMAACYJAAAOAAAAZHJzL2Uyb0RvYy54bWy8Vs1u1DAQviPxDlbuNMluNrsbdYv4ay/8&#10;VFCExM11nMSSYwfb292+DUeeA16MGTtxW9qC1Er0kCbjmfE334w/7+HzfS/JBTdWaLVJ8oMsIVwx&#10;XQvVbpLPZ8fPVgmxjqqaSq34JrnkNnl+9PTJ4W6o+Ex3WtbcEEiibLUbNknn3FClqWUd76k90ANX&#10;sNho01MHn6ZNa0N3kL2X6SzLynSnTT0Yzbi1YH0dFpMjn79pOHMfmsZyR+QmAWzOP41/nuMzPTqk&#10;VWvo0Ak2wqAPQNFToWDTmOo1dZRsjbiVqhfMaKsbd8B0n+qmEYz7GqCaPPujmhOjt4Ovpa127RBp&#10;Amr/4OnBadn7i1NDRL1JisU8IYr20CS/Lyf5EunZDW0FXidm+DScmtHQhi+seN+YHv9DLWTvib2M&#10;xPK9IwyMebFaL3Pgn8Faka3Wxcg866A9GJbnqzXsR2B9vp4Xi7wIrWHdmynHslyVcxgnzFGu4G+G&#10;LumEIEWgEddugHmyV5TZx1H2qaMD952wSEakrJgoO5a/fsDM/vxeERhZR1uYdlIsfBWIBYIifbay&#10;wOQd3N1HQqTxOgWLclHMb1JAq8FYd8J1T/AFStY9P5XUIXRa0Yu31gXKJj80w/TXx0JK0kgBJ1AB&#10;8oQY7b4I1/m6oTs+vrUQ7yMsGTQwmnmzP6v8lTTkgsIpO2+Dt9z273QdbOUiy8aOO6HcaCyj0VIX&#10;fXM0e2dobcztG93a67tjzschKArIEebsQQhyRPA4CLP5QyAAM7EZUihCUW0XRYBDLKOSw4nOQ2lO&#10;SP4RhDB0fuo2MikVPq2Wwg+A/0Dh/Xszl1Mzb/XnWiZYw+xwKKdp92/uUvKw80fegOzgyb9riChj&#10;cIp8AT4TeGNYA2MaA+f/Dhz9MZT7yyAGz/4dHCP8zlq5GNwLpc1dCWSE3AT/iYFQN1JwrutLkA/j&#10;5Csd7iSqWKfhSmLOeEFDL5AuVN7/omGLScO+wsk/A60B5V8jEtx/1C3i9i+1b9Zov0/B1stsHWQc&#10;prEsZ6swg1HBimJeZuUo4nkJguZrnkT8loIZGFzP9D3ipTRKF442og2o8M3tz/f+Wlv6DdA0Mr+D&#10;y36T2G9balDnYh+wy0q/2DrdCH9WrmLG7L4p/pqByxhsN27769/e/+rnzdFvAAAA//8DAFBLAwQU&#10;AAYACAAAACEAEvztSeAAAAAIAQAADwAAAGRycy9kb3ducmV2LnhtbEyPQUvDQBSE74L/YXmCN7tJ&#10;Y6LGvJRS1FMRbAXxts2+JqHZtyG7TdJ/73rS4zDDzDfFajadGGlwrWWEeBGBIK6sbrlG+Ny/3j2C&#10;cF6xVp1lQriQg1V5fVWoXNuJP2jc+VqEEna5Qmi873MpXdWQUW5he+LgHe1glA9yqKUe1BTKTSeX&#10;UZRJo1oOC43qadNQddqdDcLbpKZ1Er+M29Nxc/nep+9f25gQb2/m9TMIT7P/C8MvfkCHMjAd7Jm1&#10;Ex1COOIR0oc0BhHsZXKfgTggZMlTCrIs5P8D5Q8AAAD//wMAUEsBAi0AFAAGAAgAAAAhALaDOJL+&#10;AAAA4QEAABMAAAAAAAAAAAAAAAAAAAAAAFtDb250ZW50X1R5cGVzXS54bWxQSwECLQAUAAYACAAA&#10;ACEAOP0h/9YAAACUAQAACwAAAAAAAAAAAAAAAAAvAQAAX3JlbHMvLnJlbHNQSwECLQAUAAYACAAA&#10;ACEAgY7PpWsDAAAmCQAADgAAAAAAAAAAAAAAAAAuAgAAZHJzL2Uyb0RvYy54bWxQSwECLQAUAAYA&#10;CAAAACEAEvztSeAAAAAIAQAADwAAAAAAAAAAAAAAAADFBQAAZHJzL2Rvd25yZXYueG1sUEsFBgAA&#10;AAAEAAQA8wAAANIGAAAAAA==&#10;">
                <v:shape id="Flèche : pentagone 454" o:spid="_x0000_s1111" type="#_x0000_t15" style="position:absolute;left:1189;top:39345;width:17686;height:56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0cdxAAAANwAAAAPAAAAZHJzL2Rvd25yZXYueG1sRI9Ba8JA&#10;FITvBf/D8gRvdWNMRaKrSKngrTbqwdsj+0xCsm9Ddo3x33eFQo/DzHzDrLeDaURPnassK5hNIxDE&#10;udUVFwrOp/37EoTzyBoby6TgSQ62m9HbGlNtH/xDfeYLESDsUlRQet+mUrq8JINualvi4N1sZ9AH&#10;2RVSd/gIcNPIOIoW0mDFYaHElj5LyuvsbhRco1mdzOPv+609Pi/1qem/4qxXajIedisQngb/H/5r&#10;H7SC5COB15lwBOTmFwAA//8DAFBLAQItABQABgAIAAAAIQDb4fbL7gAAAIUBAAATAAAAAAAAAAAA&#10;AAAAAAAAAABbQ29udGVudF9UeXBlc10ueG1sUEsBAi0AFAAGAAgAAAAhAFr0LFu/AAAAFQEAAAsA&#10;AAAAAAAAAAAAAAAAHwEAAF9yZWxzLy5yZWxzUEsBAi0AFAAGAAgAAAAhACUfRx3EAAAA3AAAAA8A&#10;AAAAAAAAAAAAAAAABwIAAGRycy9kb3ducmV2LnhtbFBLBQYAAAAAAwADALcAAAD4AgAAAAA=&#10;" adj="18147" fillcolor="#a5a5a5 [2092]" strokecolor="#bfbfbf [2412]" strokeweight=".5pt">
                  <v:fill color2="#a5a5a5 [2092]" rotate="t" colors="0 #cacaca;.5 #ddd;1 #eee" focus="100%" type="gradient"/>
                </v:shape>
                <v:shape id="ZoneTexte 19" o:spid="_x0000_s1112" type="#_x0000_t202" style="position:absolute;left:1970;top:40066;width:14437;height:61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jDhwwAAANwAAAAPAAAAZHJzL2Rvd25yZXYueG1sRI9Pi8Iw&#10;FMTvC36H8ARva+JiF61GERfBk8v6D7w9mmdbbF5KE2399puFBY/DzPyGmS87W4kHNb50rGE0VCCI&#10;M2dKzjUcD5v3CQgfkA1WjknDkzwsF723OabGtfxDj33IRYSwT1FDEUKdSumzgiz6oauJo3d1jcUQ&#10;ZZNL02Ab4baSH0p9Soslx4UCa1oXlN32d6vhtLtezmP1nX/ZpG5dpyTbqdR60O9WMxCBuvAK/7e3&#10;RsM4SeDvTDwCcvELAAD//wMAUEsBAi0AFAAGAAgAAAAhANvh9svuAAAAhQEAABMAAAAAAAAAAAAA&#10;AAAAAAAAAFtDb250ZW50X1R5cGVzXS54bWxQSwECLQAUAAYACAAAACEAWvQsW78AAAAVAQAACwAA&#10;AAAAAAAAAAAAAAAfAQAAX3JlbHMvLnJlbHNQSwECLQAUAAYACAAAACEAgvow4cMAAADcAAAADwAA&#10;AAAAAAAAAAAAAAAHAgAAZHJzL2Rvd25yZXYueG1sUEsFBgAAAAADAAMAtwAAAPcCAAAAAA==&#10;" filled="f" stroked="f">
                  <v:textbox>
                    <w:txbxContent>
                      <w:p w14:paraId="2EB01C5A" w14:textId="77777777" w:rsidR="00741BFF" w:rsidRDefault="00741BFF" w:rsidP="00C03588">
                        <w:pPr>
                          <w:rPr>
                            <w:sz w:val="24"/>
                            <w:szCs w:val="24"/>
                          </w:rPr>
                        </w:pPr>
                        <w:r>
                          <w:rPr>
                            <w:rFonts w:cs="Arial"/>
                            <w:b/>
                            <w:bCs/>
                            <w:i/>
                            <w:iCs/>
                            <w:color w:val="595959" w:themeColor="text1" w:themeTint="A6"/>
                            <w:kern w:val="24"/>
                          </w:rPr>
                          <w:t xml:space="preserve">Sens de lecture </w:t>
                        </w:r>
                      </w:p>
                    </w:txbxContent>
                  </v:textbox>
                </v:shape>
                <w10:wrap anchorx="margin"/>
              </v:group>
            </w:pict>
          </mc:Fallback>
        </mc:AlternateContent>
      </w:r>
      <w:r>
        <w:rPr>
          <w:noProof/>
        </w:rPr>
        <mc:AlternateContent>
          <mc:Choice Requires="wps">
            <w:drawing>
              <wp:anchor distT="0" distB="0" distL="114300" distR="114300" simplePos="0" relativeHeight="251845689" behindDoc="0" locked="0" layoutInCell="1" allowOverlap="1" wp14:anchorId="5C1D70A1" wp14:editId="7F7229F7">
                <wp:simplePos x="0" y="0"/>
                <wp:positionH relativeFrom="margin">
                  <wp:posOffset>38100</wp:posOffset>
                </wp:positionH>
                <wp:positionV relativeFrom="paragraph">
                  <wp:posOffset>3179647</wp:posOffset>
                </wp:positionV>
                <wp:extent cx="1159510" cy="660400"/>
                <wp:effectExtent l="0" t="0" r="0" b="0"/>
                <wp:wrapNone/>
                <wp:docPr id="421" name="object 29"/>
                <wp:cNvGraphicFramePr/>
                <a:graphic xmlns:a="http://schemas.openxmlformats.org/drawingml/2006/main">
                  <a:graphicData uri="http://schemas.microsoft.com/office/word/2010/wordprocessingShape">
                    <wps:wsp>
                      <wps:cNvSpPr txBox="1"/>
                      <wps:spPr>
                        <a:xfrm>
                          <a:off x="0" y="0"/>
                          <a:ext cx="1159510" cy="660400"/>
                        </a:xfrm>
                        <a:prstGeom prst="rect">
                          <a:avLst/>
                        </a:prstGeom>
                      </wps:spPr>
                      <wps:txbx>
                        <w:txbxContent>
                          <w:p w14:paraId="4B74CB9D" w14:textId="57BB3C3E" w:rsidR="00741BFF" w:rsidRDefault="00741BFF" w:rsidP="0002537E">
                            <w:pPr>
                              <w:spacing w:before="17" w:line="244" w:lineRule="auto"/>
                              <w:ind w:left="14" w:right="86"/>
                            </w:pPr>
                            <w:r>
                              <w:rPr>
                                <w:rFonts w:cs="Arial"/>
                                <w:i/>
                                <w:iCs/>
                                <w:color w:val="000000" w:themeColor="text1"/>
                                <w:spacing w:val="-1"/>
                                <w:kern w:val="24"/>
                                <w:sz w:val="19"/>
                                <w:szCs w:val="19"/>
                                <w:u w:val="single" w:color="000000"/>
                              </w:rPr>
                              <w:t xml:space="preserve">Données </w:t>
                            </w:r>
                            <w:r>
                              <w:rPr>
                                <w:rFonts w:cs="Arial"/>
                                <w:i/>
                                <w:iCs/>
                                <w:color w:val="000000" w:themeColor="text1"/>
                                <w:kern w:val="24"/>
                                <w:sz w:val="19"/>
                                <w:szCs w:val="19"/>
                                <w:u w:val="single" w:color="000000"/>
                              </w:rPr>
                              <w:t xml:space="preserve">exprimées </w:t>
                            </w:r>
                            <w:r>
                              <w:rPr>
                                <w:rFonts w:cs="Arial"/>
                                <w:i/>
                                <w:iCs/>
                                <w:color w:val="000000" w:themeColor="text1"/>
                                <w:spacing w:val="-50"/>
                                <w:kern w:val="24"/>
                                <w:sz w:val="19"/>
                                <w:szCs w:val="19"/>
                              </w:rPr>
                              <w:t xml:space="preserve"> </w:t>
                            </w:r>
                            <w:r>
                              <w:rPr>
                                <w:rFonts w:cs="Arial"/>
                                <w:i/>
                                <w:iCs/>
                                <w:color w:val="000000" w:themeColor="text1"/>
                                <w:kern w:val="24"/>
                                <w:sz w:val="19"/>
                                <w:szCs w:val="19"/>
                                <w:u w:val="single" w:color="000000"/>
                              </w:rPr>
                              <w:t>(x1000T)</w:t>
                            </w:r>
                          </w:p>
                        </w:txbxContent>
                      </wps:txbx>
                      <wps:bodyPr vert="horz" wrap="square" lIns="0" tIns="10795" rIns="0" bIns="0" rtlCol="0">
                        <a:spAutoFit/>
                      </wps:bodyPr>
                    </wps:wsp>
                  </a:graphicData>
                </a:graphic>
              </wp:anchor>
            </w:drawing>
          </mc:Choice>
          <mc:Fallback>
            <w:pict>
              <v:shape w14:anchorId="5C1D70A1" id="object 29" o:spid="_x0000_s1113" type="#_x0000_t202" style="position:absolute;left:0;text-align:left;margin-left:3pt;margin-top:250.35pt;width:91.3pt;height:52pt;z-index:251845689;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II0sAEAAEADAAAOAAAAZHJzL2Uyb0RvYy54bWysUttu2zAMfR/QfxD0vtgOmnQx4hRdiw4D&#10;hm1A1w+QZSlWYYkapcTOvn6Ucumwvg17kSiSIs855Pp2sgPbKwwGXMOrWcmZchI647YNf/7x+P4D&#10;ZyEK14kBnGr4QQV+u7l6tx59rebQw9ApZFTEhXr0De9j9HVRBNkrK8IMvHIU1IBWRHrituhQjFTd&#10;DsW8LJfFCNh5BKlCIO/DMcg3ub7WSsZvWgcV2dBwwhbzifls01ls1qLeovC9kScY4h9QWGEcNb2U&#10;ehBRsB2aN6WskQgBdJxJsAVobaTKHIhNVf7F5qkXXmUuJE7wF5nC/ysrv+6/IzNdw6/nFWdOWBoS&#10;tC8kHJuvkjyjDzVlPXnKi9NHmGjMZ38gZ2I9abTpJj6M4iT04SKumiKT6VO1WC0qCkmKLZfldZnV&#10;L15/ewzxkwLLktFwJAxZU7H/EiIhodRzCj0SrmP/ZMWpnTKNmwvoFroDYablpGI94C/ORhp0w8PP&#10;nUDF2fDZkZJpK7JRlTerBWd49rZnA+NwD3l/Esfg73YRHk1GlFof+5wQ0Zgy0NNKpT34852zXhd/&#10;8xsAAP//AwBQSwMEFAAGAAgAAAAhAALV15vfAAAACQEAAA8AAABkcnMvZG93bnJldi54bWxMj1FL&#10;wzAUhd8F/0O4gm8uUbQtXdMhwvBhILg56+Ntk7XF5qYm2Vb/venTfLx8l3O+U6wmM7CTdr63JOF+&#10;IYBpaqzqqZXwsVvfZcB8QFI4WNISfrWHVXl9VWCu7Jne9WkbWhZDyOcooQthzDn3TacN+oUdNUV2&#10;sM5giKdruXJ4juFm4A9CJNxgT7Ghw1G/dLr53h6NBFdt1m+vP5v9LttXn2b8StKqRilvb6bnJbCg&#10;p3B5hlk/qkMZnWp7JOXZICGJS4KEJyFSYDPPsgRYPYPHFHhZ8P8Lyj8AAAD//wMAUEsBAi0AFAAG&#10;AAgAAAAhALaDOJL+AAAA4QEAABMAAAAAAAAAAAAAAAAAAAAAAFtDb250ZW50X1R5cGVzXS54bWxQ&#10;SwECLQAUAAYACAAAACEAOP0h/9YAAACUAQAACwAAAAAAAAAAAAAAAAAvAQAAX3JlbHMvLnJlbHNQ&#10;SwECLQAUAAYACAAAACEAxESCNLABAABAAwAADgAAAAAAAAAAAAAAAAAuAgAAZHJzL2Uyb0RvYy54&#10;bWxQSwECLQAUAAYACAAAACEAAtXXm98AAAAJAQAADwAAAAAAAAAAAAAAAAAKBAAAZHJzL2Rvd25y&#10;ZXYueG1sUEsFBgAAAAAEAAQA8wAAABYFAAAAAA==&#10;" filled="f" stroked="f">
                <v:textbox style="mso-fit-shape-to-text:t" inset="0,.85pt,0,0">
                  <w:txbxContent>
                    <w:p w14:paraId="4B74CB9D" w14:textId="57BB3C3E" w:rsidR="00741BFF" w:rsidRDefault="00741BFF" w:rsidP="0002537E">
                      <w:pPr>
                        <w:spacing w:before="17" w:line="244" w:lineRule="auto"/>
                        <w:ind w:left="14" w:right="86"/>
                      </w:pPr>
                      <w:r>
                        <w:rPr>
                          <w:rFonts w:cs="Arial"/>
                          <w:i/>
                          <w:iCs/>
                          <w:color w:val="000000" w:themeColor="text1"/>
                          <w:spacing w:val="-1"/>
                          <w:kern w:val="24"/>
                          <w:sz w:val="19"/>
                          <w:szCs w:val="19"/>
                          <w:u w:val="single" w:color="000000"/>
                        </w:rPr>
                        <w:t xml:space="preserve">Données </w:t>
                      </w:r>
                      <w:r>
                        <w:rPr>
                          <w:rFonts w:cs="Arial"/>
                          <w:i/>
                          <w:iCs/>
                          <w:color w:val="000000" w:themeColor="text1"/>
                          <w:kern w:val="24"/>
                          <w:sz w:val="19"/>
                          <w:szCs w:val="19"/>
                          <w:u w:val="single" w:color="000000"/>
                        </w:rPr>
                        <w:t xml:space="preserve">exprimées </w:t>
                      </w:r>
                      <w:r>
                        <w:rPr>
                          <w:rFonts w:cs="Arial"/>
                          <w:i/>
                          <w:iCs/>
                          <w:color w:val="000000" w:themeColor="text1"/>
                          <w:spacing w:val="-50"/>
                          <w:kern w:val="24"/>
                          <w:sz w:val="19"/>
                          <w:szCs w:val="19"/>
                        </w:rPr>
                        <w:t xml:space="preserve"> </w:t>
                      </w:r>
                      <w:r>
                        <w:rPr>
                          <w:rFonts w:cs="Arial"/>
                          <w:i/>
                          <w:iCs/>
                          <w:color w:val="000000" w:themeColor="text1"/>
                          <w:kern w:val="24"/>
                          <w:sz w:val="19"/>
                          <w:szCs w:val="19"/>
                          <w:u w:val="single" w:color="000000"/>
                        </w:rPr>
                        <w:t>(x1000T)</w:t>
                      </w:r>
                    </w:p>
                  </w:txbxContent>
                </v:textbox>
                <w10:wrap anchorx="margin"/>
              </v:shape>
            </w:pict>
          </mc:Fallback>
        </mc:AlternateContent>
      </w:r>
      <w:r w:rsidRPr="00AD7AE8">
        <w:rPr>
          <w:noProof/>
        </w:rPr>
        <w:drawing>
          <wp:inline distT="0" distB="0" distL="0" distR="0" wp14:anchorId="29EA964D" wp14:editId="0E9720BA">
            <wp:extent cx="9060288" cy="3581400"/>
            <wp:effectExtent l="0" t="0" r="7620" b="0"/>
            <wp:docPr id="107"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9061525" cy="3581889"/>
                    </a:xfrm>
                    <a:prstGeom prst="rect">
                      <a:avLst/>
                    </a:prstGeom>
                  </pic:spPr>
                </pic:pic>
              </a:graphicData>
            </a:graphic>
          </wp:inline>
        </w:drawing>
      </w:r>
      <w:r w:rsidR="00C03588">
        <w:rPr>
          <w:noProof/>
        </w:rPr>
        <mc:AlternateContent>
          <mc:Choice Requires="wps">
            <w:drawing>
              <wp:anchor distT="0" distB="0" distL="114300" distR="114300" simplePos="0" relativeHeight="251877433" behindDoc="0" locked="0" layoutInCell="1" allowOverlap="1" wp14:anchorId="5C27FEAE" wp14:editId="4CCE4237">
                <wp:simplePos x="0" y="0"/>
                <wp:positionH relativeFrom="column">
                  <wp:posOffset>1134110</wp:posOffset>
                </wp:positionH>
                <wp:positionV relativeFrom="paragraph">
                  <wp:posOffset>194945</wp:posOffset>
                </wp:positionV>
                <wp:extent cx="0" cy="5399405"/>
                <wp:effectExtent l="0" t="0" r="38100" b="29845"/>
                <wp:wrapNone/>
                <wp:docPr id="445" name="Connecteur droit 16"/>
                <wp:cNvGraphicFramePr/>
                <a:graphic xmlns:a="http://schemas.openxmlformats.org/drawingml/2006/main">
                  <a:graphicData uri="http://schemas.microsoft.com/office/word/2010/wordprocessingShape">
                    <wps:wsp>
                      <wps:cNvCnPr/>
                      <wps:spPr>
                        <a:xfrm>
                          <a:off x="0" y="0"/>
                          <a:ext cx="0" cy="539940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755FB12A" id="Connecteur droit 16" o:spid="_x0000_s1026" style="position:absolute;z-index:251877433;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9.3pt,15.35pt" to="89.3pt,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fV3MQIAANEEAAAOAAAAZHJzL2Uyb0RvYy54bWysVMmO2zAMvRfoPwi6N3bSJGiMOHNIOr10&#10;GUzbD1C02AK0QVLi5O9LSY7T5dIpepEpmo9+fCS9fbhohc7cB2lNi+ezGiNuqGXSdC3+/u3xzTuM&#10;QiSGEWUNb/GVB/ywe/1qO7iGL2xvFeMeQRITmsG1uI/RNVUVaM81CTPruIGXwnpNIlx9VzFPBsiu&#10;VbWo63U1WM+ct5SHAN5DeYl3Ob8QnMYvQgQekWoxcIv59Pk8prPabUnTeeJ6SUca5B9YaCINfHRK&#10;dSCRoJOXf6TSknobrIgzanVlhZCU5xqgmnn9WzVfe+J4rgXECW6SKfy/tPTz+ckjyVq8XK4wMkRD&#10;k/bWGFCOnzxi3sqI5usk1OBCA/F78+THW3BPPlV9EV6nJ9SDLlnc6yQuv0REi5OCd/V2s1nWq5Sv&#10;ugOdD/EDtxolo8VKmlQ3acj5Y4gl9BaS3MqgocWb1QIoUwJjIxSJYGoHhQTTYURUB/NIo89pglWS&#10;PUqlEjjPFt8rj84EpuLYzXOMOulPlhXfelXXeTaA4hSeCf+SKVE6kNAXEAOrzJO3J8OANWl6Tth7&#10;w1C8OtDVwArgxFxzhpHiwDBZOTISqf4mEhgpA1RSM4r82YpXxYsyz1xAP7PgpVrfHVOxZehhK2EN&#10;bqOfkwEgBQqQ54XYEZLQPO/aC/ETKH/fmjjhtTR2bF36E9y7FS/zcXREib9JUQRIWhwtu+YJzRrB&#10;3uTGjTueFvPne4bf/0S7HwAAAP//AwBQSwMEFAAGAAgAAAAhALOrYMPbAAAACgEAAA8AAABkcnMv&#10;ZG93bnJldi54bWxMj8FOwzAMhu9IvENkJG4sGZPaqjSdENNukybGuLuN11Y0TtVkbXl7Mi5w/O1P&#10;vz8X28X2YqLRd441rFcKBHHtTMeNhvPH/ikD4QOywd4xafgmD9vy/q7A3LiZ32k6hUbEEvY5amhD&#10;GHIpfd2SRb9yA3HcXdxoMcQ4NtKMOMdy28tnpRJpseN4ocWB3lqqv05Xq0Ed02SHx8MnHeZde+n2&#10;1SadKq0fH5bXFxCBlvAHw00/qkMZnSp3ZeNFH3OaJRHVsFEpiBvwO6g0ZNlagSwL+f+F8gcAAP//&#10;AwBQSwECLQAUAAYACAAAACEAtoM4kv4AAADhAQAAEwAAAAAAAAAAAAAAAAAAAAAAW0NvbnRlbnRf&#10;VHlwZXNdLnhtbFBLAQItABQABgAIAAAAIQA4/SH/1gAAAJQBAAALAAAAAAAAAAAAAAAAAC8BAABf&#10;cmVscy8ucmVsc1BLAQItABQABgAIAAAAIQAzWfV3MQIAANEEAAAOAAAAAAAAAAAAAAAAAC4CAABk&#10;cnMvZTJvRG9jLnhtbFBLAQItABQABgAIAAAAIQCzq2DD2wAAAAoBAAAPAAAAAAAAAAAAAAAAAIsE&#10;AABkcnMvZG93bnJldi54bWxQSwUGAAAAAAQABADzAAAAkwUAAAAA&#10;" strokecolor="#a5a5a5 [2092]">
                <v:stroke dashstyle="dash"/>
              </v:line>
            </w:pict>
          </mc:Fallback>
        </mc:AlternateContent>
      </w:r>
      <w:r w:rsidR="00C03588">
        <w:rPr>
          <w:noProof/>
        </w:rPr>
        <mc:AlternateContent>
          <mc:Choice Requires="wps">
            <w:drawing>
              <wp:anchor distT="0" distB="0" distL="114300" distR="114300" simplePos="0" relativeHeight="251875385" behindDoc="0" locked="0" layoutInCell="1" allowOverlap="1" wp14:anchorId="02893015" wp14:editId="62EAF997">
                <wp:simplePos x="0" y="0"/>
                <wp:positionH relativeFrom="column">
                  <wp:posOffset>2838450</wp:posOffset>
                </wp:positionH>
                <wp:positionV relativeFrom="paragraph">
                  <wp:posOffset>215265</wp:posOffset>
                </wp:positionV>
                <wp:extent cx="0" cy="5399405"/>
                <wp:effectExtent l="0" t="0" r="38100" b="29845"/>
                <wp:wrapNone/>
                <wp:docPr id="442" name="Connecteur droit 16"/>
                <wp:cNvGraphicFramePr/>
                <a:graphic xmlns:a="http://schemas.openxmlformats.org/drawingml/2006/main">
                  <a:graphicData uri="http://schemas.microsoft.com/office/word/2010/wordprocessingShape">
                    <wps:wsp>
                      <wps:cNvCnPr/>
                      <wps:spPr>
                        <a:xfrm>
                          <a:off x="0" y="0"/>
                          <a:ext cx="0" cy="5399405"/>
                        </a:xfrm>
                        <a:prstGeom prst="line">
                          <a:avLst/>
                        </a:prstGeom>
                        <a:ln w="9525" cap="flat" cmpd="sng" algn="ctr">
                          <a:solidFill>
                            <a:schemeClr val="bg1">
                              <a:lumMod val="65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V relativeFrom="margin">
                  <wp14:pctHeight>0</wp14:pctHeight>
                </wp14:sizeRelV>
              </wp:anchor>
            </w:drawing>
          </mc:Choice>
          <mc:Fallback>
            <w:pict>
              <v:line w14:anchorId="6C7FFE33" id="Connecteur droit 16" o:spid="_x0000_s1026" style="position:absolute;z-index:251875385;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23.5pt,16.95pt" to="223.5pt,4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9DQOgIAAOcEAAAOAAAAZHJzL2Uyb0RvYy54bWysVMmO2zAMvRfoPwi6N3bSJGiMOHNIOr10&#10;GUzbD1C02AK0QVK2vy9FO0mXS6foRZYovmfykdT64WwNOcqYtHctnU5qSqTjXmjXtfT7t8c37yhJ&#10;mTnBjHeypReZ6MPm9av1KTRy5ntvhIwESFxqTqGlfc6hqarEe2lZmvggHVwqHy3LcIxdJSI7Abs1&#10;1ayul9XJRxGi5zIlsO6GS7pBfqUkz1+USjIT01KILeMacd2XtdqsWdNFFnrNxzDYP0RhmXbw0xvV&#10;jmVGDlH/QWU1jz55lSfc28orpbnEHCCbaf1bNl97FiTmAuKkcJMp/T9a/vn4FIkWLZ3PZ5Q4ZqFI&#10;W+8cKCcPkYjodSbTJSYnz/ljyiBZdQqpQWgRGrdb9xThppxSeIpFi7OKtnwhS3JGyS83yYGK8MHI&#10;wbp4u1rN60UpR3UHhpjyB+ktKZuWGu2KGqxhxzEM1lxditk4cmrpajFbUMIZNJMyLMPWBkgvuY4S&#10;ZjroUp4j0iRvtHjUxhQwdpzcmkiODHpl303RxxzsJy8G23JR19gxEOLNHQP+hamEtGOpH0ACdkOX&#10;RX9wAvutl0y8d4LkSwC1HQwGLZFbKSgxEiIsO/TMTJu/8YSIjBvrMsiPhcgXIwdlnqWCKqPgQ7ax&#10;25dkh1GAWYXhuA4EkgGgOCqQ54XYEVLQEifwhfgbCP/vXb7hrXZ+LF15H+7Vyufp2Dpq8L9KMQhQ&#10;tNh7ccEOxd6FacLCjZNfxvXnM8Lv79PmBwAAAP//AwBQSwMEFAAGAAgAAAAhANOpxXLdAAAACgEA&#10;AA8AAABkcnMvZG93bnJldi54bWxMj0FPg0AQhe8m/ofNmHizi4UURIbG2PTWpLHqfWCnQGR3CbsF&#10;/Peu8WCPb97Lm+8V20X3YuLRddYgPK4iEGxqqzrTIHy87x8yEM6TUdRbwwjf7GBb3t4UlCs7mzee&#10;Tr4RocS4nBBa74dcSle3rMmt7MAmeGc7avJBjo1UI82hXPdyHUUbqakz4UNLA7+2XH+dLhohOqab&#10;HR0Pn3yYd+2521dxOlWI93fLyzMIz4v/D8MvfkCHMjBV9mKUEz1CkqRhi0eI4ycQIfB3qBCyLFmD&#10;LAt5PaH8AQAA//8DAFBLAQItABQABgAIAAAAIQC2gziS/gAAAOEBAAATAAAAAAAAAAAAAAAAAAAA&#10;AABbQ29udGVudF9UeXBlc10ueG1sUEsBAi0AFAAGAAgAAAAhADj9If/WAAAAlAEAAAsAAAAAAAAA&#10;AAAAAAAALwEAAF9yZWxzLy5yZWxzUEsBAi0AFAAGAAgAAAAhALmb0NA6AgAA5wQAAA4AAAAAAAAA&#10;AAAAAAAALgIAAGRycy9lMm9Eb2MueG1sUEsBAi0AFAAGAAgAAAAhANOpxXLdAAAACgEAAA8AAAAA&#10;AAAAAAAAAAAAlAQAAGRycy9kb3ducmV2LnhtbFBLBQYAAAAABAAEAPMAAACeBQAAAAA=&#10;" strokecolor="#a5a5a5 [2092]">
                <v:stroke dashstyle="dash"/>
              </v:line>
            </w:pict>
          </mc:Fallback>
        </mc:AlternateContent>
      </w:r>
      <w:r w:rsidR="00332A54">
        <w:rPr>
          <w:noProof/>
        </w:rPr>
        <mc:AlternateContent>
          <mc:Choice Requires="wps">
            <w:drawing>
              <wp:anchor distT="0" distB="0" distL="114300" distR="114300" simplePos="0" relativeHeight="251840569" behindDoc="0" locked="0" layoutInCell="1" allowOverlap="1" wp14:anchorId="2F294B4E" wp14:editId="272E1C14">
                <wp:simplePos x="0" y="0"/>
                <wp:positionH relativeFrom="column">
                  <wp:posOffset>8427720</wp:posOffset>
                </wp:positionH>
                <wp:positionV relativeFrom="paragraph">
                  <wp:posOffset>4558665</wp:posOffset>
                </wp:positionV>
                <wp:extent cx="544195" cy="212090"/>
                <wp:effectExtent l="0" t="0" r="0" b="0"/>
                <wp:wrapNone/>
                <wp:docPr id="408" name="object 9"/>
                <wp:cNvGraphicFramePr/>
                <a:graphic xmlns:a="http://schemas.openxmlformats.org/drawingml/2006/main">
                  <a:graphicData uri="http://schemas.microsoft.com/office/word/2010/wordprocessingShape">
                    <wps:wsp>
                      <wps:cNvSpPr txBox="1"/>
                      <wps:spPr>
                        <a:xfrm>
                          <a:off x="0" y="0"/>
                          <a:ext cx="544195" cy="212090"/>
                        </a:xfrm>
                        <a:prstGeom prst="rect">
                          <a:avLst/>
                        </a:prstGeom>
                      </wps:spPr>
                      <wps:txbx>
                        <w:txbxContent>
                          <w:p w14:paraId="4EB6D6CD" w14:textId="77777777" w:rsidR="00741BFF" w:rsidRDefault="00741BFF" w:rsidP="00332A54">
                            <w:pPr>
                              <w:spacing w:before="25"/>
                              <w:ind w:left="14"/>
                              <w:rPr>
                                <w:sz w:val="24"/>
                                <w:szCs w:val="24"/>
                              </w:rPr>
                            </w:pPr>
                            <w:r>
                              <w:rPr>
                                <w:rFonts w:ascii="Calibri" w:hAnsi="Calibri" w:cs="Calibri"/>
                                <w:color w:val="FFFFFF"/>
                                <w:spacing w:val="2"/>
                                <w:kern w:val="24"/>
                              </w:rPr>
                              <w:t>P3</w:t>
                            </w:r>
                            <w:r>
                              <w:rPr>
                                <w:rFonts w:ascii="Calibri" w:hAnsi="Calibri" w:cs="Calibri"/>
                                <w:color w:val="FFFFFF"/>
                                <w:spacing w:val="-8"/>
                                <w:kern w:val="24"/>
                              </w:rPr>
                              <w:t xml:space="preserve"> </w:t>
                            </w:r>
                            <w:r>
                              <w:rPr>
                                <w:rFonts w:ascii="Calibri" w:hAnsi="Calibri" w:cs="Calibri"/>
                                <w:color w:val="FFFFFF"/>
                                <w:spacing w:val="2"/>
                                <w:kern w:val="24"/>
                              </w:rPr>
                              <w:t>et</w:t>
                            </w:r>
                            <w:r>
                              <w:rPr>
                                <w:rFonts w:ascii="Calibri" w:hAnsi="Calibri" w:cs="Calibri"/>
                                <w:color w:val="FFFFFF"/>
                                <w:spacing w:val="-7"/>
                                <w:kern w:val="24"/>
                              </w:rPr>
                              <w:t xml:space="preserve"> </w:t>
                            </w:r>
                            <w:r>
                              <w:rPr>
                                <w:rFonts w:ascii="Calibri" w:hAnsi="Calibri" w:cs="Calibri"/>
                                <w:color w:val="FFFFFF"/>
                                <w:spacing w:val="2"/>
                                <w:kern w:val="24"/>
                              </w:rPr>
                              <w:t>P4</w:t>
                            </w:r>
                          </w:p>
                        </w:txbxContent>
                      </wps:txbx>
                      <wps:bodyPr vert="horz" wrap="square" lIns="0" tIns="15875" rIns="0" bIns="0" rtlCol="0">
                        <a:spAutoFit/>
                      </wps:bodyPr>
                    </wps:wsp>
                  </a:graphicData>
                </a:graphic>
              </wp:anchor>
            </w:drawing>
          </mc:Choice>
          <mc:Fallback>
            <w:pict>
              <v:shape w14:anchorId="2F294B4E" id="object 9" o:spid="_x0000_s1114" type="#_x0000_t202" style="position:absolute;left:0;text-align:left;margin-left:663.6pt;margin-top:358.95pt;width:42.85pt;height:16.7pt;z-index:25184056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juYrwEAAD4DAAAOAAAAZHJzL2Uyb0RvYy54bWysUtuO0zAQfUfaf7D8vk1StdBGTVewq0VI&#10;CFZa+ADHsRuj2OMdu03K1zP29oLgDfHijGcmx+ecmc3dZAd2UBgMuIZXs5Iz5SR0xu0a/v3b4+2K&#10;sxCF68QATjX8qAK/29682Yy+VnPoYegUMgJxoR59w/sYfV0UQfbKijADrxwVNaAVka64KzoUI6Hb&#10;oZiX5dtiBOw8glQhUPbhtci3GV9rJeNXrYOKbGg4cYv5xHy26Sy2G1HvUPjeyBMN8Q8srDCOHr1A&#10;PYgo2B7NX1DWSIQAOs4k2AK0NlJlDaSmKv9Q89wLr7IWMif4i03h/8HKL4cnZKZr+KKkUTlhaUjQ&#10;/iDj2Dq5M/pQU9Ozp7Y4fYCJpnzOB0om0ZNGm74kh1GdfD5evFVTZJKSy8WiWi85k1SaV/Nynb0v&#10;rj97DPGjAstS0HAkBtlRcfgcIhGh1nMLXRKt1+dTFKd2yiJWGTWlWuiORJlWk8B6wJ+cjTTmhoeX&#10;vUDF2fDJkY9pJ3JQLVfviB6es+05wDjcQ96eJDH49/sIjyYzur5zYkRDykRPC5W24Pd77rqu/fYX&#10;AAAA//8DAFBLAwQUAAYACAAAACEAPt7pPOAAAAANAQAADwAAAGRycy9kb3ducmV2LnhtbEyPQVPC&#10;MBCF7874HzLrjDdJG8RCbco4AnepXriFZm0KTdJpAlR+vctJb/t237z9XrEcbcfOOITWOwnpJAGG&#10;rva6dY2Er8/N0xxYiMpp1XmHEn4wwLK8vytUrv3FbfFcxYZRiAu5kmBi7HPOQ23QqjDxPTq6ffvB&#10;qkhyaLge1IXCbcdFkrxwq1pHH4zq8d1gfaxOVkI1ux4PrZjvjF6tO79ZrT8O10TKx4fx7RVYxDH+&#10;meGGT+hQEtPen5wOrCM9FZkgr4QszRbAbpbnVNC0p9UsnQIvC/6/RfkLAAD//wMAUEsBAi0AFAAG&#10;AAgAAAAhALaDOJL+AAAA4QEAABMAAAAAAAAAAAAAAAAAAAAAAFtDb250ZW50X1R5cGVzXS54bWxQ&#10;SwECLQAUAAYACAAAACEAOP0h/9YAAACUAQAACwAAAAAAAAAAAAAAAAAvAQAAX3JlbHMvLnJlbHNQ&#10;SwECLQAUAAYACAAAACEAUwY7mK8BAAA+AwAADgAAAAAAAAAAAAAAAAAuAgAAZHJzL2Uyb0RvYy54&#10;bWxQSwECLQAUAAYACAAAACEAPt7pPOAAAAANAQAADwAAAAAAAAAAAAAAAAAJBAAAZHJzL2Rvd25y&#10;ZXYueG1sUEsFBgAAAAAEAAQA8wAAABYFAAAAAA==&#10;" filled="f" stroked="f">
                <v:textbox style="mso-fit-shape-to-text:t" inset="0,1.25pt,0,0">
                  <w:txbxContent>
                    <w:p w14:paraId="4EB6D6CD" w14:textId="77777777" w:rsidR="00741BFF" w:rsidRDefault="00741BFF" w:rsidP="00332A54">
                      <w:pPr>
                        <w:spacing w:before="25"/>
                        <w:ind w:left="14"/>
                        <w:rPr>
                          <w:sz w:val="24"/>
                          <w:szCs w:val="24"/>
                        </w:rPr>
                      </w:pPr>
                      <w:r>
                        <w:rPr>
                          <w:rFonts w:ascii="Calibri" w:hAnsi="Calibri" w:cs="Calibri"/>
                          <w:color w:val="FFFFFF"/>
                          <w:spacing w:val="2"/>
                          <w:kern w:val="24"/>
                        </w:rPr>
                        <w:t>P3</w:t>
                      </w:r>
                      <w:r>
                        <w:rPr>
                          <w:rFonts w:ascii="Calibri" w:hAnsi="Calibri" w:cs="Calibri"/>
                          <w:color w:val="FFFFFF"/>
                          <w:spacing w:val="-8"/>
                          <w:kern w:val="24"/>
                        </w:rPr>
                        <w:t xml:space="preserve"> </w:t>
                      </w:r>
                      <w:r>
                        <w:rPr>
                          <w:rFonts w:ascii="Calibri" w:hAnsi="Calibri" w:cs="Calibri"/>
                          <w:color w:val="FFFFFF"/>
                          <w:spacing w:val="2"/>
                          <w:kern w:val="24"/>
                        </w:rPr>
                        <w:t>et</w:t>
                      </w:r>
                      <w:r>
                        <w:rPr>
                          <w:rFonts w:ascii="Calibri" w:hAnsi="Calibri" w:cs="Calibri"/>
                          <w:color w:val="FFFFFF"/>
                          <w:spacing w:val="-7"/>
                          <w:kern w:val="24"/>
                        </w:rPr>
                        <w:t xml:space="preserve"> </w:t>
                      </w:r>
                      <w:r>
                        <w:rPr>
                          <w:rFonts w:ascii="Calibri" w:hAnsi="Calibri" w:cs="Calibri"/>
                          <w:color w:val="FFFFFF"/>
                          <w:spacing w:val="2"/>
                          <w:kern w:val="24"/>
                        </w:rPr>
                        <w:t>P4</w:t>
                      </w:r>
                    </w:p>
                  </w:txbxContent>
                </v:textbox>
              </v:shape>
            </w:pict>
          </mc:Fallback>
        </mc:AlternateContent>
      </w:r>
      <w:r w:rsidR="00332A54">
        <w:rPr>
          <w:noProof/>
        </w:rPr>
        <mc:AlternateContent>
          <mc:Choice Requires="wps">
            <w:drawing>
              <wp:anchor distT="0" distB="0" distL="114300" distR="114300" simplePos="0" relativeHeight="251842617" behindDoc="0" locked="0" layoutInCell="1" allowOverlap="1" wp14:anchorId="5DEC57E4" wp14:editId="0CE97A8D">
                <wp:simplePos x="0" y="0"/>
                <wp:positionH relativeFrom="column">
                  <wp:posOffset>5036820</wp:posOffset>
                </wp:positionH>
                <wp:positionV relativeFrom="paragraph">
                  <wp:posOffset>4573905</wp:posOffset>
                </wp:positionV>
                <wp:extent cx="185420" cy="212090"/>
                <wp:effectExtent l="0" t="0" r="0" b="0"/>
                <wp:wrapNone/>
                <wp:docPr id="414" name="object 15"/>
                <wp:cNvGraphicFramePr/>
                <a:graphic xmlns:a="http://schemas.openxmlformats.org/drawingml/2006/main">
                  <a:graphicData uri="http://schemas.microsoft.com/office/word/2010/wordprocessingShape">
                    <wps:wsp>
                      <wps:cNvSpPr txBox="1"/>
                      <wps:spPr>
                        <a:xfrm>
                          <a:off x="0" y="0"/>
                          <a:ext cx="185420" cy="212090"/>
                        </a:xfrm>
                        <a:prstGeom prst="rect">
                          <a:avLst/>
                        </a:prstGeom>
                      </wps:spPr>
                      <wps:txbx>
                        <w:txbxContent>
                          <w:p w14:paraId="575B6763" w14:textId="77777777" w:rsidR="00741BFF" w:rsidRDefault="00741BFF" w:rsidP="00332A54">
                            <w:pPr>
                              <w:spacing w:before="25"/>
                              <w:ind w:left="14"/>
                              <w:rPr>
                                <w:sz w:val="24"/>
                                <w:szCs w:val="24"/>
                              </w:rPr>
                            </w:pPr>
                            <w:r>
                              <w:rPr>
                                <w:rFonts w:ascii="Calibri" w:hAnsi="Calibri" w:cs="Calibri"/>
                                <w:color w:val="FFFFFF"/>
                                <w:spacing w:val="2"/>
                                <w:kern w:val="24"/>
                              </w:rPr>
                              <w:t>P2</w:t>
                            </w:r>
                          </w:p>
                        </w:txbxContent>
                      </wps:txbx>
                      <wps:bodyPr vert="horz" wrap="square" lIns="0" tIns="15875" rIns="0" bIns="0" rtlCol="0">
                        <a:spAutoFit/>
                      </wps:bodyPr>
                    </wps:wsp>
                  </a:graphicData>
                </a:graphic>
              </wp:anchor>
            </w:drawing>
          </mc:Choice>
          <mc:Fallback>
            <w:pict>
              <v:shape w14:anchorId="5DEC57E4" id="object 15" o:spid="_x0000_s1115" type="#_x0000_t202" style="position:absolute;left:0;text-align:left;margin-left:396.6pt;margin-top:360.15pt;width:14.6pt;height:16.7pt;z-index:25184261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ohIrgEAAD8DAAAOAAAAZHJzL2Uyb0RvYy54bWysUtuOEzEMfUfiH6K807mohTLqdLUXLUJC&#10;gLTwAZlM0gmaxFkn7Uz5epz0sgjeEC+JYzv2Ocfe3Mx2ZAeFwYBrebUoOVNOQm/cruXfvz2+WXMW&#10;onC9GMGplh9V4Dfb1682k29UDQOMvUJGRVxoJt/yIUbfFEWQg7IiLMArR0ENaEWkJ+6KHsVE1e1Y&#10;1GX5tpgAe48gVQjkfTgF+TbX11rJ+EXroCIbW07YYj4xn106i+1GNDsUfjDyDEP8AworjKOm11IP&#10;Igq2R/NXKWskQgAdFxJsAVobqTIHYlOVf7B5GoRXmQuJE/xVpvD/ysrPh6/ITN/yZbXkzAlLQ4Lu&#10;BwnHqlWSZ/KhoawnT3lxvoOZxnzxB3Im1rNGm27iwyhOQh+v4qo5Mpk+rVfLmiKSQnVVl++z+MXL&#10;Z48hflBgWTJajgQhSyoOn0IkIJR6SaFHgnVqn6w4d3Nmsb5i66A/EmTaTSo2AP7kbKI5tzw87wUq&#10;zsaPjoRMS5GNarV+t+IML97uYmAc7yGvT6IY/O0+wqPJiFLrU58zIppSBnreqLQGv79z1sveb38B&#10;AAD//wMAUEsDBBQABgAIAAAAIQBRng5s3wAAAAsBAAAPAAAAZHJzL2Rvd25yZXYueG1sTI/LTsMw&#10;EEX3SPyDNUjsqINDaQhxKkTbPQ1s2LnxEKf1I4rdNvTrGVawm8fRnTPVcnKWnXCMffAS7mcZMPRt&#10;0L3vJHy8b+4KYDEpr5UNHiV8Y4RlfX1VqVKHs9/iqUkdoxAfSyXBpDSUnMfWoFNxFgb0tPsKo1OJ&#10;2rHjelRnCneWiyx75E71ni4YNeCrwfbQHJ2EZn457HtRfBq9WtuwWa3f9pdMytub6eUZWMIp/cHw&#10;q0/qUJPTLhy9jsxKWDzlglAqRJYDI6IQ4gHYjibzfAG8rvj/H+ofAAAA//8DAFBLAQItABQABgAI&#10;AAAAIQC2gziS/gAAAOEBAAATAAAAAAAAAAAAAAAAAAAAAABbQ29udGVudF9UeXBlc10ueG1sUEsB&#10;Ai0AFAAGAAgAAAAhADj9If/WAAAAlAEAAAsAAAAAAAAAAAAAAAAALwEAAF9yZWxzLy5yZWxzUEsB&#10;Ai0AFAAGAAgAAAAhABduiEiuAQAAPwMAAA4AAAAAAAAAAAAAAAAALgIAAGRycy9lMm9Eb2MueG1s&#10;UEsBAi0AFAAGAAgAAAAhAFGeDmzfAAAACwEAAA8AAAAAAAAAAAAAAAAACAQAAGRycy9kb3ducmV2&#10;LnhtbFBLBQYAAAAABAAEAPMAAAAUBQAAAAA=&#10;" filled="f" stroked="f">
                <v:textbox style="mso-fit-shape-to-text:t" inset="0,1.25pt,0,0">
                  <w:txbxContent>
                    <w:p w14:paraId="575B6763" w14:textId="77777777" w:rsidR="00741BFF" w:rsidRDefault="00741BFF" w:rsidP="00332A54">
                      <w:pPr>
                        <w:spacing w:before="25"/>
                        <w:ind w:left="14"/>
                        <w:rPr>
                          <w:sz w:val="24"/>
                          <w:szCs w:val="24"/>
                        </w:rPr>
                      </w:pPr>
                      <w:r>
                        <w:rPr>
                          <w:rFonts w:ascii="Calibri" w:hAnsi="Calibri" w:cs="Calibri"/>
                          <w:color w:val="FFFFFF"/>
                          <w:spacing w:val="2"/>
                          <w:kern w:val="24"/>
                        </w:rPr>
                        <w:t>P2</w:t>
                      </w:r>
                    </w:p>
                  </w:txbxContent>
                </v:textbox>
              </v:shape>
            </w:pict>
          </mc:Fallback>
        </mc:AlternateContent>
      </w:r>
      <w:r w:rsidR="00332A54">
        <w:rPr>
          <w:noProof/>
        </w:rPr>
        <mc:AlternateContent>
          <mc:Choice Requires="wps">
            <w:drawing>
              <wp:anchor distT="0" distB="0" distL="114300" distR="114300" simplePos="0" relativeHeight="251844665" behindDoc="0" locked="0" layoutInCell="1" allowOverlap="1" wp14:anchorId="3EF3BAF0" wp14:editId="67A2DDFF">
                <wp:simplePos x="0" y="0"/>
                <wp:positionH relativeFrom="column">
                  <wp:posOffset>1886585</wp:posOffset>
                </wp:positionH>
                <wp:positionV relativeFrom="paragraph">
                  <wp:posOffset>4573905</wp:posOffset>
                </wp:positionV>
                <wp:extent cx="185420" cy="212090"/>
                <wp:effectExtent l="0" t="0" r="0" b="0"/>
                <wp:wrapNone/>
                <wp:docPr id="420" name="object 21"/>
                <wp:cNvGraphicFramePr/>
                <a:graphic xmlns:a="http://schemas.openxmlformats.org/drawingml/2006/main">
                  <a:graphicData uri="http://schemas.microsoft.com/office/word/2010/wordprocessingShape">
                    <wps:wsp>
                      <wps:cNvSpPr txBox="1"/>
                      <wps:spPr>
                        <a:xfrm>
                          <a:off x="0" y="0"/>
                          <a:ext cx="185420" cy="212090"/>
                        </a:xfrm>
                        <a:prstGeom prst="rect">
                          <a:avLst/>
                        </a:prstGeom>
                      </wps:spPr>
                      <wps:txbx>
                        <w:txbxContent>
                          <w:p w14:paraId="689A36E6" w14:textId="77777777" w:rsidR="00741BFF" w:rsidRDefault="00741BFF" w:rsidP="00332A54">
                            <w:pPr>
                              <w:spacing w:before="25"/>
                              <w:ind w:left="14"/>
                              <w:rPr>
                                <w:sz w:val="24"/>
                                <w:szCs w:val="24"/>
                              </w:rPr>
                            </w:pPr>
                            <w:r>
                              <w:rPr>
                                <w:rFonts w:ascii="Calibri" w:hAnsi="Calibri" w:cs="Calibri"/>
                                <w:color w:val="FFFFFF"/>
                                <w:spacing w:val="2"/>
                                <w:kern w:val="24"/>
                              </w:rPr>
                              <w:t>P1</w:t>
                            </w:r>
                          </w:p>
                        </w:txbxContent>
                      </wps:txbx>
                      <wps:bodyPr vert="horz" wrap="square" lIns="0" tIns="15875" rIns="0" bIns="0" rtlCol="0">
                        <a:spAutoFit/>
                      </wps:bodyPr>
                    </wps:wsp>
                  </a:graphicData>
                </a:graphic>
              </wp:anchor>
            </w:drawing>
          </mc:Choice>
          <mc:Fallback>
            <w:pict>
              <v:shape w14:anchorId="3EF3BAF0" id="object 21" o:spid="_x0000_s1116" type="#_x0000_t202" style="position:absolute;left:0;text-align:left;margin-left:148.55pt;margin-top:360.15pt;width:14.6pt;height:16.7pt;z-index:25184466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LverQEAAD8DAAAOAAAAZHJzL2Uyb0RvYy54bWysUtuO0zAQfUfiHyy/01xEoURNV8BqERKC&#10;lZb9AMexG6PYY8Zuk/L1jN2mi9g3xItjz0zOnHNmtjezHdlRYTDgWl6tSs6Uk9Abt2/54/e7VxvO&#10;QhSuFyM41fKTCvxm9/LFdvKNqmGAsVfICMSFZvItH2L0TVEEOSgrwgq8cpTUgFZEeuK+6FFMhG7H&#10;oi7LN8UE2HsEqUKg6O05yXcZX2sl4zetg4psbDlxi/nEfHbpLHZb0exR+MHICw3xDyysMI6aXqFu&#10;RRTsgOYZlDUSIYCOKwm2AK2NVFkDqanKv9Q8DMKrrIXMCf5qU/h/sPLr8R6Z6Vv+uiZ/nLA0JOh+&#10;kHGsrpI9kw8NVT14qovzB5hpzEs8UDCpnjXa9CU9jPIEdLqaq+bIZPpps84tJKXqqi7fZfOLp589&#10;hvhJgWXp0nIkCtlScfwSIhGh0qWEHonWuX26xbmbs4pNvXDroD8RZdpNAhsAf3E20ZxbHn4eBCrO&#10;xs+OjExLkS/VevN2zRku0W65YBw/Ql6fJDH494cIdyYzSq3PfS6MaEqZ6GWj0hr8+c5VT3u/+w0A&#10;AP//AwBQSwMEFAAGAAgAAAAhANRuGnrfAAAACwEAAA8AAABkcnMvZG93bnJldi54bWxMjz1PwzAQ&#10;hnck/oN1SGzUrqM2JcSpEG13CCxsbmzitPE5it029NdzTLDdx6P3nivXk+/Z2Y6xC6hgPhPALDbB&#10;dNgq+HjfPayAxaTR6D6gVfBtI6yr25tSFyZc8M2e69QyCsFYaAUupaHgPDbOeh1nYbBIu68wep2o&#10;HVtuRn2hcN9zKcSSe90hXXB6sC/ONsf65BXUi+vx0MnVpzObbR92m+3r4SqUur+bnp+AJTulPxh+&#10;9UkdKnLahxOayHoF8jGfE6oglyIDRkQml1TsabLIcuBVyf//UP0AAAD//wMAUEsBAi0AFAAGAAgA&#10;AAAhALaDOJL+AAAA4QEAABMAAAAAAAAAAAAAAAAAAAAAAFtDb250ZW50X1R5cGVzXS54bWxQSwEC&#10;LQAUAAYACAAAACEAOP0h/9YAAACUAQAACwAAAAAAAAAAAAAAAAAvAQAAX3JlbHMvLnJlbHNQSwEC&#10;LQAUAAYACAAAACEABuy73q0BAAA/AwAADgAAAAAAAAAAAAAAAAAuAgAAZHJzL2Uyb0RvYy54bWxQ&#10;SwECLQAUAAYACAAAACEA1G4aet8AAAALAQAADwAAAAAAAAAAAAAAAAAHBAAAZHJzL2Rvd25yZXYu&#10;eG1sUEsFBgAAAAAEAAQA8wAAABMFAAAAAA==&#10;" filled="f" stroked="f">
                <v:textbox style="mso-fit-shape-to-text:t" inset="0,1.25pt,0,0">
                  <w:txbxContent>
                    <w:p w14:paraId="689A36E6" w14:textId="77777777" w:rsidR="00741BFF" w:rsidRDefault="00741BFF" w:rsidP="00332A54">
                      <w:pPr>
                        <w:spacing w:before="25"/>
                        <w:ind w:left="14"/>
                        <w:rPr>
                          <w:sz w:val="24"/>
                          <w:szCs w:val="24"/>
                        </w:rPr>
                      </w:pPr>
                      <w:r>
                        <w:rPr>
                          <w:rFonts w:ascii="Calibri" w:hAnsi="Calibri" w:cs="Calibri"/>
                          <w:color w:val="FFFFFF"/>
                          <w:spacing w:val="2"/>
                          <w:kern w:val="24"/>
                        </w:rPr>
                        <w:t>P1</w:t>
                      </w:r>
                    </w:p>
                  </w:txbxContent>
                </v:textbox>
              </v:shape>
            </w:pict>
          </mc:Fallback>
        </mc:AlternateContent>
      </w:r>
      <w:r w:rsidR="00332A54">
        <w:rPr>
          <w:noProof/>
        </w:rPr>
        <mc:AlternateContent>
          <mc:Choice Requires="wps">
            <w:drawing>
              <wp:anchor distT="0" distB="0" distL="114300" distR="114300" simplePos="0" relativeHeight="251852857" behindDoc="0" locked="0" layoutInCell="1" allowOverlap="1" wp14:anchorId="1436C85C" wp14:editId="27567410">
                <wp:simplePos x="0" y="0"/>
                <wp:positionH relativeFrom="column">
                  <wp:posOffset>10041255</wp:posOffset>
                </wp:positionH>
                <wp:positionV relativeFrom="paragraph">
                  <wp:posOffset>4464685</wp:posOffset>
                </wp:positionV>
                <wp:extent cx="490220" cy="159385"/>
                <wp:effectExtent l="0" t="0" r="0" b="0"/>
                <wp:wrapNone/>
                <wp:docPr id="428" name="object 36"/>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679D2169"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0</w:t>
                            </w:r>
                          </w:p>
                        </w:txbxContent>
                      </wps:txbx>
                      <wps:bodyPr vert="horz" wrap="square" lIns="0" tIns="15875" rIns="0" bIns="0" rtlCol="0">
                        <a:spAutoFit/>
                      </wps:bodyPr>
                    </wps:wsp>
                  </a:graphicData>
                </a:graphic>
              </wp:anchor>
            </w:drawing>
          </mc:Choice>
          <mc:Fallback>
            <w:pict>
              <v:shape w14:anchorId="1436C85C" id="object 36" o:spid="_x0000_s1117" type="#_x0000_t202" style="position:absolute;left:0;text-align:left;margin-left:790.65pt;margin-top:351.55pt;width:38.6pt;height:12.55pt;z-index:25185285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86OsAEAAD8DAAAOAAAAZHJzL2Uyb0RvYy54bWysUsGO0zAQvSPxD5bvNGm6XbpR0xWwWoSE&#10;AGnhAxzHboxijxm7TcrXM3abLoIb4uI4M+M3772Z7f1kB3ZUGAy4hi8XJWfKSeiM2zf829fHVxvO&#10;QhSuEwM41fCTCvx+9/LFdvS1qqCHoVPICMSFevQN72P0dVEE2SsrwgK8cpTUgFZE+sV90aEYCd0O&#10;RVWWt8UI2HkEqUKg6MM5yXcZX2sl42etg4psaDhxi/nEfLbpLHZbUe9R+N7ICw3xDyysMI6aXqEe&#10;RBTsgOYvKGskQgAdFxJsAVobqbIGUrMs/1Dz1AuvshYyJ/irTeH/wcpPxy/ITNfwm4pG5YSlIUH7&#10;nYxjq9tkz+hDTVVPnuri9BYmGvMcDxRMqieNNn1JD6M8GX26mqumyCQFb+7KqqKMpNRyfbfarBNK&#10;8fzYY4jvFViWLg1HopAtFcePIZ5L5xJ6l2id26dbnNopq9isZm4tdCeiTLtJYD3gT85GmnPDw4+D&#10;QMXZ8MGRkWkp8mW53rxec4ZztJ0vGId3kNcnSQz+zSHCo8mMUutznwsjmlLWdNmotAa//+eq573f&#10;/QIAAP//AwBQSwMEFAAGAAgAAAAhAHpPeCLgAAAADQEAAA8AAABkcnMvZG93bnJldi54bWxMj7Fu&#10;wjAQhvdKfQfrkLoVO0GhVhoHVQX2NnTpZmITB+xzFBtIefqaqR3/u0//fVetJmfJRY+h9yggmzMg&#10;GluveuwEfO22zxxIiBKVtB61gB8dYFU/PlSyVP6Kn/rSxI6kEgylFGBiHEpKQ2u0k2HuB41pd/Cj&#10;kzHFsaNqlNdU7izNGVtSJ3tMF4wc9LvR7ak5OwFNcTsd+5x/G7XeWL9dbz6ONybE02x6ewUS9RT/&#10;YLjrJ3Wok9Pen1EFYlMueLZIrIAXtsiA3JFlwQsg+zTKeQ60ruj/L+pfAAAA//8DAFBLAQItABQA&#10;BgAIAAAAIQC2gziS/gAAAOEBAAATAAAAAAAAAAAAAAAAAAAAAABbQ29udGVudF9UeXBlc10ueG1s&#10;UEsBAi0AFAAGAAgAAAAhADj9If/WAAAAlAEAAAsAAAAAAAAAAAAAAAAALwEAAF9yZWxzLy5yZWxz&#10;UEsBAi0AFAAGAAgAAAAhACj7zo6wAQAAPwMAAA4AAAAAAAAAAAAAAAAALgIAAGRycy9lMm9Eb2Mu&#10;eG1sUEsBAi0AFAAGAAgAAAAhAHpPeCLgAAAADQEAAA8AAAAAAAAAAAAAAAAACgQAAGRycy9kb3du&#10;cmV2LnhtbFBLBQYAAAAABAAEAPMAAAAXBQAAAAA=&#10;" filled="f" stroked="f">
                <v:textbox style="mso-fit-shape-to-text:t" inset="0,1.25pt,0,0">
                  <w:txbxContent>
                    <w:p w14:paraId="679D2169"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0</w:t>
                      </w:r>
                    </w:p>
                  </w:txbxContent>
                </v:textbox>
              </v:shape>
            </w:pict>
          </mc:Fallback>
        </mc:AlternateContent>
      </w:r>
    </w:p>
    <w:p w14:paraId="5C701C9B" w14:textId="50B5D7A9" w:rsidR="00C94D9A" w:rsidRDefault="00C94D9A" w:rsidP="0002537E">
      <w:pPr>
        <w:pStyle w:val="ValrieN2"/>
        <w:ind w:left="0"/>
      </w:pPr>
    </w:p>
    <w:p w14:paraId="10F14B4C" w14:textId="512C88B1" w:rsidR="00C94D9A" w:rsidRDefault="000D17AE" w:rsidP="00922E12">
      <w:pPr>
        <w:pStyle w:val="ValrieN2"/>
        <w:ind w:left="390"/>
      </w:pPr>
      <w:r>
        <w:rPr>
          <w:noProof/>
        </w:rPr>
        <mc:AlternateContent>
          <mc:Choice Requires="wps">
            <w:drawing>
              <wp:anchor distT="0" distB="0" distL="114300" distR="114300" simplePos="0" relativeHeight="251885625" behindDoc="0" locked="0" layoutInCell="1" allowOverlap="1" wp14:anchorId="7CE13E18" wp14:editId="0016B2A5">
                <wp:simplePos x="0" y="0"/>
                <wp:positionH relativeFrom="column">
                  <wp:posOffset>8713146</wp:posOffset>
                </wp:positionH>
                <wp:positionV relativeFrom="paragraph">
                  <wp:posOffset>114300</wp:posOffset>
                </wp:positionV>
                <wp:extent cx="490220" cy="159385"/>
                <wp:effectExtent l="0" t="0" r="0" b="0"/>
                <wp:wrapNone/>
                <wp:docPr id="449" name="object 36"/>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1CD7E237" w14:textId="77777777" w:rsidR="00741BFF" w:rsidRDefault="00741BFF" w:rsidP="00C03588">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0</w:t>
                            </w:r>
                          </w:p>
                        </w:txbxContent>
                      </wps:txbx>
                      <wps:bodyPr vert="horz" wrap="square" lIns="0" tIns="15875" rIns="0" bIns="0" rtlCol="0">
                        <a:spAutoFit/>
                      </wps:bodyPr>
                    </wps:wsp>
                  </a:graphicData>
                </a:graphic>
              </wp:anchor>
            </w:drawing>
          </mc:Choice>
          <mc:Fallback>
            <w:pict>
              <v:shape w14:anchorId="7CE13E18" id="_x0000_s1118" type="#_x0000_t202" style="position:absolute;left:0;text-align:left;margin-left:686.05pt;margin-top:9pt;width:38.6pt;height:12.55pt;z-index:25188562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jJysQEAAD8DAAAOAAAAZHJzL2Uyb0RvYy54bWysUsGO0zAQvSPxD5bvNGm3Xdqo6QpYLUJC&#10;gLTsBziO3RjFHjN2m5SvZ+w2XcTeEBfHmRm/ee/NbO9G27OjwmDA1Xw+KzlTTkJr3L7mT98f3qw5&#10;C1G4VvTgVM1PKvC73etX28FXagEd9K1CRiAuVIOveRejr4oiyE5ZEWbglaOkBrQi0i/uixbFQOi2&#10;LxZleVsMgK1HkCoEit6fk3yX8bVWMn7VOqjI+poTt5hPzGeTzmK3FdUehe+MvNAQ/8DCCuOo6RXq&#10;XkTBDmheQFkjEQLoOJNgC9DaSJU1kJp5+Zeax054lbWQOcFfbQr/D1Z+OX5DZtqaL5cbzpywNCRo&#10;fpBx7OY22TP4UFHVo6e6OL6HkcY8xQMFk+pRo01f0sMoT0afruaqMTJJweWmXCwoIyk1X21u1quE&#10;Ujw/9hjiRwWWpUvNkShkS8Xxc4jn0qmE3iVa5/bpFsdmzCrWy4lbA+2JKNNuElgH+IuzgeZc8/Dz&#10;IFBx1n9yZGRainyZr9ZvV5zhFG2mC8b+A+T1SRKDf3eI8GAyo9T63OfCiKaUNV02Kq3Bn/+56nnv&#10;d78BAAD//wMAUEsDBBQABgAIAAAAIQD3PGur3gAAAAsBAAAPAAAAZHJzL2Rvd25yZXYueG1sTI/L&#10;TsMwEEX3SPyDNUjsqPMCQohTIdruIbBh58YmTmuPo9htQ7+e6Qp2czVH91EvZ2fZUU9h8CggXSTA&#10;NHZeDdgL+PzY3JXAQpSopPWoBfzoAMvm+qqWlfInfNfHNvaMTDBUUoCJcaw4D53RToaFHzXS79tP&#10;TkaSU8/VJE9k7izPkuSBOzkgJRg56leju317cALa+/N+N2Tll1GrtfWb1fptd06EuL2ZX56BRT3H&#10;Pxgu9ak6NNRp6w+oArOk88csJZaukkZdiKJ4yoFtBRR5Cryp+f8NzS8AAAD//wMAUEsBAi0AFAAG&#10;AAgAAAAhALaDOJL+AAAA4QEAABMAAAAAAAAAAAAAAAAAAAAAAFtDb250ZW50X1R5cGVzXS54bWxQ&#10;SwECLQAUAAYACAAAACEAOP0h/9YAAACUAQAACwAAAAAAAAAAAAAAAAAvAQAAX3JlbHMvLnJlbHNQ&#10;SwECLQAUAAYACAAAACEAxh4ycrEBAAA/AwAADgAAAAAAAAAAAAAAAAAuAgAAZHJzL2Uyb0RvYy54&#10;bWxQSwECLQAUAAYACAAAACEA9zxrq94AAAALAQAADwAAAAAAAAAAAAAAAAALBAAAZHJzL2Rvd25y&#10;ZXYueG1sUEsFBgAAAAAEAAQA8wAAABYFAAAAAA==&#10;" filled="f" stroked="f">
                <v:textbox style="mso-fit-shape-to-text:t" inset="0,1.25pt,0,0">
                  <w:txbxContent>
                    <w:p w14:paraId="1CD7E237" w14:textId="77777777" w:rsidR="00741BFF" w:rsidRDefault="00741BFF" w:rsidP="00C03588">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0</w:t>
                      </w:r>
                    </w:p>
                  </w:txbxContent>
                </v:textbox>
              </v:shape>
            </w:pict>
          </mc:Fallback>
        </mc:AlternateContent>
      </w:r>
      <w:r>
        <w:rPr>
          <w:noProof/>
        </w:rPr>
        <mc:AlternateContent>
          <mc:Choice Requires="wps">
            <w:drawing>
              <wp:anchor distT="0" distB="0" distL="114300" distR="114300" simplePos="0" relativeHeight="251851833" behindDoc="0" locked="0" layoutInCell="1" allowOverlap="1" wp14:anchorId="1AB32913" wp14:editId="17BEE1DD">
                <wp:simplePos x="0" y="0"/>
                <wp:positionH relativeFrom="column">
                  <wp:posOffset>6470731</wp:posOffset>
                </wp:positionH>
                <wp:positionV relativeFrom="paragraph">
                  <wp:posOffset>85319</wp:posOffset>
                </wp:positionV>
                <wp:extent cx="490220" cy="159385"/>
                <wp:effectExtent l="0" t="0" r="0" b="0"/>
                <wp:wrapNone/>
                <wp:docPr id="427" name="object 35"/>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31460E3E"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2</w:t>
                            </w:r>
                            <w:r>
                              <w:rPr>
                                <w:rFonts w:cs="Arial"/>
                                <w:i/>
                                <w:iCs/>
                                <w:color w:val="000000" w:themeColor="text1"/>
                                <w:spacing w:val="2"/>
                                <w:kern w:val="24"/>
                                <w:sz w:val="17"/>
                                <w:szCs w:val="17"/>
                              </w:rPr>
                              <w:t>8</w:t>
                            </w:r>
                          </w:p>
                        </w:txbxContent>
                      </wps:txbx>
                      <wps:bodyPr vert="horz" wrap="square" lIns="0" tIns="15875" rIns="0" bIns="0" rtlCol="0">
                        <a:spAutoFit/>
                      </wps:bodyPr>
                    </wps:wsp>
                  </a:graphicData>
                </a:graphic>
              </wp:anchor>
            </w:drawing>
          </mc:Choice>
          <mc:Fallback>
            <w:pict>
              <v:shape w14:anchorId="1AB32913" id="object 35" o:spid="_x0000_s1119" type="#_x0000_t202" style="position:absolute;left:0;text-align:left;margin-left:509.5pt;margin-top:6.7pt;width:38.6pt;height:12.55pt;z-index:25185183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6pPOrwEAAD8DAAAOAAAAZHJzL2Uyb0RvYy54bWysUttu2zAMfR/QfxD03thxmzU14hRriw4D&#10;hm1Atw+QZSnWYIkapcTOvn6Uchu2t2EvMkXSR+cccvUw2YHtFAYDruHzWcmZchI64zYN//b15XrJ&#10;WYjCdWIApxq+V4E/rK/erEZfqwp6GDqFjEBcqEff8D5GXxdFkL2yIszAK0dFDWhFpCtuig7FSOh2&#10;KKqyfFuMgJ1HkCoEyj4finyd8bVWMn7WOqjIhoYTt5hPzGebzmK9EvUGhe+NPNIQ/8DCCuPo0TPU&#10;s4iCbdH8BWWNRAig40yCLUBrI1XWQGrm5R9qXnvhVdZC5gR/tin8P1j5afcFmekaflvdceaEpSFB&#10;+52MYzeLZM/oQ01dr5764vQIE435lA+UTKonjTZ9SQ+jOhm9P5urpsgkJW/vy6qiiqTSfHF/s8zo&#10;xeVnjyG+V2BZChqORCFbKnYfQyQi1HpqoUuidXg+RXFqp6zigJpSLXR7oky7SWA94E/ORppzw8OP&#10;rUDF2fDBkZFpKXIwXyzvFpzhKdueAozDE+T1SRKDf7eN8GIyo8s7R0Y0pUz0uFFpDX6/567L3q9/&#10;AQAA//8DAFBLAwQUAAYACAAAACEAbi6HAN8AAAALAQAADwAAAGRycy9kb3ducmV2LnhtbEyPzW7C&#10;MBCE75X6DtZW6q3YhIJCGgdVBe5t2ktvJt7GAf9EsYGUp+9yKrcd7Wjmm3I1OstOOMQueAnTiQCG&#10;vgm6862Er8/tUw4sJuW1ssGjhF+MsKru70pV6HD2H3iqU8soxMdCSTAp9QXnsTHoVJyEHj39fsLg&#10;VCI5tFwP6kzhzvJMiAV3qvPUYFSPbwabQ310Eur55bDvsvzb6PXGhu16876/CCkfH8bXF2AJx/Rv&#10;his+oUNFTLtw9DoyS1pMlzQm0TV7BnZ1iOUiA7aTMMvnwKuS326o/gAAAP//AwBQSwECLQAUAAYA&#10;CAAAACEAtoM4kv4AAADhAQAAEwAAAAAAAAAAAAAAAAAAAAAAW0NvbnRlbnRfVHlwZXNdLnhtbFBL&#10;AQItABQABgAIAAAAIQA4/SH/1gAAAJQBAAALAAAAAAAAAAAAAAAAAC8BAABfcmVscy8ucmVsc1BL&#10;AQItABQABgAIAAAAIQDs6pPOrwEAAD8DAAAOAAAAAAAAAAAAAAAAAC4CAABkcnMvZTJvRG9jLnht&#10;bFBLAQItABQABgAIAAAAIQBuLocA3wAAAAsBAAAPAAAAAAAAAAAAAAAAAAkEAABkcnMvZG93bnJl&#10;di54bWxQSwUGAAAAAAQABADzAAAAFQUAAAAA&#10;" filled="f" stroked="f">
                <v:textbox style="mso-fit-shape-to-text:t" inset="0,1.25pt,0,0">
                  <w:txbxContent>
                    <w:p w14:paraId="31460E3E"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2</w:t>
                      </w:r>
                      <w:r>
                        <w:rPr>
                          <w:rFonts w:cs="Arial"/>
                          <w:i/>
                          <w:iCs/>
                          <w:color w:val="000000" w:themeColor="text1"/>
                          <w:spacing w:val="2"/>
                          <w:kern w:val="24"/>
                          <w:sz w:val="17"/>
                          <w:szCs w:val="17"/>
                        </w:rPr>
                        <w:t>8</w:t>
                      </w:r>
                    </w:p>
                  </w:txbxContent>
                </v:textbox>
              </v:shape>
            </w:pict>
          </mc:Fallback>
        </mc:AlternateContent>
      </w:r>
      <w:r>
        <w:rPr>
          <w:noProof/>
        </w:rPr>
        <mc:AlternateContent>
          <mc:Choice Requires="wps">
            <w:drawing>
              <wp:anchor distT="0" distB="0" distL="114300" distR="114300" simplePos="0" relativeHeight="251850809" behindDoc="0" locked="0" layoutInCell="1" allowOverlap="1" wp14:anchorId="037366EB" wp14:editId="6EECE643">
                <wp:simplePos x="0" y="0"/>
                <wp:positionH relativeFrom="column">
                  <wp:posOffset>5830381</wp:posOffset>
                </wp:positionH>
                <wp:positionV relativeFrom="paragraph">
                  <wp:posOffset>106045</wp:posOffset>
                </wp:positionV>
                <wp:extent cx="490220" cy="159385"/>
                <wp:effectExtent l="0" t="0" r="0" b="0"/>
                <wp:wrapNone/>
                <wp:docPr id="426" name="object 34"/>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55D04078"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2</w:t>
                            </w:r>
                          </w:p>
                        </w:txbxContent>
                      </wps:txbx>
                      <wps:bodyPr vert="horz" wrap="square" lIns="0" tIns="15875" rIns="0" bIns="0" rtlCol="0">
                        <a:spAutoFit/>
                      </wps:bodyPr>
                    </wps:wsp>
                  </a:graphicData>
                </a:graphic>
              </wp:anchor>
            </w:drawing>
          </mc:Choice>
          <mc:Fallback>
            <w:pict>
              <v:shape w14:anchorId="037366EB" id="object 34" o:spid="_x0000_s1120" type="#_x0000_t202" style="position:absolute;left:0;text-align:left;margin-left:459.1pt;margin-top:8.35pt;width:38.6pt;height:12.55pt;z-index:251850809;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PIasQEAAD8DAAAOAAAAZHJzL2Uyb0RvYy54bWysUsFu2zAMvQ/oPwi6N3bcJEuNOEW3osOA&#10;YRvQ9QNkWYpdWKJGKbGzrx+lxOmw3oZdZJmkHt975OZuND07KPQd2IrPZzlnykpoOrur+POPx+s1&#10;Zz4I24gerKr4UXl+t716txlcqQpooW8UMgKxvhxcxdsQXJllXrbKCD8DpywlNaARgX5xlzUoBkI3&#10;fVbk+SobABuHIJX3FH04Jfk24WutZPimtVeB9RUnbiGdmM46ntl2I8odCtd28kxD/AMLIzpLTS9Q&#10;DyIItsfuDZTpJIIHHWYSTAZad1IlDaRmnv+l5qkVTiUtZI53F5v8/4OVXw/fkXVNxRfFijMrDA0J&#10;6hcyjt0soj2D8yVVPTmqC+MHGGnMU9xTMKoeNZr4JT2M8mT08WKuGgOTFFzc5kVBGUmp+fL2Zr2M&#10;KNnrY4c+fFJgWLxUHIlCslQcvvhwKp1K6F2kdWofb2Gsx6RivZq41dAciTLtJoG1gL84G2jOFfc/&#10;9wIVZ/1nS0bGpUiX+XL9fskZTtF6umDoP0JanyjRu/t9gMcuMYqtT33OjGhKSdN5o+Ia/Pmfql73&#10;fvsbAAD//wMAUEsDBBQABgAIAAAAIQD63gvN3gAAAAkBAAAPAAAAZHJzL2Rvd25yZXYueG1sTI/B&#10;TsMwEETvSPyDtZW4USdRW5I0ToVoe4fAhZsbL3Faex3Fbhv69ZgTHFfzNPO22kzWsAuOvnckIJ0n&#10;wJBap3rqBHy87x9zYD5IUtI4QgHf6GFT399VslTuSm94aULHYgn5UgrQIQwl577VaKWfuwEpZl9u&#10;tDLEc+y4GuU1llvDsyRZcSt7igtaDviisT01ZyugWd5Oxz7LP7Xa7ozbb3evx1sixMNsel4DCziF&#10;Pxh+9aM61NHp4M6kPDMCijTPIhqD1ROwCBTFcgHsIGCR5sDriv//oP4BAAD//wMAUEsBAi0AFAAG&#10;AAgAAAAhALaDOJL+AAAA4QEAABMAAAAAAAAAAAAAAAAAAAAAAFtDb250ZW50X1R5cGVzXS54bWxQ&#10;SwECLQAUAAYACAAAACEAOP0h/9YAAACUAQAACwAAAAAAAAAAAAAAAAAvAQAAX3JlbHMvLnJlbHNQ&#10;SwECLQAUAAYACAAAACEAiQDyGrEBAAA/AwAADgAAAAAAAAAAAAAAAAAuAgAAZHJzL2Uyb0RvYy54&#10;bWxQSwECLQAUAAYACAAAACEA+t4Lzd4AAAAJAQAADwAAAAAAAAAAAAAAAAALBAAAZHJzL2Rvd25y&#10;ZXYueG1sUEsFBgAAAAAEAAQA8wAAABYFAAAAAA==&#10;" filled="f" stroked="f">
                <v:textbox style="mso-fit-shape-to-text:t" inset="0,1.25pt,0,0">
                  <w:txbxContent>
                    <w:p w14:paraId="55D04078"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2</w:t>
                      </w:r>
                    </w:p>
                  </w:txbxContent>
                </v:textbox>
              </v:shape>
            </w:pict>
          </mc:Fallback>
        </mc:AlternateContent>
      </w:r>
      <w:r>
        <w:rPr>
          <w:noProof/>
        </w:rPr>
        <mc:AlternateContent>
          <mc:Choice Requires="wps">
            <w:drawing>
              <wp:anchor distT="0" distB="0" distL="114300" distR="114300" simplePos="0" relativeHeight="251847737" behindDoc="0" locked="0" layoutInCell="1" allowOverlap="1" wp14:anchorId="170E5E53" wp14:editId="283108B4">
                <wp:simplePos x="0" y="0"/>
                <wp:positionH relativeFrom="column">
                  <wp:posOffset>1134731</wp:posOffset>
                </wp:positionH>
                <wp:positionV relativeFrom="paragraph">
                  <wp:posOffset>107315</wp:posOffset>
                </wp:positionV>
                <wp:extent cx="490220" cy="159385"/>
                <wp:effectExtent l="0" t="0" r="0" b="0"/>
                <wp:wrapNone/>
                <wp:docPr id="423" name="object 31"/>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4D488E40"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4"/>
                                <w:kern w:val="24"/>
                                <w:sz w:val="17"/>
                                <w:szCs w:val="17"/>
                              </w:rPr>
                              <w:t>5</w:t>
                            </w:r>
                            <w:r>
                              <w:rPr>
                                <w:rFonts w:cs="Arial"/>
                                <w:i/>
                                <w:iCs/>
                                <w:color w:val="000000" w:themeColor="text1"/>
                                <w:spacing w:val="2"/>
                                <w:kern w:val="24"/>
                                <w:sz w:val="17"/>
                                <w:szCs w:val="17"/>
                              </w:rPr>
                              <w:t>54</w:t>
                            </w:r>
                          </w:p>
                        </w:txbxContent>
                      </wps:txbx>
                      <wps:bodyPr vert="horz" wrap="square" lIns="0" tIns="15875" rIns="0" bIns="0" rtlCol="0">
                        <a:spAutoFit/>
                      </wps:bodyPr>
                    </wps:wsp>
                  </a:graphicData>
                </a:graphic>
              </wp:anchor>
            </w:drawing>
          </mc:Choice>
          <mc:Fallback>
            <w:pict>
              <v:shape w14:anchorId="170E5E53" id="object 31" o:spid="_x0000_s1121" type="#_x0000_t202" style="position:absolute;left:0;text-align:left;margin-left:89.35pt;margin-top:8.45pt;width:38.6pt;height:12.55pt;z-index:25184773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zLPsgEAAD8DAAAOAAAAZHJzL2Uyb0RvYy54bWysUttu2zAMfR/QfxD03viSZk2NOMXaosOA&#10;YRvQ7QNkWYo9WKJGKbGzrx+lxOmwvQ17kWWSOjznkJv7yQzsoND3YGteLHLOlJXQ9nZX829fn6/X&#10;nPkgbCsGsKrmR+X5/fbqzWZ0lSqhg6FVyAjE+mp0Ne9CcFWWedkpI/wCnLKU1IBGBPrFXdaiGAnd&#10;DFmZ52+zEbB1CFJ5T9GnU5JvE77WSobPWnsV2FBz4hbSiels4pltN6LaoXBdL880xD+wMKK31PQC&#10;9SSCYHvs/4IyvUTwoMNCgslA616qpIHUFPkfal464VTSQuZ4d7HJ/z9Y+enwBVnf1vymXHJmhaEh&#10;QfOdjGPLItozOl9R1YujujA9wERjnuOeglH1pNHEL+lhlCejjxdz1RSYpODNXV6WlJGUKlZ3y/Uq&#10;omSvjx368F6BYfFScyQKyVJx+OjDqXQuoXeR1ql9vIWpmZKK9e3MrYH2SJRpNwmsA/zJ2Uhzrrn/&#10;sReoOBs+WDIyLkW6FKv17YoznKPNfMEwPEJanyjRu3f7AM99YhRbn/qcGdGUkqbzRsU1+P0/Vb3u&#10;/fYXAAAA//8DAFBLAwQUAAYACAAAACEA6CMvPt0AAAAJAQAADwAAAGRycy9kb3ducmV2LnhtbEyP&#10;wU7DMBBE70j8g7VI3KhNRNo0xKkQbe8QuHBzYzdOa6+j2G1Dv57lBLcZ7dPsTLWavGNnM8Y+oITH&#10;mQBmsA26x07C58f2oQAWk0KtXEAj4dtEWNW3N5Uqdbjguzk3qWMUgrFUEmxKQ8l5bK3xKs7CYJBu&#10;+zB6lciOHdejulC4dzwTYs696pE+WDWYV2vaY3PyEpr8ejz0WfFl9Xrjwna9eTtchZT3d9PLM7Bk&#10;pvQHw299qg41ddqFE+rIHPlFsSCUxHwJjIAsz0nsJDxlAnhd8f8L6h8AAAD//wMAUEsBAi0AFAAG&#10;AAgAAAAhALaDOJL+AAAA4QEAABMAAAAAAAAAAAAAAAAAAAAAAFtDb250ZW50X1R5cGVzXS54bWxQ&#10;SwECLQAUAAYACAAAACEAOP0h/9YAAACUAQAACwAAAAAAAAAAAAAAAAAvAQAAX3JlbHMvLnJlbHNQ&#10;SwECLQAUAAYACAAAACEAtssyz7IBAAA/AwAADgAAAAAAAAAAAAAAAAAuAgAAZHJzL2Uyb0RvYy54&#10;bWxQSwECLQAUAAYACAAAACEA6CMvPt0AAAAJAQAADwAAAAAAAAAAAAAAAAAMBAAAZHJzL2Rvd25y&#10;ZXYueG1sUEsFBgAAAAAEAAQA8wAAABYFAAAAAA==&#10;" filled="f" stroked="f">
                <v:textbox style="mso-fit-shape-to-text:t" inset="0,1.25pt,0,0">
                  <w:txbxContent>
                    <w:p w14:paraId="4D488E40"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4"/>
                          <w:kern w:val="24"/>
                          <w:sz w:val="17"/>
                          <w:szCs w:val="17"/>
                        </w:rPr>
                        <w:t>5</w:t>
                      </w:r>
                      <w:r>
                        <w:rPr>
                          <w:rFonts w:cs="Arial"/>
                          <w:i/>
                          <w:iCs/>
                          <w:color w:val="000000" w:themeColor="text1"/>
                          <w:spacing w:val="2"/>
                          <w:kern w:val="24"/>
                          <w:sz w:val="17"/>
                          <w:szCs w:val="17"/>
                        </w:rPr>
                        <w:t>54</w:t>
                      </w:r>
                    </w:p>
                  </w:txbxContent>
                </v:textbox>
              </v:shape>
            </w:pict>
          </mc:Fallback>
        </mc:AlternateContent>
      </w:r>
      <w:r w:rsidR="00C03588">
        <w:rPr>
          <w:noProof/>
        </w:rPr>
        <mc:AlternateContent>
          <mc:Choice Requires="wps">
            <w:drawing>
              <wp:anchor distT="0" distB="0" distL="114300" distR="114300" simplePos="0" relativeHeight="251849785" behindDoc="0" locked="0" layoutInCell="1" allowOverlap="1" wp14:anchorId="30B622B7" wp14:editId="269B4594">
                <wp:simplePos x="0" y="0"/>
                <wp:positionH relativeFrom="column">
                  <wp:posOffset>2867025</wp:posOffset>
                </wp:positionH>
                <wp:positionV relativeFrom="paragraph">
                  <wp:posOffset>83820</wp:posOffset>
                </wp:positionV>
                <wp:extent cx="490220" cy="159385"/>
                <wp:effectExtent l="0" t="0" r="0" b="0"/>
                <wp:wrapNone/>
                <wp:docPr id="425" name="object 33"/>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79128048"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8</w:t>
                            </w:r>
                          </w:p>
                        </w:txbxContent>
                      </wps:txbx>
                      <wps:bodyPr vert="horz" wrap="square" lIns="0" tIns="15875" rIns="0" bIns="0" rtlCol="0">
                        <a:spAutoFit/>
                      </wps:bodyPr>
                    </wps:wsp>
                  </a:graphicData>
                </a:graphic>
              </wp:anchor>
            </w:drawing>
          </mc:Choice>
          <mc:Fallback>
            <w:pict>
              <v:shape w14:anchorId="30B622B7" id="object 33" o:spid="_x0000_s1122" type="#_x0000_t202" style="position:absolute;left:0;text-align:left;margin-left:225.75pt;margin-top:6.6pt;width:38.6pt;height:12.55pt;z-index:25184978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syrsQEAAD8DAAAOAAAAZHJzL2Uyb0RvYy54bWysUsFu2zAMvQ/oPwi6L3acZnONOMW6osOA&#10;YS3Q7QNkWYo9WKJGKbGzrx+lxGmx3YZdZJmkHt975OZ2MgM7KPQ92JovFzlnykpoe7ur+fdvD29L&#10;znwQthUDWFXzo/L8dnv1ZjO6ShXQwdAqZARifTW6mnchuCrLvOyUEX4BTllKakAjAv3iLmtRjIRu&#10;hqzI83fZCNg6BKm8p+j9Kcm3CV9rJcOj1l4FNtScuIV0YjqbeGbbjah2KFzXyzMN8Q8sjOgtNb1A&#10;3Ysg2B77v6BMLxE86LCQYDLQupcqaSA1y/wPNc+dcCppIXO8u9jk/x+s/Hp4Qta3Nb8u1pxZYWhI&#10;0Pwg49hqFe0Zna+o6tlRXZjuYKIxz3FPwah60mjil/QwypPRx4u5agpMUvD6Ji8KykhKLdc3q3Id&#10;UbKXxw59+KTAsHipORKFZKk4fPHhVDqX0LtI69Q+3sLUTElFWc7cGmiPRJl2k8A6wF+cjTTnmvuf&#10;e4GKs+GzJSPjUqTLcl2+JwdwjjbzBcPwEdL6RInefdgHeOgTo9j61OfMiKaUNJ03Kq7B6/9U9bL3&#10;298AAAD//wMAUEsDBBQABgAIAAAAIQCn3GVp3QAAAAkBAAAPAAAAZHJzL2Rvd25yZXYueG1sTI/B&#10;TsMwEETvSPyDtUjcqNOEQBTiVIi2dwhcuLnxEqeN11HstqFfz3KC42qeZt5Wq9kN4oRT6D0pWC4S&#10;EEitNz11Cj7et3cFiBA1GT14QgXfGGBVX19VujT+TG94amInuIRCqRXYGMdSytBadDos/IjE2Zef&#10;nI58Tp00kz5zuRtkmiQP0umeeMHqEV8stofm6BQ0+eWw79Pi05r1ZvDb9eZ1f0mUur2Zn59ARJzj&#10;Hwy/+qwONTvt/JFMEIOC+3yZM8pBloJgIE+LRxA7BVmRgawr+f+D+gcAAP//AwBQSwECLQAUAAYA&#10;CAAAACEAtoM4kv4AAADhAQAAEwAAAAAAAAAAAAAAAAAAAAAAW0NvbnRlbnRfVHlwZXNdLnhtbFBL&#10;AQItABQABgAIAAAAIQA4/SH/1gAAAJQBAAALAAAAAAAAAAAAAAAAAC8BAABfcmVscy8ucmVsc1BL&#10;AQItABQABgAIAAAAIQAmssyrsQEAAD8DAAAOAAAAAAAAAAAAAAAAAC4CAABkcnMvZTJvRG9jLnht&#10;bFBLAQItABQABgAIAAAAIQCn3GVp3QAAAAkBAAAPAAAAAAAAAAAAAAAAAAsEAABkcnMvZG93bnJl&#10;di54bWxQSwUGAAAAAAQABADzAAAAFQUAAAAA&#10;" filled="f" stroked="f">
                <v:textbox style="mso-fit-shape-to-text:t" inset="0,1.25pt,0,0">
                  <w:txbxContent>
                    <w:p w14:paraId="79128048"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2"/>
                          <w:kern w:val="24"/>
                          <w:sz w:val="17"/>
                          <w:szCs w:val="17"/>
                        </w:rPr>
                        <w:t>4</w:t>
                      </w:r>
                      <w:r>
                        <w:rPr>
                          <w:rFonts w:cs="Arial"/>
                          <w:i/>
                          <w:iCs/>
                          <w:color w:val="000000" w:themeColor="text1"/>
                          <w:spacing w:val="4"/>
                          <w:kern w:val="24"/>
                          <w:sz w:val="17"/>
                          <w:szCs w:val="17"/>
                        </w:rPr>
                        <w:t>3</w:t>
                      </w:r>
                      <w:r>
                        <w:rPr>
                          <w:rFonts w:cs="Arial"/>
                          <w:i/>
                          <w:iCs/>
                          <w:color w:val="000000" w:themeColor="text1"/>
                          <w:spacing w:val="2"/>
                          <w:kern w:val="24"/>
                          <w:sz w:val="17"/>
                          <w:szCs w:val="17"/>
                        </w:rPr>
                        <w:t>8</w:t>
                      </w:r>
                    </w:p>
                  </w:txbxContent>
                </v:textbox>
              </v:shape>
            </w:pict>
          </mc:Fallback>
        </mc:AlternateContent>
      </w:r>
      <w:r w:rsidR="00C03588">
        <w:rPr>
          <w:noProof/>
        </w:rPr>
        <mc:AlternateContent>
          <mc:Choice Requires="wps">
            <w:drawing>
              <wp:anchor distT="0" distB="0" distL="114300" distR="114300" simplePos="0" relativeHeight="251848761" behindDoc="0" locked="0" layoutInCell="1" allowOverlap="1" wp14:anchorId="05350207" wp14:editId="5EAAD854">
                <wp:simplePos x="0" y="0"/>
                <wp:positionH relativeFrom="column">
                  <wp:posOffset>2336800</wp:posOffset>
                </wp:positionH>
                <wp:positionV relativeFrom="paragraph">
                  <wp:posOffset>90170</wp:posOffset>
                </wp:positionV>
                <wp:extent cx="490220" cy="159385"/>
                <wp:effectExtent l="0" t="0" r="0" b="0"/>
                <wp:wrapNone/>
                <wp:docPr id="424" name="object 32"/>
                <wp:cNvGraphicFramePr/>
                <a:graphic xmlns:a="http://schemas.openxmlformats.org/drawingml/2006/main">
                  <a:graphicData uri="http://schemas.microsoft.com/office/word/2010/wordprocessingShape">
                    <wps:wsp>
                      <wps:cNvSpPr txBox="1"/>
                      <wps:spPr>
                        <a:xfrm>
                          <a:off x="0" y="0"/>
                          <a:ext cx="490220" cy="159385"/>
                        </a:xfrm>
                        <a:prstGeom prst="rect">
                          <a:avLst/>
                        </a:prstGeom>
                      </wps:spPr>
                      <wps:txbx>
                        <w:txbxContent>
                          <w:p w14:paraId="73860FA1"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4"/>
                                <w:kern w:val="24"/>
                                <w:sz w:val="17"/>
                                <w:szCs w:val="17"/>
                              </w:rPr>
                              <w:t>5</w:t>
                            </w:r>
                            <w:r>
                              <w:rPr>
                                <w:rFonts w:cs="Arial"/>
                                <w:i/>
                                <w:iCs/>
                                <w:color w:val="000000" w:themeColor="text1"/>
                                <w:spacing w:val="2"/>
                                <w:kern w:val="24"/>
                                <w:sz w:val="17"/>
                                <w:szCs w:val="17"/>
                              </w:rPr>
                              <w:t>63</w:t>
                            </w:r>
                          </w:p>
                        </w:txbxContent>
                      </wps:txbx>
                      <wps:bodyPr vert="horz" wrap="square" lIns="0" tIns="15875" rIns="0" bIns="0" rtlCol="0">
                        <a:spAutoFit/>
                      </wps:bodyPr>
                    </wps:wsp>
                  </a:graphicData>
                </a:graphic>
              </wp:anchor>
            </w:drawing>
          </mc:Choice>
          <mc:Fallback>
            <w:pict>
              <v:shape w14:anchorId="05350207" id="object 32" o:spid="_x0000_s1123" type="#_x0000_t202" style="position:absolute;left:0;text-align:left;margin-left:184pt;margin-top:7.1pt;width:38.6pt;height:12.55pt;z-index:25184876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fwbsQEAAD8DAAAOAAAAZHJzL2Uyb0RvYy54bWysUsGO0zAQvSPxD5bvNGm2Xdqo6QpYLUJC&#10;LFLZD3AcpzGKPWbsNilfz9htumi5rbg4zsz4zXtvZnM3mp4dFXoNtuLzWc6ZshIabfcVf/rx8G7F&#10;mQ/CNqIHqyp+Up7fbd++2QyuVAV00DcKGYFYXw6u4l0IrswyLztlhJ+BU5aSLaARgX5xnzUoBkI3&#10;fVbk+W02ADYOQSrvKXp/TvJtwm9bJcNj23oVWF9x4hbSiems45ltN6Lco3Cdlhca4hUsjNCWml6h&#10;7kUQ7ID6HyijJYKHNswkmAzaVkuVNJCaef5Cza4TTiUtZI53V5v8/4OV347fkemm4otiwZkVhoYE&#10;9U8yjt0U0Z7B+ZKqdo7qwvgRRhrzFPcUjKrHFk38kh5GeTL6dDVXjYFJCi7WeVFQRlJqvlzfrJYR&#10;JXt+7NCHzwoMi5eKI1FIlorjVx/OpVMJvYu0zu3jLYz1mFSs1hO3GpoTUabdJLAO8DdnA8254v7X&#10;QaDirP9iyci4FOkyX67eLznDKVpPFwz9J0jrEyV69+EQ4EEnRrH1uc+FEU0pabpsVFyDv/9T1fPe&#10;b/8AAAD//wMAUEsDBBQABgAIAAAAIQDkFo3o3QAAAAkBAAAPAAAAZHJzL2Rvd25yZXYueG1sTI/B&#10;TsMwEETvSPyDtUjcqEOaViHEqRBt7xC4cHPjJU4br6PYbUO/nuVEbzt6o9mZcjW5XpxwDJ0nBY+z&#10;BARS401HrYLPj+1DDiJETUb3nlDBDwZYVbc3pS6MP9M7nurYCg6hUGgFNsahkDI0Fp0OMz8gMfv2&#10;o9OR5dhKM+ozh7tepkmylE53xB+sHvDVYnOoj05Bvbgc9l2af1mz3vR+u9687S+JUvd308sziIhT&#10;/DfDX32uDhV32vkjmSB6BfNlzlsigywFwYYsW/CxY/I0B1mV8npB9QsAAP//AwBQSwECLQAUAAYA&#10;CAAAACEAtoM4kv4AAADhAQAAEwAAAAAAAAAAAAAAAAAAAAAAW0NvbnRlbnRfVHlwZXNdLnhtbFBL&#10;AQItABQABgAIAAAAIQA4/SH/1gAAAJQBAAALAAAAAAAAAAAAAAAAAC8BAABfcmVscy8ucmVsc1BL&#10;AQItABQABgAIAAAAIQAstfwbsQEAAD8DAAAOAAAAAAAAAAAAAAAAAC4CAABkcnMvZTJvRG9jLnht&#10;bFBLAQItABQABgAIAAAAIQDkFo3o3QAAAAkBAAAPAAAAAAAAAAAAAAAAAAsEAABkcnMvZG93bnJl&#10;di54bWxQSwUGAAAAAAQABADzAAAAFQUAAAAA&#10;" filled="f" stroked="f">
                <v:textbox style="mso-fit-shape-to-text:t" inset="0,1.25pt,0,0">
                  <w:txbxContent>
                    <w:p w14:paraId="73860FA1" w14:textId="77777777" w:rsidR="00741BFF" w:rsidRDefault="00741BFF" w:rsidP="00332A54">
                      <w:pPr>
                        <w:spacing w:before="25"/>
                        <w:ind w:left="14"/>
                        <w:rPr>
                          <w:sz w:val="24"/>
                          <w:szCs w:val="24"/>
                        </w:rPr>
                      </w:pPr>
                      <w:r>
                        <w:rPr>
                          <w:rFonts w:cs="Arial"/>
                          <w:i/>
                          <w:iCs/>
                          <w:color w:val="000000" w:themeColor="text1"/>
                          <w:spacing w:val="4"/>
                          <w:kern w:val="24"/>
                          <w:sz w:val="17"/>
                          <w:szCs w:val="17"/>
                        </w:rPr>
                        <w:t>T</w:t>
                      </w:r>
                      <w:r>
                        <w:rPr>
                          <w:rFonts w:cs="Arial"/>
                          <w:i/>
                          <w:iCs/>
                          <w:color w:val="000000" w:themeColor="text1"/>
                          <w:spacing w:val="2"/>
                          <w:kern w:val="24"/>
                          <w:sz w:val="17"/>
                          <w:szCs w:val="17"/>
                        </w:rPr>
                        <w:t>o</w:t>
                      </w:r>
                      <w:r>
                        <w:rPr>
                          <w:rFonts w:cs="Arial"/>
                          <w:i/>
                          <w:iCs/>
                          <w:color w:val="000000" w:themeColor="text1"/>
                          <w:spacing w:val="-1"/>
                          <w:kern w:val="24"/>
                          <w:sz w:val="17"/>
                          <w:szCs w:val="17"/>
                        </w:rPr>
                        <w:t>t</w:t>
                      </w:r>
                      <w:r>
                        <w:rPr>
                          <w:rFonts w:cs="Arial"/>
                          <w:i/>
                          <w:iCs/>
                          <w:color w:val="000000" w:themeColor="text1"/>
                          <w:spacing w:val="2"/>
                          <w:kern w:val="24"/>
                          <w:sz w:val="17"/>
                          <w:szCs w:val="17"/>
                        </w:rPr>
                        <w:t>al</w:t>
                      </w:r>
                      <w:r>
                        <w:rPr>
                          <w:rFonts w:cs="Arial"/>
                          <w:i/>
                          <w:iCs/>
                          <w:color w:val="000000" w:themeColor="text1"/>
                          <w:spacing w:val="-3"/>
                          <w:kern w:val="24"/>
                          <w:sz w:val="17"/>
                          <w:szCs w:val="17"/>
                        </w:rPr>
                        <w:t xml:space="preserve"> </w:t>
                      </w:r>
                      <w:r>
                        <w:rPr>
                          <w:rFonts w:cs="Arial"/>
                          <w:i/>
                          <w:iCs/>
                          <w:color w:val="000000" w:themeColor="text1"/>
                          <w:spacing w:val="4"/>
                          <w:kern w:val="24"/>
                          <w:sz w:val="17"/>
                          <w:szCs w:val="17"/>
                        </w:rPr>
                        <w:t>5</w:t>
                      </w:r>
                      <w:r>
                        <w:rPr>
                          <w:rFonts w:cs="Arial"/>
                          <w:i/>
                          <w:iCs/>
                          <w:color w:val="000000" w:themeColor="text1"/>
                          <w:spacing w:val="2"/>
                          <w:kern w:val="24"/>
                          <w:sz w:val="17"/>
                          <w:szCs w:val="17"/>
                        </w:rPr>
                        <w:t>63</w:t>
                      </w:r>
                    </w:p>
                  </w:txbxContent>
                </v:textbox>
              </v:shape>
            </w:pict>
          </mc:Fallback>
        </mc:AlternateContent>
      </w:r>
    </w:p>
    <w:p w14:paraId="6C7AC242" w14:textId="0C7D9E49" w:rsidR="00C94D9A" w:rsidRDefault="00C03588" w:rsidP="00922E12">
      <w:pPr>
        <w:pStyle w:val="ValrieN2"/>
        <w:ind w:left="390"/>
      </w:pPr>
      <w:r>
        <w:rPr>
          <w:noProof/>
        </w:rPr>
        <mc:AlternateContent>
          <mc:Choice Requires="wps">
            <w:drawing>
              <wp:anchor distT="0" distB="0" distL="114300" distR="114300" simplePos="0" relativeHeight="251872313" behindDoc="0" locked="0" layoutInCell="1" allowOverlap="1" wp14:anchorId="369B427C" wp14:editId="133262E8">
                <wp:simplePos x="0" y="0"/>
                <wp:positionH relativeFrom="margin">
                  <wp:posOffset>7296785</wp:posOffset>
                </wp:positionH>
                <wp:positionV relativeFrom="paragraph">
                  <wp:posOffset>12065</wp:posOffset>
                </wp:positionV>
                <wp:extent cx="1314450" cy="666750"/>
                <wp:effectExtent l="0" t="0" r="19050" b="19050"/>
                <wp:wrapNone/>
                <wp:docPr id="430" name="Rectangle : coins arrondis 9"/>
                <wp:cNvGraphicFramePr/>
                <a:graphic xmlns:a="http://schemas.openxmlformats.org/drawingml/2006/main">
                  <a:graphicData uri="http://schemas.microsoft.com/office/word/2010/wordprocessingShape">
                    <wps:wsp>
                      <wps:cNvSpPr/>
                      <wps:spPr>
                        <a:xfrm>
                          <a:off x="0" y="0"/>
                          <a:ext cx="1314450" cy="666750"/>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205CE8A6" w14:textId="77777777" w:rsidR="00741BFF" w:rsidRPr="00A50150" w:rsidRDefault="00741BFF" w:rsidP="000F3090">
                            <w:pPr>
                              <w:jc w:val="center"/>
                              <w:rPr>
                                <w:sz w:val="20"/>
                                <w:szCs w:val="20"/>
                              </w:rPr>
                            </w:pPr>
                            <w:r w:rsidRPr="00A06B55">
                              <w:rPr>
                                <w:rFonts w:asciiTheme="minorHAnsi" w:hAnsi="Calibri"/>
                                <w:color w:val="FFFFFF" w:themeColor="light1"/>
                                <w:kern w:val="24"/>
                                <w:sz w:val="20"/>
                                <w:szCs w:val="20"/>
                              </w:rPr>
                              <w:t xml:space="preserve"> </w:t>
                            </w:r>
                            <w:r w:rsidRPr="00A50150">
                              <w:rPr>
                                <w:rFonts w:cs="Arial"/>
                                <w:color w:val="FFFFFF" w:themeColor="light1"/>
                                <w:kern w:val="24"/>
                                <w:sz w:val="20"/>
                                <w:szCs w:val="20"/>
                              </w:rPr>
                              <w:t xml:space="preserve">Tranchage, Assemblage, Conditionnement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369B427C" id="_x0000_s1124" style="position:absolute;left:0;text-align:left;margin-left:574.55pt;margin-top:.95pt;width:103.5pt;height:52.5pt;z-index:25187231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sqqOAIAABQFAAAOAAAAZHJzL2Uyb0RvYy54bWysVEtu2zAQ3RfoHQjua0m24yaC5aBIkG76&#10;CZL2ADRFWgRIjkrSlnybnqUn65CS5X6CBgi6kcjhvHkzb4ZcX/dGk4NwXoGtaDHLKRGWQ63srqJf&#10;v9y9uaTEB2ZrpsGKih6Fp9eb16/WXVuKOTSga+EIBrG+7NqKNiG0ZZZ53gjD/AxaYfFQgjMs4Nbt&#10;stqxDqMbnc3zfJV14OrWARfeo/V2OKSbFF9KwcNnKb0IRFcUcwvp69J3G7/ZZs3KnWNto/iYBntB&#10;FoYpi6RTqFsWGNk79Vcoo7gDDzLMOJgMpFRcpBqwmiL/o5rHhrUi1YLi+HaSyf+/sPzT4d4RVVd0&#10;uUB9LDPYpAeUjdmdFj++l4SDsp4w58DWypOrKFnX+hKRj+29G3cel7H+XjoT/1gZ6ZPMx0lm0QfC&#10;0VgsiuXyAtk4nq1Wq7e4xjDZGd06H94LMCQuKupgb+uYVJKYHT74MPif/CKjB63qO6V12sT5ETfa&#10;kQPDzoe+SFC9Nx+hHmyrizwf+49mnJLBvDiZMZ00hTFKSu43Am1fwomVPsU5P5n/xYlnkTSL2g9q&#10;p1U4ahFT0fZBSGxk1DfVOiU/1MU4FzYUo9DJO8IkCjYBF88DR/8IFel6TeD58+AJkZjBhglslAX3&#10;VAA9pSwH/5MCQ91RgtBv+zTBV6md0bSF+ohj3eG9rqj/tmdOUOKCvoHhGWCWN4CvAA8DqYV3+wBS&#10;pbE6Bxi58OqlARifiXi3f90nr/NjtvkJAAD//wMAUEsDBBQABgAIAAAAIQBRxzf+3gAAAAsBAAAP&#10;AAAAZHJzL2Rvd25yZXYueG1sTI9BT8MwDIXvSPyHyEjcWFrYKlqaTgMJidug7MAxa0wbaJyqybrC&#10;r593gtt79tPz53I9u15MOAbrSUG6SEAgNd5YahXs3p9v7kGEqMno3hMq+MEA6+ryotSF8Ud6w6mO&#10;reASCoVW0MU4FFKGpkOnw8IPSLz79KPTke3YSjPqI5e7Xt4mSSadtsQXOj3gU4fNd31wCpqXOdv9&#10;fqyssZuv5JG2r9OybpW6vpo3DyAizvEvDGd8RoeKmfb+QCaInn26zFPOsspBnAN3q4wHe1ZJloOs&#10;Svn/h+oEAAD//wMAUEsBAi0AFAAGAAgAAAAhALaDOJL+AAAA4QEAABMAAAAAAAAAAAAAAAAAAAAA&#10;AFtDb250ZW50X1R5cGVzXS54bWxQSwECLQAUAAYACAAAACEAOP0h/9YAAACUAQAACwAAAAAAAAAA&#10;AAAAAAAvAQAAX3JlbHMvLnJlbHNQSwECLQAUAAYACAAAACEAIB7KqjgCAAAUBQAADgAAAAAAAAAA&#10;AAAAAAAuAgAAZHJzL2Uyb0RvYy54bWxQSwECLQAUAAYACAAAACEAUcc3/t4AAAALAQAADwAAAAAA&#10;AAAAAAAAAACSBAAAZHJzL2Rvd25yZXYueG1sUEsFBgAAAAAEAAQA8wAAAJ0FAAAAAA==&#10;" fillcolor="#5a5a5a [2109]" strokecolor="#404040 [2429]" strokeweight=".5pt">
                <v:stroke joinstyle="miter"/>
                <v:textbox>
                  <w:txbxContent>
                    <w:p w14:paraId="205CE8A6" w14:textId="77777777" w:rsidR="00741BFF" w:rsidRPr="00A50150" w:rsidRDefault="00741BFF" w:rsidP="000F3090">
                      <w:pPr>
                        <w:jc w:val="center"/>
                        <w:rPr>
                          <w:sz w:val="20"/>
                          <w:szCs w:val="20"/>
                        </w:rPr>
                      </w:pPr>
                      <w:r w:rsidRPr="00A06B55">
                        <w:rPr>
                          <w:rFonts w:asciiTheme="minorHAnsi" w:hAnsi="Calibri"/>
                          <w:color w:val="FFFFFF" w:themeColor="light1"/>
                          <w:kern w:val="24"/>
                          <w:sz w:val="20"/>
                          <w:szCs w:val="20"/>
                        </w:rPr>
                        <w:t xml:space="preserve"> </w:t>
                      </w:r>
                      <w:r w:rsidRPr="00A50150">
                        <w:rPr>
                          <w:rFonts w:cs="Arial"/>
                          <w:color w:val="FFFFFF" w:themeColor="light1"/>
                          <w:kern w:val="24"/>
                          <w:sz w:val="20"/>
                          <w:szCs w:val="20"/>
                        </w:rPr>
                        <w:t xml:space="preserve">Tranchage, Assemblage, Conditionnement </w:t>
                      </w:r>
                    </w:p>
                  </w:txbxContent>
                </v:textbox>
                <w10:wrap anchorx="margin"/>
              </v:roundrect>
            </w:pict>
          </mc:Fallback>
        </mc:AlternateContent>
      </w:r>
      <w:r>
        <w:rPr>
          <w:noProof/>
        </w:rPr>
        <mc:AlternateContent>
          <mc:Choice Requires="wps">
            <w:drawing>
              <wp:anchor distT="0" distB="0" distL="114300" distR="114300" simplePos="0" relativeHeight="251869241" behindDoc="0" locked="0" layoutInCell="1" allowOverlap="1" wp14:anchorId="6711BB7F" wp14:editId="5EC8D0F4">
                <wp:simplePos x="0" y="0"/>
                <wp:positionH relativeFrom="column">
                  <wp:posOffset>1448435</wp:posOffset>
                </wp:positionH>
                <wp:positionV relativeFrom="paragraph">
                  <wp:posOffset>26670</wp:posOffset>
                </wp:positionV>
                <wp:extent cx="1095375" cy="608965"/>
                <wp:effectExtent l="0" t="0" r="28575" b="19685"/>
                <wp:wrapNone/>
                <wp:docPr id="432" name="Rectangle : coins arrondis 13"/>
                <wp:cNvGraphicFramePr/>
                <a:graphic xmlns:a="http://schemas.openxmlformats.org/drawingml/2006/main">
                  <a:graphicData uri="http://schemas.microsoft.com/office/word/2010/wordprocessingShape">
                    <wps:wsp>
                      <wps:cNvSpPr/>
                      <wps:spPr>
                        <a:xfrm>
                          <a:off x="0" y="0"/>
                          <a:ext cx="1095375" cy="60896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61E22CAA" w14:textId="77777777" w:rsidR="00741BFF" w:rsidRPr="00A50150" w:rsidRDefault="00741BFF" w:rsidP="000F3090">
                            <w:pPr>
                              <w:jc w:val="center"/>
                              <w:rPr>
                                <w:sz w:val="18"/>
                                <w:szCs w:val="18"/>
                              </w:rPr>
                            </w:pPr>
                            <w:r w:rsidRPr="00A50150">
                              <w:rPr>
                                <w:rFonts w:cs="Arial"/>
                                <w:color w:val="FFFFFF" w:themeColor="light1"/>
                                <w:kern w:val="24"/>
                                <w:sz w:val="18"/>
                                <w:szCs w:val="18"/>
                              </w:rPr>
                              <w:t xml:space="preserve">Découpe, Désossage, Découennage </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6711BB7F" id="_x0000_s1125" style="position:absolute;left:0;text-align:left;margin-left:114.05pt;margin-top:2.1pt;width:86.25pt;height:47.95pt;z-index:251869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2bbPAIAABUFAAAOAAAAZHJzL2Uyb0RvYy54bWysVEtu2zAQ3RfoHQjuG0l27cSC5aBIkG76&#10;CZL2ADRFWgRIjkrSlnybnqUn65CS5fSDBgi64Wc4783M45Dr695ochDOK7AVLS5ySoTlUCu7q+jX&#10;L3dvrijxgdmaabCiokfh6fXm9at115ZiBg3oWjiCJNaXXVvRJoS2zDLPG2GYv4BWWDyU4AwLuHW7&#10;rHasQ3ajs1meL7MOXN064MJ7tN4Oh3ST+KUUPHyW0otAdEUxt5BGl8ZtHLPNmpU7x9pG8TEN9oIs&#10;DFMWg05UtywwsnfqDyqjuAMPMlxwMBlIqbhINWA1Rf5bNY8Na0WqBcXx7SST/3+0/NPh3hFVV/Tt&#10;fEaJZQYv6QFlY3anxY/vJeGgrCfMObC18qSYR8261pcIfWzv3bjzuIwC9NKZOGNppE86HyedRR8I&#10;R2ORrxbzywUlHM+W+dVquYik2RndOh/eCzAkLirqYG/rmFXSmB0++DD4n/xiRA9a1XdK67SJDSRu&#10;tCMHhlcf+iJB9d58hHqwLRd5PjYAmrFNBvP8ZMZ0UhtGlpTcLwG0fUnMyxM5K5/GnJ3M/4qJZzFo&#10;FrUf1E6rcNQipqLtg5B4k1HfVOuU/FAX41zYUIxCJ+8IkyjYBJw/Dxz9I1Sk9zWBZ8+DJ0SKDDZM&#10;YKMsuL8R6CllOfifFBjqjhKEftunFl6l6qJpC/UR+7rDh11R/23PnKDEBX0Dwz/ALG8AvwEehqAW&#10;3u0DSJXa6kwwxsK3lxpg/Cfi4366T17n32zzEwAA//8DAFBLAwQUAAYACAAAACEAz8yPs90AAAAJ&#10;AQAADwAAAGRycy9kb3ducmV2LnhtbEyPwU7DMBBE70j8g7VI3KidKFRViFMVJCRuQOiBoxsviSFe&#10;R7GbBr6e5USPq3maeVttFz+IGafoAmnIVgoEUhuso07D/u3xZgMiJkPWDIFQwzdG2NaXF5UpbTjR&#10;K85N6gSXUCyNhj6lsZQytj16E1dhROLsI0zeJD6nTtrJnLjcDzJXai29ccQLvRnxocf2qzl6De3T&#10;st7/vN8663af6p6eX+ai6bS+vlp2dyASLukfhj99VoeanQ7hSDaKQUOebzJGNRQ5CM4LXgNxYFCp&#10;DGRdyfMP6l8AAAD//wMAUEsBAi0AFAAGAAgAAAAhALaDOJL+AAAA4QEAABMAAAAAAAAAAAAAAAAA&#10;AAAAAFtDb250ZW50X1R5cGVzXS54bWxQSwECLQAUAAYACAAAACEAOP0h/9YAAACUAQAACwAAAAAA&#10;AAAAAAAAAAAvAQAAX3JlbHMvLnJlbHNQSwECLQAUAAYACAAAACEANDtm2zwCAAAVBQAADgAAAAAA&#10;AAAAAAAAAAAuAgAAZHJzL2Uyb0RvYy54bWxQSwECLQAUAAYACAAAACEAz8yPs90AAAAJAQAADwAA&#10;AAAAAAAAAAAAAACWBAAAZHJzL2Rvd25yZXYueG1sUEsFBgAAAAAEAAQA8wAAAKAFAAAAAA==&#10;" fillcolor="#5a5a5a [2109]" strokecolor="#404040 [2429]" strokeweight=".5pt">
                <v:stroke joinstyle="miter"/>
                <v:textbox>
                  <w:txbxContent>
                    <w:p w14:paraId="61E22CAA" w14:textId="77777777" w:rsidR="00741BFF" w:rsidRPr="00A50150" w:rsidRDefault="00741BFF" w:rsidP="000F3090">
                      <w:pPr>
                        <w:jc w:val="center"/>
                        <w:rPr>
                          <w:sz w:val="18"/>
                          <w:szCs w:val="18"/>
                        </w:rPr>
                      </w:pPr>
                      <w:r w:rsidRPr="00A50150">
                        <w:rPr>
                          <w:rFonts w:cs="Arial"/>
                          <w:color w:val="FFFFFF" w:themeColor="light1"/>
                          <w:kern w:val="24"/>
                          <w:sz w:val="18"/>
                          <w:szCs w:val="18"/>
                        </w:rPr>
                        <w:t xml:space="preserve">Découpe, Désossage, Découennage </w:t>
                      </w:r>
                    </w:p>
                  </w:txbxContent>
                </v:textbox>
              </v:roundrect>
            </w:pict>
          </mc:Fallback>
        </mc:AlternateContent>
      </w:r>
      <w:r>
        <w:rPr>
          <w:noProof/>
        </w:rPr>
        <mc:AlternateContent>
          <mc:Choice Requires="wps">
            <w:drawing>
              <wp:anchor distT="0" distB="0" distL="114300" distR="114300" simplePos="0" relativeHeight="251871289" behindDoc="0" locked="0" layoutInCell="1" allowOverlap="1" wp14:anchorId="59C309D9" wp14:editId="593CD323">
                <wp:simplePos x="0" y="0"/>
                <wp:positionH relativeFrom="column">
                  <wp:posOffset>3734435</wp:posOffset>
                </wp:positionH>
                <wp:positionV relativeFrom="paragraph">
                  <wp:posOffset>16510</wp:posOffset>
                </wp:positionV>
                <wp:extent cx="1790700" cy="714375"/>
                <wp:effectExtent l="0" t="0" r="19050" b="28575"/>
                <wp:wrapNone/>
                <wp:docPr id="431" name="Rectangle : coins arrondis 28"/>
                <wp:cNvGraphicFramePr/>
                <a:graphic xmlns:a="http://schemas.openxmlformats.org/drawingml/2006/main">
                  <a:graphicData uri="http://schemas.microsoft.com/office/word/2010/wordprocessingShape">
                    <wps:wsp>
                      <wps:cNvSpPr/>
                      <wps:spPr>
                        <a:xfrm>
                          <a:off x="0" y="0"/>
                          <a:ext cx="1790700" cy="714375"/>
                        </a:xfrm>
                        <a:prstGeom prst="roundRect">
                          <a:avLst/>
                        </a:prstGeom>
                        <a:solidFill>
                          <a:schemeClr val="tx1">
                            <a:lumMod val="65000"/>
                            <a:lumOff val="35000"/>
                          </a:schemeClr>
                        </a:solidFill>
                        <a:ln>
                          <a:solidFill>
                            <a:schemeClr val="tx1">
                              <a:lumMod val="75000"/>
                              <a:lumOff val="25000"/>
                            </a:schemeClr>
                          </a:solidFill>
                        </a:ln>
                      </wps:spPr>
                      <wps:style>
                        <a:lnRef idx="1">
                          <a:schemeClr val="accent1"/>
                        </a:lnRef>
                        <a:fillRef idx="3">
                          <a:schemeClr val="accent1"/>
                        </a:fillRef>
                        <a:effectRef idx="2">
                          <a:schemeClr val="accent1"/>
                        </a:effectRef>
                        <a:fontRef idx="minor">
                          <a:schemeClr val="lt1"/>
                        </a:fontRef>
                      </wps:style>
                      <wps:txbx>
                        <w:txbxContent>
                          <w:p w14:paraId="2755E9CB"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Piéçage viande</w:t>
                            </w:r>
                          </w:p>
                          <w:p w14:paraId="25F6E125"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Et salage séchage, </w:t>
                            </w:r>
                          </w:p>
                          <w:p w14:paraId="0B281E76"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saumurage, fumage </w:t>
                            </w:r>
                          </w:p>
                          <w:p w14:paraId="1D255C6D" w14:textId="77777777" w:rsidR="00741BFF" w:rsidRPr="00A50150" w:rsidRDefault="00741BFF" w:rsidP="000F3090">
                            <w:pPr>
                              <w:jc w:val="center"/>
                              <w:rPr>
                                <w:sz w:val="18"/>
                                <w:szCs w:val="18"/>
                              </w:rPr>
                            </w:pPr>
                            <w:r w:rsidRPr="00A50150">
                              <w:rPr>
                                <w:rFonts w:cs="Arial"/>
                                <w:color w:val="FFFFFF" w:themeColor="light1"/>
                                <w:kern w:val="24"/>
                                <w:sz w:val="18"/>
                                <w:szCs w:val="18"/>
                              </w:rPr>
                              <w:t>Cuisson, moulage, maturation</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oundrect w14:anchorId="59C309D9" id="_x0000_s1126" style="position:absolute;left:0;text-align:left;margin-left:294.05pt;margin-top:1.3pt;width:141pt;height:56.25pt;z-index:251871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B4rPQIAABUFAAAOAAAAZHJzL2Uyb0RvYy54bWysVNtuGyEQfa/Uf0C813txEicrr6MqUfrS&#10;S5S0H4BZsJGA2QL2rv+m39Iv68Cu10lbNVLUFy7DnDMzh4HldW802QvnFdiaFrOcEmE5NMpuavrt&#10;6927S0p8YLZhGqyo6UF4er16+2bZtZUoYQu6EY4gifVV19Z0G0JbZZnnW2GYn0ErLB5KcIYF3LpN&#10;1jjWIbvRWZnnF1kHrmkdcOE9Wm+HQ7pK/FIKHr5I6UUguqaYW0ijS+M6jtlqyaqNY+1W8TEN9oos&#10;DFMWg05UtywwsnPqDyqjuAMPMsw4mAykVFykGrCaIv+tmscta0WqBcXx7SST/3+0/PP+3hHV1PRs&#10;XlBimcFLekDZmN1o8fNHRTgo6wlzDmyjPCkvo2Zd6yuEPrb3btx5XEYBeulMnLE00iedD5POog+E&#10;o7FYXOWLHK+D49miOJsvziNpdkK3zocPAgyJi5o62NkmZpU0ZvuPPgz+R78Y0YNWzZ3SOm1iA4kb&#10;7cie4dWHvkhQvTOfoBlsF+c55oA8rEIztslgnh/NmE5qw8iSknsWQNvXxFwcyZ/HLI/mf8XEsxg0&#10;i9oPaqdVOGiRarAPQuJNRn1TrVPyQ12Mc2FDMQqto3eESRRsAs5fBo7+ESrS+5rA5cvgCZEigw0T&#10;2CgL7m8EekpZDv5HBYa6owShX/epha/KWF00raE5YF93+LBr6r/vmBOUuKBvYPgHmOVbwG+AhyGo&#10;hfe7AFKltjoRjLHw7aUGGP+J+Lif7pPX6Tdb/QIAAP//AwBQSwMEFAAGAAgAAAAhAN6n9H3dAAAA&#10;CQEAAA8AAABkcnMvZG93bnJldi54bWxMj8FOwzAQRO9I/IO1SNyok4qEKMSpChISt0LogaMbL4kh&#10;Xkexm6Z8PcsJjqN5mn1bbRY3iBmnYD0pSFcJCKTWG0udgv3b000BIkRNRg+eUMEZA2zqy4tKl8af&#10;6BXnJnaCRyiUWkEf41hKGdoenQ4rPyJx9+EnpyPHqZNm0iced4NcJ0kunbbEF3o94mOP7VdzdAra&#10;5yXff79n1tjtZ/JAu5f5tumUur5atvcgIi7xD4ZffVaHmp0O/kgmiEFBVhQpowrWOQjui7uE84HB&#10;NEtB1pX8/0H9AwAA//8DAFBLAQItABQABgAIAAAAIQC2gziS/gAAAOEBAAATAAAAAAAAAAAAAAAA&#10;AAAAAABbQ29udGVudF9UeXBlc10ueG1sUEsBAi0AFAAGAAgAAAAhADj9If/WAAAAlAEAAAsAAAAA&#10;AAAAAAAAAAAALwEAAF9yZWxzLy5yZWxzUEsBAi0AFAAGAAgAAAAhADNcHis9AgAAFQUAAA4AAAAA&#10;AAAAAAAAAAAALgIAAGRycy9lMm9Eb2MueG1sUEsBAi0AFAAGAAgAAAAhAN6n9H3dAAAACQEAAA8A&#10;AAAAAAAAAAAAAAAAlwQAAGRycy9kb3ducmV2LnhtbFBLBQYAAAAABAAEAPMAAAChBQAAAAA=&#10;" fillcolor="#5a5a5a [2109]" strokecolor="#404040 [2429]" strokeweight=".5pt">
                <v:stroke joinstyle="miter"/>
                <v:textbox>
                  <w:txbxContent>
                    <w:p w14:paraId="2755E9CB"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Piéçage viande</w:t>
                      </w:r>
                    </w:p>
                    <w:p w14:paraId="25F6E125"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Et salage séchage, </w:t>
                      </w:r>
                    </w:p>
                    <w:p w14:paraId="0B281E76" w14:textId="77777777" w:rsidR="00741BFF" w:rsidRPr="00A50150" w:rsidRDefault="00741BFF" w:rsidP="000F3090">
                      <w:pPr>
                        <w:spacing w:after="0"/>
                        <w:jc w:val="center"/>
                        <w:rPr>
                          <w:rFonts w:cs="Arial"/>
                          <w:color w:val="FFFFFF" w:themeColor="light1"/>
                          <w:kern w:val="24"/>
                          <w:sz w:val="18"/>
                          <w:szCs w:val="18"/>
                        </w:rPr>
                      </w:pPr>
                      <w:r w:rsidRPr="00A50150">
                        <w:rPr>
                          <w:rFonts w:cs="Arial"/>
                          <w:color w:val="FFFFFF" w:themeColor="light1"/>
                          <w:kern w:val="24"/>
                          <w:sz w:val="18"/>
                          <w:szCs w:val="18"/>
                        </w:rPr>
                        <w:t xml:space="preserve">saumurage, fumage </w:t>
                      </w:r>
                    </w:p>
                    <w:p w14:paraId="1D255C6D" w14:textId="77777777" w:rsidR="00741BFF" w:rsidRPr="00A50150" w:rsidRDefault="00741BFF" w:rsidP="000F3090">
                      <w:pPr>
                        <w:jc w:val="center"/>
                        <w:rPr>
                          <w:sz w:val="18"/>
                          <w:szCs w:val="18"/>
                        </w:rPr>
                      </w:pPr>
                      <w:r w:rsidRPr="00A50150">
                        <w:rPr>
                          <w:rFonts w:cs="Arial"/>
                          <w:color w:val="FFFFFF" w:themeColor="light1"/>
                          <w:kern w:val="24"/>
                          <w:sz w:val="18"/>
                          <w:szCs w:val="18"/>
                        </w:rPr>
                        <w:t>Cuisson, moulage, maturation</w:t>
                      </w:r>
                    </w:p>
                  </w:txbxContent>
                </v:textbox>
              </v:roundrect>
            </w:pict>
          </mc:Fallback>
        </mc:AlternateContent>
      </w:r>
    </w:p>
    <w:p w14:paraId="063F4EEE" w14:textId="580E63AE" w:rsidR="00C94D9A" w:rsidRDefault="00C03588" w:rsidP="00C03588">
      <w:pPr>
        <w:pStyle w:val="ValrieN2"/>
        <w:ind w:left="390"/>
      </w:pPr>
      <w:r>
        <w:rPr>
          <w:noProof/>
        </w:rPr>
        <mc:AlternateContent>
          <mc:Choice Requires="wps">
            <w:drawing>
              <wp:anchor distT="0" distB="0" distL="114300" distR="114300" simplePos="0" relativeHeight="251656190" behindDoc="0" locked="0" layoutInCell="1" allowOverlap="1" wp14:anchorId="1855DA2F" wp14:editId="672E44B5">
                <wp:simplePos x="0" y="0"/>
                <wp:positionH relativeFrom="page">
                  <wp:posOffset>7293407</wp:posOffset>
                </wp:positionH>
                <wp:positionV relativeFrom="paragraph">
                  <wp:posOffset>74930</wp:posOffset>
                </wp:positionV>
                <wp:extent cx="2988000" cy="0"/>
                <wp:effectExtent l="38100" t="76200" r="22225" b="95250"/>
                <wp:wrapNone/>
                <wp:docPr id="448"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98800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FEE293A" id="Connecteur droit avec flèche 12" o:spid="_x0000_s1026" type="#_x0000_t32" style="position:absolute;margin-left:574.3pt;margin-top:5.9pt;width:235.3pt;height:0;z-index:25165619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RIFJwIAAK4EAAAOAAAAZHJzL2Uyb0RvYy54bWysVNtuEzEQfUfiHyy/k92EUoVVNn1IKS8F&#10;Kgof4NrjrIVvsp1k80f8Bz/G2E4WChVIiBdrPZczc86Md3U1Gk32EKJytqfzWUsJWO6Estuefv50&#10;82JJSUzMCqadhZ4eIdKr9fNnq4PvYOEGpwUEgiA2dgff0yEl3zVN5AMYFmfOg0WndMGwhNewbURg&#10;B0Q3ulm07WVzcEH44DjEiNbr6qTrgi8l8PRBygiJ6J5ib6mcoZwP+WzWK9ZtA/OD4qc22D90YZiy&#10;WHSCumaJkV1Qv0EZxYOLTqYZd6ZxUioOhQOymbe/sLkfmIfCBcWJfpIp/j9Y/n5/F4gSPb24wFFZ&#10;ZnBIG2ctKge7QERwKhG2B06k/vYVx0Lmi6zawccOkzf2LmTefLT3/tbxLxF9zSNnvkRfw0YZTA5H&#10;4mQsUzhOU4AxEY7Gxevlsm1xWPzsa1h3TvQhprfgDMkfPY0pMLUd0qljF+ZlCmx/G1NuhHXnhFxV&#10;23xGp5W4UVqXS1402OhA9gxXJI0VQO/MOyeq7fJV7qYsCppxnar55dmMRcq6ZpRS8lGBAZh4YwVJ&#10;R4/KpqCY3WqocIkp/bQPMXOzRciqXVExHTVUIh9B4tSyWoXw1EDtjXEONs1zlYKE0TlNIukpsf17&#10;4ik+p0J5S1NyVemPVaeMUtnZNCUbZV14qnpWv7Ysa/xZgco7S/DgxPEu5KB8w0dRGJ4ecH51P99L&#10;1I/fzPo7AAAA//8DAFBLAwQUAAYACAAAACEAS+PaPtoAAAALAQAADwAAAGRycy9kb3ducmV2Lnht&#10;bExPy07DMBC8I/EP1iJxo04qiNoQp6KgSr0hCh+wSZbEIl5HsduGfj0bcYDbzs5oHsVmcr060Ris&#10;ZwPpIgFFXPvGcmvg4313twIVInKDvWcy8E0BNuX1VYF548/8RqdDbJWYcMjRQBfjkGsd6o4choUf&#10;iIX79KPDKHBsdTPiWcxdr5dJkmmHliWhw4GeO6q/DkcnuTYisbb8cKnq7bZy+/Xry96Y25vp6RFU&#10;pCn+iWGuL9WhlE6VP3ITVC84vV9lop0v2TArsnS9BFX9fnRZ6P8byh8AAAD//wMAUEsBAi0AFAAG&#10;AAgAAAAhALaDOJL+AAAA4QEAABMAAAAAAAAAAAAAAAAAAAAAAFtDb250ZW50X1R5cGVzXS54bWxQ&#10;SwECLQAUAAYACAAAACEAOP0h/9YAAACUAQAACwAAAAAAAAAAAAAAAAAvAQAAX3JlbHMvLnJlbHNQ&#10;SwECLQAUAAYACAAAACEAJ+ESBScCAACuBAAADgAAAAAAAAAAAAAAAAAuAgAAZHJzL2Uyb0RvYy54&#10;bWxQSwECLQAUAAYACAAAACEAS+PaPtoAAAALAQAADwAAAAAAAAAAAAAAAACBBAAAZHJzL2Rvd25y&#10;ZXYueG1sUEsFBgAAAAAEAAQA8wAAAIgFAAAAAA==&#10;" strokecolor="#5a5a5a [2109]" strokeweight="1pt">
                <v:stroke startarrow="block" endarrow="block" joinstyle="miter"/>
                <o:lock v:ext="edit" shapetype="f"/>
                <w10:wrap anchorx="page"/>
              </v:shape>
            </w:pict>
          </mc:Fallback>
        </mc:AlternateContent>
      </w:r>
      <w:r>
        <w:rPr>
          <w:noProof/>
        </w:rPr>
        <mc:AlternateContent>
          <mc:Choice Requires="wps">
            <w:drawing>
              <wp:anchor distT="0" distB="0" distL="114300" distR="114300" simplePos="0" relativeHeight="251657215" behindDoc="0" locked="0" layoutInCell="1" allowOverlap="1" wp14:anchorId="1A9F0785" wp14:editId="1F46A275">
                <wp:simplePos x="0" y="0"/>
                <wp:positionH relativeFrom="page">
                  <wp:posOffset>1952625</wp:posOffset>
                </wp:positionH>
                <wp:positionV relativeFrom="paragraph">
                  <wp:posOffset>74295</wp:posOffset>
                </wp:positionV>
                <wp:extent cx="1764000" cy="0"/>
                <wp:effectExtent l="38100" t="76200" r="27305" b="95250"/>
                <wp:wrapNone/>
                <wp:docPr id="444"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76400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17768A1" id="Connecteur droit avec flèche 12" o:spid="_x0000_s1026" type="#_x0000_t32" style="position:absolute;margin-left:153.75pt;margin-top:5.85pt;width:138.9pt;height:0;z-index:25165721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JEbLwIAAMQEAAAOAAAAZHJzL2Uyb0RvYy54bWysVM2O0zAQviPxDlbuNGkpBUVN99BluSxQ&#10;7cIDeO1xY+E/2W6bvhHvwYsxtpuwWlZ7QFyseH6++eabcdZXg1bkCD5Ia7pqPmsqAoZZLs2+q75/&#10;u3nzoSIhUsOpsga66gyhutq8frU+uRYWtreKgycIYkJ7cl3Vx+jaug6sB03DzDow6BTWaxrx6vc1&#10;9/SE6FrVi6ZZ1SfrufOWQQhovS7OapPxhQAWvwoRIBLVVcgt5tPn8yGd9WZN272nrpfsQoP+AwtN&#10;pcGiE9Q1jZQcvPwLSkvmbbAizpjVtRVCMsg9YDfz5kk39z11kHtBcYKbZAr/D5Z9Oe48kbyrlstl&#10;RQzVOKStNQaVg4Mn3FsZCT0CI0L9+oljIfNF7hSGeBsi6lefXGgzTlI9f27Nzic12GDu3a1lP8Kj&#10;uOJMkcGVsEF4ncJRDjLk2Zyn2WAZwtA4f79aNg2OkI2+mrZjovMhfgKrSfroqhA9lfs+Xvqwfp4Z&#10;0+OFMG3HhFRVmXQGqyS/kUrlS1o/2CpPjhQXJw4FQB30Z8uLbfUuscnrg2ZcsmJ+O5qRXV7ihIIa&#10;PSnQA+UfDSfx7FDv6CU1ewUFLlKpnvchSiKbBS/aZRXjWUFp5A4EzhLVKiOaCBRulDEwcZ6qZCSM&#10;TmkCm54Sm6zUi4mX+JQK+YVNyUWlF5OnjFzZmjgla2msf656Ur9QFiV+VKD0nSR4sPy88+OO4VPJ&#10;HV6edXqLj+85/c/PZ/MbAAD//wMAUEsDBBQABgAIAAAAIQC1IFmL2gAAAAkBAAAPAAAAZHJzL2Rv&#10;d25yZXYueG1sTI9NTsMwEIX3SNzBGiR21ClV2hLiVBSE1B2icIBJPCQW8TiK3TZwegaxKMuZ9+n9&#10;lJvJ9+pIY3SBDcxnGSjiJljHrYH3t+ebNaiYkC32gcnAF0XYVJcXJRY2nPiVjvvUKjHhWKCBLqWh&#10;0Do2HXmMszAQi/YRRo9JzrHVdsSTmPte32bZUnt0LAkdDvTYUfO5P3jJdQmJteP8u26229rv7l6e&#10;dsZcX00P96ASTekMw299qQ6VdKrDgW1UvYFFtsoFFWG+AiVAvs4XoOq/h65K/X9B9QMAAP//AwBQ&#10;SwECLQAUAAYACAAAACEAtoM4kv4AAADhAQAAEwAAAAAAAAAAAAAAAAAAAAAAW0NvbnRlbnRfVHlw&#10;ZXNdLnhtbFBLAQItABQABgAIAAAAIQA4/SH/1gAAAJQBAAALAAAAAAAAAAAAAAAAAC8BAABfcmVs&#10;cy8ucmVsc1BLAQItABQABgAIAAAAIQDVmJEbLwIAAMQEAAAOAAAAAAAAAAAAAAAAAC4CAABkcnMv&#10;ZTJvRG9jLnhtbFBLAQItABQABgAIAAAAIQC1IFmL2gAAAAkBAAAPAAAAAAAAAAAAAAAAAIkEAABk&#10;cnMvZG93bnJldi54bWxQSwUGAAAAAAQABADzAAAAkAUAAAAA&#10;" strokecolor="#5a5a5a [2109]" strokeweight="1pt">
                <v:stroke startarrow="block" endarrow="block" joinstyle="miter"/>
                <o:lock v:ext="edit" shapetype="f"/>
                <w10:wrap anchorx="page"/>
              </v:shape>
            </w:pict>
          </mc:Fallback>
        </mc:AlternateContent>
      </w:r>
      <w:r>
        <w:rPr>
          <w:noProof/>
        </w:rPr>
        <mc:AlternateContent>
          <mc:Choice Requires="wps">
            <w:drawing>
              <wp:anchor distT="0" distB="0" distL="114300" distR="114300" simplePos="0" relativeHeight="251655165" behindDoc="0" locked="0" layoutInCell="1" allowOverlap="1" wp14:anchorId="0EA15C55" wp14:editId="50D2BE9F">
                <wp:simplePos x="0" y="0"/>
                <wp:positionH relativeFrom="page">
                  <wp:posOffset>3714750</wp:posOffset>
                </wp:positionH>
                <wp:positionV relativeFrom="paragraph">
                  <wp:posOffset>74930</wp:posOffset>
                </wp:positionV>
                <wp:extent cx="3456000" cy="0"/>
                <wp:effectExtent l="38100" t="76200" r="11430" b="95250"/>
                <wp:wrapNone/>
                <wp:docPr id="447" name="Connecteur droit avec flèch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56000" cy="0"/>
                        </a:xfrm>
                        <a:prstGeom prst="straightConnector1">
                          <a:avLst/>
                        </a:prstGeom>
                        <a:ln>
                          <a:solidFill>
                            <a:schemeClr val="tx1">
                              <a:lumMod val="65000"/>
                              <a:lumOff val="35000"/>
                            </a:schemeClr>
                          </a:solidFill>
                          <a:headEnd type="triangle"/>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53BB76" id="Connecteur droit avec flèche 12" o:spid="_x0000_s1026" type="#_x0000_t32" style="position:absolute;margin-left:292.5pt;margin-top:5.9pt;width:272.15pt;height:0;z-index:25165516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ek0JwIAAK4EAAAOAAAAZHJzL2Uyb0RvYy54bWysVNtuEzEQfUfiHyy/k92kaUCrbPqQUl4K&#10;VC18gGuPsxa+yXZuf8R/8GOM7WShUIGEeLHWczkz58x4l1cHo8kOQlTO9nQ6aSkBy51QdtPTz59u&#10;Xr2hJCZmBdPOQk+PEOnV6uWL5d53MHOD0wICQRAbu73v6ZCS75om8gEMixPnwaJTumBYwmvYNCKw&#10;PaIb3czadtHsXRA+OA4xovW6Oumq4EsJPH2UMkIiuqfYWypnKOdjPpvVknWbwPyg+KkN9g9dGKYs&#10;Fh2hrlliZBvUb1BG8eCik2nCnWmclIpD4YBspu0vbB4G5qFwQXGiH2WK/w+Wf9jdBaJET+fz15RY&#10;ZnBIa2ctKgfbQERwKhG2A06k/vYVx0Kms6za3scOk9f2LmTe/GAf/K3jXyL6mifOfIm+hh1kMDkc&#10;iZNDmcJxnAIcEuFovJhfLtoWh8XPvoZ150QfYnoHzpD80dOYAlObIZ06dmFapsB2tzHlRlh3TshV&#10;tc1ndFqJG6V1ueRFg7UOZMdwRdKhAuitee9EtS0uczdlUdCM61TNF2czFinrmlFKyScFBmDirRUk&#10;HT0qm4JidqOhwiWm9PM+xMzNFiGrdkXFdNRQidyDxKmhWrNCeGyg9sY4B5umuUpBwuicJpH0mNj+&#10;PfEUn1OhvKUxuar0x6pjRqnsbBqTjbIuPFc9q19bljX+rEDlnSV4dOJ4F3JQvuGjKAxPDzi/up/v&#10;JerHb2b1HQAA//8DAFBLAwQUAAYACAAAACEA0hYEmdsAAAAKAQAADwAAAGRycy9kb3ducmV2Lnht&#10;bEyPwU7DMBBE70j8g7VI3KiToqA2xKkoCKk3ROEDNvGSWMTrKHbbwNezFQc47s5o5k21mf2gjjRF&#10;F9hAvshAEbfBOu4MvL8936xAxYRscQhMBr4owqa+vKiwtOHEr3Tcp05JCMcSDfQpjaXWse3JY1yE&#10;kVi0jzB5THJOnbYTniTcD3qZZXfao2Np6HGkx57az/3BS69LSKwdF99Nu902frd+edoZc301P9yD&#10;SjSnPzOc8QUdamFqwoFtVIOBYlXIliRCLhPOhny5vgXV/H50Xen/E+ofAAAA//8DAFBLAQItABQA&#10;BgAIAAAAIQC2gziS/gAAAOEBAAATAAAAAAAAAAAAAAAAAAAAAABbQ29udGVudF9UeXBlc10ueG1s&#10;UEsBAi0AFAAGAAgAAAAhADj9If/WAAAAlAEAAAsAAAAAAAAAAAAAAAAALwEAAF9yZWxzLy5yZWxz&#10;UEsBAi0AFAAGAAgAAAAhAKJ96TQnAgAArgQAAA4AAAAAAAAAAAAAAAAALgIAAGRycy9lMm9Eb2Mu&#10;eG1sUEsBAi0AFAAGAAgAAAAhANIWBJnbAAAACgEAAA8AAAAAAAAAAAAAAAAAgQQAAGRycy9kb3du&#10;cmV2LnhtbFBLBQYAAAAABAAEAPMAAACJBQAAAAA=&#10;" strokecolor="#5a5a5a [2109]" strokeweight="1pt">
                <v:stroke startarrow="block" endarrow="block" joinstyle="miter"/>
                <o:lock v:ext="edit" shapetype="f"/>
                <w10:wrap anchorx="page"/>
              </v:shape>
            </w:pict>
          </mc:Fallback>
        </mc:AlternateContent>
      </w:r>
      <w:r w:rsidR="000F3090">
        <w:rPr>
          <w:noProof/>
        </w:rPr>
        <mc:AlternateContent>
          <mc:Choice Requires="wps">
            <w:drawing>
              <wp:anchor distT="0" distB="0" distL="114300" distR="114300" simplePos="0" relativeHeight="251868217" behindDoc="0" locked="0" layoutInCell="1" allowOverlap="1" wp14:anchorId="3DF36CC8" wp14:editId="3EA10235">
                <wp:simplePos x="0" y="0"/>
                <wp:positionH relativeFrom="column">
                  <wp:posOffset>52070</wp:posOffset>
                </wp:positionH>
                <wp:positionV relativeFrom="paragraph">
                  <wp:posOffset>4894607</wp:posOffset>
                </wp:positionV>
                <wp:extent cx="1900052" cy="249110"/>
                <wp:effectExtent l="0" t="0" r="0" b="0"/>
                <wp:wrapNone/>
                <wp:docPr id="433" name="ZoneTexte 10"/>
                <wp:cNvGraphicFramePr/>
                <a:graphic xmlns:a="http://schemas.openxmlformats.org/drawingml/2006/main">
                  <a:graphicData uri="http://schemas.microsoft.com/office/word/2010/wordprocessingShape">
                    <wps:wsp>
                      <wps:cNvSpPr txBox="1"/>
                      <wps:spPr>
                        <a:xfrm>
                          <a:off x="0" y="0"/>
                          <a:ext cx="1900052" cy="249110"/>
                        </a:xfrm>
                        <a:prstGeom prst="rect">
                          <a:avLst/>
                        </a:prstGeom>
                        <a:noFill/>
                      </wps:spPr>
                      <wps:txbx>
                        <w:txbxContent>
                          <w:p w14:paraId="53413D6E" w14:textId="77777777" w:rsidR="00741BFF" w:rsidRPr="00713036" w:rsidRDefault="00741BFF" w:rsidP="000F3090">
                            <w:pPr>
                              <w:rPr>
                                <w:sz w:val="20"/>
                                <w:szCs w:val="20"/>
                              </w:rPr>
                            </w:pPr>
                            <w:r w:rsidRPr="004A6317">
                              <w:rPr>
                                <w:rFonts w:cs="Arial"/>
                                <w:i/>
                                <w:iCs/>
                                <w:color w:val="000000" w:themeColor="text1"/>
                                <w:kern w:val="24"/>
                                <w:sz w:val="20"/>
                                <w:szCs w:val="20"/>
                                <w:u w:val="single"/>
                              </w:rPr>
                              <w:t>Données exprimées (</w:t>
                            </w:r>
                            <w:r>
                              <w:rPr>
                                <w:rFonts w:cs="Arial"/>
                                <w:i/>
                                <w:iCs/>
                                <w:color w:val="000000" w:themeColor="text1"/>
                                <w:kern w:val="24"/>
                                <w:sz w:val="20"/>
                                <w:szCs w:val="20"/>
                                <w:u w:val="single"/>
                              </w:rPr>
                              <w:t>k</w:t>
                            </w:r>
                            <w:r w:rsidRPr="004A6317">
                              <w:rPr>
                                <w:rFonts w:cs="Arial"/>
                                <w:i/>
                                <w:iCs/>
                                <w:color w:val="000000" w:themeColor="text1"/>
                                <w:kern w:val="24"/>
                                <w:sz w:val="20"/>
                                <w:szCs w:val="20"/>
                                <w:u w:val="single"/>
                              </w:rPr>
                              <w:t>T</w:t>
                            </w:r>
                            <w:r w:rsidRPr="00713036">
                              <w:rPr>
                                <w:rFonts w:cs="Arial"/>
                                <w:i/>
                                <w:iCs/>
                                <w:color w:val="000000" w:themeColor="text1"/>
                                <w:kern w:val="24"/>
                                <w:sz w:val="20"/>
                                <w:szCs w:val="20"/>
                                <w:u w:val="single"/>
                              </w:rPr>
                              <w:t>)</w:t>
                            </w:r>
                          </w:p>
                          <w:p w14:paraId="08DE9967" w14:textId="77777777" w:rsidR="00741BFF" w:rsidRPr="00713036" w:rsidRDefault="00741BFF" w:rsidP="000F3090">
                            <w:pPr>
                              <w:rPr>
                                <w:sz w:val="20"/>
                                <w:szCs w:val="20"/>
                              </w:rPr>
                            </w:pPr>
                            <w:r w:rsidRPr="00713036">
                              <w:rPr>
                                <w:rFonts w:cs="Arial"/>
                                <w:color w:val="000000" w:themeColor="text1"/>
                                <w:kern w:val="24"/>
                                <w:sz w:val="20"/>
                                <w:szCs w:val="20"/>
                              </w:rPr>
                              <w:t xml:space="preserve"> </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3DF36CC8" id="_x0000_s1127" type="#_x0000_t202" style="position:absolute;left:0;text-align:left;margin-left:4.1pt;margin-top:385.4pt;width:149.6pt;height:19.6pt;z-index:2518682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rULnAEAABoDAAAOAAAAZHJzL2Uyb0RvYy54bWysUk1vEzEQvSPxHyzfyW6SgsgqmwqoygUB&#10;UttLb453nLW09hiPk938e8ZOmiC4oV78MTN+M+89r28nN4gDRLLoWzmf1VKA19hZv2vl0+P9u49S&#10;UFK+UwN6aOURSN5u3r5Zj6GBBfY4dBAFg3hqxtDKPqXQVBXpHpyiGQbwnDQYnUp8jbuqi2pkdDdU&#10;i7r+UI0YuxBRAxFH705JuSn4xoBOP4whSGJoJc+WyhrLus1rtVmrZhdV6K0+j6H+YwqnrOemF6g7&#10;lZTYR/sPlLM6IqFJM42uQmOshsKB2czrv9g89CpA4cLiULjIRK8Hq78ffkZhu1beLJdSeOXYpGe2&#10;6hGmBGJeFBoDNVz4ELg0TZ9xYqezcjlOHMzEJxNd3pmS4Dxrfbzoy1BC50eruq7fL6TQnFvcrOYn&#10;+Or6OkRKXwGdyIdWRvavyKoO3yhxRy59KcnNPN7bYcjx6yj5lKbtVEitli9zbrE78vgjW91K+rVX&#10;EaSIafiC5Wec0D7tExpbGmWY05szOhtQ+p8/S3b4z3upun7pzW8AAAD//wMAUEsDBBQABgAIAAAA&#10;IQC6cAyM3AAAAAkBAAAPAAAAZHJzL2Rvd25yZXYueG1sTI/BTsMwEETvSPyDtUjcqLelkBLiVAjE&#10;FUSBSr258TaJiNdR7Dbh71lOcFy90eybYj35Tp1oiG1gA/MZgiKugmu5NvDx/ny1AhWTZWe7wGTg&#10;myKsy/OzwuYujPxGp02qlZRwzK2BJqU+1zpWDXkbZ6EnFnYIg7dJzqHWbrCjlPtOLxBvtbcty4fG&#10;9vTYUPW1OXoDny+H3XaJr/WTv+nHMKFmf6eNubyYHu5BJZrSXxh+9UUdSnHahyO7qDoDq4UEDWQZ&#10;ygLh15gtQe0FzBFBl4X+v6D8AQAA//8DAFBLAQItABQABgAIAAAAIQC2gziS/gAAAOEBAAATAAAA&#10;AAAAAAAAAAAAAAAAAABbQ29udGVudF9UeXBlc10ueG1sUEsBAi0AFAAGAAgAAAAhADj9If/WAAAA&#10;lAEAAAsAAAAAAAAAAAAAAAAALwEAAF9yZWxzLy5yZWxzUEsBAi0AFAAGAAgAAAAhAF/atQucAQAA&#10;GgMAAA4AAAAAAAAAAAAAAAAALgIAAGRycy9lMm9Eb2MueG1sUEsBAi0AFAAGAAgAAAAhALpwDIzc&#10;AAAACQEAAA8AAAAAAAAAAAAAAAAA9gMAAGRycy9kb3ducmV2LnhtbFBLBQYAAAAABAAEAPMAAAD/&#10;BAAAAAA=&#10;" filled="f" stroked="f">
                <v:textbox>
                  <w:txbxContent>
                    <w:p w14:paraId="53413D6E" w14:textId="77777777" w:rsidR="00741BFF" w:rsidRPr="00713036" w:rsidRDefault="00741BFF" w:rsidP="000F3090">
                      <w:pPr>
                        <w:rPr>
                          <w:sz w:val="20"/>
                          <w:szCs w:val="20"/>
                        </w:rPr>
                      </w:pPr>
                      <w:r w:rsidRPr="004A6317">
                        <w:rPr>
                          <w:rFonts w:cs="Arial"/>
                          <w:i/>
                          <w:iCs/>
                          <w:color w:val="000000" w:themeColor="text1"/>
                          <w:kern w:val="24"/>
                          <w:sz w:val="20"/>
                          <w:szCs w:val="20"/>
                          <w:u w:val="single"/>
                        </w:rPr>
                        <w:t>Données exprimées (</w:t>
                      </w:r>
                      <w:r>
                        <w:rPr>
                          <w:rFonts w:cs="Arial"/>
                          <w:i/>
                          <w:iCs/>
                          <w:color w:val="000000" w:themeColor="text1"/>
                          <w:kern w:val="24"/>
                          <w:sz w:val="20"/>
                          <w:szCs w:val="20"/>
                          <w:u w:val="single"/>
                        </w:rPr>
                        <w:t>k</w:t>
                      </w:r>
                      <w:r w:rsidRPr="004A6317">
                        <w:rPr>
                          <w:rFonts w:cs="Arial"/>
                          <w:i/>
                          <w:iCs/>
                          <w:color w:val="000000" w:themeColor="text1"/>
                          <w:kern w:val="24"/>
                          <w:sz w:val="20"/>
                          <w:szCs w:val="20"/>
                          <w:u w:val="single"/>
                        </w:rPr>
                        <w:t>T</w:t>
                      </w:r>
                      <w:r w:rsidRPr="00713036">
                        <w:rPr>
                          <w:rFonts w:cs="Arial"/>
                          <w:i/>
                          <w:iCs/>
                          <w:color w:val="000000" w:themeColor="text1"/>
                          <w:kern w:val="24"/>
                          <w:sz w:val="20"/>
                          <w:szCs w:val="20"/>
                          <w:u w:val="single"/>
                        </w:rPr>
                        <w:t>)</w:t>
                      </w:r>
                    </w:p>
                    <w:p w14:paraId="08DE9967" w14:textId="77777777" w:rsidR="00741BFF" w:rsidRPr="00713036" w:rsidRDefault="00741BFF" w:rsidP="000F3090">
                      <w:pPr>
                        <w:rPr>
                          <w:sz w:val="20"/>
                          <w:szCs w:val="20"/>
                        </w:rPr>
                      </w:pPr>
                      <w:r w:rsidRPr="00713036">
                        <w:rPr>
                          <w:rFonts w:cs="Arial"/>
                          <w:color w:val="000000" w:themeColor="text1"/>
                          <w:kern w:val="24"/>
                          <w:sz w:val="20"/>
                          <w:szCs w:val="20"/>
                        </w:rPr>
                        <w:t xml:space="preserve"> </w:t>
                      </w:r>
                    </w:p>
                  </w:txbxContent>
                </v:textbox>
              </v:shape>
            </w:pict>
          </mc:Fallback>
        </mc:AlternateContent>
      </w:r>
      <w:r w:rsidR="000F3090">
        <w:rPr>
          <w:noProof/>
        </w:rPr>
        <mc:AlternateContent>
          <mc:Choice Requires="wps">
            <w:drawing>
              <wp:anchor distT="0" distB="0" distL="114300" distR="114300" simplePos="0" relativeHeight="251873337" behindDoc="0" locked="0" layoutInCell="1" allowOverlap="1" wp14:anchorId="41DE8505" wp14:editId="10A1DB86">
                <wp:simplePos x="0" y="0"/>
                <wp:positionH relativeFrom="column">
                  <wp:posOffset>11282789</wp:posOffset>
                </wp:positionH>
                <wp:positionV relativeFrom="paragraph">
                  <wp:posOffset>5127625</wp:posOffset>
                </wp:positionV>
                <wp:extent cx="749935" cy="245745"/>
                <wp:effectExtent l="0" t="0" r="0" b="0"/>
                <wp:wrapNone/>
                <wp:docPr id="434" name="ZoneTexte 45"/>
                <wp:cNvGraphicFramePr/>
                <a:graphic xmlns:a="http://schemas.openxmlformats.org/drawingml/2006/main">
                  <a:graphicData uri="http://schemas.microsoft.com/office/word/2010/wordprocessingShape">
                    <wps:wsp>
                      <wps:cNvSpPr txBox="1"/>
                      <wps:spPr>
                        <a:xfrm>
                          <a:off x="0" y="0"/>
                          <a:ext cx="749935" cy="245745"/>
                        </a:xfrm>
                        <a:prstGeom prst="rect">
                          <a:avLst/>
                        </a:prstGeom>
                        <a:noFill/>
                      </wps:spPr>
                      <wps:txbx>
                        <w:txbxContent>
                          <w:p w14:paraId="17BB4C05" w14:textId="77777777" w:rsidR="00741BFF" w:rsidRDefault="00741BFF" w:rsidP="000F3090">
                            <w:pPr>
                              <w:rPr>
                                <w:sz w:val="24"/>
                                <w:szCs w:val="24"/>
                              </w:rPr>
                            </w:pPr>
                            <w:r>
                              <w:rPr>
                                <w:rFonts w:cs="Arial"/>
                                <w:i/>
                                <w:iCs/>
                                <w:color w:val="000000" w:themeColor="text1"/>
                                <w:kern w:val="24"/>
                                <w:sz w:val="20"/>
                                <w:szCs w:val="20"/>
                              </w:rPr>
                              <w:t>Total  164</w:t>
                            </w:r>
                          </w:p>
                        </w:txbxContent>
                      </wps:txbx>
                      <wps:bodyPr wrap="none" rtlCol="0">
                        <a:spAutoFit/>
                      </wps:bodyPr>
                    </wps:wsp>
                  </a:graphicData>
                </a:graphic>
              </wp:anchor>
            </w:drawing>
          </mc:Choice>
          <mc:Fallback>
            <w:pict>
              <v:shape w14:anchorId="41DE8505" id="_x0000_s1128" type="#_x0000_t202" style="position:absolute;left:0;text-align:left;margin-left:888.4pt;margin-top:403.75pt;width:59.05pt;height:19.35pt;z-index:251873337;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coAmwEAABcDAAAOAAAAZHJzL2Uyb0RvYy54bWysUstu2zAQvAfoPxC813JsOakFS0HbwL0U&#10;SYA4l95oirQIiFyCy1jy33dJv4r2VuTCx+5ydmaWq4fR9myvAhpwNb+dTDlTTkJr3K7mb5v15y+c&#10;YRSuFT04VfODQv7QfLpZDb5SM+igb1VgBOKwGnzNuxh9VRQoO2UFTsArR0kNwYpI17Ar2iAGQrd9&#10;MZtO74oBQusDSIVI0cdjkjcZX2sl47PWqCLra07cYl5DXrdpLZqVqHZB+M7IEw3xHyysMI6aXqAe&#10;RRTsPZh/oKyRARB0nEiwBWhtpMoaSM3t9C81r53wKmshc9BfbMKPg5VP+5fATFvzcl5y5oSlIf2i&#10;UW3UGBUrF8mhwWNFha+eSuP4DUaa9DmOFEzCRx1s2kkSozx5fbj4S1BMUvC+XC7nC84kpWbl4v6I&#10;Xlwf+4DxhwLL0qHmgcaXXRX7nxiJCJWeS1IvB2vT9ymeGB6ZpFMct2PWtCzPNLfQHoj9QJOuuSN9&#10;nIXYf4f8LRIW+q/vkfBymwRyfHHCJvdz99NPSeP9856rrv+5+Q0AAP//AwBQSwMEFAAGAAgAAAAh&#10;ANdoLSreAAAADQEAAA8AAABkcnMvZG93bnJldi54bWxMj8tOwzAQRfdI/IM1SOyo0yjNizgVKrAu&#10;FD7AjU0cEo+j2G0DX9/JCpZ35urMmWo724Gd9eQ7hwLWqwiYxsapDlsBnx+vDzkwHyQqOTjUAn60&#10;h219e1PJUrkLvuvzIbSMIOhLKcCEMJac+8ZoK/3KjRpp9+UmKwPFqeVqkheC24HHUZRyKzukC0aO&#10;emd00x9OVkAe2X3fF/Gbt8nvemN2z+5l/Bbi/m5+egQW9Bz+yrDokzrU5HR0J1SeDZSzLCX3sNCy&#10;DbClkhdJAexIoySNgdcV//9FfQUAAP//AwBQSwECLQAUAAYACAAAACEAtoM4kv4AAADhAQAAEwAA&#10;AAAAAAAAAAAAAAAAAAAAW0NvbnRlbnRfVHlwZXNdLnhtbFBLAQItABQABgAIAAAAIQA4/SH/1gAA&#10;AJQBAAALAAAAAAAAAAAAAAAAAC8BAABfcmVscy8ucmVsc1BLAQItABQABgAIAAAAIQCjycoAmwEA&#10;ABcDAAAOAAAAAAAAAAAAAAAAAC4CAABkcnMvZTJvRG9jLnhtbFBLAQItABQABgAIAAAAIQDXaC0q&#10;3gAAAA0BAAAPAAAAAAAAAAAAAAAAAPUDAABkcnMvZG93bnJldi54bWxQSwUGAAAAAAQABADzAAAA&#10;AAUAAAAA&#10;" filled="f" stroked="f">
                <v:textbox style="mso-fit-shape-to-text:t">
                  <w:txbxContent>
                    <w:p w14:paraId="17BB4C05" w14:textId="77777777" w:rsidR="00741BFF" w:rsidRDefault="00741BFF" w:rsidP="000F3090">
                      <w:pPr>
                        <w:rPr>
                          <w:sz w:val="24"/>
                          <w:szCs w:val="24"/>
                        </w:rPr>
                      </w:pPr>
                      <w:r>
                        <w:rPr>
                          <w:rFonts w:cs="Arial"/>
                          <w:i/>
                          <w:iCs/>
                          <w:color w:val="000000" w:themeColor="text1"/>
                          <w:kern w:val="24"/>
                          <w:sz w:val="20"/>
                          <w:szCs w:val="20"/>
                        </w:rPr>
                        <w:t>Total  164</w:t>
                      </w:r>
                    </w:p>
                  </w:txbxContent>
                </v:textbox>
              </v:shape>
            </w:pict>
          </mc:Fallback>
        </mc:AlternateContent>
      </w:r>
      <w:r w:rsidR="000F3090">
        <w:rPr>
          <w:noProof/>
        </w:rPr>
        <mc:AlternateContent>
          <mc:Choice Requires="wps">
            <w:drawing>
              <wp:anchor distT="0" distB="0" distL="114300" distR="114300" simplePos="0" relativeHeight="251870265" behindDoc="0" locked="0" layoutInCell="1" allowOverlap="1" wp14:anchorId="2C6F5AD4" wp14:editId="46FC44DE">
                <wp:simplePos x="0" y="0"/>
                <wp:positionH relativeFrom="column">
                  <wp:posOffset>58135</wp:posOffset>
                </wp:positionH>
                <wp:positionV relativeFrom="paragraph">
                  <wp:posOffset>3722479</wp:posOffset>
                </wp:positionV>
                <wp:extent cx="1116280" cy="890650"/>
                <wp:effectExtent l="0" t="0" r="0" b="0"/>
                <wp:wrapNone/>
                <wp:docPr id="435" name="ZoneTexte 27"/>
                <wp:cNvGraphicFramePr/>
                <a:graphic xmlns:a="http://schemas.openxmlformats.org/drawingml/2006/main">
                  <a:graphicData uri="http://schemas.microsoft.com/office/word/2010/wordprocessingShape">
                    <wps:wsp>
                      <wps:cNvSpPr txBox="1"/>
                      <wps:spPr>
                        <a:xfrm>
                          <a:off x="0" y="0"/>
                          <a:ext cx="1116280" cy="890650"/>
                        </a:xfrm>
                        <a:prstGeom prst="rect">
                          <a:avLst/>
                        </a:prstGeom>
                        <a:noFill/>
                      </wps:spPr>
                      <wps:txbx>
                        <w:txbxContent>
                          <w:p w14:paraId="0C28F70F"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 xml:space="preserve">Total volumes à destination </w:t>
                            </w:r>
                          </w:p>
                          <w:p w14:paraId="1A9AAC94"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Consommation</w:t>
                            </w:r>
                          </w:p>
                          <w:p w14:paraId="3ADB7119"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0F8EA2ED"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2C6F5AD4" id="_x0000_s1129" type="#_x0000_t202" style="position:absolute;left:0;text-align:left;margin-left:4.6pt;margin-top:293.1pt;width:87.9pt;height:70.15pt;z-index:251870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K4bnQEAABoDAAAOAAAAZHJzL2Uyb0RvYy54bWysUk1P4zAQvSPtf7B83ybt0lKipmgXBBcE&#10;SMBlb64zbizFHmO7TfrvGbsfILit9uKPmfGb9+Z5cTWYjm3BB4225uNRyRlYiY2265q/vtz+nHMW&#10;orCN6NBCzXcQ+NXyx9midxVMsMWuAc8IxIaqdzVvY3RVUQTZghFhhA4sJRV6IyJd/bpovOgJ3XTF&#10;pCxnRY++cR4lhEDRm32SLzO+UiDjo1IBIutqTtxiXn1eV2ktlgtRrb1wrZYHGuIfWBihLTU9Qd2I&#10;KNjG629QRkuPAVUcSTQFKqUlZA2kZlx+UfPcCgdZCw0nuNOYwv+DlQ/bJ890U/PzX1POrDBk0l+y&#10;6gWGCGxykSbUu1BR4bOj0jj8wYGcPsYDBZPwQXmTdpLEKE+z3p3mS1BMpkfj8Wwyp5Sk3PyynE2z&#10;AcXHa+dDvAM0LB1q7sm/PFaxvQ+RmFDpsSQ1s3iruy7FE8U9lXSKw2rIoi6nR54rbHZEvyerax7e&#10;NsIDZz5215h/xh7t9yai0rlRgtm/OaCTAbn/4bMkhz/fc9XHl16+AwAA//8DAFBLAwQUAAYACAAA&#10;ACEAGbwzLt0AAAAJAQAADwAAAGRycy9kb3ducmV2LnhtbEyPzU7DMBCE70i8g7VI3KhNREIasqkQ&#10;iCuI8iNxc5NtEhGvo9htwtuzPcFtRzOa/abcLG5QR5pC7xnhemVAEde+6blFeH97uspBhWi5sYNn&#10;QvihAJvq/Ky0ReNnfqXjNrZKSjgUFqGLcSy0DnVHzoaVH4nF2/vJ2ShyanUz2VnK3aATYzLtbM/y&#10;obMjPXRUf28PDuHjef/1eWNe2keXjrNfjGa31oiXF8v9HahIS/wLwwlf0KESpp0/cBPUgLBOJIiQ&#10;5pkcJz9PZdsO4TbJUtBVqf8vqH4BAAD//wMAUEsBAi0AFAAGAAgAAAAhALaDOJL+AAAA4QEAABMA&#10;AAAAAAAAAAAAAAAAAAAAAFtDb250ZW50X1R5cGVzXS54bWxQSwECLQAUAAYACAAAACEAOP0h/9YA&#10;AACUAQAACwAAAAAAAAAAAAAAAAAvAQAAX3JlbHMvLnJlbHNQSwECLQAUAAYACAAAACEAFZSuG50B&#10;AAAaAwAADgAAAAAAAAAAAAAAAAAuAgAAZHJzL2Uyb0RvYy54bWxQSwECLQAUAAYACAAAACEAGbwz&#10;Lt0AAAAJAQAADwAAAAAAAAAAAAAAAAD3AwAAZHJzL2Rvd25yZXYueG1sUEsFBgAAAAAEAAQA8wAA&#10;AAEFAAAAAA==&#10;" filled="f" stroked="f">
                <v:textbox>
                  <w:txbxContent>
                    <w:p w14:paraId="0C28F70F"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 xml:space="preserve">Total volumes à destination </w:t>
                      </w:r>
                    </w:p>
                    <w:p w14:paraId="1A9AAC94"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Consommation</w:t>
                      </w:r>
                    </w:p>
                    <w:p w14:paraId="3ADB7119"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rPr>
                        <w:t>(</w:t>
                      </w:r>
                      <w:r w:rsidRPr="009175CD">
                        <w:rPr>
                          <w:rFonts w:cs="Arial"/>
                          <w:i/>
                          <w:iCs/>
                          <w:color w:val="000000" w:themeColor="text1"/>
                          <w:kern w:val="24"/>
                          <w:sz w:val="20"/>
                          <w:szCs w:val="20"/>
                          <w:u w:val="single"/>
                        </w:rPr>
                        <w:t xml:space="preserve">hors coproduits </w:t>
                      </w:r>
                    </w:p>
                    <w:p w14:paraId="0F8EA2ED" w14:textId="77777777" w:rsidR="00741BFF" w:rsidRPr="00A06B55" w:rsidRDefault="00741BFF" w:rsidP="000F3090">
                      <w:pPr>
                        <w:spacing w:after="0"/>
                        <w:jc w:val="left"/>
                        <w:rPr>
                          <w:sz w:val="20"/>
                          <w:szCs w:val="20"/>
                        </w:rPr>
                      </w:pPr>
                      <w:r w:rsidRPr="009175CD">
                        <w:rPr>
                          <w:rFonts w:cs="Arial"/>
                          <w:i/>
                          <w:iCs/>
                          <w:color w:val="000000" w:themeColor="text1"/>
                          <w:kern w:val="24"/>
                          <w:sz w:val="20"/>
                          <w:szCs w:val="20"/>
                          <w:u w:val="single"/>
                        </w:rPr>
                        <w:t>réincorporés</w:t>
                      </w:r>
                      <w:r w:rsidRPr="009175CD">
                        <w:rPr>
                          <w:rFonts w:cs="Arial"/>
                          <w:i/>
                          <w:iCs/>
                          <w:color w:val="000000" w:themeColor="text1"/>
                          <w:kern w:val="24"/>
                          <w:sz w:val="20"/>
                          <w:szCs w:val="20"/>
                        </w:rPr>
                        <w:t>)</w:t>
                      </w:r>
                    </w:p>
                  </w:txbxContent>
                </v:textbox>
              </v:shape>
            </w:pict>
          </mc:Fallback>
        </mc:AlternateContent>
      </w:r>
      <w:r w:rsidR="000F3090">
        <w:rPr>
          <w:noProof/>
        </w:rPr>
        <mc:AlternateContent>
          <mc:Choice Requires="wps">
            <w:drawing>
              <wp:anchor distT="0" distB="0" distL="114300" distR="114300" simplePos="0" relativeHeight="251865145" behindDoc="0" locked="0" layoutInCell="1" allowOverlap="1" wp14:anchorId="56EAC7EC" wp14:editId="08048952">
                <wp:simplePos x="0" y="0"/>
                <wp:positionH relativeFrom="column">
                  <wp:posOffset>203835</wp:posOffset>
                </wp:positionH>
                <wp:positionV relativeFrom="paragraph">
                  <wp:posOffset>5382895</wp:posOffset>
                </wp:positionV>
                <wp:extent cx="1238026" cy="365125"/>
                <wp:effectExtent l="0" t="0" r="0" b="0"/>
                <wp:wrapNone/>
                <wp:docPr id="436" name="Espace réservé de la date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1238026" cy="365125"/>
                        </a:xfrm>
                        <a:prstGeom prst="rect">
                          <a:avLst/>
                        </a:prstGeom>
                      </wps:spPr>
                      <wps:txbx>
                        <w:txbxContent>
                          <w:p w14:paraId="0967838C" w14:textId="77777777" w:rsidR="00741BFF" w:rsidRDefault="00741BFF" w:rsidP="000F3090">
                            <w:pPr>
                              <w:rPr>
                                <w:sz w:val="24"/>
                                <w:szCs w:val="24"/>
                              </w:rPr>
                            </w:pPr>
                            <w:r>
                              <w:rPr>
                                <w:rFonts w:asciiTheme="minorHAnsi" w:hAnsi="Calibri"/>
                                <w:color w:val="DDE0E3"/>
                                <w:kern w:val="24"/>
                                <w:sz w:val="32"/>
                                <w:szCs w:val="32"/>
                              </w:rPr>
                              <w:t>26/04/2021</w:t>
                            </w:r>
                          </w:p>
                        </w:txbxContent>
                      </wps:txbx>
                      <wps:bodyPr vert="horz" lIns="91440" tIns="45720" rIns="91440" bIns="45720" rtlCol="0" anchor="ctr"/>
                    </wps:wsp>
                  </a:graphicData>
                </a:graphic>
              </wp:anchor>
            </w:drawing>
          </mc:Choice>
          <mc:Fallback>
            <w:pict>
              <v:rect w14:anchorId="56EAC7EC" id="_x0000_s1130" style="position:absolute;left:0;text-align:left;margin-left:16.05pt;margin-top:423.85pt;width:97.5pt;height:28.75pt;z-index:2518651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lmXwgEAAF4DAAAOAAAAZHJzL2Uyb0RvYy54bWysU0tu2zAQ3RfoHQjua338aSJYzqJpgwJB&#10;GyDpAcYUZQkVP5hhbbk3yjlysQ7pT5N2F2RDaDjDN+/NGy2vRjOIrUbqna1lMcml0Fa5prebWv54&#10;+PLhQgoKYBsYnNW13GuSV6v375Y7X+nSdW5oNAoGsVTtfC27EHyVZaQ6bYAmzmvLydahgcAhbrIG&#10;YcfoZsjKPF9kO4eNR6c0Ed9eH5JylfDbVqvwvW1JBzHUkrmFdGI61/HMVkuoNgi+69WRBryChYHe&#10;ctMz1DUEEL+w/w/K9AoduTZMlDOZa9te6aSB1RT5P2ruO/A6aeHhkD+Pid4OVn3b3qHom1rOpgsp&#10;LBg26TN5UFrg0yNp3D49ikaLAUQDQYtpHNnOU8Uv7/0dRtHkb536ScK6G2QPi1iSvaiJAR2rxxZN&#10;fMXixZic2J+d0GMQii+LcnqRl0xIcW66mBflPIFCdXrtkcKNdkbEj1oiO50MgO0thdgfqlPJkcyh&#10;f2QSxvWYNF8uTmrWrtnzIHiTGaxz+FuK4avlQV8Ws1lcnBTM5h9LDvB5Zv0iE4ZP7rBqYBXj1FIF&#10;PM+DTUzMjgsXt+R5nIj+/S1WfwAAAP//AwBQSwMEFAAGAAgAAAAhAKwc+hDdAAAACgEAAA8AAABk&#10;cnMvZG93bnJldi54bWxMj8tOwzAQRfdI/IM1SOyoHfNIm8apoKgbdi1IbKfxNI7wI4rdNPw9ZgXL&#10;mTm6c269mZ1lE42xD15BsRDAyLdB975T8PG+u1sCiwm9Rhs8KfimCJvm+qrGSoeL39N0SB3LIT5W&#10;qMCkNFScx9aQw7gIA/l8O4XRYcrj2HE94iWHO8ulEE/cYe/zB4MDbQ21X4ezUzC/fCIP1tAJuRNv&#10;0654LbZWqdub+XkNLNGc/mD41c/q0GSnYzh7HZlVcC+LTCpYPpQlsAxIWebNUcFKPErgTc3/V2h+&#10;AAAA//8DAFBLAQItABQABgAIAAAAIQC2gziS/gAAAOEBAAATAAAAAAAAAAAAAAAAAAAAAABbQ29u&#10;dGVudF9UeXBlc10ueG1sUEsBAi0AFAAGAAgAAAAhADj9If/WAAAAlAEAAAsAAAAAAAAAAAAAAAAA&#10;LwEAAF9yZWxzLy5yZWxzUEsBAi0AFAAGAAgAAAAhAI2+WZfCAQAAXgMAAA4AAAAAAAAAAAAAAAAA&#10;LgIAAGRycy9lMm9Eb2MueG1sUEsBAi0AFAAGAAgAAAAhAKwc+hDdAAAACgEAAA8AAAAAAAAAAAAA&#10;AAAAHAQAAGRycy9kb3ducmV2LnhtbFBLBQYAAAAABAAEAPMAAAAmBQAAAAA=&#10;" filled="f" stroked="f">
                <o:lock v:ext="edit" grouping="t"/>
                <v:textbox>
                  <w:txbxContent>
                    <w:p w14:paraId="0967838C" w14:textId="77777777" w:rsidR="00741BFF" w:rsidRDefault="00741BFF" w:rsidP="000F3090">
                      <w:pPr>
                        <w:rPr>
                          <w:sz w:val="24"/>
                          <w:szCs w:val="24"/>
                        </w:rPr>
                      </w:pPr>
                      <w:r>
                        <w:rPr>
                          <w:rFonts w:asciiTheme="minorHAnsi" w:hAnsi="Calibri"/>
                          <w:color w:val="DDE0E3"/>
                          <w:kern w:val="24"/>
                          <w:sz w:val="32"/>
                          <w:szCs w:val="32"/>
                        </w:rPr>
                        <w:t>26/04/2021</w:t>
                      </w:r>
                    </w:p>
                  </w:txbxContent>
                </v:textbox>
              </v:rect>
            </w:pict>
          </mc:Fallback>
        </mc:AlternateContent>
      </w:r>
      <w:r w:rsidR="000F3090">
        <w:rPr>
          <w:noProof/>
        </w:rPr>
        <mc:AlternateContent>
          <mc:Choice Requires="wps">
            <w:drawing>
              <wp:anchor distT="0" distB="0" distL="114300" distR="114300" simplePos="0" relativeHeight="251866169" behindDoc="0" locked="0" layoutInCell="1" allowOverlap="1" wp14:anchorId="3114C770" wp14:editId="0533D375">
                <wp:simplePos x="0" y="0"/>
                <wp:positionH relativeFrom="column">
                  <wp:posOffset>9997440</wp:posOffset>
                </wp:positionH>
                <wp:positionV relativeFrom="paragraph">
                  <wp:posOffset>5382895</wp:posOffset>
                </wp:positionV>
                <wp:extent cx="656216" cy="365125"/>
                <wp:effectExtent l="0" t="0" r="0" b="0"/>
                <wp:wrapNone/>
                <wp:docPr id="437" name="Espace réservé du numéro de diapositive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656216" cy="365125"/>
                        </a:xfrm>
                        <a:prstGeom prst="rect">
                          <a:avLst/>
                        </a:prstGeom>
                      </wps:spPr>
                      <wps:txbx>
                        <w:txbxContent>
                          <w:p w14:paraId="02ECF17C" w14:textId="77777777" w:rsidR="00741BFF" w:rsidRDefault="00741BFF" w:rsidP="000F3090">
                            <w:pPr>
                              <w:jc w:val="right"/>
                              <w:rPr>
                                <w:sz w:val="24"/>
                                <w:szCs w:val="24"/>
                              </w:rPr>
                            </w:pPr>
                            <w:r>
                              <w:rPr>
                                <w:rFonts w:asciiTheme="minorHAnsi" w:hAnsi="Calibri"/>
                                <w:color w:val="DDE0E3"/>
                                <w:kern w:val="24"/>
                                <w:sz w:val="28"/>
                                <w:szCs w:val="28"/>
                              </w:rPr>
                              <w:t>6</w:t>
                            </w:r>
                          </w:p>
                        </w:txbxContent>
                      </wps:txbx>
                      <wps:bodyPr vert="horz" lIns="91440" tIns="45720" rIns="91440" bIns="45720" rtlCol="0" anchor="ctr"/>
                    </wps:wsp>
                  </a:graphicData>
                </a:graphic>
              </wp:anchor>
            </w:drawing>
          </mc:Choice>
          <mc:Fallback>
            <w:pict>
              <v:rect w14:anchorId="3114C770" id="_x0000_s1131" style="position:absolute;left:0;text-align:left;margin-left:787.2pt;margin-top:423.85pt;width:51.65pt;height:28.75pt;z-index:25186616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LsYzQEAAGwDAAAOAAAAZHJzL2Uyb0RvYy54bWysU0tu2zAQ3RfoHQjua1mKLTeC5SyaNigQ&#10;tAHSHoCmKIuoyCGGtCz3Rj6HL9Yh/WnS7opuCA1n+ObNe6Pl3Wh6Nij0GmzN88mUM2UlNNpuav79&#10;26d37znzQdhG9GBVzffK87vV2zfLnatUAR30jUJGINZXO1fzLgRXZZmXnTLCT8ApS8kW0IhAIW6y&#10;BsWO0E2fFdNpme0AG4cglfd0e39K8lXCb1slw9e29SqwvubELaQT07mOZ7ZaimqDwnVanmmIf2Bh&#10;hLbU9Ap1L4JgW9R/QRktETy0YSLBZNC2Wqo0A02TT/+Y5rkTTqVZSBzvrjL5/wcrvwxPyHRT89nN&#10;gjMrDJn00TshFcPjwSscjgfWbJndmuMBgTWKNVo48DroQbF5VHDnfEVAz+4JowbePYL84ZmFByRL&#10;81iSvaqJgT9Xjy2a+Iq0YGMyZn81Ro2BSbos52WRl5xJSt2U87xIbTNRXR479OFBgWHxo+ZIvic7&#10;xPDoQ2wvqkvJmcupfSQSxvWYFLhdXIZZQ7MnWWivCawD/MlZ/9mS7Lf5bBbXKAWz+aKgAF9m1q8y&#10;of8Ap8UTVhJOzWXAqxxkaWJ2Xr+4My/jRPT3T7L6BQAA//8DAFBLAwQUAAYACAAAACEALCnJYN4A&#10;AAANAQAADwAAAGRycy9kb3ducmV2LnhtbEyPy07DMBBF90j8gzVI7KidKm1KGqeCom7YUZDYTuNp&#10;HNWPKHbT8Pc4K9jN1RzdOVPtJmvYSEPovJOQLQQwco1XnWslfH0enjbAQkSn0HhHEn4owK6+v6uw&#10;VP7mPmg8xpalEhdKlKBj7EvOQ6PJYlj4nlzanf1gMaY4tFwNeEvl1vClEGtusXPpgsae9pqay/Fq&#10;JUyv38i90XRGbsX7eMjesr2R8vFhetkCizTFPxhm/aQOdXI6+atTgZmUV0WeJ1bCJi8KYDOyLubp&#10;JOFZrJbA64r//6L+BQAA//8DAFBLAQItABQABgAIAAAAIQC2gziS/gAAAOEBAAATAAAAAAAAAAAA&#10;AAAAAAAAAABbQ29udGVudF9UeXBlc10ueG1sUEsBAi0AFAAGAAgAAAAhADj9If/WAAAAlAEAAAsA&#10;AAAAAAAAAAAAAAAALwEAAF9yZWxzLy5yZWxzUEsBAi0AFAAGAAgAAAAhAO3cuxjNAQAAbAMAAA4A&#10;AAAAAAAAAAAAAAAALgIAAGRycy9lMm9Eb2MueG1sUEsBAi0AFAAGAAgAAAAhACwpyWDeAAAADQEA&#10;AA8AAAAAAAAAAAAAAAAAJwQAAGRycy9kb3ducmV2LnhtbFBLBQYAAAAABAAEAPMAAAAyBQAAAAA=&#10;" filled="f" stroked="f">
                <o:lock v:ext="edit" grouping="t"/>
                <v:textbox>
                  <w:txbxContent>
                    <w:p w14:paraId="02ECF17C" w14:textId="77777777" w:rsidR="00741BFF" w:rsidRDefault="00741BFF" w:rsidP="000F3090">
                      <w:pPr>
                        <w:jc w:val="right"/>
                        <w:rPr>
                          <w:sz w:val="24"/>
                          <w:szCs w:val="24"/>
                        </w:rPr>
                      </w:pPr>
                      <w:r>
                        <w:rPr>
                          <w:rFonts w:asciiTheme="minorHAnsi" w:hAnsi="Calibri"/>
                          <w:color w:val="DDE0E3"/>
                          <w:kern w:val="24"/>
                          <w:sz w:val="28"/>
                          <w:szCs w:val="28"/>
                        </w:rPr>
                        <w:t>6</w:t>
                      </w:r>
                    </w:p>
                  </w:txbxContent>
                </v:textbox>
              </v:rect>
            </w:pict>
          </mc:Fallback>
        </mc:AlternateContent>
      </w:r>
      <w:r w:rsidR="000F3090">
        <w:rPr>
          <w:noProof/>
        </w:rPr>
        <mc:AlternateContent>
          <mc:Choice Requires="wps">
            <w:drawing>
              <wp:anchor distT="0" distB="0" distL="114300" distR="114300" simplePos="0" relativeHeight="251867193" behindDoc="0" locked="0" layoutInCell="1" allowOverlap="1" wp14:anchorId="3043D2B9" wp14:editId="34F7C4EC">
                <wp:simplePos x="0" y="0"/>
                <wp:positionH relativeFrom="column">
                  <wp:posOffset>11105515</wp:posOffset>
                </wp:positionH>
                <wp:positionV relativeFrom="paragraph">
                  <wp:posOffset>4845050</wp:posOffset>
                </wp:positionV>
                <wp:extent cx="750526" cy="246221"/>
                <wp:effectExtent l="0" t="0" r="0" b="0"/>
                <wp:wrapNone/>
                <wp:docPr id="438" name="ZoneTexte 26"/>
                <wp:cNvGraphicFramePr/>
                <a:graphic xmlns:a="http://schemas.openxmlformats.org/drawingml/2006/main">
                  <a:graphicData uri="http://schemas.microsoft.com/office/word/2010/wordprocessingShape">
                    <wps:wsp>
                      <wps:cNvSpPr txBox="1"/>
                      <wps:spPr>
                        <a:xfrm>
                          <a:off x="0" y="0"/>
                          <a:ext cx="750526" cy="246221"/>
                        </a:xfrm>
                        <a:prstGeom prst="rect">
                          <a:avLst/>
                        </a:prstGeom>
                        <a:noFill/>
                      </wps:spPr>
                      <wps:txbx>
                        <w:txbxContent>
                          <w:p w14:paraId="233B4652" w14:textId="77777777" w:rsidR="00741BFF" w:rsidRDefault="00741BFF" w:rsidP="000F3090">
                            <w:pPr>
                              <w:rPr>
                                <w:sz w:val="24"/>
                                <w:szCs w:val="24"/>
                              </w:rPr>
                            </w:pPr>
                            <w:r>
                              <w:rPr>
                                <w:rFonts w:cs="Arial"/>
                                <w:i/>
                                <w:iCs/>
                                <w:color w:val="000000" w:themeColor="text1"/>
                                <w:kern w:val="24"/>
                                <w:sz w:val="20"/>
                                <w:szCs w:val="20"/>
                              </w:rPr>
                              <w:t xml:space="preserve">Total 419 </w:t>
                            </w:r>
                          </w:p>
                        </w:txbxContent>
                      </wps:txbx>
                      <wps:bodyPr wrap="none" rtlCol="0">
                        <a:spAutoFit/>
                      </wps:bodyPr>
                    </wps:wsp>
                  </a:graphicData>
                </a:graphic>
              </wp:anchor>
            </w:drawing>
          </mc:Choice>
          <mc:Fallback>
            <w:pict>
              <v:shape w14:anchorId="3043D2B9" id="_x0000_s1132" type="#_x0000_t202" style="position:absolute;left:0;text-align:left;margin-left:874.45pt;margin-top:381.5pt;width:59.1pt;height:19.4pt;z-index:251867193;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GqfmwEAABcDAAAOAAAAZHJzL2Uyb0RvYy54bWysUstu2zAQvBfIPxC815JVx3UFy0GTILkE&#10;bQC7l95oirQIiFyCy1jy32dJPxIkt6IXPnaXszM7XN6Mtmd7FdCAa/h0UnKmnITWuF3D/2wevi44&#10;wyhcK3pwquEHhfxmdfVlOfhaVdBB36rACMRhPfiGdzH6uihQdsoKnIBXjpIaghWRrmFXtEEMhG77&#10;oirLeTFAaH0AqRApen9M8lXG11rJ+FtrVJH1DSduMa8hr9u0FqulqHdB+M7IEw3xDyysMI6aXqDu&#10;RRTsJZhPUNbIAAg6TiTYArQ2UmUNpGZaflCz7oRXWQsNB/1lTPj/YOWv/XNgpm347BtZ5YQlk/6S&#10;VRs1RsWqeZrQ4LGmwrWn0jjewkhOn+NIwSR81MGmnSQxytOsD5f5EhSTFPx+XV4TIpOUqmbzqsoo&#10;xdtjHzA+KrAsHRoeyL48VbF/wkhEqPRckno5eDB9n+KJ4ZFJOsVxO2ZNPxZnmltoD8R+IKcb7kgf&#10;ZyH2d5C/RcJC//MlEl5uk0COL07YNP3c/fRTkr3v77nq7T+vXgEAAP//AwBQSwMEFAAGAAgAAAAh&#10;ALq/VaPeAAAADQEAAA8AAABkcnMvZG93bnJldi54bWxMj8FOwzAQRO9I/IO1SNyok1ISN41ToQJn&#10;oPABbmziNPE6it028PVsTnAczWjmTbmdXM/OZgytRwnpIgFmsPa6xUbC58fLnQAWokKteo9GwrcJ&#10;sK2ur0pVaH/Bd3Pex4ZRCYZCSbAxDgXnobbGqbDwg0HyvvzoVCQ5NlyP6kLlrufLJMm4Uy3SglWD&#10;2VlTd/uTkyAS99p16+VbcKuf9MHunvzzcJTy9mZ63ACLZop/YZjxCR0qYjr4E+rAetL5SqwpKyHP&#10;7unVHBFZngI7zAOpAF6V/P+L6hcAAP//AwBQSwECLQAUAAYACAAAACEAtoM4kv4AAADhAQAAEwAA&#10;AAAAAAAAAAAAAAAAAAAAW0NvbnRlbnRfVHlwZXNdLnhtbFBLAQItABQABgAIAAAAIQA4/SH/1gAA&#10;AJQBAAALAAAAAAAAAAAAAAAAAC8BAABfcmVscy8ucmVsc1BLAQItABQABgAIAAAAIQBR0GqfmwEA&#10;ABcDAAAOAAAAAAAAAAAAAAAAAC4CAABkcnMvZTJvRG9jLnhtbFBLAQItABQABgAIAAAAIQC6v1Wj&#10;3gAAAA0BAAAPAAAAAAAAAAAAAAAAAPUDAABkcnMvZG93bnJldi54bWxQSwUGAAAAAAQABADzAAAA&#10;AAUAAAAA&#10;" filled="f" stroked="f">
                <v:textbox style="mso-fit-shape-to-text:t">
                  <w:txbxContent>
                    <w:p w14:paraId="233B4652" w14:textId="77777777" w:rsidR="00741BFF" w:rsidRDefault="00741BFF" w:rsidP="000F3090">
                      <w:pPr>
                        <w:rPr>
                          <w:sz w:val="24"/>
                          <w:szCs w:val="24"/>
                        </w:rPr>
                      </w:pPr>
                      <w:r>
                        <w:rPr>
                          <w:rFonts w:cs="Arial"/>
                          <w:i/>
                          <w:iCs/>
                          <w:color w:val="000000" w:themeColor="text1"/>
                          <w:kern w:val="24"/>
                          <w:sz w:val="20"/>
                          <w:szCs w:val="20"/>
                        </w:rPr>
                        <w:t xml:space="preserve">Total 419 </w:t>
                      </w:r>
                    </w:p>
                  </w:txbxContent>
                </v:textbox>
              </v:shape>
            </w:pict>
          </mc:Fallback>
        </mc:AlternateContent>
      </w:r>
    </w:p>
    <w:p w14:paraId="668DDDF3" w14:textId="77777777" w:rsidR="00E06A72" w:rsidRDefault="00E06A72" w:rsidP="00E06A72">
      <w:pPr>
        <w:pStyle w:val="ValrieN2"/>
        <w:ind w:left="0"/>
        <w:rPr>
          <w:lang w:val="fr-CA"/>
        </w:rPr>
        <w:sectPr w:rsidR="00E06A72" w:rsidSect="00B73F4D">
          <w:pgSz w:w="16838" w:h="11906" w:orient="landscape" w:code="9"/>
          <w:pgMar w:top="1418" w:right="1304" w:bottom="1133" w:left="1304" w:header="567" w:footer="709" w:gutter="0"/>
          <w:cols w:space="708"/>
          <w:docGrid w:linePitch="360"/>
        </w:sectPr>
      </w:pPr>
    </w:p>
    <w:p w14:paraId="299686B6" w14:textId="238F3B23" w:rsidR="004E4EBD" w:rsidRPr="00C51AE3" w:rsidRDefault="00C51AE3" w:rsidP="00A63F35">
      <w:pPr>
        <w:pStyle w:val="Titre2"/>
        <w:numPr>
          <w:ilvl w:val="0"/>
          <w:numId w:val="0"/>
        </w:numPr>
        <w:ind w:left="568"/>
      </w:pPr>
      <w:bookmarkStart w:id="410" w:name="_Toc71124256"/>
      <w:bookmarkStart w:id="411" w:name="_Toc71124461"/>
      <w:bookmarkStart w:id="412" w:name="_Toc78131707"/>
      <w:bookmarkEnd w:id="410"/>
      <w:bookmarkEnd w:id="411"/>
      <w:r w:rsidRPr="00C51AE3">
        <w:lastRenderedPageBreak/>
        <w:t xml:space="preserve">2.6. </w:t>
      </w:r>
      <w:r w:rsidR="00FB7178">
        <w:t>Bilan du disponible</w:t>
      </w:r>
      <w:bookmarkEnd w:id="412"/>
      <w:r w:rsidR="00FB7178">
        <w:t xml:space="preserve"> </w:t>
      </w:r>
    </w:p>
    <w:p w14:paraId="120FD651" w14:textId="0474529B" w:rsidR="000D17AE" w:rsidRPr="00910C4B" w:rsidRDefault="000E3FD5" w:rsidP="00910C4B">
      <w:r>
        <w:t>Au global, l’</w:t>
      </w:r>
      <w:r w:rsidR="00651CEA">
        <w:t>analyse des flux de</w:t>
      </w:r>
      <w:r w:rsidR="00765A0A">
        <w:t>s</w:t>
      </w:r>
      <w:r w:rsidR="00651CEA">
        <w:t xml:space="preserve"> pièces primaires donne un</w:t>
      </w:r>
      <w:r w:rsidR="0005427C">
        <w:t xml:space="preserve"> disponible </w:t>
      </w:r>
      <w:r w:rsidR="00CE698B">
        <w:t>à l’assiette d</w:t>
      </w:r>
      <w:r w:rsidR="002B3863">
        <w:t>’environ</w:t>
      </w:r>
      <w:r w:rsidR="00CE698B">
        <w:t xml:space="preserve"> 1</w:t>
      </w:r>
      <w:r w:rsidR="00765A0A">
        <w:t xml:space="preserve"> </w:t>
      </w:r>
      <w:r w:rsidR="003B1A6E">
        <w:t>6</w:t>
      </w:r>
      <w:r w:rsidR="00CE698B">
        <w:t>50 kt</w:t>
      </w:r>
      <w:r w:rsidR="0005427C">
        <w:t xml:space="preserve"> </w:t>
      </w:r>
      <w:r w:rsidR="003B1A6E">
        <w:t>hors abats (200 kt) et gras issus de la découpe carcasse. Sur ce total,</w:t>
      </w:r>
      <w:r>
        <w:t xml:space="preserve"> 1</w:t>
      </w:r>
      <w:r w:rsidR="00765A0A">
        <w:t xml:space="preserve"> </w:t>
      </w:r>
      <w:r>
        <w:t xml:space="preserve">150 kt pour ce qui concerne la </w:t>
      </w:r>
      <w:r w:rsidRPr="00A50150">
        <w:t xml:space="preserve">fraction </w:t>
      </w:r>
      <w:r>
        <w:t xml:space="preserve">de </w:t>
      </w:r>
      <w:r w:rsidRPr="00A50150">
        <w:t>muscles (salaison, viande…)</w:t>
      </w:r>
      <w:r>
        <w:t xml:space="preserve"> et moins de 500kt </w:t>
      </w:r>
      <w:r w:rsidR="00CE698B">
        <w:t xml:space="preserve">de minerai </w:t>
      </w:r>
      <w:r>
        <w:t xml:space="preserve">(355 kt) </w:t>
      </w:r>
      <w:r w:rsidR="00CE698B">
        <w:t>et de gras</w:t>
      </w:r>
      <w:r>
        <w:t xml:space="preserve"> (140 kt) à destination </w:t>
      </w:r>
      <w:r w:rsidRPr="0002537E">
        <w:rPr>
          <w:bCs/>
        </w:rPr>
        <w:t>des mélanges (saucisserie, charcuterie)</w:t>
      </w:r>
      <w:r>
        <w:rPr>
          <w:bCs/>
        </w:rPr>
        <w:t>.</w:t>
      </w:r>
      <w:r>
        <w:t xml:space="preserve"> Avec sa part de minerai et gras constituant plus de la moitié de sa destination à la consommation, </w:t>
      </w:r>
      <w:r w:rsidR="000D17AE">
        <w:t>seule l’épaule se distingue de manière notable</w:t>
      </w:r>
      <w:r>
        <w:t>.</w:t>
      </w:r>
    </w:p>
    <w:p w14:paraId="4E1E2D97" w14:textId="5BA2408E" w:rsidR="00FB7178" w:rsidRDefault="00765A0A" w:rsidP="00A63F35">
      <w:pPr>
        <w:pStyle w:val="Titre2"/>
        <w:numPr>
          <w:ilvl w:val="0"/>
          <w:numId w:val="0"/>
        </w:numPr>
        <w:ind w:left="568"/>
      </w:pPr>
      <w:bookmarkStart w:id="413" w:name="_Toc78131708"/>
      <w:r>
        <w:t xml:space="preserve">2.7. </w:t>
      </w:r>
      <w:r w:rsidR="00FB7178">
        <w:t xml:space="preserve">Approche de la destination du </w:t>
      </w:r>
      <w:r w:rsidR="00FB7178" w:rsidRPr="00713036">
        <w:t>disponible en minerai et gras</w:t>
      </w:r>
      <w:bookmarkEnd w:id="413"/>
    </w:p>
    <w:p w14:paraId="2F55A071" w14:textId="7E3B08CB" w:rsidR="00FB7178" w:rsidRPr="004E4274" w:rsidRDefault="00FB7178" w:rsidP="0002537E">
      <w:pPr>
        <w:pStyle w:val="ValrieN2"/>
        <w:ind w:left="0"/>
      </w:pPr>
      <w:r>
        <w:rPr>
          <w:b w:val="0"/>
        </w:rPr>
        <w:t>Le</w:t>
      </w:r>
      <w:r w:rsidR="00765A0A">
        <w:rPr>
          <w:b w:val="0"/>
        </w:rPr>
        <w:t>s données confirment par ailleurs que le</w:t>
      </w:r>
      <w:r w:rsidRPr="00A50150">
        <w:rPr>
          <w:b w:val="0"/>
        </w:rPr>
        <w:t xml:space="preserve"> porc est pour </w:t>
      </w:r>
      <w:r>
        <w:rPr>
          <w:b w:val="0"/>
        </w:rPr>
        <w:t>plus des deux tiers</w:t>
      </w:r>
      <w:r w:rsidRPr="00A50150">
        <w:rPr>
          <w:b w:val="0"/>
        </w:rPr>
        <w:t xml:space="preserve"> consommé sous forme transformée </w:t>
      </w:r>
      <w:r>
        <w:rPr>
          <w:b w:val="0"/>
        </w:rPr>
        <w:t xml:space="preserve">en charcuterie salaison </w:t>
      </w:r>
      <w:r w:rsidRPr="00A50150">
        <w:rPr>
          <w:b w:val="0"/>
        </w:rPr>
        <w:t xml:space="preserve">avec </w:t>
      </w:r>
      <w:r>
        <w:rPr>
          <w:b w:val="0"/>
        </w:rPr>
        <w:t>en particulier</w:t>
      </w:r>
      <w:r w:rsidRPr="004C4AEC">
        <w:rPr>
          <w:b w:val="0"/>
        </w:rPr>
        <w:t xml:space="preserve"> </w:t>
      </w:r>
      <w:r w:rsidRPr="00A50150">
        <w:rPr>
          <w:b w:val="0"/>
        </w:rPr>
        <w:t>une très grande diversité de produits</w:t>
      </w:r>
      <w:r>
        <w:rPr>
          <w:b w:val="0"/>
        </w:rPr>
        <w:t xml:space="preserve"> de charcuterie</w:t>
      </w:r>
      <w:r w:rsidRPr="00A50150">
        <w:rPr>
          <w:b w:val="0"/>
        </w:rPr>
        <w:t>. Ce</w:t>
      </w:r>
      <w:r>
        <w:rPr>
          <w:b w:val="0"/>
        </w:rPr>
        <w:t xml:space="preserve"> point</w:t>
      </w:r>
      <w:r w:rsidRPr="00A50150">
        <w:rPr>
          <w:b w:val="0"/>
        </w:rPr>
        <w:t xml:space="preserve"> constitue un </w:t>
      </w:r>
      <w:r>
        <w:rPr>
          <w:b w:val="0"/>
        </w:rPr>
        <w:t xml:space="preserve">facteur important et de nature à favoriser à la fois l’équilibre matière et la valorisation </w:t>
      </w:r>
      <w:r w:rsidRPr="00A50150">
        <w:rPr>
          <w:b w:val="0"/>
        </w:rPr>
        <w:t xml:space="preserve">de l’ensemble des </w:t>
      </w:r>
      <w:r>
        <w:rPr>
          <w:b w:val="0"/>
        </w:rPr>
        <w:t>pièces</w:t>
      </w:r>
      <w:r w:rsidRPr="00A50150">
        <w:rPr>
          <w:b w:val="0"/>
        </w:rPr>
        <w:t xml:space="preserve"> de découpe</w:t>
      </w:r>
      <w:r>
        <w:rPr>
          <w:b w:val="0"/>
        </w:rPr>
        <w:t>. Cependant, l’évaluation de la destination des coproduits issus de la transformation des pièces de découpe primaires en produits de mélange est difficile à approcher</w:t>
      </w:r>
      <w:r w:rsidRPr="00A50150">
        <w:rPr>
          <w:b w:val="0"/>
        </w:rPr>
        <w:t>.</w:t>
      </w:r>
      <w:r w:rsidR="004B5EF3">
        <w:rPr>
          <w:b w:val="0"/>
        </w:rPr>
        <w:t xml:space="preserve"> </w:t>
      </w:r>
      <w:r w:rsidRPr="0002537E">
        <w:rPr>
          <w:b w:val="0"/>
        </w:rPr>
        <w:t>L’enquête à dire d’expert a mis en évidence le fait que les produits de mélange de la charcuterie font l’objet d’une relative variabilité de leur formulation au regard de la disponibilité du minerai et des gras. Ces variations sont à rapprocher en particulier des fluctuations de la demande avec dans une approche multifactorielle : pression à l’exportation en gras, saisonnalité en salaison, activité promotionnelle.</w:t>
      </w:r>
    </w:p>
    <w:p w14:paraId="02F8CA9F" w14:textId="1C771434" w:rsidR="00FB7178" w:rsidRDefault="00FB7178" w:rsidP="004B5EF3">
      <w:pPr>
        <w:spacing w:after="120"/>
      </w:pPr>
      <w:r>
        <w:t>Cependant, il est possible de dégager plusieurs typ</w:t>
      </w:r>
      <w:r w:rsidR="004B5EF3">
        <w:t>es</w:t>
      </w:r>
      <w:r>
        <w:t xml:space="preserve"> d</w:t>
      </w:r>
      <w:r w:rsidR="004B5EF3">
        <w:t>e</w:t>
      </w:r>
      <w:r>
        <w:t xml:space="preserve"> mélanges </w:t>
      </w:r>
      <w:r w:rsidR="004B5EF3">
        <w:t xml:space="preserve">maigre et gras </w:t>
      </w:r>
      <w:r>
        <w:t>relativement standardisés. Le gras est issu de g</w:t>
      </w:r>
      <w:r w:rsidRPr="00733C92">
        <w:t>ras dur (col,</w:t>
      </w:r>
      <w:r>
        <w:t xml:space="preserve"> </w:t>
      </w:r>
      <w:r w:rsidRPr="00733C92">
        <w:t>bardière)</w:t>
      </w:r>
      <w:r w:rsidR="004B5EF3">
        <w:t xml:space="preserve"> ou de</w:t>
      </w:r>
      <w:r>
        <w:t xml:space="preserve"> g</w:t>
      </w:r>
      <w:r w:rsidRPr="00733C92">
        <w:t>ras mou (mouille de jambon, mouille de poitrine)</w:t>
      </w:r>
      <w:r>
        <w:t xml:space="preserve"> </w:t>
      </w:r>
      <w:r w:rsidR="004B5EF3">
        <w:t>et vient</w:t>
      </w:r>
      <w:r>
        <w:t xml:space="preserve"> compléter une fraction </w:t>
      </w:r>
      <w:r w:rsidR="004B5EF3">
        <w:t xml:space="preserve">de </w:t>
      </w:r>
      <w:r>
        <w:t>maigre issu des parures</w:t>
      </w:r>
      <w:r w:rsidR="004B5EF3">
        <w:t xml:space="preserve"> de découpe</w:t>
      </w:r>
      <w:r>
        <w:t>. Les mélanges suivants sont</w:t>
      </w:r>
      <w:r w:rsidR="004B5EF3">
        <w:t xml:space="preserve"> ainsi</w:t>
      </w:r>
      <w:r>
        <w:t xml:space="preserve"> retrouvés soient : m</w:t>
      </w:r>
      <w:r w:rsidRPr="00733C92">
        <w:t>aigre</w:t>
      </w:r>
      <w:r>
        <w:t xml:space="preserve"> </w:t>
      </w:r>
      <w:r w:rsidRPr="00733C92">
        <w:t>90/10 (parure de longe),</w:t>
      </w:r>
      <w:r>
        <w:t xml:space="preserve"> m</w:t>
      </w:r>
      <w:r w:rsidRPr="00733C92">
        <w:t>aigre 80/20 (parure d’</w:t>
      </w:r>
      <w:r>
        <w:t>é</w:t>
      </w:r>
      <w:r w:rsidRPr="00733C92">
        <w:t>paule, de longe</w:t>
      </w:r>
      <w:r>
        <w:t>, de poitrine</w:t>
      </w:r>
      <w:r w:rsidRPr="00733C92">
        <w:t xml:space="preserve">), </w:t>
      </w:r>
      <w:r>
        <w:t>m</w:t>
      </w:r>
      <w:r w:rsidRPr="00733C92">
        <w:t>aigre 70/30 (parure de jambon, parure d'épaule, parure de longe)</w:t>
      </w:r>
      <w:r>
        <w:t xml:space="preserve"> et m</w:t>
      </w:r>
      <w:r w:rsidRPr="00733C92">
        <w:t>aigre 60/40 (parure de jambon, de poitrine).</w:t>
      </w:r>
    </w:p>
    <w:tbl>
      <w:tblPr>
        <w:tblW w:w="8364" w:type="dxa"/>
        <w:jc w:val="center"/>
        <w:tblCellMar>
          <w:left w:w="70" w:type="dxa"/>
          <w:right w:w="70" w:type="dxa"/>
        </w:tblCellMar>
        <w:tblLook w:val="04A0" w:firstRow="1" w:lastRow="0" w:firstColumn="1" w:lastColumn="0" w:noHBand="0" w:noVBand="1"/>
      </w:tblPr>
      <w:tblGrid>
        <w:gridCol w:w="6663"/>
        <w:gridCol w:w="1701"/>
      </w:tblGrid>
      <w:tr w:rsidR="004B5EF3" w:rsidRPr="004B5EF3" w14:paraId="331AE5AD"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819FD16"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Saucisses et saucissons secs</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80F040B"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80/20</w:t>
            </w:r>
          </w:p>
        </w:tc>
      </w:tr>
      <w:tr w:rsidR="004B5EF3" w:rsidRPr="004B5EF3" w14:paraId="763DF874"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9E9E2DC"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Saucissons cuits et à cuire (cervelas, mortadelle, saucissons cuits)</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CB0D091"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70/30</w:t>
            </w:r>
          </w:p>
        </w:tc>
      </w:tr>
      <w:tr w:rsidR="004B5EF3" w:rsidRPr="004B5EF3" w14:paraId="3682BE1F"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27179AB" w14:textId="77777777" w:rsidR="004B5EF3" w:rsidRPr="004B5EF3" w:rsidRDefault="004B5EF3">
            <w:pPr>
              <w:spacing w:after="0" w:line="240" w:lineRule="auto"/>
              <w:jc w:val="left"/>
              <w:rPr>
                <w:rFonts w:eastAsia="Times New Roman" w:cs="Arial"/>
                <w:color w:val="000000"/>
                <w:sz w:val="20"/>
                <w:szCs w:val="20"/>
                <w:lang w:eastAsia="fr-FR"/>
              </w:rPr>
            </w:pPr>
            <w:r w:rsidRPr="004B5EF3">
              <w:rPr>
                <w:rFonts w:eastAsia="Times New Roman" w:cs="Arial"/>
                <w:color w:val="000000"/>
                <w:sz w:val="20"/>
                <w:szCs w:val="20"/>
                <w:lang w:eastAsia="fr-FR"/>
              </w:rPr>
              <w:t>Saucisses cuites et à cuire</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65574F5"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70/31</w:t>
            </w:r>
          </w:p>
        </w:tc>
      </w:tr>
      <w:tr w:rsidR="004B5EF3" w:rsidRPr="004B5EF3" w14:paraId="37BC2D0E"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F5F6146" w14:textId="1480D55F" w:rsidR="004B5EF3" w:rsidRPr="004B5EF3" w:rsidRDefault="004B5EF3">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Dont s</w:t>
            </w:r>
            <w:r w:rsidRPr="004B5EF3">
              <w:rPr>
                <w:rFonts w:eastAsia="Times New Roman" w:cs="Arial"/>
                <w:color w:val="000000"/>
                <w:sz w:val="20"/>
                <w:szCs w:val="20"/>
                <w:lang w:eastAsia="fr-FR"/>
              </w:rPr>
              <w:t xml:space="preserve">aucisses à pâtes fines </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923A6A1"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60/40</w:t>
            </w:r>
          </w:p>
        </w:tc>
      </w:tr>
      <w:tr w:rsidR="004B5EF3" w:rsidRPr="004B5EF3" w14:paraId="2135005B"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9193F43" w14:textId="64AA1844" w:rsidR="004B5EF3" w:rsidRPr="004B5EF3" w:rsidRDefault="004B5EF3">
            <w:pPr>
              <w:spacing w:after="0" w:line="240" w:lineRule="auto"/>
              <w:jc w:val="right"/>
              <w:rPr>
                <w:rFonts w:eastAsia="Times New Roman" w:cs="Arial"/>
                <w:color w:val="000000"/>
                <w:sz w:val="20"/>
                <w:szCs w:val="20"/>
                <w:lang w:eastAsia="fr-FR"/>
              </w:rPr>
            </w:pPr>
            <w:r>
              <w:rPr>
                <w:rFonts w:eastAsia="Times New Roman" w:cs="Arial"/>
                <w:color w:val="000000"/>
                <w:sz w:val="20"/>
                <w:szCs w:val="20"/>
                <w:lang w:eastAsia="fr-FR"/>
              </w:rPr>
              <w:t>Dont s</w:t>
            </w:r>
            <w:r w:rsidRPr="004B5EF3">
              <w:rPr>
                <w:rFonts w:eastAsia="Times New Roman" w:cs="Arial"/>
                <w:color w:val="000000"/>
                <w:sz w:val="20"/>
                <w:szCs w:val="20"/>
                <w:lang w:eastAsia="fr-FR"/>
              </w:rPr>
              <w:t xml:space="preserve">aucisses gros hachage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89CCAA0"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70/30</w:t>
            </w:r>
          </w:p>
        </w:tc>
      </w:tr>
      <w:tr w:rsidR="004B5EF3" w:rsidRPr="004B5EF3" w14:paraId="1A1D203B"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9F2ECF7"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 xml:space="preserve">Pâtés et préparations à base de foie </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77978D3"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70/31</w:t>
            </w:r>
          </w:p>
        </w:tc>
      </w:tr>
      <w:tr w:rsidR="004B5EF3" w:rsidRPr="004B5EF3" w14:paraId="5BAAA784"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A6A2849"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 xml:space="preserve">Pâtés autres que de foie </w:t>
            </w:r>
          </w:p>
        </w:tc>
        <w:tc>
          <w:tcPr>
            <w:tcW w:w="1701"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59862D9"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70/32</w:t>
            </w:r>
          </w:p>
        </w:tc>
      </w:tr>
      <w:tr w:rsidR="004B5EF3" w:rsidRPr="004B5EF3" w14:paraId="468BA4FC" w14:textId="77777777" w:rsidTr="0002537E">
        <w:trPr>
          <w:jc w:val="center"/>
        </w:trPr>
        <w:tc>
          <w:tcPr>
            <w:tcW w:w="666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262230E"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 xml:space="preserve">Saucisserie </w:t>
            </w:r>
          </w:p>
        </w:tc>
        <w:tc>
          <w:tcPr>
            <w:tcW w:w="1701"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9E7A401" w14:textId="77777777" w:rsidR="004B5EF3" w:rsidRPr="004B5EF3" w:rsidRDefault="004B5EF3">
            <w:pPr>
              <w:spacing w:after="0" w:line="240" w:lineRule="auto"/>
              <w:jc w:val="left"/>
              <w:rPr>
                <w:rFonts w:ascii="Calibri" w:eastAsia="Times New Roman" w:hAnsi="Calibri" w:cs="Calibri"/>
                <w:color w:val="000000"/>
                <w:lang w:eastAsia="fr-FR"/>
              </w:rPr>
            </w:pPr>
            <w:r w:rsidRPr="004B5EF3">
              <w:rPr>
                <w:rFonts w:ascii="Calibri" w:eastAsia="Times New Roman" w:hAnsi="Calibri" w:cs="Calibri"/>
                <w:color w:val="000000"/>
                <w:lang w:eastAsia="fr-FR"/>
              </w:rPr>
              <w:t>Maigre 80/20</w:t>
            </w:r>
          </w:p>
        </w:tc>
      </w:tr>
    </w:tbl>
    <w:p w14:paraId="16E6152D" w14:textId="45FD7B2A" w:rsidR="004B5EF3" w:rsidRPr="00B12329" w:rsidRDefault="004B5EF3" w:rsidP="0002537E">
      <w:pPr>
        <w:pStyle w:val="figure"/>
      </w:pPr>
      <w:r w:rsidRPr="00B12329">
        <w:t xml:space="preserve">Figure </w:t>
      </w:r>
      <w:r w:rsidR="00E27D6E">
        <w:fldChar w:fldCharType="begin"/>
      </w:r>
      <w:r w:rsidR="00E27D6E">
        <w:instrText xml:space="preserve"> SEQ Figure \* ARABIC </w:instrText>
      </w:r>
      <w:r w:rsidR="00E27D6E">
        <w:fldChar w:fldCharType="separate"/>
      </w:r>
      <w:r w:rsidR="0007597F">
        <w:rPr>
          <w:noProof/>
        </w:rPr>
        <w:t>45</w:t>
      </w:r>
      <w:r w:rsidR="00E27D6E">
        <w:rPr>
          <w:noProof/>
        </w:rPr>
        <w:fldChar w:fldCharType="end"/>
      </w:r>
      <w:r w:rsidR="007350E8">
        <w:t xml:space="preserve"> : </w:t>
      </w:r>
      <w:r w:rsidRPr="00B12329">
        <w:t xml:space="preserve">Illustration de la destination en charcuterie de mélanges standardisés </w:t>
      </w:r>
    </w:p>
    <w:p w14:paraId="596EC0FE" w14:textId="77777777" w:rsidR="007350E8" w:rsidRDefault="007350E8" w:rsidP="008C6611">
      <w:pPr>
        <w:pStyle w:val="ValrieN2"/>
        <w:ind w:left="0"/>
        <w:rPr>
          <w:b w:val="0"/>
        </w:rPr>
      </w:pPr>
    </w:p>
    <w:p w14:paraId="3C0273E1" w14:textId="72A25A4A" w:rsidR="00765A0A" w:rsidRDefault="00733C92" w:rsidP="008C6611">
      <w:pPr>
        <w:pStyle w:val="ValrieN2"/>
        <w:ind w:left="0"/>
        <w:rPr>
          <w:b w:val="0"/>
        </w:rPr>
      </w:pPr>
      <w:r>
        <w:rPr>
          <w:b w:val="0"/>
        </w:rPr>
        <w:t>Enfin pour ce qui concerne les abats, les données sont trop parcellaires pour pouvoir être analysées de manière fine et une investigation plus poussée serait nécessaire</w:t>
      </w:r>
      <w:r w:rsidR="00E60BF5">
        <w:rPr>
          <w:b w:val="0"/>
        </w:rPr>
        <w:t xml:space="preserve">. </w:t>
      </w:r>
    </w:p>
    <w:p w14:paraId="4FC2F34E" w14:textId="19487464" w:rsidR="00E60BF5" w:rsidRPr="00E60BF5" w:rsidRDefault="00765A0A" w:rsidP="00A63F35">
      <w:pPr>
        <w:pStyle w:val="Titre2"/>
        <w:numPr>
          <w:ilvl w:val="0"/>
          <w:numId w:val="0"/>
        </w:numPr>
        <w:ind w:left="568"/>
      </w:pPr>
      <w:bookmarkStart w:id="414" w:name="_Toc78131709"/>
      <w:r>
        <w:t xml:space="preserve">2.8. </w:t>
      </w:r>
      <w:r w:rsidR="00E60BF5" w:rsidRPr="00E60BF5">
        <w:t>Ventilation des volumes de consommation par mode de conservation</w:t>
      </w:r>
      <w:bookmarkEnd w:id="414"/>
    </w:p>
    <w:p w14:paraId="29854D33" w14:textId="78DA843D" w:rsidR="00E60BF5" w:rsidRPr="0002537E" w:rsidRDefault="00E60BF5" w:rsidP="0002537E">
      <w:pPr>
        <w:pStyle w:val="ValrieN2"/>
        <w:ind w:left="0"/>
        <w:rPr>
          <w:b w:val="0"/>
        </w:rPr>
      </w:pPr>
      <w:r w:rsidRPr="0002537E">
        <w:rPr>
          <w:b w:val="0"/>
        </w:rPr>
        <w:t xml:space="preserve">La viande de porc </w:t>
      </w:r>
      <w:r>
        <w:rPr>
          <w:b w:val="0"/>
        </w:rPr>
        <w:t xml:space="preserve">est </w:t>
      </w:r>
      <w:r w:rsidRPr="0002537E">
        <w:rPr>
          <w:b w:val="0"/>
        </w:rPr>
        <w:t xml:space="preserve">majoritairement </w:t>
      </w:r>
      <w:r>
        <w:rPr>
          <w:b w:val="0"/>
        </w:rPr>
        <w:t xml:space="preserve">portée par des </w:t>
      </w:r>
      <w:r w:rsidRPr="0002537E">
        <w:rPr>
          <w:b w:val="0"/>
        </w:rPr>
        <w:t xml:space="preserve">produits frais (&gt;90%). Le surgelé représenterait moins de 5% des volumes </w:t>
      </w:r>
      <w:r>
        <w:rPr>
          <w:b w:val="0"/>
        </w:rPr>
        <w:t xml:space="preserve">tous circuits. Comme vu plus haut, il est très marginal en consommation à domicile, sa présence est limitée aux circuits de la consommation </w:t>
      </w:r>
      <w:r w:rsidRPr="0002537E">
        <w:rPr>
          <w:b w:val="0"/>
        </w:rPr>
        <w:t>hors domicile</w:t>
      </w:r>
      <w:r>
        <w:rPr>
          <w:b w:val="0"/>
        </w:rPr>
        <w:t xml:space="preserve"> au travers de gammes courtes en provenance de l’importation. </w:t>
      </w:r>
    </w:p>
    <w:p w14:paraId="79EF5E69" w14:textId="468CA9B1" w:rsidR="00E60BF5" w:rsidRPr="0002537E" w:rsidRDefault="00E60BF5" w:rsidP="0002537E">
      <w:pPr>
        <w:pStyle w:val="ValrieN2"/>
        <w:ind w:left="0"/>
        <w:rPr>
          <w:b w:val="0"/>
        </w:rPr>
      </w:pPr>
      <w:r>
        <w:rPr>
          <w:b w:val="0"/>
        </w:rPr>
        <w:t>Par ailleurs en</w:t>
      </w:r>
      <w:r w:rsidRPr="0002537E">
        <w:rPr>
          <w:b w:val="0"/>
        </w:rPr>
        <w:t xml:space="preserve"> charcuterie, </w:t>
      </w:r>
      <w:r>
        <w:rPr>
          <w:b w:val="0"/>
        </w:rPr>
        <w:t>au regard du frein technologique à la conservation en surgelés des produits de charcuterie, l’offre se présente sous la forme de</w:t>
      </w:r>
      <w:r w:rsidRPr="0002537E">
        <w:rPr>
          <w:b w:val="0"/>
        </w:rPr>
        <w:t xml:space="preserve"> produits frais (&gt;90%)</w:t>
      </w:r>
      <w:r>
        <w:rPr>
          <w:b w:val="0"/>
        </w:rPr>
        <w:t xml:space="preserve">, </w:t>
      </w:r>
      <w:r w:rsidRPr="0002537E">
        <w:rPr>
          <w:b w:val="0"/>
        </w:rPr>
        <w:t xml:space="preserve">le surgelé </w:t>
      </w:r>
      <w:r>
        <w:rPr>
          <w:b w:val="0"/>
        </w:rPr>
        <w:t>représente moi</w:t>
      </w:r>
      <w:r w:rsidR="00905EAE">
        <w:rPr>
          <w:b w:val="0"/>
        </w:rPr>
        <w:t>n</w:t>
      </w:r>
      <w:r>
        <w:rPr>
          <w:b w:val="0"/>
        </w:rPr>
        <w:t>s</w:t>
      </w:r>
      <w:r w:rsidR="00905EAE">
        <w:rPr>
          <w:b w:val="0"/>
        </w:rPr>
        <w:t xml:space="preserve"> </w:t>
      </w:r>
      <w:r>
        <w:rPr>
          <w:b w:val="0"/>
        </w:rPr>
        <w:t>de 5% du marché en volume au travers de</w:t>
      </w:r>
      <w:r w:rsidRPr="0002537E">
        <w:rPr>
          <w:b w:val="0"/>
        </w:rPr>
        <w:t xml:space="preserve"> saucisses gros hachage (&gt;35%), pâtés (&lt;30%), salaison cuite (&lt;20%).</w:t>
      </w:r>
      <w:r>
        <w:rPr>
          <w:b w:val="0"/>
        </w:rPr>
        <w:t xml:space="preserve"> De même qu’en viande, la destination de ces produits est essentiellement reliée à une consommation sur les marchés du hors domicile. </w:t>
      </w:r>
    </w:p>
    <w:p w14:paraId="5B850AB8" w14:textId="17CC898C" w:rsidR="002A49AA" w:rsidRPr="0002537E" w:rsidRDefault="00E60BF5" w:rsidP="0002537E">
      <w:pPr>
        <w:pStyle w:val="ValrieN2"/>
        <w:ind w:left="0"/>
        <w:rPr>
          <w:b w:val="0"/>
        </w:rPr>
      </w:pPr>
      <w:r>
        <w:rPr>
          <w:b w:val="0"/>
        </w:rPr>
        <w:lastRenderedPageBreak/>
        <w:t xml:space="preserve">Enfin, les produits </w:t>
      </w:r>
      <w:r w:rsidRPr="0002537E">
        <w:rPr>
          <w:b w:val="0"/>
        </w:rPr>
        <w:t>appertisé</w:t>
      </w:r>
      <w:r>
        <w:rPr>
          <w:b w:val="0"/>
        </w:rPr>
        <w:t>s</w:t>
      </w:r>
      <w:r w:rsidRPr="0002537E">
        <w:rPr>
          <w:b w:val="0"/>
        </w:rPr>
        <w:t xml:space="preserve"> </w:t>
      </w:r>
      <w:r>
        <w:rPr>
          <w:b w:val="0"/>
        </w:rPr>
        <w:t xml:space="preserve">de charcuterie représentent également moins de 5% du marché et s’expriment au travers de la catégorie des </w:t>
      </w:r>
      <w:r w:rsidRPr="0002537E">
        <w:rPr>
          <w:b w:val="0"/>
        </w:rPr>
        <w:t xml:space="preserve">pâtés notamment </w:t>
      </w:r>
      <w:r>
        <w:rPr>
          <w:b w:val="0"/>
        </w:rPr>
        <w:t xml:space="preserve">issus </w:t>
      </w:r>
      <w:r w:rsidRPr="0002537E">
        <w:rPr>
          <w:b w:val="0"/>
        </w:rPr>
        <w:t xml:space="preserve">de fabricants régionaux </w:t>
      </w:r>
      <w:r>
        <w:rPr>
          <w:b w:val="0"/>
        </w:rPr>
        <w:t xml:space="preserve">pour une consommation </w:t>
      </w:r>
      <w:r w:rsidRPr="0002537E">
        <w:rPr>
          <w:b w:val="0"/>
        </w:rPr>
        <w:t>à domicile.</w:t>
      </w:r>
    </w:p>
    <w:p w14:paraId="4FD41E7A" w14:textId="2FAB7F22" w:rsidR="001323C5" w:rsidRPr="00E60BF5" w:rsidRDefault="00765A0A" w:rsidP="00A63F35">
      <w:pPr>
        <w:pStyle w:val="Titre2"/>
        <w:numPr>
          <w:ilvl w:val="0"/>
          <w:numId w:val="0"/>
        </w:numPr>
        <w:ind w:left="568"/>
      </w:pPr>
      <w:bookmarkStart w:id="415" w:name="_Toc78131710"/>
      <w:r>
        <w:t xml:space="preserve">2.9. </w:t>
      </w:r>
      <w:r w:rsidR="00E60BF5" w:rsidRPr="00E60BF5">
        <w:t xml:space="preserve">Approche comparative </w:t>
      </w:r>
      <w:r w:rsidR="00C51AE3">
        <w:t xml:space="preserve">entre espèces </w:t>
      </w:r>
      <w:r w:rsidR="00E60BF5" w:rsidRPr="00E60BF5">
        <w:t>de la part des circuits dans la consommation finale</w:t>
      </w:r>
      <w:bookmarkEnd w:id="415"/>
    </w:p>
    <w:p w14:paraId="1EF0ADFB" w14:textId="7D3C6BB4" w:rsidR="00E60BF5" w:rsidRDefault="00E60BF5" w:rsidP="00E60BF5">
      <w:pPr>
        <w:pStyle w:val="ValrieN2"/>
        <w:ind w:left="0"/>
        <w:rPr>
          <w:b w:val="0"/>
        </w:rPr>
      </w:pPr>
      <w:r w:rsidRPr="0002537E">
        <w:rPr>
          <w:b w:val="0"/>
        </w:rPr>
        <w:t>Le porc, avec un poids important de ses volumes à domicile (env. 80%) notamment en grandes surfaces (on line inclus), n’a pas bénéficié en 2018 des opportunités de relais de croissance qu’offre la restauration hors domicile.</w:t>
      </w:r>
      <w:r>
        <w:rPr>
          <w:b w:val="0"/>
        </w:rPr>
        <w:t xml:space="preserve"> </w:t>
      </w:r>
      <w:r w:rsidRPr="0002537E">
        <w:rPr>
          <w:b w:val="0"/>
        </w:rPr>
        <w:t>Ainsi selon KWp, le recul à domicile en bovin (-10% 19/14) et dans une moindre mesure en volaille (-1% 19/14) est en partie compensé par le développement de la restauration hors domicile et des produits traiteurs.</w:t>
      </w:r>
    </w:p>
    <w:p w14:paraId="6E7AC7DE" w14:textId="1E251D4A" w:rsidR="00C51AE3" w:rsidRDefault="004B5EF3" w:rsidP="0002537E">
      <w:pPr>
        <w:pStyle w:val="ValrieN2"/>
        <w:ind w:left="0"/>
        <w:jc w:val="center"/>
        <w:rPr>
          <w:b w:val="0"/>
        </w:rPr>
      </w:pPr>
      <w:r>
        <w:rPr>
          <w:noProof/>
        </w:rPr>
        <w:drawing>
          <wp:inline distT="0" distB="0" distL="0" distR="0" wp14:anchorId="5D68FABE" wp14:editId="7E3B4D41">
            <wp:extent cx="5266944" cy="3021178"/>
            <wp:effectExtent l="0" t="0" r="0" b="8255"/>
            <wp:docPr id="477" name="Graphique 477">
              <a:extLst xmlns:a="http://schemas.openxmlformats.org/drawingml/2006/main">
                <a:ext uri="{FF2B5EF4-FFF2-40B4-BE49-F238E27FC236}">
                  <a16:creationId xmlns:a16="http://schemas.microsoft.com/office/drawing/2014/main" id="{4774FD65-35C9-412C-A767-8FC8681796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14:paraId="3285D16E" w14:textId="416FE66D" w:rsidR="007350E8" w:rsidRDefault="004B5EF3" w:rsidP="0002537E">
      <w:pPr>
        <w:pStyle w:val="figure"/>
      </w:pPr>
      <w:r w:rsidRPr="004B5EF3">
        <w:t xml:space="preserve">Figure </w:t>
      </w:r>
      <w:r w:rsidRPr="00D54EC4">
        <w:fldChar w:fldCharType="begin"/>
      </w:r>
      <w:r w:rsidRPr="004B5EF3">
        <w:instrText xml:space="preserve"> SEQ Figure \* ARABIC </w:instrText>
      </w:r>
      <w:r w:rsidRPr="00D54EC4">
        <w:fldChar w:fldCharType="separate"/>
      </w:r>
      <w:r w:rsidR="0007597F">
        <w:rPr>
          <w:i/>
          <w:noProof/>
        </w:rPr>
        <w:t>46</w:t>
      </w:r>
      <w:r w:rsidRPr="00D54EC4">
        <w:fldChar w:fldCharType="end"/>
      </w:r>
      <w:r w:rsidR="007350E8">
        <w:rPr>
          <w:i/>
        </w:rPr>
        <w:t xml:space="preserve"> : </w:t>
      </w:r>
      <w:r w:rsidRPr="004B5EF3">
        <w:t>Estimation de la ventilation des volumes de consommation par type de pièce primaire mélange inclus par circuit (en %)</w:t>
      </w:r>
      <w:r w:rsidR="007350E8">
        <w:rPr>
          <w:i/>
        </w:rPr>
        <w:br w:type="page"/>
      </w:r>
    </w:p>
    <w:p w14:paraId="212132F7" w14:textId="5C6843BF" w:rsidR="00733C92" w:rsidRDefault="00765A0A" w:rsidP="0002537E">
      <w:pPr>
        <w:pStyle w:val="Titre1"/>
      </w:pPr>
      <w:bookmarkStart w:id="416" w:name="_Toc78131711"/>
      <w:r>
        <w:lastRenderedPageBreak/>
        <w:t xml:space="preserve">3. </w:t>
      </w:r>
      <w:r w:rsidR="00E60BF5">
        <w:t>Approche de formalisation d’une méthode d’analyse des flux de la consommation des produits du porc</w:t>
      </w:r>
      <w:bookmarkEnd w:id="416"/>
      <w:r w:rsidR="00E60BF5">
        <w:t xml:space="preserve"> </w:t>
      </w:r>
    </w:p>
    <w:p w14:paraId="46BE566B" w14:textId="40614BDA" w:rsidR="00E60BF5" w:rsidRPr="0002537E" w:rsidRDefault="00C51AE3" w:rsidP="00A63F35">
      <w:pPr>
        <w:pStyle w:val="Titre2"/>
        <w:numPr>
          <w:ilvl w:val="0"/>
          <w:numId w:val="0"/>
        </w:numPr>
        <w:ind w:left="568"/>
      </w:pPr>
      <w:bookmarkStart w:id="417" w:name="_Toc78131712"/>
      <w:r w:rsidRPr="00926407">
        <w:t xml:space="preserve">3.1. </w:t>
      </w:r>
      <w:r w:rsidR="005572C5" w:rsidRPr="00D54EC4">
        <w:t>Rappel des données de cadrage générales de la démarche</w:t>
      </w:r>
      <w:bookmarkEnd w:id="417"/>
      <w:r w:rsidR="005572C5" w:rsidRPr="00D54EC4">
        <w:t xml:space="preserve"> </w:t>
      </w:r>
    </w:p>
    <w:p w14:paraId="649BA0E2" w14:textId="105B7B52" w:rsidR="00C51AE3" w:rsidRPr="00B12329" w:rsidRDefault="00C51AE3" w:rsidP="00C51AE3">
      <w:pPr>
        <w:pStyle w:val="Bilantextenormal"/>
        <w:rPr>
          <w:rFonts w:cs="Arial"/>
          <w:color w:val="auto"/>
          <w:w w:val="100"/>
          <w:sz w:val="22"/>
          <w:szCs w:val="22"/>
        </w:rPr>
      </w:pPr>
      <w:r w:rsidRPr="00B12329">
        <w:rPr>
          <w:rFonts w:cs="Arial"/>
          <w:color w:val="auto"/>
          <w:w w:val="100"/>
          <w:sz w:val="22"/>
          <w:szCs w:val="22"/>
        </w:rPr>
        <w:t xml:space="preserve">Ce travail a visé à identifier, caractériser et quantifier les flux des produits du porc, depuis l’abattage jusqu’à la consommation humaine. Il s’est agi de segmenter ces flux au sein du système </w:t>
      </w:r>
      <w:r w:rsidR="005572C5" w:rsidRPr="00B12329">
        <w:rPr>
          <w:rFonts w:cs="Arial"/>
          <w:color w:val="auto"/>
          <w:w w:val="100"/>
          <w:sz w:val="22"/>
          <w:szCs w:val="22"/>
        </w:rPr>
        <w:t xml:space="preserve">défini au départ en ayant une approche centrée </w:t>
      </w:r>
      <w:r w:rsidRPr="00B12329">
        <w:rPr>
          <w:rFonts w:cs="Arial"/>
          <w:color w:val="auto"/>
          <w:w w:val="100"/>
          <w:sz w:val="22"/>
          <w:szCs w:val="22"/>
        </w:rPr>
        <w:t>par typologie de pièce primaire et tenant compte de trois voies</w:t>
      </w:r>
      <w:r w:rsidR="00F90568">
        <w:rPr>
          <w:rFonts w:cs="Arial"/>
          <w:color w:val="auto"/>
          <w:w w:val="100"/>
          <w:sz w:val="22"/>
          <w:szCs w:val="22"/>
        </w:rPr>
        <w:t xml:space="preserve"> </w:t>
      </w:r>
      <w:r w:rsidRPr="00B12329">
        <w:rPr>
          <w:rFonts w:cs="Arial"/>
          <w:color w:val="auto"/>
          <w:w w:val="100"/>
          <w:sz w:val="22"/>
          <w:szCs w:val="22"/>
        </w:rPr>
        <w:t>de d</w:t>
      </w:r>
      <w:r w:rsidR="005572C5" w:rsidRPr="00B12329">
        <w:rPr>
          <w:rFonts w:cs="Arial"/>
          <w:color w:val="auto"/>
          <w:w w:val="100"/>
          <w:sz w:val="22"/>
          <w:szCs w:val="22"/>
        </w:rPr>
        <w:t>e</w:t>
      </w:r>
      <w:r w:rsidRPr="00B12329">
        <w:rPr>
          <w:rFonts w:cs="Arial"/>
          <w:color w:val="auto"/>
          <w:w w:val="100"/>
          <w:sz w:val="22"/>
          <w:szCs w:val="22"/>
        </w:rPr>
        <w:t xml:space="preserve">stination : la découpe en pièces de viande boucherie, la transformation en salaison et l’incorporation au travers de différents process de fabrication </w:t>
      </w:r>
      <w:r w:rsidR="00F90568">
        <w:rPr>
          <w:rFonts w:cs="Arial"/>
          <w:color w:val="auto"/>
          <w:w w:val="100"/>
          <w:sz w:val="22"/>
          <w:szCs w:val="22"/>
        </w:rPr>
        <w:t>en</w:t>
      </w:r>
      <w:r w:rsidRPr="00B12329">
        <w:rPr>
          <w:rFonts w:cs="Arial"/>
          <w:color w:val="auto"/>
          <w:w w:val="100"/>
          <w:sz w:val="22"/>
          <w:szCs w:val="22"/>
        </w:rPr>
        <w:t xml:space="preserve"> charcuterie</w:t>
      </w:r>
      <w:r w:rsidR="005572C5" w:rsidRPr="00B12329">
        <w:rPr>
          <w:rFonts w:cs="Arial"/>
          <w:color w:val="auto"/>
          <w:w w:val="100"/>
          <w:sz w:val="22"/>
          <w:szCs w:val="22"/>
        </w:rPr>
        <w:t>.</w:t>
      </w:r>
    </w:p>
    <w:p w14:paraId="39F34463" w14:textId="49C67C14" w:rsidR="005572C5" w:rsidRPr="00B12329" w:rsidRDefault="00C51AE3" w:rsidP="00C51AE3">
      <w:pPr>
        <w:pStyle w:val="Bilantextenormal"/>
        <w:spacing w:after="120"/>
        <w:rPr>
          <w:rFonts w:cs="Arial"/>
          <w:color w:val="auto"/>
          <w:w w:val="100"/>
          <w:sz w:val="22"/>
          <w:szCs w:val="22"/>
        </w:rPr>
      </w:pPr>
      <w:r w:rsidRPr="00B12329">
        <w:rPr>
          <w:rFonts w:cs="Arial"/>
          <w:color w:val="auto"/>
          <w:w w:val="100"/>
          <w:sz w:val="22"/>
          <w:szCs w:val="22"/>
        </w:rPr>
        <w:t xml:space="preserve">Ce premier état établi pour l’année 2018, a </w:t>
      </w:r>
      <w:r w:rsidR="005572C5" w:rsidRPr="00B12329">
        <w:rPr>
          <w:rFonts w:cs="Arial"/>
          <w:color w:val="auto"/>
          <w:w w:val="100"/>
          <w:sz w:val="22"/>
          <w:szCs w:val="22"/>
        </w:rPr>
        <w:t>cherché à rapprocher différentes sources de données</w:t>
      </w:r>
      <w:r w:rsidRPr="00B12329">
        <w:rPr>
          <w:rFonts w:cs="Arial"/>
          <w:color w:val="auto"/>
          <w:w w:val="100"/>
          <w:sz w:val="22"/>
          <w:szCs w:val="22"/>
        </w:rPr>
        <w:t xml:space="preserve"> disponibles</w:t>
      </w:r>
      <w:r w:rsidR="005572C5" w:rsidRPr="00B12329">
        <w:rPr>
          <w:rFonts w:cs="Arial"/>
          <w:color w:val="auto"/>
          <w:w w:val="100"/>
          <w:sz w:val="22"/>
          <w:szCs w:val="22"/>
        </w:rPr>
        <w:t xml:space="preserve"> issues d</w:t>
      </w:r>
      <w:r w:rsidR="00F90568">
        <w:rPr>
          <w:rFonts w:cs="Arial"/>
          <w:color w:val="auto"/>
          <w:w w:val="100"/>
          <w:sz w:val="22"/>
          <w:szCs w:val="22"/>
        </w:rPr>
        <w:t xml:space="preserve">’enquêtes et de </w:t>
      </w:r>
      <w:r w:rsidR="005572C5" w:rsidRPr="00B12329">
        <w:rPr>
          <w:rFonts w:cs="Arial"/>
          <w:color w:val="auto"/>
          <w:w w:val="100"/>
          <w:sz w:val="22"/>
          <w:szCs w:val="22"/>
        </w:rPr>
        <w:t>statistiques publiques</w:t>
      </w:r>
      <w:r w:rsidRPr="00B12329">
        <w:rPr>
          <w:rFonts w:cs="Arial"/>
          <w:color w:val="auto"/>
          <w:w w:val="100"/>
          <w:sz w:val="22"/>
          <w:szCs w:val="22"/>
        </w:rPr>
        <w:t xml:space="preserve">. </w:t>
      </w:r>
    </w:p>
    <w:p w14:paraId="2B6101E3" w14:textId="292030A9" w:rsidR="00C51AE3" w:rsidRPr="00B12329" w:rsidRDefault="00C51AE3" w:rsidP="00C51AE3">
      <w:pPr>
        <w:pStyle w:val="Bilantextenormal"/>
        <w:spacing w:after="120"/>
        <w:rPr>
          <w:rFonts w:cs="Arial"/>
          <w:color w:val="auto"/>
          <w:w w:val="100"/>
          <w:sz w:val="22"/>
          <w:szCs w:val="22"/>
        </w:rPr>
      </w:pPr>
      <w:r w:rsidRPr="00B12329">
        <w:rPr>
          <w:rFonts w:cs="Arial"/>
          <w:color w:val="auto"/>
          <w:w w:val="100"/>
          <w:sz w:val="22"/>
          <w:szCs w:val="22"/>
        </w:rPr>
        <w:t xml:space="preserve">La quantification des flux </w:t>
      </w:r>
      <w:r w:rsidR="005572C5" w:rsidRPr="00B12329">
        <w:rPr>
          <w:rFonts w:cs="Arial"/>
          <w:color w:val="auto"/>
          <w:w w:val="100"/>
          <w:sz w:val="22"/>
          <w:szCs w:val="22"/>
        </w:rPr>
        <w:t xml:space="preserve">par type de pièce primaire a été approchée et rendue possible grâce aux apports d’experts </w:t>
      </w:r>
      <w:r w:rsidR="00F90568">
        <w:rPr>
          <w:rFonts w:cs="Arial"/>
          <w:color w:val="auto"/>
          <w:w w:val="100"/>
          <w:sz w:val="22"/>
          <w:szCs w:val="22"/>
        </w:rPr>
        <w:t xml:space="preserve">marché </w:t>
      </w:r>
      <w:r w:rsidR="005572C5" w:rsidRPr="00B12329">
        <w:rPr>
          <w:rFonts w:cs="Arial"/>
          <w:color w:val="auto"/>
          <w:w w:val="100"/>
          <w:sz w:val="22"/>
          <w:szCs w:val="22"/>
        </w:rPr>
        <w:t>et</w:t>
      </w:r>
      <w:r w:rsidR="00F90568">
        <w:rPr>
          <w:rFonts w:cs="Arial"/>
          <w:color w:val="auto"/>
          <w:w w:val="100"/>
          <w:sz w:val="22"/>
          <w:szCs w:val="22"/>
        </w:rPr>
        <w:t xml:space="preserve"> de technologues sur le volet de l’analyse des pertes et des rendements</w:t>
      </w:r>
      <w:r w:rsidRPr="00B12329">
        <w:rPr>
          <w:rFonts w:cs="Arial"/>
          <w:color w:val="auto"/>
          <w:w w:val="100"/>
          <w:sz w:val="22"/>
          <w:szCs w:val="22"/>
        </w:rPr>
        <w:t xml:space="preserve">. Ces flux </w:t>
      </w:r>
      <w:r w:rsidR="005572C5" w:rsidRPr="00B12329">
        <w:rPr>
          <w:rFonts w:cs="Arial"/>
          <w:color w:val="auto"/>
          <w:w w:val="100"/>
          <w:sz w:val="22"/>
          <w:szCs w:val="22"/>
        </w:rPr>
        <w:t xml:space="preserve">ont été </w:t>
      </w:r>
      <w:r w:rsidRPr="00B12329">
        <w:rPr>
          <w:rFonts w:cs="Arial"/>
          <w:color w:val="auto"/>
          <w:w w:val="100"/>
          <w:sz w:val="22"/>
          <w:szCs w:val="22"/>
        </w:rPr>
        <w:t>exprimé</w:t>
      </w:r>
      <w:r w:rsidR="005572C5" w:rsidRPr="00B12329">
        <w:rPr>
          <w:rFonts w:cs="Arial"/>
          <w:color w:val="auto"/>
          <w:w w:val="100"/>
          <w:sz w:val="22"/>
          <w:szCs w:val="22"/>
        </w:rPr>
        <w:t>s</w:t>
      </w:r>
      <w:r w:rsidRPr="00B12329">
        <w:rPr>
          <w:rFonts w:cs="Arial"/>
          <w:color w:val="auto"/>
          <w:w w:val="100"/>
          <w:sz w:val="22"/>
          <w:szCs w:val="22"/>
        </w:rPr>
        <w:t xml:space="preserve"> en masse</w:t>
      </w:r>
      <w:r w:rsidR="005572C5" w:rsidRPr="00B12329">
        <w:rPr>
          <w:rFonts w:cs="Arial"/>
          <w:color w:val="auto"/>
          <w:w w:val="100"/>
          <w:sz w:val="22"/>
          <w:szCs w:val="22"/>
        </w:rPr>
        <w:t xml:space="preserve"> et leur</w:t>
      </w:r>
      <w:r w:rsidRPr="00B12329">
        <w:rPr>
          <w:rFonts w:cs="Arial"/>
          <w:color w:val="auto"/>
          <w:w w:val="100"/>
          <w:sz w:val="22"/>
          <w:szCs w:val="22"/>
        </w:rPr>
        <w:t xml:space="preserve"> photographie </w:t>
      </w:r>
      <w:r w:rsidR="005572C5" w:rsidRPr="00B12329">
        <w:rPr>
          <w:rFonts w:cs="Arial"/>
          <w:color w:val="auto"/>
          <w:w w:val="100"/>
          <w:sz w:val="22"/>
          <w:szCs w:val="22"/>
        </w:rPr>
        <w:t xml:space="preserve">par pièce primaire a été </w:t>
      </w:r>
      <w:r w:rsidR="003167EE">
        <w:rPr>
          <w:rFonts w:cs="Arial"/>
          <w:color w:val="auto"/>
          <w:w w:val="100"/>
          <w:sz w:val="22"/>
          <w:szCs w:val="22"/>
        </w:rPr>
        <w:t xml:space="preserve">formalisé au travers de tableaux emplois ressources et </w:t>
      </w:r>
      <w:r w:rsidRPr="00B12329">
        <w:rPr>
          <w:rFonts w:cs="Arial"/>
          <w:color w:val="auto"/>
          <w:w w:val="100"/>
          <w:sz w:val="22"/>
          <w:szCs w:val="22"/>
        </w:rPr>
        <w:t>illustr</w:t>
      </w:r>
      <w:r w:rsidR="005572C5" w:rsidRPr="00B12329">
        <w:rPr>
          <w:rFonts w:cs="Arial"/>
          <w:color w:val="auto"/>
          <w:w w:val="100"/>
          <w:sz w:val="22"/>
          <w:szCs w:val="22"/>
        </w:rPr>
        <w:t>é</w:t>
      </w:r>
      <w:r w:rsidRPr="00B12329">
        <w:rPr>
          <w:rFonts w:cs="Arial"/>
          <w:color w:val="auto"/>
          <w:w w:val="100"/>
          <w:sz w:val="22"/>
          <w:szCs w:val="22"/>
        </w:rPr>
        <w:t xml:space="preserve"> graphiquement </w:t>
      </w:r>
      <w:r w:rsidR="005572C5" w:rsidRPr="00B12329">
        <w:rPr>
          <w:rFonts w:cs="Arial"/>
          <w:color w:val="auto"/>
          <w:w w:val="100"/>
          <w:sz w:val="22"/>
          <w:szCs w:val="22"/>
        </w:rPr>
        <w:t>au travers</w:t>
      </w:r>
      <w:r w:rsidRPr="00B12329">
        <w:rPr>
          <w:rFonts w:cs="Arial"/>
          <w:color w:val="auto"/>
          <w:w w:val="100"/>
          <w:sz w:val="22"/>
          <w:szCs w:val="22"/>
        </w:rPr>
        <w:t xml:space="preserve"> de</w:t>
      </w:r>
      <w:r w:rsidR="003167EE">
        <w:rPr>
          <w:rFonts w:cs="Arial"/>
          <w:color w:val="auto"/>
          <w:w w:val="100"/>
          <w:sz w:val="22"/>
          <w:szCs w:val="22"/>
        </w:rPr>
        <w:t xml:space="preserve"> premiers</w:t>
      </w:r>
      <w:r w:rsidRPr="00B12329">
        <w:rPr>
          <w:rFonts w:cs="Arial"/>
          <w:color w:val="auto"/>
          <w:w w:val="100"/>
          <w:sz w:val="22"/>
          <w:szCs w:val="22"/>
        </w:rPr>
        <w:t xml:space="preserve"> diagrammes de Sankey</w:t>
      </w:r>
      <w:r w:rsidR="00D93914">
        <w:rPr>
          <w:rFonts w:cs="Arial"/>
          <w:color w:val="auto"/>
          <w:w w:val="100"/>
          <w:sz w:val="22"/>
          <w:szCs w:val="22"/>
        </w:rPr>
        <w:t>.</w:t>
      </w:r>
    </w:p>
    <w:p w14:paraId="4392328A" w14:textId="19EA4689" w:rsidR="00C51AE3" w:rsidRPr="0002537E" w:rsidRDefault="00C51AE3" w:rsidP="00C51AE3">
      <w:pPr>
        <w:pStyle w:val="Bilantextenormal"/>
        <w:spacing w:after="120"/>
        <w:rPr>
          <w:rFonts w:eastAsia="MS PGothic" w:cstheme="minorBidi"/>
          <w:bCs/>
          <w:color w:val="auto"/>
          <w:w w:val="100"/>
          <w:sz w:val="22"/>
          <w:szCs w:val="22"/>
          <w:lang w:eastAsia="fr-FR"/>
        </w:rPr>
      </w:pPr>
      <w:r w:rsidRPr="00B12329">
        <w:rPr>
          <w:rFonts w:cs="Arial"/>
          <w:color w:val="auto"/>
          <w:w w:val="100"/>
          <w:sz w:val="22"/>
          <w:szCs w:val="22"/>
        </w:rPr>
        <w:t xml:space="preserve">L’intérêt d’un tel travail est </w:t>
      </w:r>
      <w:r w:rsidR="005572C5" w:rsidRPr="00B12329">
        <w:rPr>
          <w:rFonts w:cs="Arial"/>
          <w:color w:val="auto"/>
          <w:w w:val="100"/>
          <w:sz w:val="22"/>
          <w:szCs w:val="22"/>
        </w:rPr>
        <w:t>multiple</w:t>
      </w:r>
      <w:r w:rsidRPr="00B12329">
        <w:rPr>
          <w:rFonts w:cs="Arial"/>
          <w:color w:val="auto"/>
          <w:w w:val="100"/>
          <w:sz w:val="22"/>
          <w:szCs w:val="22"/>
        </w:rPr>
        <w:t>. Le premier est l’approfondissement des connaissances de ces flux</w:t>
      </w:r>
      <w:r w:rsidR="005572C5" w:rsidRPr="00B12329">
        <w:rPr>
          <w:rFonts w:cs="Arial"/>
          <w:color w:val="auto"/>
          <w:w w:val="100"/>
          <w:sz w:val="22"/>
          <w:szCs w:val="22"/>
        </w:rPr>
        <w:t xml:space="preserve"> et</w:t>
      </w:r>
      <w:r w:rsidRPr="00B12329">
        <w:rPr>
          <w:rFonts w:cs="Arial"/>
          <w:color w:val="auto"/>
          <w:w w:val="100"/>
          <w:sz w:val="22"/>
          <w:szCs w:val="22"/>
        </w:rPr>
        <w:t xml:space="preserve"> de la manière dont ils interagissent entre eux ou réagissent aux </w:t>
      </w:r>
      <w:r w:rsidR="00F90568">
        <w:rPr>
          <w:rFonts w:cs="Arial"/>
          <w:color w:val="auto"/>
          <w:w w:val="100"/>
          <w:sz w:val="22"/>
          <w:szCs w:val="22"/>
        </w:rPr>
        <w:t>éléments de contexte plus large</w:t>
      </w:r>
      <w:r w:rsidRPr="00B12329">
        <w:rPr>
          <w:rFonts w:cs="Arial"/>
          <w:color w:val="auto"/>
          <w:w w:val="100"/>
          <w:sz w:val="22"/>
          <w:szCs w:val="22"/>
        </w:rPr>
        <w:t>. Le second est l’</w:t>
      </w:r>
      <w:r w:rsidR="005572C5" w:rsidRPr="00B12329">
        <w:rPr>
          <w:rFonts w:cs="Arial"/>
          <w:color w:val="auto"/>
          <w:w w:val="100"/>
          <w:sz w:val="22"/>
          <w:szCs w:val="22"/>
        </w:rPr>
        <w:t>évaluation de la robustesse des données et la mise au point d’</w:t>
      </w:r>
      <w:r w:rsidRPr="00B12329">
        <w:rPr>
          <w:rFonts w:cs="Arial"/>
          <w:color w:val="auto"/>
          <w:w w:val="100"/>
          <w:sz w:val="22"/>
          <w:szCs w:val="22"/>
        </w:rPr>
        <w:t xml:space="preserve">outils </w:t>
      </w:r>
      <w:r w:rsidR="005572C5" w:rsidRPr="00B12329">
        <w:rPr>
          <w:rFonts w:cs="Arial"/>
          <w:color w:val="auto"/>
          <w:w w:val="100"/>
          <w:sz w:val="22"/>
          <w:szCs w:val="22"/>
        </w:rPr>
        <w:t xml:space="preserve">permettant de compenser la limite des données </w:t>
      </w:r>
      <w:r w:rsidR="00F90568">
        <w:rPr>
          <w:rFonts w:cs="Arial"/>
          <w:color w:val="auto"/>
          <w:w w:val="100"/>
          <w:sz w:val="22"/>
          <w:szCs w:val="22"/>
        </w:rPr>
        <w:t>au travers de la détermination de niveaux d’</w:t>
      </w:r>
      <w:r w:rsidR="005572C5" w:rsidRPr="00B12329">
        <w:rPr>
          <w:rFonts w:cs="Arial"/>
          <w:color w:val="auto"/>
          <w:w w:val="100"/>
          <w:sz w:val="22"/>
          <w:szCs w:val="22"/>
        </w:rPr>
        <w:t>incertitude. Enfin, il s’agit de</w:t>
      </w:r>
      <w:r w:rsidRPr="00B12329">
        <w:rPr>
          <w:rFonts w:cs="Arial"/>
          <w:color w:val="auto"/>
          <w:w w:val="100"/>
          <w:sz w:val="22"/>
          <w:szCs w:val="22"/>
        </w:rPr>
        <w:t xml:space="preserve"> disposer d’une vision cohérente et partagée</w:t>
      </w:r>
      <w:r w:rsidR="005572C5" w:rsidRPr="00B12329">
        <w:rPr>
          <w:rFonts w:cs="Arial"/>
          <w:color w:val="auto"/>
          <w:w w:val="100"/>
          <w:sz w:val="22"/>
          <w:szCs w:val="22"/>
        </w:rPr>
        <w:t xml:space="preserve"> de la filière</w:t>
      </w:r>
      <w:r w:rsidRPr="00B12329">
        <w:rPr>
          <w:rFonts w:cs="Arial"/>
          <w:color w:val="auto"/>
          <w:w w:val="100"/>
          <w:sz w:val="22"/>
          <w:szCs w:val="22"/>
        </w:rPr>
        <w:t xml:space="preserve"> par </w:t>
      </w:r>
      <w:r w:rsidR="005572C5" w:rsidRPr="00B12329">
        <w:rPr>
          <w:rFonts w:cs="Arial"/>
          <w:color w:val="auto"/>
          <w:w w:val="100"/>
          <w:sz w:val="22"/>
          <w:szCs w:val="22"/>
        </w:rPr>
        <w:t>s</w:t>
      </w:r>
      <w:r w:rsidRPr="00B12329">
        <w:rPr>
          <w:rFonts w:cs="Arial"/>
          <w:color w:val="auto"/>
          <w:w w:val="100"/>
          <w:sz w:val="22"/>
          <w:szCs w:val="22"/>
        </w:rPr>
        <w:t xml:space="preserve">es </w:t>
      </w:r>
      <w:r w:rsidRPr="0002537E">
        <w:rPr>
          <w:rFonts w:eastAsia="MS PGothic" w:cstheme="minorBidi"/>
          <w:bCs/>
          <w:color w:val="auto"/>
          <w:w w:val="100"/>
          <w:sz w:val="22"/>
          <w:szCs w:val="22"/>
          <w:lang w:eastAsia="fr-FR"/>
        </w:rPr>
        <w:t>différents acteurs.</w:t>
      </w:r>
    </w:p>
    <w:p w14:paraId="76DC882A" w14:textId="6D751A01" w:rsidR="00F90568" w:rsidRDefault="00F90568" w:rsidP="00A63F35">
      <w:pPr>
        <w:pStyle w:val="Titre2"/>
        <w:numPr>
          <w:ilvl w:val="0"/>
          <w:numId w:val="0"/>
        </w:numPr>
        <w:ind w:left="568"/>
      </w:pPr>
      <w:bookmarkStart w:id="418" w:name="_Toc78131713"/>
      <w:r>
        <w:t>3.2. Premiers éléments de méthode</w:t>
      </w:r>
      <w:bookmarkEnd w:id="418"/>
    </w:p>
    <w:p w14:paraId="0825670F" w14:textId="4D15F589" w:rsidR="003167EE" w:rsidRPr="003167EE" w:rsidRDefault="00F90568" w:rsidP="003167EE">
      <w:pPr>
        <w:rPr>
          <w:rFonts w:cs="Arial"/>
        </w:rPr>
      </w:pPr>
      <w:r w:rsidRPr="00B12329">
        <w:rPr>
          <w:rFonts w:cs="Arial"/>
        </w:rPr>
        <w:t>La méthode ne s’est pas imposée d’elle-même au regard de la multiplicité des sources et des paramètres à prendre en compte mais elle s’est dessinée au fur et à mesure de l’avancement du projet selon un processus d’essai</w:t>
      </w:r>
      <w:r w:rsidR="003167EE" w:rsidRPr="00B12329">
        <w:rPr>
          <w:rFonts w:cs="Arial"/>
        </w:rPr>
        <w:t>s</w:t>
      </w:r>
      <w:r w:rsidRPr="00B12329">
        <w:rPr>
          <w:rFonts w:cs="Arial"/>
        </w:rPr>
        <w:t xml:space="preserve"> et </w:t>
      </w:r>
      <w:r w:rsidR="003167EE" w:rsidRPr="00B12329">
        <w:rPr>
          <w:rFonts w:cs="Arial"/>
        </w:rPr>
        <w:t>d’</w:t>
      </w:r>
      <w:r w:rsidRPr="00B12329">
        <w:rPr>
          <w:rFonts w:cs="Arial"/>
        </w:rPr>
        <w:t xml:space="preserve">erreurs. </w:t>
      </w:r>
      <w:r w:rsidR="003167EE" w:rsidRPr="003167EE">
        <w:rPr>
          <w:rFonts w:cs="Arial"/>
        </w:rPr>
        <w:t xml:space="preserve">Le tableau emploi ressource constitue l’outil méthodologique premier pour aborder le projet et suppose au préalable </w:t>
      </w:r>
      <w:r w:rsidR="003167EE">
        <w:rPr>
          <w:rFonts w:cs="Arial"/>
        </w:rPr>
        <w:t xml:space="preserve">de faire le point sur le périmètre de l’étude et le champ des données disponibles. </w:t>
      </w:r>
    </w:p>
    <w:p w14:paraId="163A07D8" w14:textId="45312071" w:rsidR="007F1A6D" w:rsidRPr="007F1A6D" w:rsidRDefault="007F1A6D" w:rsidP="0002537E">
      <w:pPr>
        <w:pStyle w:val="Titre3"/>
        <w:numPr>
          <w:ilvl w:val="2"/>
          <w:numId w:val="17"/>
        </w:numPr>
        <w:ind w:left="709"/>
      </w:pPr>
      <w:bookmarkStart w:id="419" w:name="_Toc78131714"/>
      <w:r w:rsidRPr="0002537E">
        <w:rPr>
          <w:rFonts w:eastAsiaTheme="minorEastAsia"/>
        </w:rPr>
        <w:t>Déf</w:t>
      </w:r>
      <w:r w:rsidR="00D93914">
        <w:rPr>
          <w:rFonts w:eastAsiaTheme="minorEastAsia"/>
        </w:rPr>
        <w:t>inir le périmètre de la filière en termes d’opérations</w:t>
      </w:r>
      <w:bookmarkEnd w:id="419"/>
      <w:r w:rsidR="00D93914">
        <w:rPr>
          <w:rFonts w:eastAsiaTheme="minorEastAsia"/>
        </w:rPr>
        <w:t xml:space="preserve"> </w:t>
      </w:r>
    </w:p>
    <w:p w14:paraId="4994C3E9" w14:textId="0E75AF70" w:rsidR="00D82E56" w:rsidRDefault="003167EE" w:rsidP="00432DBE">
      <w:r>
        <w:t xml:space="preserve">A ce titre, </w:t>
      </w:r>
      <w:r w:rsidR="00905EAE">
        <w:t>il s’agit de concevoir une approche par couple produits et marché en définissant les typologies de produits étudiées et les opérations qui tout au long de la filière viennent modifier le bilan massique des catégories de produits. D</w:t>
      </w:r>
      <w:r>
        <w:t>ans le contexte de la filière porcine</w:t>
      </w:r>
      <w:r w:rsidR="00905EAE">
        <w:t xml:space="preserve">, </w:t>
      </w:r>
      <w:r>
        <w:t xml:space="preserve">une même opération peut être conduite par différents opérateurs, c’est </w:t>
      </w:r>
      <w:r w:rsidR="00905EAE">
        <w:t>la raison pour laquelle contrairement à d’autres analyse</w:t>
      </w:r>
      <w:r w:rsidR="002C502F">
        <w:t>s</w:t>
      </w:r>
      <w:r w:rsidR="00905EAE">
        <w:t xml:space="preserve"> de flux, l</w:t>
      </w:r>
      <w:r w:rsidR="002C502F">
        <w:t>e regard se portera sur</w:t>
      </w:r>
      <w:r w:rsidR="00905EAE">
        <w:t xml:space="preserve"> l’opération </w:t>
      </w:r>
      <w:r w:rsidR="002C502F">
        <w:t>en lieu et place</w:t>
      </w:r>
      <w:r w:rsidR="00905EAE">
        <w:t xml:space="preserve"> </w:t>
      </w:r>
      <w:r w:rsidR="002C502F">
        <w:t>du</w:t>
      </w:r>
      <w:r w:rsidR="00905EAE">
        <w:t xml:space="preserve"> secteur d’activité </w:t>
      </w:r>
      <w:r w:rsidR="00C80080">
        <w:t>(</w:t>
      </w:r>
      <w:r w:rsidR="00C80080" w:rsidRPr="00A50150">
        <w:t xml:space="preserve">Nomenclature des Activités Françaises </w:t>
      </w:r>
      <w:r w:rsidR="00C80080">
        <w:t xml:space="preserve">ou </w:t>
      </w:r>
      <w:r w:rsidR="00C80080" w:rsidRPr="00A50150">
        <w:t>NAF)</w:t>
      </w:r>
      <w:r w:rsidR="00C80080">
        <w:t xml:space="preserve"> </w:t>
      </w:r>
      <w:r w:rsidR="00905EAE">
        <w:t>impliqué à un stade</w:t>
      </w:r>
      <w:r w:rsidR="002C502F">
        <w:t xml:space="preserve"> </w:t>
      </w:r>
      <w:r w:rsidR="00905EAE">
        <w:t xml:space="preserve">de modification </w:t>
      </w:r>
      <w:r w:rsidR="002C502F">
        <w:t xml:space="preserve">donné </w:t>
      </w:r>
      <w:r w:rsidR="00905EAE">
        <w:t>des produits.</w:t>
      </w:r>
      <w:r w:rsidR="00D82E56">
        <w:t xml:space="preserve"> </w:t>
      </w:r>
      <w:r w:rsidR="00C80080">
        <w:t xml:space="preserve">L’exemple le plus probant concerne l’opération de découpe secondaire de la longe pouvant être réalisée par un abatteur découpeur ou par un opérateur de la grande distribution alimentaire. </w:t>
      </w:r>
    </w:p>
    <w:p w14:paraId="785D9715" w14:textId="38CC51E6" w:rsidR="00D93914" w:rsidRDefault="00905EAE" w:rsidP="00432DBE">
      <w:r>
        <w:t>A</w:t>
      </w:r>
      <w:r w:rsidR="003167EE">
        <w:t xml:space="preserve">u regard de la multiplicité des </w:t>
      </w:r>
      <w:r>
        <w:t xml:space="preserve">produits et </w:t>
      </w:r>
      <w:r w:rsidR="003167EE">
        <w:t xml:space="preserve">process de fabrication, il </w:t>
      </w:r>
      <w:r w:rsidR="008265C3">
        <w:t>importe</w:t>
      </w:r>
      <w:r w:rsidR="003167EE">
        <w:t xml:space="preserve"> de définir le bon niveau de granulométrie en lien avec le niveau d’information collecté.</w:t>
      </w:r>
      <w:r w:rsidR="00D82E56">
        <w:t xml:space="preserve"> </w:t>
      </w:r>
      <w:r>
        <w:t xml:space="preserve">Enfin, s’agissant d’une photographie de la filière à un temps donné, l’année de référence </w:t>
      </w:r>
      <w:r w:rsidR="00D82E56">
        <w:t>doit être déterminée.</w:t>
      </w:r>
    </w:p>
    <w:p w14:paraId="116EC8D0" w14:textId="41C22D09" w:rsidR="00D93914" w:rsidRDefault="00D93914" w:rsidP="0002537E">
      <w:pPr>
        <w:pStyle w:val="Titre3"/>
        <w:numPr>
          <w:ilvl w:val="2"/>
          <w:numId w:val="17"/>
        </w:numPr>
        <w:ind w:left="709"/>
      </w:pPr>
      <w:bookmarkStart w:id="420" w:name="_Toc78131715"/>
      <w:r>
        <w:t>Etablir une nomenclature des produits</w:t>
      </w:r>
      <w:bookmarkEnd w:id="420"/>
      <w:r>
        <w:t xml:space="preserve"> </w:t>
      </w:r>
    </w:p>
    <w:p w14:paraId="7FFD3505" w14:textId="628D199A" w:rsidR="00D82E56" w:rsidRPr="00C80080" w:rsidRDefault="002C502F" w:rsidP="0002537E">
      <w:r>
        <w:t xml:space="preserve">L’étude s’est limitée au périmètre du porc charcutier, à l’exclusion de tout autre porcin (coche, truie, porcelet) au regard de leur faible représentativité dans la consommation humaine. </w:t>
      </w:r>
      <w:r w:rsidR="00D93914" w:rsidRPr="00B12329">
        <w:t xml:space="preserve">Dans sa version la plus détaillée, la nomenclature </w:t>
      </w:r>
      <w:r w:rsidR="00D93914">
        <w:t xml:space="preserve">du code des usages de la charcuterie salaison comprend plus de </w:t>
      </w:r>
      <w:r w:rsidR="004B5EF3">
        <w:t>10</w:t>
      </w:r>
      <w:r w:rsidR="00D93914">
        <w:t>0</w:t>
      </w:r>
      <w:r w:rsidR="00D93914" w:rsidRPr="00B12329">
        <w:t xml:space="preserve"> lignes de produits regroupés</w:t>
      </w:r>
      <w:r w:rsidR="00D93914">
        <w:t xml:space="preserve"> par grande typologie technologique (les </w:t>
      </w:r>
      <w:r w:rsidR="00D93914">
        <w:lastRenderedPageBreak/>
        <w:t>salaisons cuites, les salaisons sèches…)</w:t>
      </w:r>
      <w:r w:rsidR="00D93914" w:rsidRPr="00B12329">
        <w:t xml:space="preserve">. Elle a été conçue pour être la plus exhaustive possible en termes d’activités. </w:t>
      </w:r>
      <w:r w:rsidR="00D93914">
        <w:t>Il s’agit donc d’effectuer des regroupements qui permet</w:t>
      </w:r>
      <w:r>
        <w:t>tront de réaliser</w:t>
      </w:r>
      <w:r w:rsidR="00D93914">
        <w:t xml:space="preserve"> </w:t>
      </w:r>
      <w:r>
        <w:t>l</w:t>
      </w:r>
      <w:r w:rsidR="00D93914">
        <w:t xml:space="preserve">es appariements avec les différentes sources de données traitées (Prodcom, </w:t>
      </w:r>
      <w:r>
        <w:t>SSP/Agreste, données de panels Kantar) et de tenir compte des spécificités de production afin d’intégrer les aspects liés aux pertes (rendement) tout en étant compréhensibles par les professionnels. L’arborescence produits construite s’est donc appuyée sur les données de la statistique publique et celles du code des usages.</w:t>
      </w:r>
    </w:p>
    <w:p w14:paraId="4AACCA01" w14:textId="5653547F" w:rsidR="00D82E56" w:rsidRPr="0002537E" w:rsidRDefault="00CF0325" w:rsidP="0002537E">
      <w:pPr>
        <w:pStyle w:val="Titre3"/>
        <w:numPr>
          <w:ilvl w:val="2"/>
          <w:numId w:val="17"/>
        </w:numPr>
        <w:ind w:left="709"/>
      </w:pPr>
      <w:bookmarkStart w:id="421" w:name="_Toc78131716"/>
      <w:r w:rsidRPr="00A5268C">
        <w:t>I</w:t>
      </w:r>
      <w:r w:rsidR="003167EE" w:rsidRPr="00A5268C">
        <w:t>dentifier</w:t>
      </w:r>
      <w:r w:rsidR="003167EE" w:rsidRPr="002215EA">
        <w:t xml:space="preserve"> le</w:t>
      </w:r>
      <w:r w:rsidR="000F68A7">
        <w:t xml:space="preserve"> niveau de </w:t>
      </w:r>
      <w:r w:rsidR="003167EE" w:rsidRPr="002215EA">
        <w:t>données</w:t>
      </w:r>
      <w:r w:rsidR="000F68A7">
        <w:t xml:space="preserve">, les consolider et </w:t>
      </w:r>
      <w:r w:rsidR="00A5268C">
        <w:t>définir les données manquantes à consolider par enquête</w:t>
      </w:r>
      <w:bookmarkEnd w:id="421"/>
    </w:p>
    <w:p w14:paraId="72051822" w14:textId="07EF6026" w:rsidR="00D93914" w:rsidRDefault="00D82E56" w:rsidP="00D82E56">
      <w:r>
        <w:t>Les données quantitatives disponibles doivent être recensées et leur analyse doit permettre d’évaluer l</w:t>
      </w:r>
      <w:r w:rsidR="00D93914">
        <w:t>es biais affectant leur</w:t>
      </w:r>
      <w:r>
        <w:t xml:space="preserve"> robustesse</w:t>
      </w:r>
      <w:r w:rsidR="00D93914">
        <w:t xml:space="preserve"> et</w:t>
      </w:r>
      <w:r>
        <w:t xml:space="preserve"> leur fiabilité</w:t>
      </w:r>
      <w:r w:rsidR="00D93914">
        <w:t xml:space="preserve"> tels que la récence des données, leur exhaustivité, leur cohérence et leur précision. </w:t>
      </w:r>
    </w:p>
    <w:p w14:paraId="41DDF11F" w14:textId="19F42B96" w:rsidR="00D82E56" w:rsidRDefault="00D82E56" w:rsidP="0002537E">
      <w:r>
        <w:t xml:space="preserve">A titre </w:t>
      </w:r>
      <w:r w:rsidR="00D93914">
        <w:t>d’illustration,</w:t>
      </w:r>
      <w:r>
        <w:t xml:space="preserve"> les données de production PRODcom font l’objet chaque année d’une confrontation des résultats agrégés aux chiffres d'affaires issus de l'enquête sectorielle annuelle de l'Insee (ESA), permettant d’en déduire un taux de couverture du marché concerné. Celui-ci permet d’apporter un correctif aux données brutes enregistrées.</w:t>
      </w:r>
      <w:r w:rsidR="00D93914">
        <w:t xml:space="preserve"> </w:t>
      </w:r>
    </w:p>
    <w:tbl>
      <w:tblPr>
        <w:tblW w:w="9276" w:type="dxa"/>
        <w:tblCellMar>
          <w:left w:w="0" w:type="dxa"/>
          <w:right w:w="0" w:type="dxa"/>
        </w:tblCellMar>
        <w:tblLook w:val="0600" w:firstRow="0" w:lastRow="0" w:firstColumn="0" w:lastColumn="0" w:noHBand="1" w:noVBand="1"/>
      </w:tblPr>
      <w:tblGrid>
        <w:gridCol w:w="2972"/>
        <w:gridCol w:w="3544"/>
        <w:gridCol w:w="2760"/>
      </w:tblGrid>
      <w:tr w:rsidR="004A14CD" w:rsidRPr="004A14CD" w14:paraId="02C9A959"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EAAAA"/>
            <w:tcMar>
              <w:top w:w="15" w:type="dxa"/>
              <w:left w:w="15" w:type="dxa"/>
              <w:bottom w:w="0" w:type="dxa"/>
              <w:right w:w="15" w:type="dxa"/>
            </w:tcMar>
            <w:vAlign w:val="center"/>
            <w:hideMark/>
          </w:tcPr>
          <w:p w14:paraId="58C5B36D" w14:textId="77777777" w:rsidR="004A14CD" w:rsidRPr="0002537E" w:rsidRDefault="004A14CD" w:rsidP="0002537E">
            <w:pPr>
              <w:spacing w:after="0" w:line="240" w:lineRule="auto"/>
              <w:jc w:val="left"/>
              <w:rPr>
                <w:b/>
                <w:sz w:val="20"/>
                <w:szCs w:val="20"/>
                <w:lang w:eastAsia="fr-FR"/>
              </w:rPr>
            </w:pPr>
            <w:r w:rsidRPr="0002537E">
              <w:rPr>
                <w:b/>
                <w:sz w:val="20"/>
                <w:szCs w:val="20"/>
                <w:lang w:eastAsia="fr-FR"/>
              </w:rPr>
              <w:t xml:space="preserve">Modalités de la collecte de la donnée </w:t>
            </w:r>
          </w:p>
        </w:tc>
        <w:tc>
          <w:tcPr>
            <w:tcW w:w="3544" w:type="dxa"/>
            <w:tcBorders>
              <w:top w:val="single" w:sz="4" w:space="0" w:color="000000"/>
              <w:left w:val="single" w:sz="4" w:space="0" w:color="000000"/>
              <w:bottom w:val="single" w:sz="4" w:space="0" w:color="000000"/>
              <w:right w:val="single" w:sz="4" w:space="0" w:color="000000"/>
            </w:tcBorders>
            <w:shd w:val="clear" w:color="auto" w:fill="AEAAAA"/>
            <w:tcMar>
              <w:top w:w="15" w:type="dxa"/>
              <w:left w:w="15" w:type="dxa"/>
              <w:bottom w:w="0" w:type="dxa"/>
              <w:right w:w="15" w:type="dxa"/>
            </w:tcMar>
            <w:vAlign w:val="center"/>
            <w:hideMark/>
          </w:tcPr>
          <w:p w14:paraId="33813A2F" w14:textId="120BBD68" w:rsidR="004A14CD" w:rsidRPr="0002537E" w:rsidRDefault="004A14CD" w:rsidP="0002537E">
            <w:pPr>
              <w:spacing w:after="0" w:line="240" w:lineRule="auto"/>
              <w:jc w:val="left"/>
              <w:rPr>
                <w:b/>
                <w:sz w:val="20"/>
                <w:szCs w:val="20"/>
                <w:lang w:eastAsia="fr-FR"/>
              </w:rPr>
            </w:pPr>
            <w:r w:rsidRPr="0002537E">
              <w:rPr>
                <w:b/>
                <w:sz w:val="20"/>
                <w:szCs w:val="20"/>
                <w:lang w:eastAsia="fr-FR"/>
              </w:rPr>
              <w:t xml:space="preserve">Nature des données </w:t>
            </w:r>
            <w:r w:rsidR="00D82E56" w:rsidRPr="0002537E">
              <w:rPr>
                <w:b/>
                <w:sz w:val="20"/>
                <w:szCs w:val="20"/>
                <w:lang w:eastAsia="fr-FR"/>
              </w:rPr>
              <w:t>q</w:t>
            </w:r>
            <w:r w:rsidRPr="0002537E">
              <w:rPr>
                <w:b/>
                <w:sz w:val="20"/>
                <w:szCs w:val="20"/>
                <w:lang w:eastAsia="fr-FR"/>
              </w:rPr>
              <w:t>uantitatives</w:t>
            </w:r>
          </w:p>
        </w:tc>
        <w:tc>
          <w:tcPr>
            <w:tcW w:w="2760" w:type="dxa"/>
            <w:tcBorders>
              <w:top w:val="single" w:sz="4" w:space="0" w:color="000000"/>
              <w:left w:val="single" w:sz="4" w:space="0" w:color="000000"/>
              <w:bottom w:val="single" w:sz="4" w:space="0" w:color="000000"/>
              <w:right w:val="single" w:sz="4" w:space="0" w:color="000000"/>
            </w:tcBorders>
            <w:shd w:val="clear" w:color="auto" w:fill="AEAAAA"/>
            <w:tcMar>
              <w:top w:w="15" w:type="dxa"/>
              <w:left w:w="15" w:type="dxa"/>
              <w:bottom w:w="0" w:type="dxa"/>
              <w:right w:w="15" w:type="dxa"/>
            </w:tcMar>
            <w:vAlign w:val="center"/>
            <w:hideMark/>
          </w:tcPr>
          <w:p w14:paraId="7FA1F1E4" w14:textId="20CCE65C" w:rsidR="004A14CD" w:rsidRPr="0002537E" w:rsidRDefault="00D82E56" w:rsidP="0002537E">
            <w:pPr>
              <w:spacing w:after="0" w:line="240" w:lineRule="auto"/>
              <w:jc w:val="left"/>
              <w:rPr>
                <w:b/>
                <w:sz w:val="20"/>
                <w:szCs w:val="20"/>
                <w:lang w:eastAsia="fr-FR"/>
              </w:rPr>
            </w:pPr>
            <w:r w:rsidRPr="0002537E">
              <w:rPr>
                <w:b/>
                <w:sz w:val="20"/>
                <w:szCs w:val="20"/>
                <w:lang w:eastAsia="fr-FR"/>
              </w:rPr>
              <w:t xml:space="preserve">Indicateurs de représentativité des données </w:t>
            </w:r>
          </w:p>
        </w:tc>
      </w:tr>
      <w:tr w:rsidR="004A14CD" w:rsidRPr="004A14CD" w14:paraId="315CB5F4"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5C92A265" w14:textId="7801513C" w:rsidR="004A14CD" w:rsidRPr="004A14CD" w:rsidRDefault="002C502F" w:rsidP="0002537E">
            <w:pPr>
              <w:spacing w:after="0" w:line="240" w:lineRule="auto"/>
              <w:jc w:val="left"/>
              <w:rPr>
                <w:sz w:val="20"/>
                <w:szCs w:val="20"/>
                <w:lang w:eastAsia="fr-FR"/>
              </w:rPr>
            </w:pPr>
            <w:r>
              <w:rPr>
                <w:sz w:val="20"/>
                <w:szCs w:val="20"/>
                <w:lang w:eastAsia="fr-FR"/>
              </w:rPr>
              <w:t xml:space="preserve">SSP, </w:t>
            </w:r>
            <w:r w:rsidR="004A14CD">
              <w:rPr>
                <w:sz w:val="20"/>
                <w:szCs w:val="20"/>
                <w:lang w:eastAsia="fr-FR"/>
              </w:rPr>
              <w:t>Agreste / IFIP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006CD4F6" w14:textId="4A0EC61C" w:rsidR="004A14CD" w:rsidRPr="004A14CD" w:rsidRDefault="004A14CD" w:rsidP="0002537E">
            <w:pPr>
              <w:spacing w:after="0" w:line="240" w:lineRule="auto"/>
              <w:jc w:val="left"/>
              <w:rPr>
                <w:sz w:val="20"/>
                <w:szCs w:val="20"/>
                <w:lang w:eastAsia="fr-FR"/>
              </w:rPr>
            </w:pPr>
            <w:r>
              <w:rPr>
                <w:sz w:val="20"/>
                <w:szCs w:val="20"/>
                <w:lang w:eastAsia="fr-FR"/>
              </w:rPr>
              <w:t xml:space="preserve">Données </w:t>
            </w:r>
            <w:r w:rsidR="002C502F">
              <w:rPr>
                <w:sz w:val="20"/>
                <w:szCs w:val="20"/>
                <w:lang w:eastAsia="fr-FR"/>
              </w:rPr>
              <w:t>d’</w:t>
            </w:r>
            <w:r>
              <w:rPr>
                <w:sz w:val="20"/>
                <w:szCs w:val="20"/>
                <w:lang w:eastAsia="fr-FR"/>
              </w:rPr>
              <w:t>abattage</w:t>
            </w:r>
            <w:r w:rsidR="002C502F">
              <w:rPr>
                <w:sz w:val="20"/>
                <w:szCs w:val="20"/>
                <w:lang w:eastAsia="fr-FR"/>
              </w:rPr>
              <w:t xml:space="preserve"> porcin</w:t>
            </w:r>
          </w:p>
        </w:tc>
        <w:tc>
          <w:tcPr>
            <w:tcW w:w="276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6A3293CB" w14:textId="0B4A0E12" w:rsidR="004A14CD" w:rsidRPr="004A14CD" w:rsidRDefault="00D82E56" w:rsidP="0002537E">
            <w:pPr>
              <w:spacing w:after="0" w:line="240" w:lineRule="auto"/>
              <w:jc w:val="left"/>
              <w:rPr>
                <w:sz w:val="20"/>
                <w:szCs w:val="20"/>
                <w:lang w:eastAsia="fr-FR"/>
              </w:rPr>
            </w:pPr>
            <w:r>
              <w:rPr>
                <w:sz w:val="20"/>
                <w:szCs w:val="20"/>
                <w:lang w:eastAsia="fr-FR"/>
              </w:rPr>
              <w:t xml:space="preserve">Croisement des sources </w:t>
            </w:r>
          </w:p>
        </w:tc>
      </w:tr>
      <w:tr w:rsidR="00D82E56" w:rsidRPr="00D82E56" w14:paraId="1ECB44D0"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1BFE15F4" w14:textId="0B632D29" w:rsidR="00D82E56" w:rsidRPr="00D82E56" w:rsidRDefault="00D82E56" w:rsidP="0002537E">
            <w:pPr>
              <w:spacing w:after="0" w:line="240" w:lineRule="auto"/>
              <w:jc w:val="left"/>
              <w:rPr>
                <w:sz w:val="20"/>
                <w:szCs w:val="20"/>
                <w:lang w:eastAsia="fr-FR"/>
              </w:rPr>
            </w:pPr>
            <w:r>
              <w:rPr>
                <w:sz w:val="20"/>
                <w:szCs w:val="20"/>
                <w:lang w:eastAsia="fr-FR"/>
              </w:rPr>
              <w:t>Uniporc Ouest</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7D9CFB84" w14:textId="23C58E8C" w:rsidR="00D82E56" w:rsidRPr="00D82E56" w:rsidRDefault="00D82E56" w:rsidP="0002537E">
            <w:pPr>
              <w:spacing w:after="0" w:line="240" w:lineRule="auto"/>
              <w:jc w:val="left"/>
              <w:rPr>
                <w:sz w:val="20"/>
                <w:szCs w:val="20"/>
                <w:lang w:eastAsia="fr-FR"/>
              </w:rPr>
            </w:pPr>
            <w:r>
              <w:rPr>
                <w:sz w:val="20"/>
                <w:szCs w:val="20"/>
                <w:lang w:eastAsia="fr-FR"/>
              </w:rPr>
              <w:t>Poids moyen d</w:t>
            </w:r>
            <w:r w:rsidR="00D93914">
              <w:rPr>
                <w:sz w:val="20"/>
                <w:szCs w:val="20"/>
                <w:lang w:eastAsia="fr-FR"/>
              </w:rPr>
              <w:t>’abattage porcin</w:t>
            </w:r>
          </w:p>
        </w:tc>
        <w:tc>
          <w:tcPr>
            <w:tcW w:w="276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14:paraId="0A69FAE8" w14:textId="10E2A4BC" w:rsidR="00D82E56" w:rsidRPr="00D82E56" w:rsidRDefault="00D82E56" w:rsidP="0002537E">
            <w:pPr>
              <w:spacing w:after="0" w:line="240" w:lineRule="auto"/>
              <w:jc w:val="left"/>
              <w:rPr>
                <w:sz w:val="20"/>
                <w:szCs w:val="20"/>
                <w:lang w:eastAsia="fr-FR"/>
              </w:rPr>
            </w:pPr>
            <w:r>
              <w:rPr>
                <w:sz w:val="20"/>
                <w:szCs w:val="20"/>
                <w:lang w:eastAsia="fr-FR"/>
              </w:rPr>
              <w:t>Confrontation par enquête</w:t>
            </w:r>
          </w:p>
        </w:tc>
      </w:tr>
      <w:tr w:rsidR="004A14CD" w:rsidRPr="004A14CD" w14:paraId="48A8A968"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D727601" w14:textId="06252C8D" w:rsidR="004A14CD" w:rsidRPr="0002537E" w:rsidRDefault="004A14CD" w:rsidP="0002537E">
            <w:pPr>
              <w:spacing w:after="0" w:line="240" w:lineRule="auto"/>
              <w:jc w:val="left"/>
              <w:rPr>
                <w:sz w:val="20"/>
                <w:szCs w:val="20"/>
                <w:lang w:eastAsia="fr-FR"/>
              </w:rPr>
            </w:pPr>
            <w:r w:rsidRPr="0002537E">
              <w:rPr>
                <w:sz w:val="20"/>
                <w:szCs w:val="20"/>
                <w:lang w:eastAsia="fr-FR"/>
              </w:rPr>
              <w:t>Prodcom</w:t>
            </w:r>
            <w:r>
              <w:rPr>
                <w:sz w:val="20"/>
                <w:szCs w:val="20"/>
                <w:lang w:eastAsia="fr-FR"/>
              </w:rPr>
              <w:t xml:space="preserve"> 10.11.Z</w:t>
            </w:r>
            <w:r w:rsidR="00D82E56">
              <w:rPr>
                <w:sz w:val="20"/>
                <w:szCs w:val="20"/>
                <w:lang w:eastAsia="fr-FR"/>
              </w:rPr>
              <w:t>, 10.13.A, 10.15. A</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B25C074" w14:textId="77777777" w:rsidR="004A14CD" w:rsidRPr="0002537E" w:rsidRDefault="004A14CD" w:rsidP="0002537E">
            <w:pPr>
              <w:spacing w:after="0" w:line="240" w:lineRule="auto"/>
              <w:jc w:val="left"/>
              <w:rPr>
                <w:sz w:val="20"/>
                <w:szCs w:val="20"/>
                <w:lang w:eastAsia="fr-FR"/>
              </w:rPr>
            </w:pPr>
            <w:r w:rsidRPr="0002537E">
              <w:rPr>
                <w:sz w:val="20"/>
                <w:szCs w:val="20"/>
                <w:lang w:eastAsia="fr-FR"/>
              </w:rPr>
              <w:t xml:space="preserve">Données de production </w:t>
            </w:r>
          </w:p>
        </w:tc>
        <w:tc>
          <w:tcPr>
            <w:tcW w:w="276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2552CE8" w14:textId="30D29D8D" w:rsidR="004A14CD" w:rsidRPr="0002537E" w:rsidRDefault="004A14CD" w:rsidP="0002537E">
            <w:pPr>
              <w:spacing w:after="0" w:line="240" w:lineRule="auto"/>
              <w:jc w:val="left"/>
              <w:rPr>
                <w:sz w:val="20"/>
                <w:szCs w:val="20"/>
                <w:lang w:eastAsia="fr-FR"/>
              </w:rPr>
            </w:pPr>
            <w:r w:rsidRPr="0002537E">
              <w:rPr>
                <w:sz w:val="20"/>
                <w:szCs w:val="20"/>
                <w:lang w:eastAsia="fr-FR"/>
              </w:rPr>
              <w:t>Données agrégées</w:t>
            </w:r>
            <w:r w:rsidR="00D82E56">
              <w:rPr>
                <w:sz w:val="20"/>
                <w:szCs w:val="20"/>
                <w:lang w:eastAsia="fr-FR"/>
              </w:rPr>
              <w:t xml:space="preserve">, taux de couverture déterminé annuellement par confrontation avec enquête ESA/INSEE, taux d’adhérent </w:t>
            </w:r>
          </w:p>
        </w:tc>
      </w:tr>
      <w:tr w:rsidR="004A14CD" w:rsidRPr="004A14CD" w14:paraId="5EE16BD7" w14:textId="77777777" w:rsidTr="0002537E">
        <w:trPr>
          <w:trHeight w:val="20"/>
        </w:trPr>
        <w:tc>
          <w:tcPr>
            <w:tcW w:w="297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0D0CD499" w14:textId="77777777" w:rsidR="004A14CD" w:rsidRPr="0002537E" w:rsidRDefault="004A14CD" w:rsidP="0002537E">
            <w:pPr>
              <w:spacing w:after="0" w:line="240" w:lineRule="auto"/>
              <w:jc w:val="left"/>
              <w:rPr>
                <w:sz w:val="20"/>
                <w:szCs w:val="20"/>
                <w:lang w:eastAsia="fr-FR"/>
              </w:rPr>
            </w:pPr>
            <w:r w:rsidRPr="0002537E">
              <w:rPr>
                <w:sz w:val="20"/>
                <w:szCs w:val="20"/>
                <w:lang w:eastAsia="fr-FR"/>
              </w:rPr>
              <w:t>Données Douanes (DGDDI)</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044A85B" w14:textId="77777777" w:rsidR="004A14CD" w:rsidRPr="0002537E" w:rsidRDefault="004A14CD" w:rsidP="0002537E">
            <w:pPr>
              <w:spacing w:after="0" w:line="240" w:lineRule="auto"/>
              <w:jc w:val="left"/>
              <w:rPr>
                <w:sz w:val="20"/>
                <w:szCs w:val="20"/>
                <w:lang w:eastAsia="fr-FR"/>
              </w:rPr>
            </w:pPr>
            <w:r w:rsidRPr="0002537E">
              <w:rPr>
                <w:sz w:val="20"/>
                <w:szCs w:val="20"/>
                <w:lang w:eastAsia="fr-FR"/>
              </w:rPr>
              <w:t>Volumes d’importation / exportation pièces et produits transformés</w:t>
            </w:r>
          </w:p>
        </w:tc>
        <w:tc>
          <w:tcPr>
            <w:tcW w:w="2760"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24FB7C6F" w14:textId="77777777" w:rsidR="004A14CD" w:rsidRPr="0002537E" w:rsidRDefault="004A14CD" w:rsidP="0002537E">
            <w:pPr>
              <w:spacing w:after="0" w:line="240" w:lineRule="auto"/>
              <w:jc w:val="left"/>
              <w:rPr>
                <w:sz w:val="20"/>
                <w:szCs w:val="20"/>
                <w:lang w:eastAsia="fr-FR"/>
              </w:rPr>
            </w:pPr>
            <w:r w:rsidRPr="0002537E">
              <w:rPr>
                <w:sz w:val="20"/>
                <w:szCs w:val="20"/>
                <w:lang w:eastAsia="fr-FR"/>
              </w:rPr>
              <w:t xml:space="preserve">Données agrégées </w:t>
            </w:r>
          </w:p>
        </w:tc>
      </w:tr>
    </w:tbl>
    <w:p w14:paraId="19A85950" w14:textId="18B7FCD5" w:rsidR="004A14CD" w:rsidRPr="00926407" w:rsidRDefault="00D82E56" w:rsidP="0002537E">
      <w:pPr>
        <w:pStyle w:val="figure"/>
        <w:rPr>
          <w:lang w:val="fr-CA"/>
        </w:rPr>
      </w:pPr>
      <w:bookmarkStart w:id="422" w:name="_Toc72143436"/>
      <w:r w:rsidRPr="0002537E">
        <w:t xml:space="preserve">Tableau </w:t>
      </w:r>
      <w:r w:rsidR="00E27D6E">
        <w:fldChar w:fldCharType="begin"/>
      </w:r>
      <w:r w:rsidR="00E27D6E">
        <w:instrText xml:space="preserve"> SEQ Tableau \* ARABIC </w:instrText>
      </w:r>
      <w:r w:rsidR="00E27D6E">
        <w:fldChar w:fldCharType="separate"/>
      </w:r>
      <w:r w:rsidR="0007597F">
        <w:rPr>
          <w:i/>
          <w:noProof/>
        </w:rPr>
        <w:t>89</w:t>
      </w:r>
      <w:r w:rsidR="00E27D6E">
        <w:rPr>
          <w:i/>
          <w:noProof/>
        </w:rPr>
        <w:fldChar w:fldCharType="end"/>
      </w:r>
      <w:r w:rsidR="007350E8">
        <w:rPr>
          <w:i/>
        </w:rPr>
        <w:t xml:space="preserve"> : </w:t>
      </w:r>
      <w:r w:rsidR="004A14CD" w:rsidRPr="0002537E">
        <w:t>Tableau des pr</w:t>
      </w:r>
      <w:r w:rsidRPr="0002537E">
        <w:t>i</w:t>
      </w:r>
      <w:r w:rsidR="004A14CD" w:rsidRPr="0002537E">
        <w:t>ncipales sources de données</w:t>
      </w:r>
      <w:r w:rsidR="00AD5C72">
        <w:rPr>
          <w:i/>
        </w:rPr>
        <w:t xml:space="preserve"> publiques</w:t>
      </w:r>
      <w:bookmarkEnd w:id="422"/>
    </w:p>
    <w:p w14:paraId="5860F8DB" w14:textId="5FAD0099" w:rsidR="009A57C9" w:rsidRPr="00B12329" w:rsidRDefault="000C7E4D" w:rsidP="0002537E">
      <w:r>
        <w:t>De même, les données issues de panel ou d’observatoire de la consommation ou des données de vente des opérateurs de la distribution doivent être prises en compte</w:t>
      </w:r>
      <w:r w:rsidR="00BA11D5">
        <w:t>. Pour l’année 2018, un taux de couverture a été estimé, il est indicatif et n’est pas nécessairement reproductible d’une année sur l’autre compte tenu de potentiels changements de redressement de l’échantillon par les structures d’étude et d’autre part en raison de l’évolution très rapide des marchés finaux (fragmentation des circuits, montée des circuits alternatifs et développement du nombre d’opérateurs sur les marchés du hors domicile au travers de la digitalisation</w:t>
      </w:r>
      <w:r w:rsidR="009A57C9">
        <w:t>)</w:t>
      </w:r>
      <w:r w:rsidR="00BA11D5">
        <w:t xml:space="preserve">. </w:t>
      </w:r>
    </w:p>
    <w:tbl>
      <w:tblPr>
        <w:tblW w:w="9209" w:type="dxa"/>
        <w:tblCellMar>
          <w:left w:w="0" w:type="dxa"/>
          <w:right w:w="0" w:type="dxa"/>
        </w:tblCellMar>
        <w:tblLook w:val="0600" w:firstRow="0" w:lastRow="0" w:firstColumn="0" w:lastColumn="0" w:noHBand="1" w:noVBand="1"/>
      </w:tblPr>
      <w:tblGrid>
        <w:gridCol w:w="2122"/>
        <w:gridCol w:w="1701"/>
        <w:gridCol w:w="2693"/>
        <w:gridCol w:w="2693"/>
      </w:tblGrid>
      <w:tr w:rsidR="002215EA" w:rsidRPr="002215EA" w14:paraId="3C56F119" w14:textId="77777777" w:rsidTr="0002537E">
        <w:trPr>
          <w:trHeight w:val="20"/>
        </w:trPr>
        <w:tc>
          <w:tcPr>
            <w:tcW w:w="2122" w:type="dxa"/>
            <w:tcBorders>
              <w:top w:val="single" w:sz="4" w:space="0" w:color="000000"/>
              <w:left w:val="single" w:sz="4" w:space="0" w:color="000000"/>
              <w:bottom w:val="single" w:sz="4" w:space="0" w:color="000000"/>
              <w:right w:val="single" w:sz="4" w:space="0" w:color="000000"/>
            </w:tcBorders>
            <w:shd w:val="clear" w:color="auto" w:fill="BFBFBF"/>
            <w:tcMar>
              <w:top w:w="15" w:type="dxa"/>
              <w:left w:w="15" w:type="dxa"/>
              <w:bottom w:w="0" w:type="dxa"/>
              <w:right w:w="15" w:type="dxa"/>
            </w:tcMar>
            <w:vAlign w:val="center"/>
            <w:hideMark/>
          </w:tcPr>
          <w:p w14:paraId="3DBDAE09" w14:textId="77777777" w:rsidR="002215EA" w:rsidRPr="0002537E" w:rsidRDefault="002215EA" w:rsidP="0002537E">
            <w:pPr>
              <w:spacing w:after="0" w:line="240" w:lineRule="auto"/>
              <w:rPr>
                <w:sz w:val="20"/>
                <w:szCs w:val="20"/>
              </w:rPr>
            </w:pPr>
            <w:r w:rsidRPr="0002537E">
              <w:rPr>
                <w:b/>
                <w:bCs/>
                <w:sz w:val="20"/>
                <w:szCs w:val="20"/>
              </w:rPr>
              <w:t>Source</w:t>
            </w:r>
          </w:p>
        </w:tc>
        <w:tc>
          <w:tcPr>
            <w:tcW w:w="1701" w:type="dxa"/>
            <w:tcBorders>
              <w:top w:val="single" w:sz="4" w:space="0" w:color="000000"/>
              <w:left w:val="single" w:sz="4" w:space="0" w:color="000000"/>
              <w:bottom w:val="single" w:sz="4" w:space="0" w:color="000000"/>
              <w:right w:val="single" w:sz="4" w:space="0" w:color="000000"/>
            </w:tcBorders>
            <w:shd w:val="clear" w:color="auto" w:fill="BFBFBF"/>
            <w:tcMar>
              <w:top w:w="15" w:type="dxa"/>
              <w:left w:w="15" w:type="dxa"/>
              <w:bottom w:w="0" w:type="dxa"/>
              <w:right w:w="15" w:type="dxa"/>
            </w:tcMar>
            <w:vAlign w:val="center"/>
            <w:hideMark/>
          </w:tcPr>
          <w:p w14:paraId="30CA5960" w14:textId="23E99ED9" w:rsidR="002215EA" w:rsidRPr="0002537E" w:rsidRDefault="002215EA" w:rsidP="0002537E">
            <w:pPr>
              <w:spacing w:after="0" w:line="240" w:lineRule="auto"/>
              <w:jc w:val="left"/>
              <w:rPr>
                <w:sz w:val="20"/>
                <w:szCs w:val="20"/>
              </w:rPr>
            </w:pPr>
            <w:r w:rsidRPr="0002537E">
              <w:rPr>
                <w:b/>
                <w:bCs/>
                <w:sz w:val="20"/>
                <w:szCs w:val="20"/>
              </w:rPr>
              <w:t>Nature</w:t>
            </w:r>
            <w:r w:rsidR="00BA11D5">
              <w:rPr>
                <w:b/>
                <w:bCs/>
                <w:sz w:val="20"/>
                <w:szCs w:val="20"/>
              </w:rPr>
              <w:t xml:space="preserve"> des données</w:t>
            </w:r>
          </w:p>
        </w:tc>
        <w:tc>
          <w:tcPr>
            <w:tcW w:w="2693" w:type="dxa"/>
            <w:tcBorders>
              <w:top w:val="single" w:sz="4" w:space="0" w:color="000000"/>
              <w:left w:val="single" w:sz="4" w:space="0" w:color="000000"/>
              <w:bottom w:val="single" w:sz="4" w:space="0" w:color="000000"/>
              <w:right w:val="single" w:sz="4" w:space="0" w:color="000000"/>
            </w:tcBorders>
            <w:shd w:val="clear" w:color="auto" w:fill="BFBFBF"/>
            <w:tcMar>
              <w:top w:w="15" w:type="dxa"/>
              <w:left w:w="15" w:type="dxa"/>
              <w:bottom w:w="0" w:type="dxa"/>
              <w:right w:w="15" w:type="dxa"/>
            </w:tcMar>
            <w:vAlign w:val="center"/>
            <w:hideMark/>
          </w:tcPr>
          <w:p w14:paraId="5DD38400" w14:textId="237D849E" w:rsidR="002215EA" w:rsidRPr="0002537E" w:rsidRDefault="002215EA" w:rsidP="0002537E">
            <w:pPr>
              <w:spacing w:after="0" w:line="240" w:lineRule="auto"/>
              <w:jc w:val="left"/>
              <w:rPr>
                <w:b/>
                <w:bCs/>
                <w:sz w:val="20"/>
                <w:szCs w:val="20"/>
              </w:rPr>
            </w:pPr>
            <w:r w:rsidRPr="0002537E">
              <w:rPr>
                <w:b/>
                <w:bCs/>
                <w:sz w:val="20"/>
                <w:szCs w:val="20"/>
              </w:rPr>
              <w:t xml:space="preserve">Populations de </w:t>
            </w:r>
            <w:r>
              <w:rPr>
                <w:b/>
                <w:bCs/>
                <w:sz w:val="20"/>
                <w:szCs w:val="20"/>
              </w:rPr>
              <w:br/>
            </w:r>
            <w:r w:rsidRPr="0002537E">
              <w:rPr>
                <w:b/>
                <w:bCs/>
                <w:sz w:val="20"/>
                <w:szCs w:val="20"/>
              </w:rPr>
              <w:t>référence</w:t>
            </w:r>
          </w:p>
        </w:tc>
        <w:tc>
          <w:tcPr>
            <w:tcW w:w="2693" w:type="dxa"/>
            <w:tcBorders>
              <w:top w:val="single" w:sz="4" w:space="0" w:color="000000"/>
              <w:left w:val="single" w:sz="4" w:space="0" w:color="000000"/>
              <w:bottom w:val="single" w:sz="4" w:space="0" w:color="000000"/>
              <w:right w:val="single" w:sz="4" w:space="0" w:color="000000"/>
            </w:tcBorders>
            <w:shd w:val="clear" w:color="auto" w:fill="BFBFBF"/>
            <w:tcMar>
              <w:top w:w="15" w:type="dxa"/>
              <w:left w:w="15" w:type="dxa"/>
              <w:bottom w:w="0" w:type="dxa"/>
              <w:right w:w="15" w:type="dxa"/>
            </w:tcMar>
            <w:vAlign w:val="center"/>
            <w:hideMark/>
          </w:tcPr>
          <w:p w14:paraId="167BE2D2" w14:textId="77777777" w:rsidR="002215EA" w:rsidRPr="0002537E" w:rsidRDefault="002215EA" w:rsidP="0002537E">
            <w:pPr>
              <w:spacing w:after="0" w:line="240" w:lineRule="auto"/>
              <w:rPr>
                <w:sz w:val="20"/>
                <w:szCs w:val="20"/>
              </w:rPr>
            </w:pPr>
            <w:r w:rsidRPr="0002537E">
              <w:rPr>
                <w:b/>
                <w:bCs/>
                <w:sz w:val="20"/>
                <w:szCs w:val="20"/>
              </w:rPr>
              <w:t>Champ couvert</w:t>
            </w:r>
          </w:p>
        </w:tc>
      </w:tr>
      <w:tr w:rsidR="002215EA" w:rsidRPr="002215EA" w14:paraId="588DFD7D" w14:textId="77777777" w:rsidTr="0002537E">
        <w:trPr>
          <w:trHeight w:val="20"/>
        </w:trPr>
        <w:tc>
          <w:tcPr>
            <w:tcW w:w="212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76DB711" w14:textId="77777777" w:rsidR="002215EA" w:rsidRPr="0002537E" w:rsidRDefault="002215EA" w:rsidP="0002537E">
            <w:pPr>
              <w:spacing w:after="0" w:line="240" w:lineRule="auto"/>
              <w:rPr>
                <w:sz w:val="20"/>
                <w:szCs w:val="20"/>
              </w:rPr>
            </w:pPr>
            <w:r w:rsidRPr="0002537E">
              <w:rPr>
                <w:sz w:val="20"/>
                <w:szCs w:val="20"/>
              </w:rPr>
              <w:t xml:space="preserve">Kantar World Panel </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714F193" w14:textId="77777777" w:rsidR="002215EA" w:rsidRPr="0002537E" w:rsidRDefault="002215EA" w:rsidP="0002537E">
            <w:pPr>
              <w:spacing w:after="0" w:line="240" w:lineRule="auto"/>
              <w:rPr>
                <w:sz w:val="20"/>
                <w:szCs w:val="20"/>
              </w:rPr>
            </w:pPr>
            <w:r w:rsidRPr="0002537E">
              <w:rPr>
                <w:sz w:val="20"/>
                <w:szCs w:val="20"/>
              </w:rPr>
              <w:t>Achats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9846B8B" w14:textId="77777777" w:rsidR="002215EA" w:rsidRPr="0002537E" w:rsidRDefault="002215EA" w:rsidP="0002537E">
            <w:pPr>
              <w:spacing w:after="0" w:line="240" w:lineRule="auto"/>
              <w:rPr>
                <w:sz w:val="20"/>
                <w:szCs w:val="20"/>
              </w:rPr>
            </w:pPr>
            <w:r w:rsidRPr="0002537E">
              <w:rPr>
                <w:bCs/>
                <w:sz w:val="20"/>
                <w:szCs w:val="20"/>
              </w:rPr>
              <w:t>Ménages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81E96DA" w14:textId="77777777" w:rsidR="002215EA" w:rsidRPr="0002537E" w:rsidRDefault="002215EA" w:rsidP="0002537E">
            <w:pPr>
              <w:spacing w:after="0" w:line="240" w:lineRule="auto"/>
              <w:rPr>
                <w:sz w:val="20"/>
                <w:szCs w:val="20"/>
              </w:rPr>
            </w:pPr>
            <w:r w:rsidRPr="0002537E">
              <w:rPr>
                <w:sz w:val="20"/>
                <w:szCs w:val="20"/>
              </w:rPr>
              <w:t>Domicile (achats)</w:t>
            </w:r>
          </w:p>
        </w:tc>
      </w:tr>
      <w:tr w:rsidR="002215EA" w:rsidRPr="002215EA" w14:paraId="0E9E0957" w14:textId="77777777" w:rsidTr="0002537E">
        <w:trPr>
          <w:trHeight w:val="20"/>
        </w:trPr>
        <w:tc>
          <w:tcPr>
            <w:tcW w:w="2122"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5A428B83" w14:textId="77777777" w:rsidR="002215EA" w:rsidRPr="0002537E" w:rsidRDefault="002215EA" w:rsidP="0002537E">
            <w:pPr>
              <w:spacing w:after="0" w:line="240" w:lineRule="auto"/>
              <w:rPr>
                <w:sz w:val="20"/>
                <w:szCs w:val="20"/>
              </w:rPr>
            </w:pPr>
            <w:r w:rsidRPr="0002537E">
              <w:rPr>
                <w:sz w:val="20"/>
                <w:szCs w:val="20"/>
              </w:rPr>
              <w:t xml:space="preserve">Gira Food Service </w:t>
            </w:r>
          </w:p>
        </w:tc>
        <w:tc>
          <w:tcPr>
            <w:tcW w:w="1701"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45EEF808" w14:textId="77777777" w:rsidR="002215EA" w:rsidRPr="0002537E" w:rsidRDefault="002215EA" w:rsidP="0002537E">
            <w:pPr>
              <w:spacing w:after="0" w:line="240" w:lineRule="auto"/>
              <w:rPr>
                <w:sz w:val="20"/>
                <w:szCs w:val="20"/>
              </w:rPr>
            </w:pPr>
            <w:r w:rsidRPr="0002537E">
              <w:rPr>
                <w:sz w:val="20"/>
                <w:szCs w:val="20"/>
              </w:rPr>
              <w:t>Achats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7BAE23C5" w14:textId="77777777" w:rsidR="002215EA" w:rsidRPr="0002537E" w:rsidRDefault="002215EA" w:rsidP="0002537E">
            <w:pPr>
              <w:spacing w:after="0" w:line="240" w:lineRule="auto"/>
              <w:rPr>
                <w:sz w:val="20"/>
                <w:szCs w:val="20"/>
              </w:rPr>
            </w:pPr>
            <w:r w:rsidRPr="0002537E">
              <w:rPr>
                <w:sz w:val="20"/>
                <w:szCs w:val="20"/>
              </w:rPr>
              <w:t>Distributeurs et opérateurs chaînés ou structurés</w:t>
            </w:r>
          </w:p>
        </w:tc>
        <w:tc>
          <w:tcPr>
            <w:tcW w:w="269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hideMark/>
          </w:tcPr>
          <w:p w14:paraId="629F26BD" w14:textId="77777777" w:rsidR="002215EA" w:rsidRPr="0002537E" w:rsidRDefault="002215EA" w:rsidP="0002537E">
            <w:pPr>
              <w:spacing w:after="0" w:line="240" w:lineRule="auto"/>
              <w:rPr>
                <w:sz w:val="20"/>
                <w:szCs w:val="20"/>
              </w:rPr>
            </w:pPr>
            <w:r w:rsidRPr="0002537E">
              <w:rPr>
                <w:sz w:val="20"/>
                <w:szCs w:val="20"/>
              </w:rPr>
              <w:t xml:space="preserve">Hors Domicile </w:t>
            </w:r>
          </w:p>
        </w:tc>
      </w:tr>
    </w:tbl>
    <w:p w14:paraId="5E7F2EF2" w14:textId="0EAE74AE" w:rsidR="00BA11D5" w:rsidRPr="00A50150" w:rsidRDefault="00BA11D5" w:rsidP="0002537E">
      <w:pPr>
        <w:pStyle w:val="figure"/>
        <w:rPr>
          <w:lang w:val="fr-CA"/>
        </w:rPr>
      </w:pPr>
      <w:bookmarkStart w:id="423" w:name="_Toc72143437"/>
      <w:r w:rsidRPr="00BA11D5">
        <w:t xml:space="preserve">Tableau </w:t>
      </w:r>
      <w:r w:rsidRPr="00D54EC4">
        <w:fldChar w:fldCharType="begin"/>
      </w:r>
      <w:r w:rsidRPr="00BA11D5">
        <w:instrText xml:space="preserve"> SEQ Tableau \* ARABIC </w:instrText>
      </w:r>
      <w:r w:rsidRPr="00D54EC4">
        <w:fldChar w:fldCharType="separate"/>
      </w:r>
      <w:r w:rsidR="0007597F">
        <w:rPr>
          <w:noProof/>
        </w:rPr>
        <w:t>90</w:t>
      </w:r>
      <w:r w:rsidRPr="00D54EC4">
        <w:fldChar w:fldCharType="end"/>
      </w:r>
      <w:r w:rsidR="007350E8">
        <w:t xml:space="preserve"> : </w:t>
      </w:r>
      <w:r w:rsidRPr="00A50150">
        <w:t>Tableau des principales sources de données</w:t>
      </w:r>
      <w:r>
        <w:t xml:space="preserve"> </w:t>
      </w:r>
      <w:r w:rsidR="00BB6DFB">
        <w:t>issues d’enquêtes privées de distribution et de consommation</w:t>
      </w:r>
      <w:bookmarkEnd w:id="423"/>
    </w:p>
    <w:p w14:paraId="30F0D53C" w14:textId="33E94B15" w:rsidR="00A5268C" w:rsidRDefault="009A57C9" w:rsidP="00E63EF2">
      <w:r>
        <w:t>Dans la perspective de la mise en place d’un tableau emploi ressource, les différentes</w:t>
      </w:r>
      <w:r w:rsidRPr="00905EAE">
        <w:t xml:space="preserve"> sources de données disponibles </w:t>
      </w:r>
      <w:r>
        <w:t xml:space="preserve">doivent être consolidées </w:t>
      </w:r>
      <w:r w:rsidRPr="00905EAE">
        <w:t>en un seul</w:t>
      </w:r>
      <w:r w:rsidR="000F68A7">
        <w:t>e base de données. I</w:t>
      </w:r>
      <w:r w:rsidR="00A5268C">
        <w:t>l</w:t>
      </w:r>
      <w:r w:rsidR="000F68A7">
        <w:t xml:space="preserve"> s’agit</w:t>
      </w:r>
      <w:r>
        <w:t xml:space="preserve"> de pouvoir constituer</w:t>
      </w:r>
      <w:r w:rsidR="00BB6DFB">
        <w:t xml:space="preserve"> au fil des enrichissements </w:t>
      </w:r>
      <w:r>
        <w:t>un ensemb</w:t>
      </w:r>
      <w:r w:rsidR="00BB6DFB">
        <w:t>l</w:t>
      </w:r>
      <w:r>
        <w:t>e cohérent de données susceptibles d’être reliées entre elles.</w:t>
      </w:r>
      <w:r w:rsidR="000F68A7">
        <w:t xml:space="preserve"> </w:t>
      </w:r>
      <w:r w:rsidR="00A5268C">
        <w:t xml:space="preserve">Un travail d’appariement entre les données de production et les données douane peut être effectué, il apporte une meilleure compréhension sur la </w:t>
      </w:r>
      <w:r w:rsidR="007350E8">
        <w:t>destination</w:t>
      </w:r>
      <w:r w:rsidR="00A5268C">
        <w:t xml:space="preserve"> des produits correspondant aux codes NC8. </w:t>
      </w:r>
    </w:p>
    <w:p w14:paraId="64BB1ADE" w14:textId="0C0FB967" w:rsidR="000F68A7" w:rsidRPr="004A14CD" w:rsidRDefault="000F68A7" w:rsidP="0002537E">
      <w:r>
        <w:lastRenderedPageBreak/>
        <w:t xml:space="preserve">Enfin, il s’agit d’identifier les données manquantes ou insuffisamment robustes. D’une manière générale, le manque de données </w:t>
      </w:r>
      <w:r w:rsidR="00A5268C">
        <w:t xml:space="preserve">dans l’étude </w:t>
      </w:r>
      <w:r>
        <w:t>a surtout porté sur les variables telles que les consommations intermédiaires tout au long d</w:t>
      </w:r>
      <w:r w:rsidR="00662960">
        <w:t>es</w:t>
      </w:r>
      <w:r>
        <w:t xml:space="preserve"> flux et la destination des importations vers les différentes catégories de produits. </w:t>
      </w:r>
      <w:r w:rsidR="00A5268C">
        <w:t xml:space="preserve">La phase d’enquête qui permet de croiser et consolider les données auprès d’experts du marché </w:t>
      </w:r>
      <w:r w:rsidR="00662960">
        <w:t xml:space="preserve">et d’estimer le niveau d’incertitude des données selon la source. </w:t>
      </w:r>
    </w:p>
    <w:p w14:paraId="5DE49F42" w14:textId="2993BA2B" w:rsidR="000F68A7" w:rsidRPr="000F68A7" w:rsidRDefault="000F68A7" w:rsidP="0002537E">
      <w:pPr>
        <w:pStyle w:val="Titre3"/>
        <w:numPr>
          <w:ilvl w:val="2"/>
          <w:numId w:val="17"/>
        </w:numPr>
        <w:ind w:left="709"/>
      </w:pPr>
      <w:bookmarkStart w:id="424" w:name="_Toc78131717"/>
      <w:r w:rsidRPr="00A5268C">
        <w:t>Définition</w:t>
      </w:r>
      <w:r w:rsidRPr="000F68A7">
        <w:t xml:space="preserve"> et caractérisation des processus </w:t>
      </w:r>
      <w:r>
        <w:t xml:space="preserve">et </w:t>
      </w:r>
      <w:r w:rsidRPr="000F68A7">
        <w:t>des nœuds</w:t>
      </w:r>
      <w:r w:rsidR="00A5268C">
        <w:t>, et mise en place des flux</w:t>
      </w:r>
      <w:bookmarkEnd w:id="424"/>
      <w:r w:rsidRPr="000F68A7">
        <w:t xml:space="preserve"> </w:t>
      </w:r>
    </w:p>
    <w:p w14:paraId="54C10CE2" w14:textId="201C716A" w:rsidR="00A5268C" w:rsidRDefault="00A5268C" w:rsidP="00E63EF2">
      <w:r>
        <w:t xml:space="preserve">Le système et les opérations prises en compte ont été définies dès la première étape. Par la suite le niveau de données disponibles et leur enrichissement par enquête permet de définir les processus pris en compte en considérant un nœud de départ et un nœud d’arrivée en lien avec l’arborescence des produits.  </w:t>
      </w:r>
    </w:p>
    <w:p w14:paraId="18E805DF" w14:textId="538D5FB2" w:rsidR="00662960" w:rsidRDefault="00A5268C" w:rsidP="00E63EF2">
      <w:r>
        <w:t xml:space="preserve">A partir de ces éléments, les flux entre les noeuds </w:t>
      </w:r>
      <w:r w:rsidR="00662960">
        <w:t>peuvent</w:t>
      </w:r>
      <w:r>
        <w:t xml:space="preserve"> commencer à être mis en place. Il s’agit d’identifier la destination des produits à l’issue de chaque processus vers les différents niveaux de consommation intermédiaire ou vers la consommation finale (dont potentiellement l’exportation). Il s’agit également de distinguer la destination des produits d’un</w:t>
      </w:r>
      <w:r w:rsidR="00662960">
        <w:t xml:space="preserve"> noeud</w:t>
      </w:r>
      <w:r>
        <w:t xml:space="preserve"> selon leur origine (France ou importation).</w:t>
      </w:r>
    </w:p>
    <w:p w14:paraId="0F6C61DA" w14:textId="525D4DA0" w:rsidR="00A5268C" w:rsidRPr="00662960" w:rsidRDefault="00F60EDA" w:rsidP="0002537E">
      <w:r>
        <w:t>Finalement,</w:t>
      </w:r>
      <w:r w:rsidR="00662960">
        <w:t xml:space="preserve"> ces</w:t>
      </w:r>
      <w:r w:rsidR="00A5268C">
        <w:t xml:space="preserve"> différentes estimations </w:t>
      </w:r>
      <w:r w:rsidR="00662960">
        <w:t>favorisent la reconstitution de</w:t>
      </w:r>
      <w:r w:rsidR="00A5268C">
        <w:t xml:space="preserve"> </w:t>
      </w:r>
      <w:r w:rsidR="00662960">
        <w:t xml:space="preserve">proche en proche </w:t>
      </w:r>
      <w:r w:rsidR="00031B6D">
        <w:t>d</w:t>
      </w:r>
      <w:r w:rsidR="00662960">
        <w:t>es flux sur la base de l’équation suivante</w:t>
      </w:r>
      <w:r w:rsidR="00031B6D">
        <w:t xml:space="preserve"> : </w:t>
      </w:r>
      <w:r w:rsidR="00A5268C">
        <w:t>l’égalité entre les ressources (production + importation) et les emplois (consommation intermédiaire + consommation finale + exportation).</w:t>
      </w:r>
    </w:p>
    <w:p w14:paraId="1A203F01" w14:textId="75487843" w:rsidR="00662960" w:rsidRDefault="00AF742E" w:rsidP="0002537E">
      <w:pPr>
        <w:pStyle w:val="Titre3"/>
        <w:numPr>
          <w:ilvl w:val="2"/>
          <w:numId w:val="17"/>
        </w:numPr>
        <w:ind w:left="709"/>
      </w:pPr>
      <w:bookmarkStart w:id="425" w:name="_Toc78131718"/>
      <w:r>
        <w:t>Quelques l</w:t>
      </w:r>
      <w:r w:rsidR="00F90568">
        <w:t xml:space="preserve">imites </w:t>
      </w:r>
      <w:r>
        <w:t>de la méthode d’analyse des flux</w:t>
      </w:r>
      <w:bookmarkEnd w:id="425"/>
    </w:p>
    <w:p w14:paraId="6A0EE664" w14:textId="0D0BAC8B" w:rsidR="00D665AD" w:rsidRDefault="00D665AD" w:rsidP="00E63EF2">
      <w:r w:rsidRPr="00D665AD">
        <w:t>A partir d’un état des lieux des connaissances sur la consommation des produits du porc et de données d’enquête, l’analyse des flux de matière (AFM) par type de pièce de découpe primaire du porc a été appliquée pour approcher une première quantification et qualification pour l’année 2018, la destination des produits du porc selon les couples produits et marchés.</w:t>
      </w:r>
    </w:p>
    <w:p w14:paraId="13E70014" w14:textId="3DBBFCD5" w:rsidR="00D665AD" w:rsidRPr="00D665AD" w:rsidRDefault="00D665AD" w:rsidP="0002537E">
      <w:r>
        <w:t>Cette première analyse fait apparaitre de</w:t>
      </w:r>
      <w:r w:rsidR="000F6EBF">
        <w:t>s</w:t>
      </w:r>
      <w:r>
        <w:t xml:space="preserve"> limites : </w:t>
      </w:r>
    </w:p>
    <w:p w14:paraId="2E7DC298" w14:textId="6811F257" w:rsidR="00D665AD" w:rsidRDefault="00031B6D" w:rsidP="0002537E">
      <w:r>
        <w:t xml:space="preserve">La méthode des flux de matière première repose principalement sur la disponibilité et la fiabilité des données d’entrée. </w:t>
      </w:r>
      <w:r w:rsidR="00D665AD">
        <w:t>Au regard de la grande variété de produits transformés au sein de la filière et de la diversité de pratiques des opérateurs, certaines données restent fragiles ou contradictoires. Par ailleurs, les données relatives aux consommations interméd</w:t>
      </w:r>
      <w:r w:rsidR="00264CEA">
        <w:t>i</w:t>
      </w:r>
      <w:r w:rsidR="00D665AD">
        <w:t>aires</w:t>
      </w:r>
      <w:r w:rsidR="00264CEA">
        <w:t xml:space="preserve"> ainsi que les aspects relevant des rendement</w:t>
      </w:r>
      <w:r w:rsidR="000F6EBF">
        <w:t>s</w:t>
      </w:r>
      <w:r w:rsidR="00264CEA">
        <w:t xml:space="preserve"> de production, </w:t>
      </w:r>
      <w:r w:rsidR="00D665AD">
        <w:t xml:space="preserve">revêtent un caractère confidentiel et très subjectif dans la mesure où </w:t>
      </w:r>
      <w:r w:rsidR="00264CEA">
        <w:t>ces données sont rarement évaluées</w:t>
      </w:r>
      <w:r w:rsidR="00D665AD">
        <w:t xml:space="preserve">. </w:t>
      </w:r>
    </w:p>
    <w:p w14:paraId="7219E041" w14:textId="75AED5D8" w:rsidR="000F6EBF" w:rsidRDefault="00D665AD" w:rsidP="0002537E">
      <w:r>
        <w:t xml:space="preserve">Le parti pris d’aborder la méthode au travers des opérations et processus de transformation constitue une approche robuste. Cependant, cette démarche </w:t>
      </w:r>
      <w:r w:rsidR="00264CEA">
        <w:t xml:space="preserve">limite la comparaison avec d’autres sources des données prenant appui sur les </w:t>
      </w:r>
      <w:r w:rsidR="000F6EBF">
        <w:t>flux</w:t>
      </w:r>
      <w:r w:rsidR="00264CEA">
        <w:t xml:space="preserve"> entre opérateurs. A titre d’illustration</w:t>
      </w:r>
      <w:r w:rsidR="000F6EBF">
        <w:t>,</w:t>
      </w:r>
      <w:r w:rsidR="00264CEA">
        <w:t xml:space="preserve"> l’analyse des typologies de pièces en sortie de découpe secondaire ne peut être comparée avec les flux d’échanges entre abatteurs découpeurs et transformateurs compte des stratégies différentiées des transformateurs. En effet, certains font le choix d’externaliser la découpe et le parage quand d’autres </w:t>
      </w:r>
      <w:r w:rsidR="000F6EBF">
        <w:t>l’</w:t>
      </w:r>
      <w:r w:rsidR="00264CEA">
        <w:t>internalisent</w:t>
      </w:r>
      <w:r w:rsidR="000F6EBF">
        <w:t xml:space="preserve">. </w:t>
      </w:r>
    </w:p>
    <w:p w14:paraId="0E83E62F" w14:textId="0373ECE2" w:rsidR="00031B6D" w:rsidRDefault="000F6EBF" w:rsidP="00E63EF2">
      <w:r>
        <w:t xml:space="preserve">Avec un poids des charcuteries au sein de la filière de </w:t>
      </w:r>
      <w:r w:rsidR="00894650">
        <w:t xml:space="preserve">plus </w:t>
      </w:r>
      <w:r>
        <w:t xml:space="preserve">40% et une évolution constante des recettes qui rend difficile la traçabilité </w:t>
      </w:r>
      <w:r w:rsidR="00894650">
        <w:t xml:space="preserve">des pièces primaires intégrées dans ces recettes, l’analyse des flux ne permet pas de lever ces incertitudes. </w:t>
      </w:r>
    </w:p>
    <w:p w14:paraId="0F06116E" w14:textId="108568AB" w:rsidR="004E4EBD" w:rsidRPr="00B12329" w:rsidRDefault="00C51AE3" w:rsidP="0002537E">
      <w:pPr>
        <w:pStyle w:val="Titre1"/>
      </w:pPr>
      <w:bookmarkStart w:id="426" w:name="_Toc78131719"/>
      <w:r w:rsidRPr="00B12329">
        <w:lastRenderedPageBreak/>
        <w:t xml:space="preserve">4. </w:t>
      </w:r>
      <w:r w:rsidR="004E4EBD" w:rsidRPr="00B12329">
        <w:t>Conclusions et perspectives</w:t>
      </w:r>
      <w:bookmarkEnd w:id="426"/>
      <w:r w:rsidR="004E4EBD" w:rsidRPr="00B12329">
        <w:t xml:space="preserve"> </w:t>
      </w:r>
    </w:p>
    <w:p w14:paraId="314D3AF8" w14:textId="77777777" w:rsidR="00BF1194" w:rsidRDefault="00BF1194" w:rsidP="00BF1194">
      <w:pPr>
        <w:pStyle w:val="Bilantextenormal"/>
        <w:spacing w:after="120"/>
        <w:rPr>
          <w:rFonts w:cs="Arial"/>
          <w:color w:val="auto"/>
          <w:w w:val="100"/>
          <w:sz w:val="22"/>
          <w:szCs w:val="22"/>
        </w:rPr>
      </w:pPr>
      <w:r w:rsidRPr="00B12329">
        <w:rPr>
          <w:rFonts w:cs="Arial"/>
          <w:color w:val="auto"/>
          <w:w w:val="100"/>
          <w:sz w:val="22"/>
          <w:szCs w:val="22"/>
        </w:rPr>
        <w:t>Cette étude</w:t>
      </w:r>
      <w:r>
        <w:rPr>
          <w:rFonts w:cs="Arial"/>
          <w:color w:val="auto"/>
          <w:w w:val="100"/>
          <w:sz w:val="22"/>
          <w:szCs w:val="22"/>
        </w:rPr>
        <w:t xml:space="preserve"> a eu pour objectif de livrer un premier état des lieux de la consommation des produits du porc pour l’année 2018. </w:t>
      </w:r>
      <w:r w:rsidRPr="0002537E">
        <w:rPr>
          <w:rFonts w:cs="Arial"/>
          <w:color w:val="auto"/>
          <w:w w:val="100"/>
          <w:sz w:val="22"/>
          <w:szCs w:val="22"/>
        </w:rPr>
        <w:t xml:space="preserve">Elle a </w:t>
      </w:r>
      <w:r>
        <w:rPr>
          <w:rFonts w:cs="Arial"/>
          <w:color w:val="auto"/>
          <w:w w:val="100"/>
          <w:sz w:val="22"/>
          <w:szCs w:val="22"/>
        </w:rPr>
        <w:t>consisté</w:t>
      </w:r>
      <w:r w:rsidRPr="0002537E">
        <w:rPr>
          <w:rFonts w:cs="Arial"/>
          <w:color w:val="auto"/>
          <w:w w:val="100"/>
          <w:sz w:val="22"/>
          <w:szCs w:val="22"/>
        </w:rPr>
        <w:t xml:space="preserve"> </w:t>
      </w:r>
      <w:r>
        <w:rPr>
          <w:rFonts w:cs="Arial"/>
          <w:color w:val="auto"/>
          <w:w w:val="100"/>
          <w:sz w:val="22"/>
          <w:szCs w:val="22"/>
        </w:rPr>
        <w:t>à</w:t>
      </w:r>
      <w:r w:rsidRPr="0002537E">
        <w:rPr>
          <w:rFonts w:cs="Arial"/>
          <w:color w:val="auto"/>
          <w:w w:val="100"/>
          <w:sz w:val="22"/>
          <w:szCs w:val="22"/>
        </w:rPr>
        <w:t xml:space="preserve"> fournir un inventaire détaillé des sources, </w:t>
      </w:r>
      <w:r>
        <w:rPr>
          <w:rFonts w:cs="Arial"/>
          <w:color w:val="auto"/>
          <w:w w:val="100"/>
          <w:sz w:val="22"/>
          <w:szCs w:val="22"/>
        </w:rPr>
        <w:t xml:space="preserve">à </w:t>
      </w:r>
      <w:r w:rsidRPr="0002537E">
        <w:rPr>
          <w:rFonts w:cs="Arial"/>
          <w:color w:val="auto"/>
          <w:w w:val="100"/>
          <w:sz w:val="22"/>
          <w:szCs w:val="22"/>
        </w:rPr>
        <w:t xml:space="preserve">en extraire et en analyser le contenu </w:t>
      </w:r>
      <w:r>
        <w:rPr>
          <w:rFonts w:cs="Arial"/>
          <w:color w:val="auto"/>
          <w:w w:val="100"/>
          <w:sz w:val="22"/>
          <w:szCs w:val="22"/>
        </w:rPr>
        <w:t>afin d’</w:t>
      </w:r>
      <w:r w:rsidRPr="0002537E">
        <w:rPr>
          <w:rFonts w:cs="Arial"/>
          <w:color w:val="auto"/>
          <w:w w:val="100"/>
          <w:sz w:val="22"/>
          <w:szCs w:val="22"/>
        </w:rPr>
        <w:t>en proposer une lecture critique</w:t>
      </w:r>
      <w:r w:rsidRPr="00B12329">
        <w:rPr>
          <w:rFonts w:cs="Arial"/>
          <w:color w:val="auto"/>
          <w:w w:val="100"/>
          <w:sz w:val="22"/>
          <w:szCs w:val="22"/>
        </w:rPr>
        <w:t>.</w:t>
      </w:r>
    </w:p>
    <w:p w14:paraId="7ADC134F" w14:textId="77777777" w:rsidR="00BF1194" w:rsidRDefault="00BF1194" w:rsidP="00BF1194">
      <w:pPr>
        <w:pStyle w:val="Bilantextenormal"/>
        <w:spacing w:after="120"/>
        <w:rPr>
          <w:rFonts w:cs="Arial"/>
          <w:color w:val="auto"/>
          <w:w w:val="100"/>
          <w:sz w:val="22"/>
          <w:szCs w:val="22"/>
        </w:rPr>
      </w:pPr>
      <w:r w:rsidRPr="0002537E">
        <w:rPr>
          <w:rFonts w:cs="Arial"/>
          <w:color w:val="auto"/>
          <w:w w:val="100"/>
          <w:sz w:val="22"/>
          <w:szCs w:val="22"/>
        </w:rPr>
        <w:t xml:space="preserve">A partir de </w:t>
      </w:r>
      <w:r>
        <w:rPr>
          <w:rFonts w:cs="Arial"/>
          <w:color w:val="auto"/>
          <w:w w:val="100"/>
          <w:sz w:val="22"/>
          <w:szCs w:val="22"/>
        </w:rPr>
        <w:t xml:space="preserve">ces </w:t>
      </w:r>
      <w:r w:rsidRPr="0002537E">
        <w:rPr>
          <w:rFonts w:cs="Arial"/>
          <w:color w:val="auto"/>
          <w:w w:val="100"/>
          <w:sz w:val="22"/>
          <w:szCs w:val="22"/>
        </w:rPr>
        <w:t>données</w:t>
      </w:r>
      <w:r>
        <w:rPr>
          <w:rFonts w:cs="Arial"/>
          <w:color w:val="auto"/>
          <w:w w:val="100"/>
          <w:sz w:val="22"/>
          <w:szCs w:val="22"/>
        </w:rPr>
        <w:t xml:space="preserve"> organisées</w:t>
      </w:r>
      <w:r w:rsidRPr="0002537E">
        <w:rPr>
          <w:rFonts w:cs="Arial"/>
          <w:color w:val="auto"/>
          <w:w w:val="100"/>
          <w:sz w:val="22"/>
          <w:szCs w:val="22"/>
        </w:rPr>
        <w:t xml:space="preserve"> en silo, il s’est agi d</w:t>
      </w:r>
      <w:r>
        <w:rPr>
          <w:rFonts w:cs="Arial"/>
          <w:color w:val="auto"/>
          <w:w w:val="100"/>
          <w:sz w:val="22"/>
          <w:szCs w:val="22"/>
        </w:rPr>
        <w:t>’</w:t>
      </w:r>
      <w:r w:rsidRPr="0002537E">
        <w:rPr>
          <w:rFonts w:cs="Arial"/>
          <w:color w:val="auto"/>
          <w:w w:val="100"/>
          <w:sz w:val="22"/>
          <w:szCs w:val="22"/>
        </w:rPr>
        <w:t xml:space="preserve">identifier </w:t>
      </w:r>
      <w:r w:rsidRPr="009714ED">
        <w:rPr>
          <w:rFonts w:cs="Arial"/>
          <w:color w:val="auto"/>
          <w:w w:val="100"/>
          <w:sz w:val="22"/>
          <w:szCs w:val="22"/>
        </w:rPr>
        <w:t>de proche en proche</w:t>
      </w:r>
      <w:r w:rsidRPr="0002537E">
        <w:rPr>
          <w:rFonts w:cs="Arial"/>
          <w:color w:val="auto"/>
          <w:w w:val="100"/>
          <w:sz w:val="22"/>
          <w:szCs w:val="22"/>
        </w:rPr>
        <w:t xml:space="preserve"> les écarts entre </w:t>
      </w:r>
      <w:r>
        <w:rPr>
          <w:rFonts w:cs="Arial"/>
          <w:color w:val="auto"/>
          <w:w w:val="100"/>
          <w:sz w:val="22"/>
          <w:szCs w:val="22"/>
        </w:rPr>
        <w:t>flux d’</w:t>
      </w:r>
      <w:r w:rsidRPr="0002537E">
        <w:rPr>
          <w:rFonts w:cs="Arial"/>
          <w:color w:val="auto"/>
          <w:w w:val="100"/>
          <w:sz w:val="22"/>
          <w:szCs w:val="22"/>
        </w:rPr>
        <w:t xml:space="preserve">entrée et </w:t>
      </w:r>
      <w:r>
        <w:rPr>
          <w:rFonts w:cs="Arial"/>
          <w:color w:val="auto"/>
          <w:w w:val="100"/>
          <w:sz w:val="22"/>
          <w:szCs w:val="22"/>
        </w:rPr>
        <w:t xml:space="preserve">de </w:t>
      </w:r>
      <w:r w:rsidRPr="0002537E">
        <w:rPr>
          <w:rFonts w:cs="Arial"/>
          <w:color w:val="auto"/>
          <w:w w:val="100"/>
          <w:sz w:val="22"/>
          <w:szCs w:val="22"/>
        </w:rPr>
        <w:t>sortie</w:t>
      </w:r>
      <w:r>
        <w:rPr>
          <w:rFonts w:cs="Arial"/>
          <w:color w:val="auto"/>
          <w:w w:val="100"/>
          <w:sz w:val="22"/>
          <w:szCs w:val="22"/>
        </w:rPr>
        <w:t xml:space="preserve">, </w:t>
      </w:r>
      <w:r w:rsidRPr="0002537E">
        <w:rPr>
          <w:rFonts w:cs="Arial"/>
          <w:color w:val="auto"/>
          <w:w w:val="100"/>
          <w:sz w:val="22"/>
          <w:szCs w:val="22"/>
        </w:rPr>
        <w:t xml:space="preserve">de la production indigène brute à la distribution </w:t>
      </w:r>
      <w:r>
        <w:rPr>
          <w:rFonts w:cs="Arial"/>
          <w:color w:val="auto"/>
          <w:w w:val="100"/>
          <w:sz w:val="22"/>
          <w:szCs w:val="22"/>
        </w:rPr>
        <w:t>et la consommation</w:t>
      </w:r>
      <w:r w:rsidRPr="0002537E">
        <w:rPr>
          <w:rFonts w:cs="Arial"/>
          <w:color w:val="auto"/>
          <w:w w:val="100"/>
          <w:sz w:val="22"/>
          <w:szCs w:val="22"/>
        </w:rPr>
        <w:t xml:space="preserve">. </w:t>
      </w:r>
      <w:r>
        <w:rPr>
          <w:rFonts w:cs="Arial"/>
          <w:color w:val="auto"/>
          <w:w w:val="100"/>
          <w:sz w:val="22"/>
          <w:szCs w:val="22"/>
        </w:rPr>
        <w:t>C</w:t>
      </w:r>
      <w:r w:rsidRPr="009714ED">
        <w:rPr>
          <w:rFonts w:cs="Arial"/>
          <w:color w:val="auto"/>
          <w:w w:val="100"/>
          <w:sz w:val="22"/>
          <w:szCs w:val="22"/>
        </w:rPr>
        <w:t xml:space="preserve">hacune des étapes de découpe et de transformation a </w:t>
      </w:r>
      <w:r>
        <w:rPr>
          <w:rFonts w:cs="Arial"/>
          <w:color w:val="auto"/>
          <w:w w:val="100"/>
          <w:sz w:val="22"/>
          <w:szCs w:val="22"/>
        </w:rPr>
        <w:t xml:space="preserve">ainsi </w:t>
      </w:r>
      <w:r w:rsidRPr="009714ED">
        <w:rPr>
          <w:rFonts w:cs="Arial"/>
          <w:color w:val="auto"/>
          <w:w w:val="100"/>
          <w:sz w:val="22"/>
          <w:szCs w:val="22"/>
        </w:rPr>
        <w:t xml:space="preserve">été évaluée. Le taux de couverture des </w:t>
      </w:r>
      <w:r>
        <w:rPr>
          <w:rFonts w:cs="Arial"/>
          <w:color w:val="auto"/>
          <w:w w:val="100"/>
          <w:sz w:val="22"/>
          <w:szCs w:val="22"/>
        </w:rPr>
        <w:t xml:space="preserve">marchés finaux fourni par les données privées de type </w:t>
      </w:r>
      <w:r w:rsidRPr="009714ED">
        <w:rPr>
          <w:rFonts w:cs="Arial"/>
          <w:color w:val="auto"/>
          <w:w w:val="100"/>
          <w:sz w:val="22"/>
          <w:szCs w:val="22"/>
        </w:rPr>
        <w:t>panels et observatoire</w:t>
      </w:r>
      <w:r>
        <w:rPr>
          <w:rFonts w:cs="Arial"/>
          <w:color w:val="auto"/>
          <w:w w:val="100"/>
          <w:sz w:val="22"/>
          <w:szCs w:val="22"/>
        </w:rPr>
        <w:t>,</w:t>
      </w:r>
      <w:r w:rsidRPr="009714ED">
        <w:rPr>
          <w:rFonts w:cs="Arial"/>
          <w:color w:val="auto"/>
          <w:w w:val="100"/>
          <w:sz w:val="22"/>
          <w:szCs w:val="22"/>
        </w:rPr>
        <w:t xml:space="preserve"> a</w:t>
      </w:r>
      <w:r>
        <w:rPr>
          <w:rFonts w:cs="Arial"/>
          <w:color w:val="auto"/>
          <w:w w:val="100"/>
          <w:sz w:val="22"/>
          <w:szCs w:val="22"/>
        </w:rPr>
        <w:t xml:space="preserve"> également</w:t>
      </w:r>
      <w:r w:rsidRPr="009714ED">
        <w:rPr>
          <w:rFonts w:cs="Arial"/>
          <w:color w:val="auto"/>
          <w:w w:val="100"/>
          <w:sz w:val="22"/>
          <w:szCs w:val="22"/>
        </w:rPr>
        <w:t xml:space="preserve"> été interrogé</w:t>
      </w:r>
      <w:r>
        <w:rPr>
          <w:rFonts w:cs="Arial"/>
          <w:color w:val="auto"/>
          <w:w w:val="100"/>
          <w:sz w:val="22"/>
          <w:szCs w:val="22"/>
        </w:rPr>
        <w:t xml:space="preserve"> au travers de la conduite d’enquêtes auprès des acteurs des marchés</w:t>
      </w:r>
      <w:r w:rsidRPr="009714ED">
        <w:rPr>
          <w:rFonts w:cs="Arial"/>
          <w:color w:val="auto"/>
          <w:w w:val="100"/>
          <w:sz w:val="22"/>
          <w:szCs w:val="22"/>
        </w:rPr>
        <w:t xml:space="preserve"> afin d’introduire des indicateurs de pondération </w:t>
      </w:r>
      <w:r>
        <w:rPr>
          <w:rFonts w:cs="Arial"/>
          <w:color w:val="auto"/>
          <w:w w:val="100"/>
          <w:sz w:val="22"/>
          <w:szCs w:val="22"/>
        </w:rPr>
        <w:t>et gagner en fiabilité dans l’estimation de</w:t>
      </w:r>
      <w:r w:rsidRPr="009714ED">
        <w:rPr>
          <w:rFonts w:cs="Arial"/>
          <w:color w:val="auto"/>
          <w:w w:val="100"/>
          <w:sz w:val="22"/>
          <w:szCs w:val="22"/>
        </w:rPr>
        <w:t xml:space="preserve"> la taille des marchés</w:t>
      </w:r>
      <w:r>
        <w:t xml:space="preserve">. </w:t>
      </w:r>
      <w:r>
        <w:rPr>
          <w:rFonts w:cs="Arial"/>
          <w:color w:val="auto"/>
          <w:w w:val="100"/>
          <w:sz w:val="22"/>
          <w:szCs w:val="22"/>
        </w:rPr>
        <w:t xml:space="preserve">Ces données ont enfin été consolidées afin </w:t>
      </w:r>
      <w:r w:rsidRPr="0002537E">
        <w:rPr>
          <w:rFonts w:cs="Arial"/>
          <w:color w:val="auto"/>
          <w:w w:val="100"/>
          <w:sz w:val="22"/>
          <w:szCs w:val="22"/>
        </w:rPr>
        <w:t>de caractériser les achats par grande typologie de produits</w:t>
      </w:r>
      <w:r>
        <w:rPr>
          <w:rFonts w:cs="Arial"/>
          <w:color w:val="auto"/>
          <w:w w:val="100"/>
          <w:sz w:val="22"/>
          <w:szCs w:val="22"/>
        </w:rPr>
        <w:t xml:space="preserve"> </w:t>
      </w:r>
      <w:r w:rsidRPr="0002537E">
        <w:rPr>
          <w:rFonts w:cs="Arial"/>
          <w:color w:val="auto"/>
          <w:w w:val="100"/>
          <w:sz w:val="22"/>
          <w:szCs w:val="22"/>
        </w:rPr>
        <w:t xml:space="preserve">et </w:t>
      </w:r>
      <w:r>
        <w:rPr>
          <w:rFonts w:cs="Arial"/>
          <w:color w:val="auto"/>
          <w:w w:val="100"/>
          <w:sz w:val="22"/>
          <w:szCs w:val="22"/>
        </w:rPr>
        <w:t xml:space="preserve">de </w:t>
      </w:r>
      <w:r w:rsidRPr="0002537E">
        <w:rPr>
          <w:rFonts w:cs="Arial"/>
          <w:color w:val="auto"/>
          <w:w w:val="100"/>
          <w:sz w:val="22"/>
          <w:szCs w:val="22"/>
        </w:rPr>
        <w:t>marché</w:t>
      </w:r>
      <w:r>
        <w:rPr>
          <w:rFonts w:cs="Arial"/>
          <w:color w:val="auto"/>
          <w:w w:val="100"/>
          <w:sz w:val="22"/>
          <w:szCs w:val="22"/>
        </w:rPr>
        <w:t>s et</w:t>
      </w:r>
      <w:r w:rsidRPr="0002537E">
        <w:rPr>
          <w:rFonts w:cs="Arial"/>
          <w:color w:val="auto"/>
          <w:w w:val="100"/>
          <w:sz w:val="22"/>
          <w:szCs w:val="22"/>
        </w:rPr>
        <w:t xml:space="preserve"> </w:t>
      </w:r>
      <w:r>
        <w:rPr>
          <w:rFonts w:cs="Arial"/>
          <w:color w:val="auto"/>
          <w:w w:val="100"/>
          <w:sz w:val="22"/>
          <w:szCs w:val="22"/>
        </w:rPr>
        <w:t>favoriser l’émission d’une première analyse de</w:t>
      </w:r>
      <w:r w:rsidRPr="0002537E">
        <w:rPr>
          <w:rFonts w:cs="Arial"/>
          <w:color w:val="auto"/>
          <w:w w:val="100"/>
          <w:sz w:val="22"/>
          <w:szCs w:val="22"/>
        </w:rPr>
        <w:t xml:space="preserve"> flux de consommation.</w:t>
      </w:r>
    </w:p>
    <w:p w14:paraId="67DDA805" w14:textId="77777777" w:rsidR="00BF1194" w:rsidRDefault="00BF1194" w:rsidP="00BF1194">
      <w:pPr>
        <w:pStyle w:val="Corpsdetexte"/>
        <w:rPr>
          <w:rFonts w:eastAsiaTheme="minorHAnsi"/>
          <w:szCs w:val="22"/>
          <w:lang w:eastAsia="en-US"/>
        </w:rPr>
      </w:pPr>
      <w:bookmarkStart w:id="427" w:name="_Hlk77861091"/>
      <w:r w:rsidRPr="00A50150">
        <w:rPr>
          <w:rFonts w:eastAsiaTheme="minorHAnsi"/>
          <w:szCs w:val="22"/>
          <w:lang w:eastAsia="en-US"/>
        </w:rPr>
        <w:t>Les résultats de l’étude ont permis de dégager de premières conclusions.</w:t>
      </w:r>
    </w:p>
    <w:p w14:paraId="3D83BE6E" w14:textId="2829F4E1" w:rsidR="00BF1194" w:rsidRDefault="00BF1194" w:rsidP="00BF1194">
      <w:r w:rsidRPr="00541D29">
        <w:t xml:space="preserve">A partir de l’analyse des pertes, la fraction comestible à hauteur de 2 170 kt a pu être déduite de la </w:t>
      </w:r>
      <w:r w:rsidR="00D328BD">
        <w:t>part</w:t>
      </w:r>
      <w:r w:rsidRPr="00541D29">
        <w:t xml:space="preserve"> collectée par les adhérents de l’organisme SIFCO</w:t>
      </w:r>
      <w:r>
        <w:t xml:space="preserve"> qui se positionne </w:t>
      </w:r>
      <w:r w:rsidRPr="005531D7">
        <w:t>en</w:t>
      </w:r>
      <w:r>
        <w:t xml:space="preserve"> recul</w:t>
      </w:r>
      <w:r w:rsidRPr="005531D7">
        <w:t xml:space="preserve"> </w:t>
      </w:r>
      <w:r>
        <w:t xml:space="preserve">en 2018 par rapport à 2016 </w:t>
      </w:r>
      <w:r w:rsidRPr="005531D7">
        <w:t>(-13%)</w:t>
      </w:r>
      <w:r>
        <w:t xml:space="preserve">. L’un des éclairages pourrait être </w:t>
      </w:r>
      <w:r w:rsidRPr="005531D7">
        <w:t>la mise en place de leviers d</w:t>
      </w:r>
      <w:r>
        <w:t>’optimisation de la</w:t>
      </w:r>
      <w:r w:rsidRPr="005531D7">
        <w:t xml:space="preserve"> valorisation et d</w:t>
      </w:r>
      <w:r>
        <w:t>u</w:t>
      </w:r>
      <w:r w:rsidRPr="005531D7">
        <w:t xml:space="preserve"> réemploi des coproduits de la part des transformateurs</w:t>
      </w:r>
      <w:r w:rsidR="00D328BD">
        <w:t xml:space="preserve"> au sein de la filière</w:t>
      </w:r>
      <w:r>
        <w:t>.</w:t>
      </w:r>
    </w:p>
    <w:p w14:paraId="022D4A0C" w14:textId="5C2B6916" w:rsidR="00BF1194" w:rsidRDefault="00D328BD" w:rsidP="00BF1194">
      <w:r>
        <w:t>Pour 2018, l</w:t>
      </w:r>
      <w:r w:rsidR="00BF1194">
        <w:t xml:space="preserve">a part des produits du porc </w:t>
      </w:r>
      <w:r w:rsidR="00BF1194" w:rsidRPr="002F40AB">
        <w:t>destiné</w:t>
      </w:r>
      <w:r w:rsidR="00BF1194">
        <w:t>e</w:t>
      </w:r>
      <w:r w:rsidR="00BF1194" w:rsidRPr="002F40AB">
        <w:t xml:space="preserve"> à la consommation humaine </w:t>
      </w:r>
      <w:r w:rsidR="00BF1194">
        <w:t xml:space="preserve">est </w:t>
      </w:r>
      <w:r w:rsidR="00BF1194" w:rsidRPr="002F40AB">
        <w:t xml:space="preserve">estimée à </w:t>
      </w:r>
      <w:r w:rsidR="00BF1194">
        <w:t xml:space="preserve">environ </w:t>
      </w:r>
      <w:r w:rsidR="00BF1194" w:rsidRPr="002F40AB">
        <w:t>1</w:t>
      </w:r>
      <w:r w:rsidR="00BF1194">
        <w:t> </w:t>
      </w:r>
      <w:r w:rsidR="00BF1194" w:rsidRPr="002F40AB">
        <w:t>8</w:t>
      </w:r>
      <w:r w:rsidR="00BF1194">
        <w:t xml:space="preserve">20 kt </w:t>
      </w:r>
      <w:r w:rsidR="00BF1194" w:rsidRPr="00A50150">
        <w:t>en réintégrant les abats et tenant compt</w:t>
      </w:r>
      <w:r w:rsidR="00BF1194">
        <w:t>e</w:t>
      </w:r>
      <w:r w:rsidR="00BF1194" w:rsidRPr="00A50150">
        <w:t xml:space="preserve"> de la part de </w:t>
      </w:r>
      <w:r w:rsidR="00BF1194">
        <w:t>coproduits générés</w:t>
      </w:r>
      <w:r w:rsidR="00BF1194" w:rsidRPr="00A50150">
        <w:t xml:space="preserve"> tout au long du process</w:t>
      </w:r>
      <w:r w:rsidR="00BF1194">
        <w:t xml:space="preserve">. Ce chiffre est à rapporter aux </w:t>
      </w:r>
      <w:r w:rsidR="00BF1194" w:rsidRPr="002F40AB">
        <w:t>2</w:t>
      </w:r>
      <w:r w:rsidR="00BF1194">
        <w:t> </w:t>
      </w:r>
      <w:r w:rsidR="00BF1194" w:rsidRPr="002F40AB">
        <w:t>770</w:t>
      </w:r>
      <w:r w:rsidR="00BF1194">
        <w:t xml:space="preserve"> kt </w:t>
      </w:r>
      <w:r w:rsidR="00BF1194" w:rsidRPr="002F40AB">
        <w:t>de porc poids vif</w:t>
      </w:r>
      <w:r w:rsidR="00BF1194">
        <w:t xml:space="preserve">. </w:t>
      </w:r>
      <w:r w:rsidR="00BF1194" w:rsidRPr="00540A99">
        <w:t xml:space="preserve">Ainsi, le coefficient de rendement en kg de viande </w:t>
      </w:r>
      <w:r w:rsidR="00BF1194">
        <w:t>commercialisée</w:t>
      </w:r>
      <w:r w:rsidR="00BF1194" w:rsidRPr="00540A99">
        <w:t xml:space="preserve"> dans les circuits de distribution </w:t>
      </w:r>
      <w:r w:rsidR="00BF1194">
        <w:t>es</w:t>
      </w:r>
      <w:r w:rsidR="00BF1194" w:rsidRPr="00540A99">
        <w:t>t évalué à 6</w:t>
      </w:r>
      <w:r w:rsidR="00BF1194">
        <w:t>6 </w:t>
      </w:r>
      <w:r w:rsidR="00BF1194" w:rsidRPr="00540A99">
        <w:t>%</w:t>
      </w:r>
      <w:r w:rsidR="00BF1194">
        <w:t>. Le</w:t>
      </w:r>
      <w:r w:rsidR="00BF1194" w:rsidRPr="00540A99">
        <w:t xml:space="preserve"> poids de viande de porc nette annuelle consommée par habitant correspond</w:t>
      </w:r>
      <w:r w:rsidR="00BF1194">
        <w:t>rait</w:t>
      </w:r>
      <w:r w:rsidR="00BF1194" w:rsidRPr="00540A99">
        <w:t xml:space="preserve"> à environ 27,</w:t>
      </w:r>
      <w:r w:rsidR="00BF1194">
        <w:t>2 </w:t>
      </w:r>
      <w:r w:rsidR="00BF1194" w:rsidRPr="00540A99">
        <w:t>kg</w:t>
      </w:r>
      <w:r w:rsidR="00BF1194">
        <w:t>, s</w:t>
      </w:r>
      <w:r w:rsidR="00BF1194" w:rsidRPr="00540A99">
        <w:t xml:space="preserve">ur la base des données Insee </w:t>
      </w:r>
      <w:r w:rsidR="00BF1194">
        <w:t xml:space="preserve">soit </w:t>
      </w:r>
      <w:r w:rsidR="00BF1194" w:rsidRPr="00540A99">
        <w:t>66,97 mios d’habitant au 1</w:t>
      </w:r>
      <w:r w:rsidR="00BF1194" w:rsidRPr="0002537E">
        <w:t>er</w:t>
      </w:r>
      <w:r w:rsidR="00BF1194" w:rsidRPr="00540A99">
        <w:t xml:space="preserve"> janvier 2019. </w:t>
      </w:r>
      <w:r w:rsidR="00BF1194">
        <w:t>Il convient de rappeler que</w:t>
      </w:r>
      <w:r w:rsidR="00BF1194" w:rsidRPr="00540A99">
        <w:t xml:space="preserve"> l</w:t>
      </w:r>
      <w:r w:rsidR="00BF1194">
        <w:t>e périmètre de l’</w:t>
      </w:r>
      <w:r w:rsidR="00BF1194" w:rsidRPr="00540A99">
        <w:t>étude co</w:t>
      </w:r>
      <w:r w:rsidR="00BF1194">
        <w:t>uvre</w:t>
      </w:r>
      <w:r w:rsidR="00BF1194" w:rsidRPr="00540A99">
        <w:t xml:space="preserve"> la consommation au sens des volumes d’achat </w:t>
      </w:r>
      <w:r w:rsidR="00BF1194">
        <w:t xml:space="preserve">en point de vente </w:t>
      </w:r>
      <w:r w:rsidR="00BF1194" w:rsidRPr="00540A99">
        <w:t xml:space="preserve">des consommateurs </w:t>
      </w:r>
      <w:r w:rsidR="00BF1194">
        <w:t xml:space="preserve">avant stockage </w:t>
      </w:r>
      <w:r w:rsidR="00BF1194" w:rsidRPr="00540A99">
        <w:t xml:space="preserve">sans tenir compte du gaspillage </w:t>
      </w:r>
      <w:r w:rsidR="00BF1194">
        <w:t xml:space="preserve">des ménages </w:t>
      </w:r>
      <w:r w:rsidR="00BF1194" w:rsidRPr="00540A99">
        <w:t>estimé par l’</w:t>
      </w:r>
      <w:r w:rsidR="00BF1194">
        <w:t xml:space="preserve">étude </w:t>
      </w:r>
      <w:r w:rsidR="00BF1194" w:rsidRPr="00540A99">
        <w:t xml:space="preserve">Ademe </w:t>
      </w:r>
      <w:r w:rsidR="00BF1194">
        <w:t xml:space="preserve">de 2016 </w:t>
      </w:r>
      <w:r w:rsidR="00BF1194" w:rsidRPr="00D34CFA">
        <w:t>à 5</w:t>
      </w:r>
      <w:r w:rsidR="00BF1194">
        <w:t> </w:t>
      </w:r>
      <w:r w:rsidR="00BF1194" w:rsidRPr="00D34CFA">
        <w:t xml:space="preserve">% </w:t>
      </w:r>
      <w:r w:rsidR="00BF1194">
        <w:t xml:space="preserve">pour le total bovin et porcin. </w:t>
      </w:r>
    </w:p>
    <w:p w14:paraId="1E7E57CC" w14:textId="77777777" w:rsidR="00BF1194" w:rsidRDefault="00BF1194" w:rsidP="00BF1194">
      <w:r>
        <w:t>La part des produits importés (hors vif) à hauteur de 592 kt en 2018 s’équilibre dans une certaine mesure avec les volumes de produits exportés de 702 kt. L’importation correspond notamment à un poids important de pièces de découpe (301 kt) parmi lesquels des jambons désossés à destination de la transformation en salaison cuite.</w:t>
      </w:r>
    </w:p>
    <w:p w14:paraId="6FFAF1BE" w14:textId="77777777" w:rsidR="00BF1194" w:rsidRDefault="00BF1194" w:rsidP="00BF1194">
      <w:r>
        <w:t>Par grande catégorie de produits finis, la</w:t>
      </w:r>
      <w:r w:rsidRPr="005531D7">
        <w:t xml:space="preserve"> part de produits issus de</w:t>
      </w:r>
      <w:r>
        <w:t xml:space="preserve"> </w:t>
      </w:r>
      <w:r w:rsidRPr="005531D7">
        <w:t xml:space="preserve">muscles </w:t>
      </w:r>
      <w:r>
        <w:t xml:space="preserve">des quatre pièces primaires est </w:t>
      </w:r>
      <w:r w:rsidRPr="005531D7">
        <w:t>majoritaire par rapport aux produits de</w:t>
      </w:r>
      <w:r>
        <w:t xml:space="preserve"> mélange </w:t>
      </w:r>
      <w:r w:rsidRPr="005531D7">
        <w:t>(</w:t>
      </w:r>
      <w:r>
        <w:t xml:space="preserve">env. </w:t>
      </w:r>
      <w:r w:rsidRPr="005531D7">
        <w:t>30</w:t>
      </w:r>
      <w:r>
        <w:t> %</w:t>
      </w:r>
      <w:r w:rsidRPr="005531D7">
        <w:t>)</w:t>
      </w:r>
      <w:r>
        <w:t xml:space="preserve"> représentés par des produits de</w:t>
      </w:r>
      <w:r w:rsidRPr="005531D7">
        <w:t xml:space="preserve"> </w:t>
      </w:r>
      <w:r>
        <w:t>charcuterie et la saucisserie</w:t>
      </w:r>
      <w:r w:rsidRPr="005531D7">
        <w:t xml:space="preserve"> </w:t>
      </w:r>
      <w:r>
        <w:t>dont l’élaboration est issue de coproduits de transformation des muscles</w:t>
      </w:r>
      <w:r w:rsidRPr="005531D7">
        <w:t>.</w:t>
      </w:r>
      <w:r>
        <w:t xml:space="preserve"> A titre de comparaison en bovin, la part de hâché au total des produits frais et surgelé est devenu majoritaire et pèse plus de 50% des volumes de bœuf comparativement aux pièces (Monniot, 2018).</w:t>
      </w:r>
    </w:p>
    <w:p w14:paraId="0919058E" w14:textId="2C669712" w:rsidR="00BF1194" w:rsidRDefault="00BF1194" w:rsidP="00BF1194">
      <w:r>
        <w:t>Dans le détail, la</w:t>
      </w:r>
      <w:r w:rsidRPr="00E85E74">
        <w:t xml:space="preserve"> </w:t>
      </w:r>
      <w:r w:rsidRPr="00FB36AD">
        <w:t xml:space="preserve">salaison </w:t>
      </w:r>
      <w:r>
        <w:t>cuite qui est saumurée et la salaison sèche représentent à elles deux,</w:t>
      </w:r>
      <w:r w:rsidRPr="00FB36AD">
        <w:t xml:space="preserve"> un</w:t>
      </w:r>
      <w:r>
        <w:t xml:space="preserve"> poids</w:t>
      </w:r>
      <w:r w:rsidRPr="00FB36AD">
        <w:t xml:space="preserve"> d</w:t>
      </w:r>
      <w:r>
        <w:t>’environ 24</w:t>
      </w:r>
      <w:r w:rsidRPr="00FB36AD">
        <w:t>% des volumes consommés</w:t>
      </w:r>
      <w:r>
        <w:t xml:space="preserve"> et absorbent l’essentiel des jambons en tant que pièce de découpe primaire (part de 22,8% de la carcasse froide)</w:t>
      </w:r>
      <w:r w:rsidRPr="00E85E74">
        <w:t>. L</w:t>
      </w:r>
      <w:r>
        <w:t>a majorité</w:t>
      </w:r>
      <w:r w:rsidRPr="00E85E74">
        <w:t xml:space="preserve"> de la longe (</w:t>
      </w:r>
      <w:r w:rsidRPr="000253D9">
        <w:t>plus de 80 %)</w:t>
      </w:r>
      <w:r w:rsidRPr="00E85E74">
        <w:t xml:space="preserve"> est </w:t>
      </w:r>
      <w:r>
        <w:t xml:space="preserve">destinée à la transformation en pièces avec </w:t>
      </w:r>
      <w:r w:rsidRPr="000253D9">
        <w:t xml:space="preserve">une domination des côtes, </w:t>
      </w:r>
      <w:r w:rsidRPr="00DC00C5">
        <w:t>produits d</w:t>
      </w:r>
      <w:r w:rsidRPr="000253D9">
        <w:t>’appel</w:t>
      </w:r>
      <w:r w:rsidRPr="00E85E74">
        <w:t xml:space="preserve"> devant les rôtis et filets. L’épaule constitue un gisement important pour les produits de mélange </w:t>
      </w:r>
      <w:r>
        <w:t xml:space="preserve">en particulier </w:t>
      </w:r>
      <w:r w:rsidRPr="00E85E74">
        <w:t xml:space="preserve">au travers de la saucisserie, une autre partie étant </w:t>
      </w:r>
      <w:r>
        <w:t xml:space="preserve">destinée à </w:t>
      </w:r>
      <w:r w:rsidRPr="00E85E74">
        <w:t xml:space="preserve">la viande fraîche sous diverses formes </w:t>
      </w:r>
      <w:r>
        <w:t xml:space="preserve">de découpe (notamment sautés) </w:t>
      </w:r>
      <w:r w:rsidRPr="00E85E74">
        <w:t>pour une consommation à domicile et hors domicile.</w:t>
      </w:r>
      <w:r>
        <w:t xml:space="preserve"> </w:t>
      </w:r>
      <w:r w:rsidRPr="00E85E74">
        <w:t>Les poitrines majoritairement traitées en salaison pour y être transformées en lardons (&lt;65</w:t>
      </w:r>
      <w:r>
        <w:t> </w:t>
      </w:r>
      <w:r w:rsidRPr="00E85E74">
        <w:t>%)</w:t>
      </w:r>
      <w:r>
        <w:t>,</w:t>
      </w:r>
      <w:r w:rsidRPr="00E85E74">
        <w:t xml:space="preserve"> sont</w:t>
      </w:r>
      <w:r>
        <w:t xml:space="preserve"> portées par une part limitée de produits</w:t>
      </w:r>
      <w:r w:rsidRPr="00E85E74">
        <w:t xml:space="preserve">. </w:t>
      </w:r>
    </w:p>
    <w:p w14:paraId="1FF6D20F" w14:textId="630F5F10" w:rsidR="00BF1194" w:rsidRDefault="00BF1194" w:rsidP="00BF1194">
      <w:r>
        <w:t>Le</w:t>
      </w:r>
      <w:r w:rsidRPr="005531D7">
        <w:t xml:space="preserve"> porc</w:t>
      </w:r>
      <w:r>
        <w:t xml:space="preserve"> est</w:t>
      </w:r>
      <w:r w:rsidRPr="005531D7">
        <w:t xml:space="preserve"> une espèce multi</w:t>
      </w:r>
      <w:r>
        <w:t>-</w:t>
      </w:r>
      <w:r w:rsidRPr="005531D7">
        <w:t>produits</w:t>
      </w:r>
      <w:r>
        <w:t xml:space="preserve"> mais également</w:t>
      </w:r>
      <w:r w:rsidRPr="005531D7">
        <w:t xml:space="preserve"> multi-marchés avec un poids relatif des grandes surfaces alimentaires </w:t>
      </w:r>
      <w:r>
        <w:t xml:space="preserve">qui malgré la fragmentation des circuits, demeure </w:t>
      </w:r>
      <w:r w:rsidRPr="005531D7">
        <w:t xml:space="preserve">important </w:t>
      </w:r>
      <w:r w:rsidRPr="005531D7">
        <w:lastRenderedPageBreak/>
        <w:t>(&gt;70</w:t>
      </w:r>
      <w:r>
        <w:t> </w:t>
      </w:r>
      <w:r w:rsidRPr="005531D7">
        <w:t xml:space="preserve">% on line inclus) comparativement aux autres espèces </w:t>
      </w:r>
      <w:r>
        <w:t>de type volaille (part de la consommation hors domicile &gt;25 % des volumes). Ainsi, le porc présente une</w:t>
      </w:r>
      <w:r w:rsidRPr="005531D7">
        <w:t xml:space="preserve"> meilleure résilience </w:t>
      </w:r>
      <w:r>
        <w:t xml:space="preserve">aux évolutions marché </w:t>
      </w:r>
      <w:r w:rsidRPr="005531D7">
        <w:t xml:space="preserve">mais </w:t>
      </w:r>
      <w:r>
        <w:t>a moins bénéficié que les autres espèces du développement de la restauration hors domicile, compte tenu de sa dimension confessionnelle.</w:t>
      </w:r>
    </w:p>
    <w:p w14:paraId="375FC405" w14:textId="77777777" w:rsidR="00C47090" w:rsidRPr="0002537E" w:rsidRDefault="00C47090" w:rsidP="00C47090">
      <w:r w:rsidRPr="00195685">
        <w:t>Alors que le marché des produits traiteurs croit régulièrement d’environ 1% par an en volume selon les données du panéliste IRI, une part de plus en plus réduite absorbe les produits du porc sous la forme de produit agricole intermédiaire et ce segment de marché représenterait entre 70 </w:t>
      </w:r>
      <w:r>
        <w:t>kt</w:t>
      </w:r>
      <w:r w:rsidRPr="00195685">
        <w:t xml:space="preserve"> </w:t>
      </w:r>
      <w:r>
        <w:t xml:space="preserve">avec une incertitude de 20% </w:t>
      </w:r>
      <w:r w:rsidRPr="00195685">
        <w:t>soit</w:t>
      </w:r>
      <w:r>
        <w:t xml:space="preserve"> moins de</w:t>
      </w:r>
      <w:r w:rsidRPr="00195685">
        <w:t xml:space="preserve"> 4% du disponible à la consommation humaine</w:t>
      </w:r>
      <w:r>
        <w:t xml:space="preserve"> abats inclus</w:t>
      </w:r>
      <w:r w:rsidRPr="00195685">
        <w:t>.</w:t>
      </w:r>
      <w:r>
        <w:t xml:space="preserve"> </w:t>
      </w:r>
      <w:r w:rsidRPr="00B56B57">
        <w:t>Pour ce qui concerne les produits de charcuterie salaison de volaille en progression continue, la charcuterie ne représent</w:t>
      </w:r>
      <w:r>
        <w:t>e</w:t>
      </w:r>
      <w:r w:rsidRPr="00B56B57">
        <w:t xml:space="preserve"> qu’une part très réduite du segment</w:t>
      </w:r>
      <w:r>
        <w:t xml:space="preserve"> qui est porté par les jambons et la saucisserie</w:t>
      </w:r>
      <w:r w:rsidRPr="00B56B57">
        <w:t xml:space="preserve">. Au sein de celui-ci la part des produits du porc </w:t>
      </w:r>
      <w:r>
        <w:t xml:space="preserve">représenterait moins de 2 kt. </w:t>
      </w:r>
    </w:p>
    <w:p w14:paraId="5AE54923" w14:textId="77777777" w:rsidR="00BF1194" w:rsidRDefault="00BF1194" w:rsidP="00BF1194">
      <w:r w:rsidRPr="00B56B57">
        <w:t>Au global de la consommation des produits du porc, les marchés sont estimés avec une incertitude de 20</w:t>
      </w:r>
      <w:r>
        <w:t> </w:t>
      </w:r>
      <w:r w:rsidRPr="00B56B57">
        <w:t xml:space="preserve">% soit la consommation à domicile </w:t>
      </w:r>
      <w:r>
        <w:t xml:space="preserve">à </w:t>
      </w:r>
      <w:r w:rsidRPr="00B56B57">
        <w:t>1</w:t>
      </w:r>
      <w:r>
        <w:t> </w:t>
      </w:r>
      <w:r w:rsidRPr="00B56B57">
        <w:t>4</w:t>
      </w:r>
      <w:r>
        <w:t>82 kt</w:t>
      </w:r>
      <w:r w:rsidRPr="00B56B57">
        <w:t>, la restauration hors domicile à 250</w:t>
      </w:r>
      <w:r>
        <w:t xml:space="preserve"> kt et les circuits de vente alternatifs à moins de 15 kt. </w:t>
      </w:r>
    </w:p>
    <w:p w14:paraId="2933ACB1" w14:textId="77777777" w:rsidR="00BF1194" w:rsidRDefault="00BF1194" w:rsidP="00BF1194">
      <w:r>
        <w:t>Alors</w:t>
      </w:r>
      <w:r w:rsidRPr="00195685">
        <w:t xml:space="preserve"> que le marché des produits traiteurs </w:t>
      </w:r>
      <w:r>
        <w:t>progresse</w:t>
      </w:r>
      <w:r w:rsidRPr="00195685">
        <w:t xml:space="preserve"> régulièrement d’environ 1</w:t>
      </w:r>
      <w:r>
        <w:t> </w:t>
      </w:r>
      <w:r w:rsidRPr="00195685">
        <w:t xml:space="preserve">% par an en volume selon les données du panéliste IRI, une part de plus en plus réduite </w:t>
      </w:r>
      <w:r>
        <w:t xml:space="preserve">de produits traiteurs </w:t>
      </w:r>
      <w:r w:rsidRPr="00195685">
        <w:t>absorbe les produits du porc sous la forme de produit agricole intermédiaire</w:t>
      </w:r>
      <w:r>
        <w:t xml:space="preserve"> (PAI)</w:t>
      </w:r>
      <w:r w:rsidRPr="00195685">
        <w:t xml:space="preserve"> et ce segment de marché représenterait en</w:t>
      </w:r>
      <w:r>
        <w:t>viron</w:t>
      </w:r>
      <w:r w:rsidRPr="00195685">
        <w:t xml:space="preserve"> 70 </w:t>
      </w:r>
      <w:r>
        <w:t>kt</w:t>
      </w:r>
      <w:r w:rsidRPr="00195685">
        <w:t xml:space="preserve"> </w:t>
      </w:r>
      <w:r>
        <w:t xml:space="preserve">avec une incertitude de 20 % </w:t>
      </w:r>
      <w:r w:rsidRPr="00195685">
        <w:t>soit</w:t>
      </w:r>
      <w:r>
        <w:t xml:space="preserve"> moins de</w:t>
      </w:r>
      <w:r w:rsidRPr="00195685">
        <w:t xml:space="preserve"> 4</w:t>
      </w:r>
      <w:r>
        <w:t> </w:t>
      </w:r>
      <w:r w:rsidRPr="00195685">
        <w:t>% du disponible à la consommation humaine</w:t>
      </w:r>
      <w:r>
        <w:t xml:space="preserve"> abats inclus</w:t>
      </w:r>
      <w:r w:rsidRPr="00195685">
        <w:t>.</w:t>
      </w:r>
      <w:r>
        <w:t xml:space="preserve"> </w:t>
      </w:r>
      <w:r w:rsidRPr="00B56B57">
        <w:t>Pour ce qui concerne les produits de charcuterie salaison de volaille en progression continue, la charcuterie ne représent</w:t>
      </w:r>
      <w:r>
        <w:t>e</w:t>
      </w:r>
      <w:r w:rsidRPr="00B56B57">
        <w:t xml:space="preserve"> qu’une part très réduite du segment</w:t>
      </w:r>
      <w:r>
        <w:t xml:space="preserve"> qui est porté par les jambons et la saucisserie</w:t>
      </w:r>
      <w:r w:rsidRPr="00B56B57">
        <w:t>. Au sein de celui-ci</w:t>
      </w:r>
      <w:r>
        <w:t>,</w:t>
      </w:r>
      <w:r w:rsidRPr="00B56B57">
        <w:t xml:space="preserve"> la part des produits du porc </w:t>
      </w:r>
      <w:r>
        <w:t>représenterait moins de 2 kt. L’ensemble des données consolidées sont représentées au travers du schéma de synthèse.</w:t>
      </w:r>
    </w:p>
    <w:p w14:paraId="3E74C822" w14:textId="77777777" w:rsidR="00BF1194" w:rsidRDefault="00BF1194" w:rsidP="00BF1194">
      <w:pPr>
        <w:pStyle w:val="Corpsdetexte"/>
        <w:spacing w:after="120"/>
        <w:rPr>
          <w:rFonts w:eastAsiaTheme="minorHAnsi"/>
          <w:szCs w:val="22"/>
          <w:lang w:eastAsia="en-US"/>
        </w:rPr>
      </w:pPr>
      <w:r w:rsidRPr="00A50150">
        <w:rPr>
          <w:rFonts w:eastAsiaTheme="minorHAnsi"/>
          <w:szCs w:val="22"/>
          <w:lang w:eastAsia="en-US"/>
        </w:rPr>
        <w:t>La portée finale de l’étude est de contribuer à apporter aux opérateurs de la filière</w:t>
      </w:r>
      <w:r>
        <w:rPr>
          <w:rFonts w:eastAsiaTheme="minorHAnsi"/>
          <w:szCs w:val="22"/>
          <w:lang w:eastAsia="en-US"/>
        </w:rPr>
        <w:t>,</w:t>
      </w:r>
      <w:r w:rsidRPr="00A50150">
        <w:rPr>
          <w:rFonts w:eastAsiaTheme="minorHAnsi"/>
          <w:szCs w:val="22"/>
          <w:lang w:eastAsia="en-US"/>
        </w:rPr>
        <w:t xml:space="preserve"> une approche structurante des marchés propice à l’élaboration de leur stratégie et au pilotage du changement.</w:t>
      </w:r>
    </w:p>
    <w:p w14:paraId="212EA548" w14:textId="77777777" w:rsidR="00BF1194" w:rsidRDefault="00BF1194" w:rsidP="00BF1194">
      <w:r>
        <w:t>L’ensemble de ces éléments reste cependant à consolider, les acteurs interrogés n’ayant pas toujours une lecture fine de leur volumes réalisés pour ce qui concerne les produits à poids variable, ni de leur part de marché. Persistent de nombreux questionnements relatifs à la robustesse des données, en lien avec l’analyse des pertes et des rendements et au réemploi des coproduits de découpe dans les process de fabrication de la charcuterie. Par ailleurs, le flux de transformation des abats de même que la fine compréhension des pratiques et la destination des viandes demeurent des sujets qu’il conviendrait d’investiguer plus en avant afin de comprendre les arbitrages de valorisation et les équilibres matière qui peuvent se jouer au niveau de la carcasse.</w:t>
      </w:r>
    </w:p>
    <w:p w14:paraId="15878856" w14:textId="1560D45F" w:rsidR="00BF1194" w:rsidRPr="00AF742E" w:rsidRDefault="00BF1194" w:rsidP="00BF1194">
      <w:r>
        <w:rPr>
          <w:rFonts w:cs="Arial"/>
        </w:rPr>
        <w:t xml:space="preserve">Après ce premier travail d’analyse des flux, </w:t>
      </w:r>
      <w:r w:rsidR="00D328BD">
        <w:rPr>
          <w:rFonts w:cs="Arial"/>
        </w:rPr>
        <w:t xml:space="preserve">cette démarche </w:t>
      </w:r>
      <w:r>
        <w:rPr>
          <w:rFonts w:cs="Arial"/>
        </w:rPr>
        <w:t>d</w:t>
      </w:r>
      <w:r w:rsidR="00D328BD">
        <w:rPr>
          <w:rFonts w:cs="Arial"/>
        </w:rPr>
        <w:t>oit</w:t>
      </w:r>
      <w:r>
        <w:rPr>
          <w:rFonts w:cs="Arial"/>
        </w:rPr>
        <w:t xml:space="preserve"> permettre d’</w:t>
      </w:r>
      <w:r w:rsidRPr="0002537E">
        <w:t>optimiser la robustesse</w:t>
      </w:r>
      <w:r w:rsidRPr="00AF742E">
        <w:t xml:space="preserve"> </w:t>
      </w:r>
      <w:r w:rsidRPr="0002537E">
        <w:t xml:space="preserve">de la </w:t>
      </w:r>
      <w:r>
        <w:t>base</w:t>
      </w:r>
      <w:r w:rsidRPr="0002537E">
        <w:t xml:space="preserve"> de données sur les différents segments de marché</w:t>
      </w:r>
      <w:r>
        <w:t xml:space="preserve">. Ainsi, </w:t>
      </w:r>
      <w:r w:rsidRPr="00AF742E">
        <w:t>les circuits de</w:t>
      </w:r>
      <w:r>
        <w:t xml:space="preserve"> commercialisation</w:t>
      </w:r>
      <w:r w:rsidRPr="00AF742E">
        <w:t xml:space="preserve"> </w:t>
      </w:r>
      <w:r>
        <w:t xml:space="preserve">des </w:t>
      </w:r>
      <w:r w:rsidRPr="00AF742E">
        <w:t xml:space="preserve">produits à poids variable </w:t>
      </w:r>
      <w:r>
        <w:t>doivent faire l’objet</w:t>
      </w:r>
      <w:r w:rsidRPr="00AF742E">
        <w:t xml:space="preserve"> d</w:t>
      </w:r>
      <w:r>
        <w:t>’une</w:t>
      </w:r>
      <w:r w:rsidRPr="00AF742E">
        <w:t xml:space="preserve"> </w:t>
      </w:r>
      <w:r>
        <w:t xml:space="preserve">étude </w:t>
      </w:r>
      <w:r w:rsidRPr="00AF742E">
        <w:t>spécifique</w:t>
      </w:r>
      <w:r>
        <w:t xml:space="preserve"> approfondie notamment </w:t>
      </w:r>
      <w:r w:rsidRPr="00AF742E">
        <w:t>sur</w:t>
      </w:r>
      <w:r>
        <w:t xml:space="preserve"> les flux propres à la viande favorisant</w:t>
      </w:r>
      <w:r w:rsidRPr="00AF742E">
        <w:t xml:space="preserve"> l’enrichissement</w:t>
      </w:r>
      <w:r>
        <w:t xml:space="preserve"> et la consolidation </w:t>
      </w:r>
      <w:r w:rsidRPr="00AF742E">
        <w:t>des données.</w:t>
      </w:r>
      <w:r>
        <w:t xml:space="preserve"> En effet, la diversité des pratiques et la variété des types de découpe</w:t>
      </w:r>
      <w:r w:rsidRPr="00AF742E">
        <w:t xml:space="preserve"> </w:t>
      </w:r>
      <w:r>
        <w:t>confère à l’analyse réalisée de potentiels points de fragilité.</w:t>
      </w:r>
    </w:p>
    <w:p w14:paraId="0B86022B" w14:textId="77777777" w:rsidR="00BF1194" w:rsidRPr="00320E50" w:rsidRDefault="00BF1194" w:rsidP="00BF1194">
      <w:r>
        <w:t>Secondairement, l’établissement d’une</w:t>
      </w:r>
      <w:r w:rsidRPr="0002537E">
        <w:t xml:space="preserve"> méthodologie reproductible</w:t>
      </w:r>
      <w:r w:rsidRPr="00AF742E">
        <w:t xml:space="preserve"> de collecte et de traitement des données </w:t>
      </w:r>
      <w:r>
        <w:t xml:space="preserve">devrait </w:t>
      </w:r>
      <w:r w:rsidRPr="00AF742E">
        <w:t>favoris</w:t>
      </w:r>
      <w:r>
        <w:t>er</w:t>
      </w:r>
      <w:r w:rsidRPr="00AF742E">
        <w:t xml:space="preserve"> le suivi des évolutions du marché</w:t>
      </w:r>
      <w:r>
        <w:t xml:space="preserve"> des produits du porc </w:t>
      </w:r>
      <w:r w:rsidRPr="00AF742E">
        <w:t>au travers d’indicateurs par couple produits marché en intégrant l’origine, les signes de qualité officiels et non officiels des produits</w:t>
      </w:r>
      <w:r>
        <w:t xml:space="preserve"> et ce dans un contexte de transition alimentaire. </w:t>
      </w:r>
      <w:r>
        <w:rPr>
          <w:rFonts w:cs="Arial"/>
        </w:rPr>
        <w:t>Plus largement, il s’agirait de poser les bases</w:t>
      </w:r>
      <w:r w:rsidRPr="00A50150">
        <w:rPr>
          <w:rFonts w:cs="Arial"/>
        </w:rPr>
        <w:t xml:space="preserve"> d’un outil pérenne et régulièrement mis à jour permettant un large champ des utilisations possibles, notamment dans le secteur de la recherche appliquée.</w:t>
      </w:r>
      <w:bookmarkEnd w:id="427"/>
    </w:p>
    <w:bookmarkEnd w:id="371"/>
    <w:p w14:paraId="203AEC58" w14:textId="77777777" w:rsidR="008A2CC0" w:rsidRDefault="008A2CC0" w:rsidP="002315AE">
      <w:pPr>
        <w:rPr>
          <w:rFonts w:cs="Arial"/>
        </w:rPr>
        <w:sectPr w:rsidR="008A2CC0" w:rsidSect="00B73F4D">
          <w:pgSz w:w="11906" w:h="16838" w:code="9"/>
          <w:pgMar w:top="1304" w:right="1133" w:bottom="1304" w:left="1418" w:header="567" w:footer="709" w:gutter="0"/>
          <w:cols w:space="708"/>
          <w:docGrid w:linePitch="360"/>
        </w:sectPr>
      </w:pPr>
    </w:p>
    <w:p w14:paraId="4AA8FBA8" w14:textId="30BBAB23" w:rsidR="004E4EBD" w:rsidRDefault="002315AE" w:rsidP="002315AE">
      <w:pPr>
        <w:rPr>
          <w:rFonts w:cs="Arial"/>
        </w:rPr>
      </w:pPr>
      <w:r>
        <w:rPr>
          <w:rFonts w:cs="Arial"/>
        </w:rPr>
        <w:lastRenderedPageBreak/>
        <w:t>LEXIQUE</w:t>
      </w:r>
    </w:p>
    <w:p w14:paraId="7163AFA9" w14:textId="1574684B" w:rsidR="00CE7C8B" w:rsidRPr="00CE7C8B" w:rsidRDefault="00CE7C8B" w:rsidP="00C8100B">
      <w:pPr>
        <w:rPr>
          <w:b/>
        </w:rPr>
      </w:pPr>
      <w:r w:rsidRPr="00CE7C8B">
        <w:rPr>
          <w:b/>
        </w:rPr>
        <w:t>Certifié (produit Certifié)</w:t>
      </w:r>
    </w:p>
    <w:p w14:paraId="76686132" w14:textId="7C33AF48" w:rsidR="00CE7C8B" w:rsidRDefault="00CE7C8B" w:rsidP="00C8100B">
      <w:r>
        <w:t>Créée en 1988, cette démarche peut être individuelle ou émaner d’un groupement de professionnels. La Certification de conformité de produits (CCP) est gérée par le ministère chargé de l’agriculture.</w:t>
      </w:r>
    </w:p>
    <w:p w14:paraId="5C90F87D" w14:textId="4C01CD74" w:rsidR="00CE7C8B" w:rsidRPr="00CE7C8B" w:rsidRDefault="00CE7C8B" w:rsidP="00C8100B">
      <w:pPr>
        <w:rPr>
          <w:b/>
          <w:i/>
        </w:rPr>
      </w:pPr>
      <w:r w:rsidRPr="00CE7C8B">
        <w:rPr>
          <w:i/>
        </w:rPr>
        <w:t xml:space="preserve">« Un cahier des charges, élaboré par l’opérateur, précise comment sont mises en œuvre les exigences et recommandations choisies et les principaux points à contrôler. Les exigences et recommandations par produit sont validées par les ministres chargés de l’agriculture et de la consommation. Le contrôle est effectué par un organisme certificateur accrédité par le COFRAC. Les agents de la DGCCRF assurent, par sondage, un contrôle de deuxième niveau sur les produits mis sur le marché. La Certification de conformité garantit le respect des caractéristiques certifiées (par exemple : porc nourri à 70 % de céréales). Ces caractéristiques doivent être significatives, objectives et mesurables et permettre de distinguer le produit du standard. Il existe environ 280 cahiers des charges de certification homologués. Le nom et le cahier des charges d’une certification de conformité ne peuvent mentionner d’indication géographique. En revanche, il est possible, conformément aux règles générales d’étiquetage, d’apposer sur le produit bénéficiant de la certification de conformité son indication de provenance, si elle est vraie et si elle ne conduit pas à usurper une AOP ou une IGP existante. » Source : DGCCRF, 2019. </w:t>
      </w:r>
    </w:p>
    <w:p w14:paraId="4AA35B4B" w14:textId="3EBC658F" w:rsidR="001A6A2D" w:rsidRPr="00CE7C8B" w:rsidRDefault="001A6A2D" w:rsidP="00C8100B">
      <w:pPr>
        <w:rPr>
          <w:b/>
        </w:rPr>
      </w:pPr>
      <w:r w:rsidRPr="00CE7C8B">
        <w:rPr>
          <w:b/>
        </w:rPr>
        <w:t xml:space="preserve">Consommation intermédiaire </w:t>
      </w:r>
    </w:p>
    <w:p w14:paraId="747CE66F" w14:textId="1E9FBEE0" w:rsidR="002343D3" w:rsidRPr="00D92986" w:rsidRDefault="003A0CB7" w:rsidP="00C8100B">
      <w:r w:rsidRPr="00D92986">
        <w:t xml:space="preserve">Certains produits sont utilisés pour la consommation </w:t>
      </w:r>
      <w:r w:rsidR="00BD5288" w:rsidRPr="00D92986">
        <w:t xml:space="preserve">intermédiaire </w:t>
      </w:r>
      <w:r w:rsidR="00587B4F" w:rsidRPr="00D92986">
        <w:t>ce qui signifie qu’ils</w:t>
      </w:r>
      <w:r w:rsidR="0071721E" w:rsidRPr="00D92986">
        <w:t xml:space="preserve"> sont utilisés comme entrées intermédiaires dans le processus de production d'autres </w:t>
      </w:r>
      <w:r w:rsidR="00587B4F" w:rsidRPr="00D92986">
        <w:t>produits</w:t>
      </w:r>
      <w:r w:rsidR="0071721E" w:rsidRPr="00D92986">
        <w:t>.</w:t>
      </w:r>
    </w:p>
    <w:p w14:paraId="2ADC52B0" w14:textId="18A76213" w:rsidR="00A02604" w:rsidRPr="00CE7C8B" w:rsidRDefault="001A6A2D" w:rsidP="00C8100B">
      <w:pPr>
        <w:rPr>
          <w:b/>
        </w:rPr>
      </w:pPr>
      <w:r w:rsidRPr="00CE7C8B">
        <w:rPr>
          <w:b/>
        </w:rPr>
        <w:t xml:space="preserve">Consommation finale </w:t>
      </w:r>
    </w:p>
    <w:p w14:paraId="686A44B9" w14:textId="33F1E5D5" w:rsidR="00937E9D" w:rsidRDefault="003C35D1" w:rsidP="00C8100B">
      <w:r w:rsidRPr="003C35D1">
        <w:t>La consommation finale représente la somme des consommations intermédiaires.</w:t>
      </w:r>
    </w:p>
    <w:p w14:paraId="7DA12EBE" w14:textId="20BF1D05" w:rsidR="003C35D1" w:rsidRPr="00CE7C8B" w:rsidRDefault="00937E9D" w:rsidP="00C8100B">
      <w:pPr>
        <w:rPr>
          <w:b/>
        </w:rPr>
      </w:pPr>
      <w:r w:rsidRPr="00CE7C8B">
        <w:rPr>
          <w:b/>
        </w:rPr>
        <w:t>Flu</w:t>
      </w:r>
      <w:r w:rsidR="003C35D1" w:rsidRPr="00CE7C8B">
        <w:rPr>
          <w:b/>
        </w:rPr>
        <w:t>x</w:t>
      </w:r>
    </w:p>
    <w:p w14:paraId="5DA357F5" w14:textId="66241C76" w:rsidR="003B2B4C" w:rsidRPr="00C8100B" w:rsidRDefault="00EE7B2E" w:rsidP="00C8100B">
      <w:r w:rsidRPr="00EE7B2E">
        <w:t xml:space="preserve">Correspond au transport </w:t>
      </w:r>
      <w:r w:rsidR="001C00A5">
        <w:t>de matériel ou de produits d’un processus à l’autre</w:t>
      </w:r>
      <w:r w:rsidR="00D50F9A">
        <w:t xml:space="preserve">. Un stock est toujours associé à un process. Il est mesuré à son point d’entrée à un temps </w:t>
      </w:r>
      <w:r w:rsidR="00C8100B">
        <w:t xml:space="preserve">donné. </w:t>
      </w:r>
    </w:p>
    <w:p w14:paraId="1F421C9B" w14:textId="77777777" w:rsidR="00AF6FF8" w:rsidRPr="00CE7C8B" w:rsidRDefault="00E66883" w:rsidP="00C8100B">
      <w:pPr>
        <w:rPr>
          <w:b/>
        </w:rPr>
      </w:pPr>
      <w:r w:rsidRPr="00CE7C8B">
        <w:rPr>
          <w:b/>
        </w:rPr>
        <w:t xml:space="preserve">Freinte </w:t>
      </w:r>
    </w:p>
    <w:p w14:paraId="2340A442" w14:textId="33ED2C12" w:rsidR="00AE0ACE" w:rsidRPr="00A94A10" w:rsidRDefault="00AF6FF8" w:rsidP="00C8100B">
      <w:pPr>
        <w:rPr>
          <w:rFonts w:cs="Arial"/>
          <w:color w:val="000000"/>
          <w:sz w:val="21"/>
          <w:szCs w:val="21"/>
          <w:shd w:val="clear" w:color="auto" w:fill="FFFFFF"/>
        </w:rPr>
      </w:pPr>
      <w:r>
        <w:rPr>
          <w:rFonts w:cs="Arial"/>
          <w:color w:val="000000"/>
          <w:sz w:val="21"/>
          <w:szCs w:val="21"/>
          <w:shd w:val="clear" w:color="auto" w:fill="FFFFFF"/>
        </w:rPr>
        <w:t xml:space="preserve">Le terme </w:t>
      </w:r>
      <w:r w:rsidR="006314A3">
        <w:rPr>
          <w:rFonts w:cs="Arial"/>
          <w:color w:val="000000"/>
          <w:sz w:val="21"/>
          <w:szCs w:val="21"/>
          <w:shd w:val="clear" w:color="auto" w:fill="FFFFFF"/>
        </w:rPr>
        <w:t xml:space="preserve">de freinte </w:t>
      </w:r>
      <w:r>
        <w:rPr>
          <w:rFonts w:cs="Arial"/>
          <w:color w:val="000000"/>
          <w:sz w:val="21"/>
          <w:szCs w:val="21"/>
          <w:shd w:val="clear" w:color="auto" w:fill="FFFFFF"/>
        </w:rPr>
        <w:t>désigne les pertes ou altérations</w:t>
      </w:r>
      <w:r w:rsidR="0045172F">
        <w:rPr>
          <w:rFonts w:cs="Arial"/>
          <w:color w:val="000000"/>
          <w:sz w:val="21"/>
          <w:szCs w:val="21"/>
          <w:shd w:val="clear" w:color="auto" w:fill="FFFFFF"/>
        </w:rPr>
        <w:t xml:space="preserve"> au travers </w:t>
      </w:r>
      <w:r>
        <w:rPr>
          <w:rFonts w:cs="Arial"/>
          <w:color w:val="000000"/>
          <w:sz w:val="21"/>
          <w:szCs w:val="21"/>
          <w:shd w:val="clear" w:color="auto" w:fill="FFFFFF"/>
        </w:rPr>
        <w:t>que subit une matière au cours de sa transformation</w:t>
      </w:r>
      <w:r w:rsidR="00BE1A7F">
        <w:rPr>
          <w:rFonts w:cs="Arial"/>
          <w:color w:val="000000"/>
          <w:sz w:val="21"/>
          <w:szCs w:val="21"/>
          <w:shd w:val="clear" w:color="auto" w:fill="FFFFFF"/>
        </w:rPr>
        <w:t xml:space="preserve"> générant ainsi des déchets, sous-produits ou coproduits</w:t>
      </w:r>
      <w:r w:rsidR="006314A3">
        <w:rPr>
          <w:rFonts w:cs="Arial"/>
          <w:color w:val="000000"/>
          <w:sz w:val="21"/>
          <w:szCs w:val="21"/>
          <w:shd w:val="clear" w:color="auto" w:fill="FFFFFF"/>
        </w:rPr>
        <w:t xml:space="preserve"> et se traduisant par une perte de poids</w:t>
      </w:r>
      <w:r w:rsidR="00BE1A7F">
        <w:rPr>
          <w:rFonts w:cs="Arial"/>
          <w:color w:val="000000"/>
          <w:sz w:val="21"/>
          <w:szCs w:val="21"/>
          <w:shd w:val="clear" w:color="auto" w:fill="FFFFFF"/>
        </w:rPr>
        <w:t>.</w:t>
      </w:r>
      <w:r w:rsidR="00A94A10">
        <w:rPr>
          <w:rFonts w:cs="Arial"/>
          <w:color w:val="000000"/>
          <w:sz w:val="21"/>
          <w:szCs w:val="21"/>
          <w:shd w:val="clear" w:color="auto" w:fill="FFFFFF"/>
        </w:rPr>
        <w:t xml:space="preserve"> Ainsi lors de la phase d’abattage</w:t>
      </w:r>
      <w:r w:rsidR="003B2B4C">
        <w:rPr>
          <w:rFonts w:cs="Arial"/>
          <w:color w:val="000000"/>
          <w:sz w:val="21"/>
          <w:szCs w:val="21"/>
          <w:shd w:val="clear" w:color="auto" w:fill="FFFFFF"/>
        </w:rPr>
        <w:t xml:space="preserve"> des porcs</w:t>
      </w:r>
      <w:r w:rsidR="00A94A10">
        <w:rPr>
          <w:rFonts w:cs="Arial"/>
          <w:color w:val="000000"/>
          <w:sz w:val="21"/>
          <w:szCs w:val="21"/>
          <w:shd w:val="clear" w:color="auto" w:fill="FFFFFF"/>
        </w:rPr>
        <w:t xml:space="preserve">, </w:t>
      </w:r>
      <w:r w:rsidR="00A94A10" w:rsidRPr="00A94A10">
        <w:rPr>
          <w:rFonts w:cs="Arial"/>
          <w:color w:val="000000"/>
          <w:sz w:val="21"/>
          <w:szCs w:val="21"/>
          <w:shd w:val="clear" w:color="auto" w:fill="FFFFFF"/>
        </w:rPr>
        <w:t>une réfrigération rapide de</w:t>
      </w:r>
      <w:r w:rsidR="00A94A10">
        <w:rPr>
          <w:rFonts w:cs="Arial"/>
          <w:color w:val="000000"/>
          <w:sz w:val="21"/>
          <w:szCs w:val="21"/>
          <w:shd w:val="clear" w:color="auto" w:fill="FFFFFF"/>
        </w:rPr>
        <w:t xml:space="preserve"> </w:t>
      </w:r>
      <w:r w:rsidR="00A94A10" w:rsidRPr="00A94A10">
        <w:rPr>
          <w:rFonts w:cs="Arial"/>
          <w:color w:val="000000"/>
          <w:sz w:val="21"/>
          <w:szCs w:val="21"/>
          <w:shd w:val="clear" w:color="auto" w:fill="FFFFFF"/>
        </w:rPr>
        <w:t>la carcasse</w:t>
      </w:r>
      <w:r w:rsidR="00A94A10">
        <w:rPr>
          <w:rFonts w:cs="Arial"/>
          <w:color w:val="000000"/>
          <w:sz w:val="21"/>
          <w:szCs w:val="21"/>
          <w:shd w:val="clear" w:color="auto" w:fill="FFFFFF"/>
        </w:rPr>
        <w:t xml:space="preserve"> de porc</w:t>
      </w:r>
      <w:r w:rsidR="0045172F">
        <w:rPr>
          <w:rFonts w:cs="Arial"/>
          <w:color w:val="000000"/>
          <w:sz w:val="21"/>
          <w:szCs w:val="21"/>
          <w:shd w:val="clear" w:color="auto" w:fill="FFFFFF"/>
        </w:rPr>
        <w:t xml:space="preserve"> permet </w:t>
      </w:r>
      <w:r w:rsidR="00A94A10" w:rsidRPr="00A94A10">
        <w:rPr>
          <w:rFonts w:cs="Arial"/>
          <w:color w:val="000000"/>
          <w:sz w:val="21"/>
          <w:szCs w:val="21"/>
          <w:shd w:val="clear" w:color="auto" w:fill="FFFFFF"/>
        </w:rPr>
        <w:t>un temps de refroidissement plus court, une hausse du nombre de</w:t>
      </w:r>
      <w:r w:rsidR="0045172F">
        <w:rPr>
          <w:rFonts w:cs="Arial"/>
          <w:color w:val="000000"/>
          <w:sz w:val="21"/>
          <w:szCs w:val="21"/>
          <w:shd w:val="clear" w:color="auto" w:fill="FFFFFF"/>
        </w:rPr>
        <w:t xml:space="preserve"> </w:t>
      </w:r>
      <w:r w:rsidR="00A94A10" w:rsidRPr="00A94A10">
        <w:rPr>
          <w:rFonts w:cs="Arial"/>
          <w:color w:val="000000"/>
          <w:sz w:val="21"/>
          <w:szCs w:val="21"/>
          <w:shd w:val="clear" w:color="auto" w:fill="FFFFFF"/>
        </w:rPr>
        <w:t>carcasses traitées et la réduction des pertes attribuables à la freinte et au ressuage</w:t>
      </w:r>
      <w:r w:rsidR="0045172F">
        <w:rPr>
          <w:rFonts w:cs="Arial"/>
          <w:color w:val="000000"/>
          <w:sz w:val="21"/>
          <w:szCs w:val="21"/>
          <w:shd w:val="clear" w:color="auto" w:fill="FFFFFF"/>
        </w:rPr>
        <w:t xml:space="preserve">. </w:t>
      </w:r>
    </w:p>
    <w:p w14:paraId="01EA3D70" w14:textId="77777777" w:rsidR="00AE0ACE" w:rsidRPr="0086779B" w:rsidRDefault="00AE0ACE" w:rsidP="00C8100B">
      <w:pPr>
        <w:rPr>
          <w:b/>
        </w:rPr>
      </w:pPr>
      <w:r w:rsidRPr="0086779B">
        <w:rPr>
          <w:b/>
        </w:rPr>
        <w:t>Minerai (D’après encyclopédie de la charcuterie)</w:t>
      </w:r>
    </w:p>
    <w:p w14:paraId="1243B3C7" w14:textId="77777777" w:rsidR="00AE0ACE" w:rsidRDefault="00AE0ACE" w:rsidP="00C8100B">
      <w:r>
        <w:t>Terme employé pour désigner la matière première viande utilisée dans la fabrication des produits fragmentés ou de mélange (saucisses, saucissons secs…). La m</w:t>
      </w:r>
      <w:r w:rsidRPr="00D92986">
        <w:t>atière première</w:t>
      </w:r>
      <w:r>
        <w:t xml:space="preserve"> peut être</w:t>
      </w:r>
      <w:r w:rsidRPr="00D92986">
        <w:t xml:space="preserve"> issue de</w:t>
      </w:r>
      <w:r>
        <w:t>s phases de découpe ou de transformation qui contribuent à la génération de co-produits. Le minerai peut être ainsi issu de la découpe en</w:t>
      </w:r>
      <w:r w:rsidRPr="00D92986">
        <w:t xml:space="preserve"> épaule 4D</w:t>
      </w:r>
      <w:r>
        <w:t xml:space="preserve"> notamment</w:t>
      </w:r>
      <w:r w:rsidRPr="00D92986">
        <w:t>.</w:t>
      </w:r>
    </w:p>
    <w:p w14:paraId="29D9FC89" w14:textId="0C8E4A35" w:rsidR="00AE0ACE" w:rsidRDefault="00AE0ACE" w:rsidP="00C8100B">
      <w:r>
        <w:t>La composition du minerai en gras dépend essentiellement de la destination des produits auquel il est destiné : gras de bardière (produits secs), gras mous (produits émulsifiés de type mousses),</w:t>
      </w:r>
    </w:p>
    <w:p w14:paraId="2AB9D542" w14:textId="77777777" w:rsidR="00AE0ACE" w:rsidRDefault="00AE0ACE" w:rsidP="0086779B">
      <w:pPr>
        <w:spacing w:after="0"/>
      </w:pPr>
      <w:r>
        <w:t xml:space="preserve">Les minerais composites sont des matières premières maigres avec une proportion de gras plus ou moins importante : </w:t>
      </w:r>
    </w:p>
    <w:p w14:paraId="36371560" w14:textId="27DB670D" w:rsidR="00AE0ACE" w:rsidRDefault="00AE0ACE" w:rsidP="0002537E">
      <w:pPr>
        <w:pStyle w:val="Paragraphedeliste"/>
        <w:numPr>
          <w:ilvl w:val="0"/>
          <w:numId w:val="81"/>
        </w:numPr>
      </w:pPr>
      <w:r>
        <w:lastRenderedPageBreak/>
        <w:t xml:space="preserve">La poitrine dont la proportion de gras peut varier de manière plus ou moins importante selon l’état d’engraissement. Son utilisation est assez variable compte tenu de son utilisation en lardons. </w:t>
      </w:r>
    </w:p>
    <w:p w14:paraId="485EB99E" w14:textId="196567FF" w:rsidR="0086779B" w:rsidRDefault="00AE0ACE" w:rsidP="0002537E">
      <w:pPr>
        <w:pStyle w:val="Paragraphedeliste"/>
        <w:numPr>
          <w:ilvl w:val="0"/>
          <w:numId w:val="81"/>
        </w:numPr>
      </w:pPr>
      <w:r>
        <w:t>Les tri</w:t>
      </w:r>
      <w:r w:rsidR="00BA48A0">
        <w:t>m</w:t>
      </w:r>
      <w:r>
        <w:t>mings c’est-à-dire les parures de pièce de découpe, dont l’utilisation peut varier.</w:t>
      </w:r>
    </w:p>
    <w:p w14:paraId="54B7AEF1" w14:textId="77777777" w:rsidR="0086779B" w:rsidRDefault="0086779B" w:rsidP="0086779B">
      <w:pPr>
        <w:pStyle w:val="Paragraphedeliste"/>
        <w:numPr>
          <w:ilvl w:val="0"/>
          <w:numId w:val="0"/>
        </w:numPr>
        <w:ind w:left="720"/>
      </w:pPr>
    </w:p>
    <w:p w14:paraId="0807A436" w14:textId="553AB5D6" w:rsidR="00AE0ACE" w:rsidRPr="0086779B" w:rsidRDefault="00AE0ACE" w:rsidP="00C8100B">
      <w:pPr>
        <w:rPr>
          <w:b/>
        </w:rPr>
      </w:pPr>
      <w:r w:rsidRPr="0086779B">
        <w:rPr>
          <w:b/>
        </w:rPr>
        <w:t xml:space="preserve">Les viandes triées prêtes à l’emploi </w:t>
      </w:r>
    </w:p>
    <w:p w14:paraId="5E92E03F" w14:textId="553B84DB" w:rsidR="00E66883" w:rsidRPr="00354ADA" w:rsidRDefault="00AE0ACE" w:rsidP="00C8100B">
      <w:r>
        <w:t>Il s’agit de minerai élaboré dont les caractéristiques sont définies comme la provenance des matières premières, la taille des morceaux, l’humidité, la teneur en lipides, le rapport collagène/ protéines. Ils peuvent servir de minerai de base pour différentes formulations, et être mélangés à d’autres minerais bruts, par exemple à une quantité plus ou moins importante de gras, afin d’obtenir plusieurs teneurs en lipides.</w:t>
      </w:r>
    </w:p>
    <w:p w14:paraId="762F199D" w14:textId="7B69C972" w:rsidR="00160D6D" w:rsidRPr="0086779B" w:rsidRDefault="00160D6D" w:rsidP="00C8100B">
      <w:pPr>
        <w:rPr>
          <w:b/>
        </w:rPr>
      </w:pPr>
      <w:r w:rsidRPr="0086779B">
        <w:rPr>
          <w:b/>
        </w:rPr>
        <w:t>Ménage</w:t>
      </w:r>
      <w:r w:rsidR="00337466" w:rsidRPr="0086779B">
        <w:rPr>
          <w:b/>
        </w:rPr>
        <w:t xml:space="preserve"> </w:t>
      </w:r>
    </w:p>
    <w:p w14:paraId="1B72BADF" w14:textId="4AB838E0" w:rsidR="00160D6D" w:rsidRDefault="00160D6D" w:rsidP="00C8100B">
      <w:r w:rsidRPr="00160D6D">
        <w:t>Un ménage, au sens statistique du terme, désigne l'ensemble des occupants d'un même logement sans que ces personnes soient nécessairement unies par des liens de parenté (en cas de colocation, par exemple). Un ménage peut être composé d'une seule personne.</w:t>
      </w:r>
      <w:r w:rsidR="00723574">
        <w:t xml:space="preserve"> (Ifip d’après Insee)</w:t>
      </w:r>
    </w:p>
    <w:p w14:paraId="5B87340D" w14:textId="2C4F150C" w:rsidR="00870AF6" w:rsidRPr="0086779B" w:rsidRDefault="00870AF6" w:rsidP="00C8100B">
      <w:pPr>
        <w:rPr>
          <w:b/>
        </w:rPr>
      </w:pPr>
      <w:r w:rsidRPr="0086779B">
        <w:rPr>
          <w:b/>
        </w:rPr>
        <w:t>Ménage ordinaire</w:t>
      </w:r>
    </w:p>
    <w:p w14:paraId="06E6B14D" w14:textId="70E74A0B" w:rsidR="00337466" w:rsidRPr="00337466" w:rsidRDefault="00337466" w:rsidP="00C8100B">
      <w:r w:rsidRPr="00337466">
        <w:t>Le ménage économique (ou ménage ordinaire par opposition à ménage collectif) est un ensemble de personnes, apparentées ou non, vivant sous le même toit (ou dans le même quartier), partageant les mêmes repas, reconnaissant l’autorité d’un même individu appelé chef de ménage, et dont les ressources ou les dépenses sont également communes, tout au moins en partie. La notion de chef de ménage est déclarative et ne résulte pas d’un traitement spécifique a posteriori, reposant sur des critères socioéconomiques, comme il est procédé lors des recensements de la population. Le concept de ménage économique utilisé ici diffère de celui du recensement de la population. Les individus qui composent le ménage peuvent être classés en quatre catégories : </w:t>
      </w:r>
    </w:p>
    <w:p w14:paraId="5B2C8C78" w14:textId="4409CCD0" w:rsidR="00337466" w:rsidRPr="00337466" w:rsidRDefault="009B54B4" w:rsidP="00C8100B">
      <w:r w:rsidRPr="00337466">
        <w:t>Les</w:t>
      </w:r>
      <w:r w:rsidR="00337466" w:rsidRPr="00337466">
        <w:t xml:space="preserve"> membres permanents, présents au moment de l’enquête et au cours des douze derniers mois qui l’ont précédée ;</w:t>
      </w:r>
    </w:p>
    <w:p w14:paraId="5715CBF5" w14:textId="5C2E34B8" w:rsidR="00337466" w:rsidRPr="00337466" w:rsidRDefault="009B54B4" w:rsidP="00C8100B">
      <w:r w:rsidRPr="00337466">
        <w:t>Les</w:t>
      </w:r>
      <w:r w:rsidR="00337466" w:rsidRPr="00337466">
        <w:t xml:space="preserve"> individus ayant quitté le ménage au cours des douze derniers mois (décès, divorce ou séparation d’un couple, fondation d’un nouveau foyer, départ pour études, etc.) ;</w:t>
      </w:r>
    </w:p>
    <w:p w14:paraId="7A3E5336" w14:textId="460F8721" w:rsidR="00337466" w:rsidRPr="00337466" w:rsidRDefault="009B54B4" w:rsidP="00C8100B">
      <w:r w:rsidRPr="00337466">
        <w:t>Les</w:t>
      </w:r>
      <w:r w:rsidR="00337466" w:rsidRPr="00337466">
        <w:t xml:space="preserve"> nouveaux membres ou individus arrivés au cours des douze derniers mois (naissance, union, retour d’un étudiant, etc.) ;</w:t>
      </w:r>
    </w:p>
    <w:p w14:paraId="58E4F4BF" w14:textId="19B00452" w:rsidR="00FC780B" w:rsidRPr="00337466" w:rsidRDefault="009B54B4" w:rsidP="00C8100B">
      <w:r w:rsidRPr="00337466">
        <w:t>Les</w:t>
      </w:r>
      <w:r w:rsidR="00337466" w:rsidRPr="00337466">
        <w:t xml:space="preserve"> individus de « passage » : pensionnaires, visiteurs de longue durée. L’enquête distingue la taille actuelle du ménage (nombre d’individus qui sont membres du ménage le premier jour de l’enquête) et la taille annuelle du ménage (nombre d’individus qui ont été membres du ménage au cours des douze mois ayant précédé le premier jour de l’enquête). Les dépenses prises en compte sont le fait de tous les individus ayant été membres permanents ou temporaires du ménage (taille annuelle)</w:t>
      </w:r>
      <w:r w:rsidR="00D60F69">
        <w:t xml:space="preserve"> (I</w:t>
      </w:r>
      <w:r w:rsidR="00723574">
        <w:t>FIP d’après INSEE</w:t>
      </w:r>
      <w:r w:rsidR="00D60F69">
        <w:t>)</w:t>
      </w:r>
      <w:r w:rsidR="006F1743">
        <w:t>.</w:t>
      </w:r>
    </w:p>
    <w:p w14:paraId="65B23CFC" w14:textId="30206EF4" w:rsidR="00B13D78" w:rsidRPr="006F1743" w:rsidRDefault="00B13D78" w:rsidP="00C8100B">
      <w:pPr>
        <w:rPr>
          <w:b/>
        </w:rPr>
      </w:pPr>
      <w:r w:rsidRPr="006F1743">
        <w:rPr>
          <w:b/>
        </w:rPr>
        <w:t xml:space="preserve">PAI ou Produit Agricole </w:t>
      </w:r>
      <w:r w:rsidR="009B54B4" w:rsidRPr="006F1743">
        <w:rPr>
          <w:b/>
        </w:rPr>
        <w:t>Intermédiaire</w:t>
      </w:r>
    </w:p>
    <w:p w14:paraId="1E35D0EE" w14:textId="7E84197B" w:rsidR="00DA4A75" w:rsidRDefault="00965635" w:rsidP="00C8100B">
      <w:r>
        <w:t xml:space="preserve">Ce sont des produits </w:t>
      </w:r>
      <w:r w:rsidR="00EF0E02">
        <w:t xml:space="preserve">finis issus de </w:t>
      </w:r>
      <w:r w:rsidR="007914CC">
        <w:t xml:space="preserve">la transformation de matière première </w:t>
      </w:r>
      <w:r w:rsidR="000843EB">
        <w:t>qui sont</w:t>
      </w:r>
      <w:r w:rsidR="009903F7">
        <w:t xml:space="preserve"> destiné</w:t>
      </w:r>
      <w:r w:rsidR="000843EB">
        <w:t>s à être utilisés</w:t>
      </w:r>
      <w:r w:rsidR="008C0EA2">
        <w:t xml:space="preserve"> dans des process d’assemblage </w:t>
      </w:r>
      <w:r w:rsidR="0045517F">
        <w:t xml:space="preserve">en tant qu’ingrédient ou matière première </w:t>
      </w:r>
      <w:r w:rsidR="0008708B">
        <w:t>compte tenu de leur praticité et gain de temps.</w:t>
      </w:r>
      <w:r w:rsidR="00DA4A75">
        <w:t xml:space="preserve"> Exemple : tranches de chorizo sur la pizza, les lardons dans une salade traiteur.</w:t>
      </w:r>
    </w:p>
    <w:p w14:paraId="04887437" w14:textId="77777777" w:rsidR="007F0889" w:rsidRPr="006F1743" w:rsidRDefault="007F0889" w:rsidP="00C8100B">
      <w:pPr>
        <w:rPr>
          <w:b/>
        </w:rPr>
      </w:pPr>
      <w:r w:rsidRPr="006F1743">
        <w:rPr>
          <w:b/>
        </w:rPr>
        <w:t>Plat Préparé</w:t>
      </w:r>
    </w:p>
    <w:p w14:paraId="4643B7DD" w14:textId="05DA6912" w:rsidR="00354ADA" w:rsidRDefault="007F0889" w:rsidP="00C8100B">
      <w:r>
        <w:lastRenderedPageBreak/>
        <w:t xml:space="preserve">Une préparation doit contenir des ingrédients appartenant à au moins deux familles distinctes de produits parmi les suivantes : produits à base de viande, produits à base de poissons, crustacés ou mollusques, produits à base de légumes ou de fruits, produits à base de pâtes, produits à base d’œufs, de fromage ou de céréales. Ces plats sont traités (congelés, réfrigérés, surgelés, appertisés ou sous-vide) et prêts à être consommés (préparés, assaisonnés et cuits). </w:t>
      </w:r>
    </w:p>
    <w:p w14:paraId="26FD95E2" w14:textId="2BB7D29A" w:rsidR="003B3EF5" w:rsidRPr="00521737" w:rsidRDefault="003B3EF5" w:rsidP="00C8100B">
      <w:pPr>
        <w:rPr>
          <w:b/>
        </w:rPr>
      </w:pPr>
      <w:r w:rsidRPr="00521737">
        <w:rPr>
          <w:b/>
        </w:rPr>
        <w:t xml:space="preserve">Processus </w:t>
      </w:r>
    </w:p>
    <w:p w14:paraId="2BA5735E" w14:textId="7BB2DC4C" w:rsidR="00CE3FD3" w:rsidRDefault="00BD6166" w:rsidP="00C8100B">
      <w:r>
        <w:t>Etape</w:t>
      </w:r>
      <w:r w:rsidR="003B3EF5">
        <w:t xml:space="preserve"> </w:t>
      </w:r>
      <w:r w:rsidR="00937E9D">
        <w:t>qui fait partie intégrante de l’éco</w:t>
      </w:r>
      <w:r w:rsidR="003B3EF5">
        <w:t>syst</w:t>
      </w:r>
      <w:r>
        <w:t>è</w:t>
      </w:r>
      <w:r w:rsidR="003B3EF5">
        <w:t xml:space="preserve">me </w:t>
      </w:r>
      <w:r w:rsidR="00937E9D">
        <w:t xml:space="preserve">défini dans le cadre de l’analyse de flux matière (AFM) </w:t>
      </w:r>
      <w:r w:rsidR="003B3EF5">
        <w:t xml:space="preserve">au cours </w:t>
      </w:r>
      <w:r>
        <w:t xml:space="preserve">duquel </w:t>
      </w:r>
      <w:r w:rsidR="009E2AAE">
        <w:t>le matériel ou l’énergie est transformée, stockée ou distribuée.</w:t>
      </w:r>
    </w:p>
    <w:p w14:paraId="0F4111AD" w14:textId="77777777" w:rsidR="00336AD0" w:rsidRDefault="00336AD0" w:rsidP="00336AD0">
      <w:pPr>
        <w:spacing w:after="100" w:afterAutospacing="1" w:line="240" w:lineRule="auto"/>
        <w:jc w:val="left"/>
        <w:rPr>
          <w:rFonts w:eastAsia="Times New Roman" w:cs="Arial"/>
          <w:color w:val="000000" w:themeColor="text1"/>
          <w:sz w:val="24"/>
          <w:szCs w:val="24"/>
          <w:lang w:eastAsia="fr-FR"/>
        </w:rPr>
      </w:pPr>
      <w:r w:rsidRPr="00336AD0">
        <w:rPr>
          <w:rFonts w:eastAsia="Times New Roman" w:cs="Arial"/>
          <w:b/>
          <w:bCs/>
          <w:color w:val="000000" w:themeColor="text1"/>
          <w:sz w:val="24"/>
          <w:szCs w:val="24"/>
          <w:lang w:eastAsia="fr-FR"/>
        </w:rPr>
        <w:t>Références nutritionnelles pour la population (RNP)</w:t>
      </w:r>
    </w:p>
    <w:p w14:paraId="17BA3823" w14:textId="0A921858" w:rsidR="00336AD0" w:rsidRPr="006F1743" w:rsidRDefault="00336AD0" w:rsidP="00C8100B">
      <w:pPr>
        <w:rPr>
          <w:lang w:eastAsia="fr-FR"/>
        </w:rPr>
      </w:pPr>
      <w:r w:rsidRPr="006F1743">
        <w:rPr>
          <w:lang w:eastAsia="fr-FR"/>
        </w:rPr>
        <w:t xml:space="preserve">Les références nutritionnelles pour la population </w:t>
      </w:r>
      <w:r w:rsidRPr="00336AD0">
        <w:rPr>
          <w:lang w:eastAsia="fr-FR"/>
        </w:rPr>
        <w:t>sont calculées de façon à couvrir les besoins de la quasi-totalité (97,5%) de la population concernée.</w:t>
      </w:r>
      <w:r w:rsidRPr="006F1743">
        <w:rPr>
          <w:lang w:eastAsia="fr-FR"/>
        </w:rPr>
        <w:t xml:space="preserve"> </w:t>
      </w:r>
      <w:r w:rsidRPr="00336AD0">
        <w:rPr>
          <w:lang w:eastAsia="fr-FR"/>
        </w:rPr>
        <w:t>À l’inverse,</w:t>
      </w:r>
      <w:r w:rsidRPr="00336AD0">
        <w:rPr>
          <w:bCs/>
          <w:lang w:eastAsia="fr-FR"/>
        </w:rPr>
        <w:t> les Apports journaliers recommandés (AJR)</w:t>
      </w:r>
      <w:r w:rsidRPr="006F1743">
        <w:rPr>
          <w:lang w:eastAsia="fr-FR"/>
        </w:rPr>
        <w:t xml:space="preserve"> </w:t>
      </w:r>
      <w:r w:rsidRPr="00336AD0">
        <w:rPr>
          <w:lang w:eastAsia="fr-FR"/>
        </w:rPr>
        <w:t>sont des valeurs repères uniques qui servent de référence sur les étiquettes des aliments.</w:t>
      </w:r>
    </w:p>
    <w:p w14:paraId="144F021D" w14:textId="19780005" w:rsidR="00160D6D" w:rsidRPr="00521737" w:rsidRDefault="00160D6D" w:rsidP="00C8100B">
      <w:pPr>
        <w:rPr>
          <w:b/>
        </w:rPr>
      </w:pPr>
      <w:r w:rsidRPr="00521737">
        <w:rPr>
          <w:b/>
        </w:rPr>
        <w:t>Salaison</w:t>
      </w:r>
    </w:p>
    <w:p w14:paraId="3610D406" w14:textId="16E86B34" w:rsidR="00160D6D" w:rsidRDefault="00160D6D" w:rsidP="00C8100B">
      <w:r w:rsidRPr="002315AE">
        <w:t xml:space="preserve">La salaison – également appelée le salage – est une méthode qui consiste à utiliser du sel pour permettre à des aliments de se conserver plus longtemps : </w:t>
      </w:r>
      <w:r>
        <w:t xml:space="preserve"> </w:t>
      </w:r>
      <w:r w:rsidRPr="002315AE">
        <w:t xml:space="preserve">Le principe est </w:t>
      </w:r>
      <w:r>
        <w:t xml:space="preserve">le suivant : </w:t>
      </w:r>
      <w:r w:rsidRPr="002315AE">
        <w:t>le chlorure de sodium absorbe l’eau pour freiner le développement</w:t>
      </w:r>
      <w:r>
        <w:t xml:space="preserve"> bactérien</w:t>
      </w:r>
      <w:r w:rsidRPr="002315AE">
        <w:t xml:space="preserve">. Sur la base de ce fonctionnement, on distingue le salage à sec, du saumurage : avec le premier, l’aliment est recouvert de sel, tandis qu’avec le second, il est plongé dans l’eau salée. Aujourd’hui, au-delà de </w:t>
      </w:r>
      <w:r>
        <w:t xml:space="preserve">aspects </w:t>
      </w:r>
      <w:r w:rsidRPr="002315AE">
        <w:t>de conservation, c</w:t>
      </w:r>
      <w:r>
        <w:t xml:space="preserve">e procédé est un préalable à la fumaison permettant d’obtenir des produits fumés </w:t>
      </w:r>
      <w:r w:rsidRPr="002315AE">
        <w:t>(à travers le fumage par exemple)</w:t>
      </w:r>
      <w:r>
        <w:t xml:space="preserve">. </w:t>
      </w:r>
    </w:p>
    <w:p w14:paraId="48929DD2" w14:textId="77777777" w:rsidR="00354ADA" w:rsidRPr="00336AD0" w:rsidRDefault="00354ADA" w:rsidP="00C8100B">
      <w:pPr>
        <w:rPr>
          <w:b/>
        </w:rPr>
      </w:pPr>
      <w:r w:rsidRPr="00336AD0">
        <w:rPr>
          <w:b/>
        </w:rPr>
        <w:t>Snacking</w:t>
      </w:r>
    </w:p>
    <w:p w14:paraId="478EB3C0" w14:textId="6D716F39" w:rsidR="00354ADA" w:rsidRDefault="00354ADA" w:rsidP="00C8100B">
      <w:r>
        <w:t>L’univers du Snacking rassemble, de son côté, des sandwichs, les pizzas et les salades composées.</w:t>
      </w:r>
    </w:p>
    <w:p w14:paraId="68D201BE" w14:textId="28DD2986" w:rsidR="00354ADA" w:rsidRPr="002315AE" w:rsidRDefault="00354ADA" w:rsidP="00C8100B">
      <w:r>
        <w:t>S</w:t>
      </w:r>
      <w:r w:rsidRPr="002315AE">
        <w:t xml:space="preserve">ous-produit </w:t>
      </w:r>
      <w:r>
        <w:t>et coproduit</w:t>
      </w:r>
    </w:p>
    <w:p w14:paraId="5B99D207" w14:textId="043E4DA3" w:rsidR="00354ADA" w:rsidRDefault="00354ADA" w:rsidP="00C8100B">
      <w:r>
        <w:t>Selon l’article 5 de la directive cadre déchets (</w:t>
      </w:r>
      <w:r w:rsidRPr="00F20D5C">
        <w:t>directive cadre 2008/98/CE</w:t>
      </w:r>
      <w:r>
        <w:t xml:space="preserve">), un sous-produit est une « substance ou un objet issu d’un processus de production dont le but premier n’est pas la production dudit bien ». Il répond aux points suivants </w:t>
      </w:r>
    </w:p>
    <w:p w14:paraId="371B47FC" w14:textId="1AC3AB2A" w:rsidR="00354ADA" w:rsidRDefault="00354ADA" w:rsidP="00354ADA">
      <w:pPr>
        <w:pStyle w:val="Paragraphedeliste"/>
        <w:numPr>
          <w:ilvl w:val="0"/>
          <w:numId w:val="7"/>
        </w:numPr>
      </w:pPr>
      <w:r>
        <w:t xml:space="preserve">« </w:t>
      </w:r>
      <w:r w:rsidR="009B54B4">
        <w:t>L’utilisation</w:t>
      </w:r>
      <w:r>
        <w:t xml:space="preserve"> ultérieure de la substance ou de l'objet [soit] certaine » </w:t>
      </w:r>
    </w:p>
    <w:p w14:paraId="2CA5688A" w14:textId="77777777" w:rsidR="00354ADA" w:rsidRDefault="00354ADA" w:rsidP="00354ADA">
      <w:pPr>
        <w:pStyle w:val="Paragraphedeliste"/>
        <w:numPr>
          <w:ilvl w:val="0"/>
          <w:numId w:val="7"/>
        </w:numPr>
      </w:pPr>
      <w:r>
        <w:t xml:space="preserve">Ne correspond pas à un déchet défini par l’intention ou l’obligation de son propriétaire de s’en défaire. </w:t>
      </w:r>
    </w:p>
    <w:p w14:paraId="60A82F60" w14:textId="77777777" w:rsidR="00354ADA" w:rsidRDefault="00354ADA" w:rsidP="00354ADA">
      <w:pPr>
        <w:pStyle w:val="Paragraphedeliste"/>
        <w:numPr>
          <w:ilvl w:val="0"/>
          <w:numId w:val="7"/>
        </w:numPr>
      </w:pPr>
      <w:r>
        <w:t xml:space="preserve">Il est « généré de façon prévisible et répond à des spécifications définies. </w:t>
      </w:r>
    </w:p>
    <w:p w14:paraId="23273DF1" w14:textId="77642BD9" w:rsidR="00354ADA" w:rsidRPr="00354ADA" w:rsidRDefault="00354ADA" w:rsidP="00354ADA">
      <w:pPr>
        <w:pStyle w:val="Paragraphedeliste"/>
        <w:numPr>
          <w:ilvl w:val="0"/>
          <w:numId w:val="7"/>
        </w:numPr>
      </w:pPr>
      <w:r>
        <w:t>Il peut être considéré comme un produit à part entière, disposant d’un marché et d’une cotation (cas du saindoux) (</w:t>
      </w:r>
      <w:r>
        <w:rPr>
          <w:i/>
        </w:rPr>
        <w:t>S</w:t>
      </w:r>
      <w:r w:rsidRPr="00354ADA">
        <w:rPr>
          <w:i/>
        </w:rPr>
        <w:t>ources INRC, SIFCO).</w:t>
      </w:r>
    </w:p>
    <w:p w14:paraId="58F32E26" w14:textId="6DB111FB" w:rsidR="00354ADA" w:rsidRDefault="00354ADA" w:rsidP="00354ADA">
      <w:pPr>
        <w:pStyle w:val="Paragraphedeliste"/>
        <w:numPr>
          <w:ilvl w:val="0"/>
          <w:numId w:val="0"/>
        </w:numPr>
        <w:ind w:left="361"/>
      </w:pPr>
    </w:p>
    <w:p w14:paraId="3D0BAC1E" w14:textId="03D6BDF7" w:rsidR="00F32DD1" w:rsidRDefault="00F32DD1" w:rsidP="00354ADA">
      <w:pPr>
        <w:pStyle w:val="Paragraphedeliste"/>
        <w:numPr>
          <w:ilvl w:val="0"/>
          <w:numId w:val="0"/>
        </w:numPr>
        <w:ind w:left="361"/>
      </w:pPr>
    </w:p>
    <w:p w14:paraId="3C691C2D" w14:textId="1AA3A1AD" w:rsidR="008E22BD" w:rsidRDefault="00F32DD1" w:rsidP="00677B0E">
      <w:pPr>
        <w:pStyle w:val="Paragraphedeliste"/>
        <w:numPr>
          <w:ilvl w:val="0"/>
          <w:numId w:val="0"/>
        </w:numPr>
        <w:ind w:left="361"/>
      </w:pPr>
      <w:r>
        <w:t>Système socio-économique : dans le cadre de ce guide, le système étudié est borné dans l’espace par les limites administratives (ou toute autre limite à caractère géographique) du territoire* considéré ; il ne contient que la population humaine, ses activités, ses productions et ses artefacts. Le système exclut donc les composantes naturelles du territoire* étudié (air, eau, sol). Il est désigné dans le guide par les termes « société* » ou « système socio-économique ». Voir aussi société/ économie</w:t>
      </w:r>
      <w:r w:rsidR="00677B0E">
        <w:t>.</w:t>
      </w:r>
    </w:p>
    <w:p w14:paraId="127E2378" w14:textId="5821FD7A" w:rsidR="00677B0E" w:rsidRDefault="00677B0E" w:rsidP="00677B0E">
      <w:pPr>
        <w:pStyle w:val="Paragraphedeliste"/>
        <w:numPr>
          <w:ilvl w:val="0"/>
          <w:numId w:val="0"/>
        </w:numPr>
        <w:ind w:left="361"/>
      </w:pPr>
    </w:p>
    <w:p w14:paraId="2B060E9C" w14:textId="226B2F9F" w:rsidR="00D328BD" w:rsidRDefault="00D328BD" w:rsidP="00677B0E">
      <w:pPr>
        <w:pStyle w:val="Paragraphedeliste"/>
        <w:numPr>
          <w:ilvl w:val="0"/>
          <w:numId w:val="0"/>
        </w:numPr>
        <w:ind w:left="361"/>
      </w:pPr>
    </w:p>
    <w:p w14:paraId="050E9C0A" w14:textId="1C84E4BB" w:rsidR="00D328BD" w:rsidRDefault="00D328BD" w:rsidP="00677B0E">
      <w:pPr>
        <w:pStyle w:val="Paragraphedeliste"/>
        <w:numPr>
          <w:ilvl w:val="0"/>
          <w:numId w:val="0"/>
        </w:numPr>
        <w:ind w:left="361"/>
      </w:pPr>
    </w:p>
    <w:p w14:paraId="31479D25" w14:textId="77777777" w:rsidR="00D328BD" w:rsidRPr="00677B0E" w:rsidRDefault="00D328BD" w:rsidP="00677B0E">
      <w:pPr>
        <w:pStyle w:val="Paragraphedeliste"/>
        <w:numPr>
          <w:ilvl w:val="0"/>
          <w:numId w:val="0"/>
        </w:numPr>
        <w:ind w:left="361"/>
      </w:pPr>
    </w:p>
    <w:p w14:paraId="26BCFC74" w14:textId="7BBA7D62" w:rsidR="00FC780B" w:rsidRPr="00FC780B" w:rsidRDefault="00FC780B" w:rsidP="00FC780B">
      <w:pPr>
        <w:ind w:left="-644" w:firstLine="360"/>
        <w:rPr>
          <w:b/>
        </w:rPr>
      </w:pPr>
      <w:r w:rsidRPr="00FC780B">
        <w:rPr>
          <w:b/>
        </w:rPr>
        <w:lastRenderedPageBreak/>
        <w:t>Unités de consommation</w:t>
      </w:r>
    </w:p>
    <w:p w14:paraId="64BCEC9B" w14:textId="04BACA36" w:rsidR="00FC780B" w:rsidRPr="00FC780B" w:rsidRDefault="00FC780B" w:rsidP="00FC780B">
      <w:pPr>
        <w:pStyle w:val="NormalWeb"/>
        <w:shd w:val="clear" w:color="auto" w:fill="FFFFFF"/>
        <w:spacing w:before="0" w:beforeAutospacing="0" w:after="0" w:afterAutospacing="0"/>
        <w:ind w:left="-284"/>
        <w:rPr>
          <w:rFonts w:ascii="Arial" w:eastAsiaTheme="minorHAnsi" w:hAnsi="Arial" w:cstheme="minorBidi"/>
          <w:sz w:val="22"/>
          <w:szCs w:val="22"/>
          <w:lang w:eastAsia="en-US"/>
        </w:rPr>
      </w:pPr>
      <w:r w:rsidRPr="00FC780B">
        <w:rPr>
          <w:rFonts w:ascii="Arial" w:eastAsiaTheme="minorHAnsi" w:hAnsi="Arial" w:cstheme="minorBidi"/>
          <w:sz w:val="22"/>
          <w:szCs w:val="22"/>
          <w:lang w:eastAsia="en-US"/>
        </w:rPr>
        <w:t>Les unités de consommation sont déterminées à l’aide de pondérations affectées à chaque personne du ménage en fonction de ses caractéristiques propres. Selon l’échelle d’Oxford utilisée dans cette étude, les poids sont les suivants :</w:t>
      </w:r>
    </w:p>
    <w:p w14:paraId="3ECDE5CD" w14:textId="77777777" w:rsidR="00FC780B" w:rsidRPr="00FC780B" w:rsidRDefault="00FC780B" w:rsidP="00A305CD">
      <w:pPr>
        <w:numPr>
          <w:ilvl w:val="0"/>
          <w:numId w:val="12"/>
        </w:numPr>
        <w:shd w:val="clear" w:color="auto" w:fill="FFFFFF"/>
        <w:spacing w:after="0" w:line="240" w:lineRule="auto"/>
        <w:ind w:left="0" w:firstLine="0"/>
      </w:pPr>
      <w:r w:rsidRPr="00FC780B">
        <w:t>1 pour le chef de ménage ;</w:t>
      </w:r>
    </w:p>
    <w:p w14:paraId="7BF5CE19" w14:textId="77777777" w:rsidR="00FC780B" w:rsidRPr="00FC780B" w:rsidRDefault="00FC780B" w:rsidP="00A305CD">
      <w:pPr>
        <w:numPr>
          <w:ilvl w:val="0"/>
          <w:numId w:val="12"/>
        </w:numPr>
        <w:shd w:val="clear" w:color="auto" w:fill="FFFFFF"/>
        <w:spacing w:after="0" w:line="240" w:lineRule="auto"/>
        <w:ind w:left="0" w:firstLine="0"/>
      </w:pPr>
      <w:r w:rsidRPr="00FC780B">
        <w:t>0,7 pour les autres membres adultes de plus de 14 ans ;</w:t>
      </w:r>
    </w:p>
    <w:p w14:paraId="1FF0931D" w14:textId="77777777" w:rsidR="00FC780B" w:rsidRPr="00FC780B" w:rsidRDefault="00FC780B" w:rsidP="00A305CD">
      <w:pPr>
        <w:numPr>
          <w:ilvl w:val="0"/>
          <w:numId w:val="12"/>
        </w:numPr>
        <w:shd w:val="clear" w:color="auto" w:fill="FFFFFF"/>
        <w:spacing w:after="0" w:line="240" w:lineRule="auto"/>
        <w:ind w:left="0" w:firstLine="0"/>
      </w:pPr>
      <w:r w:rsidRPr="00FC780B">
        <w:t>0,5 pour les moins de 14 ans.</w:t>
      </w:r>
    </w:p>
    <w:p w14:paraId="33DBA9BE" w14:textId="7D483EFD" w:rsidR="00160D6D" w:rsidRDefault="00FC780B" w:rsidP="008C1F21">
      <w:pPr>
        <w:pStyle w:val="NormalWeb"/>
        <w:shd w:val="clear" w:color="auto" w:fill="FFFFFF"/>
        <w:spacing w:before="0" w:beforeAutospacing="0" w:after="0" w:afterAutospacing="0"/>
        <w:ind w:left="-284"/>
        <w:rPr>
          <w:rFonts w:ascii="Arial" w:eastAsiaTheme="minorHAnsi" w:hAnsi="Arial" w:cstheme="minorBidi"/>
          <w:sz w:val="22"/>
          <w:szCs w:val="22"/>
          <w:lang w:eastAsia="en-US"/>
        </w:rPr>
      </w:pPr>
      <w:r w:rsidRPr="00FC780B">
        <w:rPr>
          <w:rFonts w:ascii="Arial" w:eastAsiaTheme="minorHAnsi" w:hAnsi="Arial" w:cstheme="minorBidi"/>
          <w:sz w:val="22"/>
          <w:szCs w:val="22"/>
          <w:lang w:eastAsia="en-US"/>
        </w:rPr>
        <w:t>L’utilisation des unités de consommation permet de mieux cerner la consommation réelle d’un ménage en tenant compte du fait que tous les membres ne consomment pas dans les mêmes proportions. Par un exemple, un enfant n’a pas les mêmes dépenses alimentaires qu’un adulte. La notion d’unité de consommation a aussi pour but de rendre les ménages facilement comparables entre eux et permettre des comparaisons internationales.</w:t>
      </w:r>
    </w:p>
    <w:p w14:paraId="57A5768E" w14:textId="77777777" w:rsidR="008C1F21" w:rsidRPr="008C1F21" w:rsidRDefault="008C1F21" w:rsidP="008C1F21">
      <w:pPr>
        <w:pStyle w:val="NormalWeb"/>
        <w:shd w:val="clear" w:color="auto" w:fill="FFFFFF"/>
        <w:spacing w:before="0" w:beforeAutospacing="0" w:after="0" w:afterAutospacing="0"/>
        <w:ind w:left="-284"/>
        <w:rPr>
          <w:rFonts w:ascii="Arial" w:eastAsiaTheme="minorHAnsi" w:hAnsi="Arial" w:cstheme="minorBidi"/>
          <w:sz w:val="22"/>
          <w:szCs w:val="22"/>
          <w:lang w:eastAsia="en-US"/>
        </w:rPr>
      </w:pPr>
    </w:p>
    <w:p w14:paraId="1537AF5B" w14:textId="5B6A76F1" w:rsidR="00160D6D" w:rsidRPr="008C1F21" w:rsidRDefault="00043725" w:rsidP="00677B0E">
      <w:pPr>
        <w:ind w:left="-284"/>
        <w:rPr>
          <w:b/>
        </w:rPr>
      </w:pPr>
      <w:r w:rsidRPr="008C1F21">
        <w:rPr>
          <w:b/>
        </w:rPr>
        <w:t>UVC</w:t>
      </w:r>
      <w:r w:rsidR="00677B0E">
        <w:rPr>
          <w:b/>
        </w:rPr>
        <w:t>M</w:t>
      </w:r>
      <w:r w:rsidRPr="008C1F21">
        <w:rPr>
          <w:b/>
        </w:rPr>
        <w:t xml:space="preserve"> </w:t>
      </w:r>
      <w:r w:rsidR="00677B0E">
        <w:rPr>
          <w:b/>
        </w:rPr>
        <w:t xml:space="preserve">(Unité de Vente Consommation Magasin) de </w:t>
      </w:r>
      <w:r w:rsidR="00996F0C" w:rsidRPr="008C1F21">
        <w:rPr>
          <w:b/>
        </w:rPr>
        <w:t>et UVC</w:t>
      </w:r>
      <w:r w:rsidR="00677B0E">
        <w:rPr>
          <w:b/>
        </w:rPr>
        <w:t xml:space="preserve">I (Unité de Vente Consommation </w:t>
      </w:r>
      <w:r w:rsidR="00677B0E">
        <w:rPr>
          <w:b/>
        </w:rPr>
        <w:br/>
        <w:t>Industrielle)</w:t>
      </w:r>
    </w:p>
    <w:p w14:paraId="485A7852" w14:textId="2AA6B2B1" w:rsidR="00D830EC" w:rsidRPr="008E22BD" w:rsidRDefault="00D830EC" w:rsidP="008E22BD">
      <w:pPr>
        <w:ind w:left="-284"/>
      </w:pPr>
      <w:r>
        <w:t xml:space="preserve">En grande distribution, l’offre en viandes </w:t>
      </w:r>
      <w:r w:rsidR="00996F0C">
        <w:t xml:space="preserve">implantée dans les </w:t>
      </w:r>
      <w:r>
        <w:t>rayon</w:t>
      </w:r>
      <w:r w:rsidR="00996F0C">
        <w:t>s</w:t>
      </w:r>
      <w:r>
        <w:t xml:space="preserve"> traditionnel</w:t>
      </w:r>
      <w:r w:rsidR="00996F0C">
        <w:t>s des points de vente</w:t>
      </w:r>
      <w:r w:rsidR="00FA4629">
        <w:t xml:space="preserve"> </w:t>
      </w:r>
      <w:r>
        <w:t>présentant des morceaux de viande préparés et pré-emballés sur place par les bouchers de</w:t>
      </w:r>
      <w:r w:rsidR="00FA4629">
        <w:t>s points de vente</w:t>
      </w:r>
      <w:r>
        <w:t xml:space="preserve"> </w:t>
      </w:r>
      <w:r w:rsidR="00FB6F17">
        <w:t xml:space="preserve">et à poids variable </w:t>
      </w:r>
      <w:r w:rsidR="008C1F21">
        <w:t>a donné lieu à la dénomination</w:t>
      </w:r>
      <w:r>
        <w:t xml:space="preserve"> d’UVCM</w:t>
      </w:r>
      <w:r w:rsidR="00A906A7">
        <w:t xml:space="preserve"> ou Unité de Vente Consommation Magasin</w:t>
      </w:r>
      <w:r>
        <w:t xml:space="preserve">. </w:t>
      </w:r>
      <w:r w:rsidR="00A906A7">
        <w:t xml:space="preserve">Par opposition </w:t>
      </w:r>
      <w:r w:rsidR="008E22BD">
        <w:t>sont</w:t>
      </w:r>
      <w:r w:rsidR="00A906A7">
        <w:t xml:space="preserve"> distingu</w:t>
      </w:r>
      <w:r w:rsidR="008E22BD">
        <w:t>ées</w:t>
      </w:r>
      <w:r w:rsidR="00A906A7">
        <w:t xml:space="preserve"> les </w:t>
      </w:r>
      <w:r>
        <w:t>UVC directement fabriquées par les abatteurs-transformateurs de viande</w:t>
      </w:r>
      <w:r w:rsidR="00A906A7">
        <w:t xml:space="preserve"> ou</w:t>
      </w:r>
      <w:r>
        <w:t xml:space="preserve"> UVCI (</w:t>
      </w:r>
      <w:r w:rsidR="00D328BD">
        <w:t xml:space="preserve"> </w:t>
      </w:r>
      <w:r>
        <w:t>«I» pour industrielle)</w:t>
      </w:r>
      <w:r w:rsidR="008E22BD">
        <w:t xml:space="preserve"> le plus souvent à poids fixe</w:t>
      </w:r>
      <w:r w:rsidR="00A906A7">
        <w:t>.</w:t>
      </w:r>
    </w:p>
    <w:p w14:paraId="724811FC" w14:textId="77777777" w:rsidR="00261FE2" w:rsidRPr="008E22BD" w:rsidRDefault="00261FE2" w:rsidP="008E22BD">
      <w:pPr>
        <w:ind w:left="-644" w:firstLine="360"/>
        <w:rPr>
          <w:b/>
        </w:rPr>
      </w:pPr>
      <w:r w:rsidRPr="008E22BD">
        <w:rPr>
          <w:b/>
        </w:rPr>
        <w:t xml:space="preserve">Valeur ajoutée brute </w:t>
      </w:r>
    </w:p>
    <w:p w14:paraId="5F78E5DE" w14:textId="70F91354" w:rsidR="00CE0EB0" w:rsidRPr="008E22BD" w:rsidRDefault="00CE0EB0" w:rsidP="00CE0EB0">
      <w:pPr>
        <w:ind w:left="-284"/>
      </w:pPr>
      <w:r w:rsidRPr="008E22BD">
        <w:t xml:space="preserve">La valeur ajoutée brute correspond à la différence entre la production totale et la consommation intermédiaire. Ce concept désigne la contribution d'un </w:t>
      </w:r>
      <w:r w:rsidR="00261FE2" w:rsidRPr="008E22BD">
        <w:t xml:space="preserve">opérateur </w:t>
      </w:r>
      <w:r w:rsidRPr="008E22BD">
        <w:t>au PIB total de l'économie.</w:t>
      </w:r>
    </w:p>
    <w:p w14:paraId="1E675EC6" w14:textId="048CD840" w:rsidR="009606C4" w:rsidRPr="0002537E" w:rsidRDefault="009606C4" w:rsidP="0002537E">
      <w:pPr>
        <w:ind w:left="-644" w:firstLine="360"/>
        <w:rPr>
          <w:b/>
        </w:rPr>
      </w:pPr>
      <w:r w:rsidRPr="0002537E">
        <w:rPr>
          <w:b/>
        </w:rPr>
        <w:t xml:space="preserve">Viande Séparée Mécaniquement </w:t>
      </w:r>
    </w:p>
    <w:p w14:paraId="537F904F" w14:textId="66C18F63" w:rsidR="00FB7178" w:rsidRPr="0002537E" w:rsidRDefault="00FB7178" w:rsidP="0002537E">
      <w:pPr>
        <w:ind w:left="-284"/>
      </w:pPr>
      <w:r w:rsidRPr="0002537E">
        <w:t>Il s</w:t>
      </w:r>
      <w:r w:rsidR="00D328BD">
        <w:t>’</w:t>
      </w:r>
      <w:r w:rsidRPr="0002537E">
        <w:t>agit de produits obtenus par l</w:t>
      </w:r>
      <w:r w:rsidR="00D328BD">
        <w:t>’</w:t>
      </w:r>
      <w:r w:rsidRPr="0002537E">
        <w:t>enl</w:t>
      </w:r>
      <w:r w:rsidRPr="0002537E">
        <w:rPr>
          <w:rFonts w:hint="eastAsia"/>
        </w:rPr>
        <w:t>è</w:t>
      </w:r>
      <w:r w:rsidRPr="0002537E">
        <w:t xml:space="preserve">vement, </w:t>
      </w:r>
      <w:r w:rsidRPr="0002537E">
        <w:rPr>
          <w:rFonts w:hint="eastAsia"/>
        </w:rPr>
        <w:t>à</w:t>
      </w:r>
      <w:r w:rsidRPr="0002537E">
        <w:t xml:space="preserve"> l</w:t>
      </w:r>
      <w:r w:rsidR="00D328BD">
        <w:t>’</w:t>
      </w:r>
      <w:r w:rsidRPr="0002537E">
        <w:t>aide de moyens m</w:t>
      </w:r>
      <w:r w:rsidRPr="0002537E">
        <w:rPr>
          <w:rFonts w:hint="eastAsia"/>
        </w:rPr>
        <w:t>é</w:t>
      </w:r>
      <w:r w:rsidRPr="0002537E">
        <w:t>caniques, de la viande des os ou des carcasses de porc. Obtenus apr</w:t>
      </w:r>
      <w:r w:rsidRPr="0002537E">
        <w:rPr>
          <w:rFonts w:hint="eastAsia"/>
        </w:rPr>
        <w:t>è</w:t>
      </w:r>
      <w:r w:rsidRPr="0002537E">
        <w:t>s d</w:t>
      </w:r>
      <w:r w:rsidRPr="0002537E">
        <w:rPr>
          <w:rFonts w:hint="eastAsia"/>
        </w:rPr>
        <w:t>é</w:t>
      </w:r>
      <w:r w:rsidRPr="0002537E">
        <w:t>sossage, ces produits peuvent contenir des r</w:t>
      </w:r>
      <w:r w:rsidRPr="0002537E">
        <w:rPr>
          <w:rFonts w:hint="eastAsia"/>
        </w:rPr>
        <w:t>é</w:t>
      </w:r>
      <w:r w:rsidRPr="0002537E">
        <w:t>sidus d</w:t>
      </w:r>
      <w:r w:rsidR="00D328BD">
        <w:t>’</w:t>
      </w:r>
      <w:r w:rsidRPr="0002537E">
        <w:t>os, de cartilages ou de moelle, contrairement aux viandes hach</w:t>
      </w:r>
      <w:r w:rsidRPr="0002537E">
        <w:rPr>
          <w:rFonts w:hint="eastAsia"/>
        </w:rPr>
        <w:t>é</w:t>
      </w:r>
      <w:r w:rsidRPr="0002537E">
        <w:t>es ou aux viandes pour hachis.(</w:t>
      </w:r>
      <w:hyperlink r:id="rId77" w:tgtFrame="_blank" w:tooltip="règlement européen n° 853/2004 (Nouvelle fenêtre)" w:history="1">
        <w:r w:rsidRPr="0002537E">
          <w:t>r</w:t>
        </w:r>
        <w:r w:rsidRPr="0002537E">
          <w:rPr>
            <w:rFonts w:hint="eastAsia"/>
          </w:rPr>
          <w:t>è</w:t>
        </w:r>
        <w:r w:rsidRPr="0002537E">
          <w:t>glement europ</w:t>
        </w:r>
        <w:r w:rsidRPr="0002537E">
          <w:rPr>
            <w:rFonts w:hint="eastAsia"/>
          </w:rPr>
          <w:t>é</w:t>
        </w:r>
        <w:r w:rsidRPr="0002537E">
          <w:t>en n</w:t>
        </w:r>
        <w:r w:rsidR="00D328BD">
          <w:rPr>
            <w:rFonts w:hint="eastAsia"/>
          </w:rPr>
          <w:t>°</w:t>
        </w:r>
        <w:r w:rsidRPr="0002537E">
          <w:t>853/2004</w:t>
        </w:r>
      </w:hyperlink>
      <w:r w:rsidRPr="0002537E">
        <w:t>)</w:t>
      </w:r>
      <w:r>
        <w:t xml:space="preserve">. </w:t>
      </w:r>
    </w:p>
    <w:p w14:paraId="6255007E" w14:textId="77777777" w:rsidR="008150C6" w:rsidRPr="00FB7178" w:rsidRDefault="002315AE" w:rsidP="002315AE">
      <w:pPr>
        <w:jc w:val="left"/>
      </w:pPr>
      <w:r w:rsidRPr="00FB7178">
        <w:br w:type="page"/>
      </w:r>
    </w:p>
    <w:p w14:paraId="7472E617" w14:textId="77777777" w:rsidR="008150C6" w:rsidRPr="00BF6001" w:rsidRDefault="008150C6" w:rsidP="008150C6">
      <w:pPr>
        <w:ind w:left="-284"/>
        <w:rPr>
          <w:rFonts w:cs="Arial"/>
          <w:b/>
        </w:rPr>
      </w:pPr>
      <w:r w:rsidRPr="00BF6001">
        <w:rPr>
          <w:rFonts w:cs="Arial"/>
          <w:b/>
        </w:rPr>
        <w:lastRenderedPageBreak/>
        <w:t>Liste des abréviations utilisées</w:t>
      </w:r>
    </w:p>
    <w:p w14:paraId="33F164F1" w14:textId="0766D3AB" w:rsidR="005B616D" w:rsidRDefault="005B616D" w:rsidP="008150C6">
      <w:pPr>
        <w:ind w:left="-284"/>
        <w:rPr>
          <w:rFonts w:cs="Arial"/>
        </w:rPr>
      </w:pPr>
      <w:r>
        <w:rPr>
          <w:rFonts w:cs="Arial"/>
        </w:rPr>
        <w:t xml:space="preserve">BDF : Enquête Budget des Familles (INSEE). </w:t>
      </w:r>
    </w:p>
    <w:p w14:paraId="1B3EE8D5" w14:textId="2DC44269" w:rsidR="00BF6001" w:rsidRPr="008150C6" w:rsidRDefault="00BF6001" w:rsidP="008150C6">
      <w:pPr>
        <w:ind w:left="-284"/>
        <w:rPr>
          <w:rFonts w:cs="Arial"/>
        </w:rPr>
      </w:pPr>
      <w:r>
        <w:rPr>
          <w:rFonts w:cs="Arial"/>
        </w:rPr>
        <w:t xml:space="preserve">CIM : </w:t>
      </w:r>
      <w:r w:rsidR="005B616D">
        <w:rPr>
          <w:rFonts w:cs="Arial"/>
        </w:rPr>
        <w:t>C</w:t>
      </w:r>
      <w:r w:rsidRPr="00720774">
        <w:rPr>
          <w:rFonts w:cs="Arial"/>
        </w:rPr>
        <w:t xml:space="preserve">onsommation </w:t>
      </w:r>
      <w:r w:rsidR="005B616D">
        <w:rPr>
          <w:rFonts w:cs="Arial"/>
        </w:rPr>
        <w:t>I</w:t>
      </w:r>
      <w:r w:rsidRPr="00720774">
        <w:rPr>
          <w:rFonts w:cs="Arial"/>
        </w:rPr>
        <w:t xml:space="preserve">ndividuelle </w:t>
      </w:r>
      <w:r w:rsidR="005B616D">
        <w:rPr>
          <w:rFonts w:cs="Arial"/>
        </w:rPr>
        <w:t>M</w:t>
      </w:r>
      <w:r w:rsidRPr="00720774">
        <w:rPr>
          <w:rFonts w:cs="Arial"/>
        </w:rPr>
        <w:t>oyenne</w:t>
      </w:r>
      <w:r>
        <w:rPr>
          <w:rFonts w:cs="Arial"/>
        </w:rPr>
        <w:t xml:space="preserve">. </w:t>
      </w:r>
    </w:p>
    <w:p w14:paraId="009C69DE" w14:textId="2948BEBA" w:rsidR="008150C6" w:rsidRDefault="008150C6" w:rsidP="008150C6">
      <w:pPr>
        <w:ind w:left="-284"/>
        <w:rPr>
          <w:rFonts w:cs="Arial"/>
        </w:rPr>
      </w:pPr>
      <w:r w:rsidRPr="008150C6">
        <w:rPr>
          <w:rFonts w:cs="Arial"/>
        </w:rPr>
        <w:t>FICT : Fédération française des Industriels Charcutiers, Traiteurs, transformateurs de viande GD : Grande Distribution</w:t>
      </w:r>
    </w:p>
    <w:p w14:paraId="66C9B392" w14:textId="6376AFEF" w:rsidR="001678A0" w:rsidRPr="008150C6" w:rsidRDefault="001678A0" w:rsidP="008150C6">
      <w:pPr>
        <w:ind w:left="-284"/>
        <w:rPr>
          <w:rFonts w:cs="Arial"/>
        </w:rPr>
      </w:pPr>
      <w:r>
        <w:rPr>
          <w:lang w:val="fr-CA" w:eastAsia="fr-FR"/>
        </w:rPr>
        <w:t>GSA : Grandes Surfaces Alimentaires</w:t>
      </w:r>
    </w:p>
    <w:p w14:paraId="1E8DC1FB" w14:textId="77777777" w:rsidR="00755B23" w:rsidRDefault="008150C6" w:rsidP="008150C6">
      <w:pPr>
        <w:ind w:left="-284"/>
        <w:rPr>
          <w:rFonts w:cs="Arial"/>
        </w:rPr>
      </w:pPr>
      <w:r w:rsidRPr="008150C6">
        <w:rPr>
          <w:rFonts w:cs="Arial"/>
        </w:rPr>
        <w:t xml:space="preserve">GMS : Grandes et Moyennes Surface </w:t>
      </w:r>
    </w:p>
    <w:p w14:paraId="47C00651" w14:textId="77777777" w:rsidR="00755B23" w:rsidRDefault="00755B23" w:rsidP="00755B23">
      <w:pPr>
        <w:ind w:left="-284"/>
        <w:rPr>
          <w:rFonts w:cs="Arial"/>
        </w:rPr>
      </w:pPr>
      <w:r w:rsidRPr="008150C6">
        <w:rPr>
          <w:rFonts w:cs="Arial"/>
        </w:rPr>
        <w:t>INAPORC : Interprofession nationale porcine française (sur l’ensemble de la filière)</w:t>
      </w:r>
    </w:p>
    <w:p w14:paraId="48939CD3" w14:textId="57D5FFB7" w:rsidR="00755B23" w:rsidRDefault="00755B23" w:rsidP="00755B23">
      <w:pPr>
        <w:ind w:left="-284"/>
        <w:rPr>
          <w:rFonts w:cs="Arial"/>
        </w:rPr>
      </w:pPr>
      <w:r>
        <w:rPr>
          <w:rFonts w:cs="Arial"/>
        </w:rPr>
        <w:t>E</w:t>
      </w:r>
      <w:r w:rsidRPr="00755B23">
        <w:rPr>
          <w:rFonts w:cs="Arial"/>
        </w:rPr>
        <w:t>nquêtes Individuelles Nationales sur la Consommation Alimentaire (INCA).</w:t>
      </w:r>
    </w:p>
    <w:p w14:paraId="6FF703A3" w14:textId="77777777" w:rsidR="008150C6" w:rsidRPr="008150C6" w:rsidRDefault="008150C6" w:rsidP="008150C6">
      <w:pPr>
        <w:ind w:left="-284"/>
        <w:rPr>
          <w:rFonts w:cs="Arial"/>
        </w:rPr>
      </w:pPr>
      <w:r w:rsidRPr="008150C6">
        <w:rPr>
          <w:rFonts w:cs="Arial"/>
        </w:rPr>
        <w:t>KgEC : Kilogrammes Equivalent Carcasse (quantité ramenée au poids de la carcasse)</w:t>
      </w:r>
    </w:p>
    <w:p w14:paraId="7253835E" w14:textId="77777777" w:rsidR="008150C6" w:rsidRPr="008150C6" w:rsidRDefault="008150C6" w:rsidP="008150C6">
      <w:pPr>
        <w:ind w:left="-284"/>
        <w:rPr>
          <w:rFonts w:cs="Arial"/>
        </w:rPr>
      </w:pPr>
      <w:r w:rsidRPr="008150C6">
        <w:rPr>
          <w:rFonts w:cs="Arial"/>
        </w:rPr>
        <w:t>MN : Marques Nationales</w:t>
      </w:r>
    </w:p>
    <w:p w14:paraId="08E3906F" w14:textId="77777777" w:rsidR="008150C6" w:rsidRPr="008150C6" w:rsidRDefault="008150C6" w:rsidP="008150C6">
      <w:pPr>
        <w:ind w:left="-284"/>
        <w:rPr>
          <w:rFonts w:cs="Arial"/>
        </w:rPr>
      </w:pPr>
      <w:r w:rsidRPr="008150C6">
        <w:rPr>
          <w:rFonts w:cs="Arial"/>
        </w:rPr>
        <w:t>MDD : Marques de Distributeurs</w:t>
      </w:r>
    </w:p>
    <w:p w14:paraId="3990509D" w14:textId="5B3B18FA" w:rsidR="008150C6" w:rsidRPr="008150C6" w:rsidRDefault="008150C6" w:rsidP="00FF150E">
      <w:pPr>
        <w:ind w:left="-284"/>
        <w:rPr>
          <w:rFonts w:cs="Arial"/>
        </w:rPr>
      </w:pPr>
      <w:r w:rsidRPr="008150C6">
        <w:rPr>
          <w:rFonts w:cs="Arial"/>
        </w:rPr>
        <w:t xml:space="preserve">NACE : Nomenclature statistique des Activités économiques dans la Communauté </w:t>
      </w:r>
      <w:r w:rsidR="009B54B4" w:rsidRPr="008150C6">
        <w:rPr>
          <w:rFonts w:cs="Arial"/>
        </w:rPr>
        <w:t>Européenne</w:t>
      </w:r>
    </w:p>
    <w:p w14:paraId="63DD1534" w14:textId="72BB3EF4" w:rsidR="00FF150E" w:rsidRDefault="00132597" w:rsidP="008150C6">
      <w:pPr>
        <w:ind w:left="-284"/>
        <w:rPr>
          <w:rFonts w:cs="Arial"/>
        </w:rPr>
      </w:pPr>
      <w:r>
        <w:rPr>
          <w:rFonts w:cs="Arial"/>
        </w:rPr>
        <w:t>PRODCOM</w:t>
      </w:r>
      <w:r w:rsidR="008150C6" w:rsidRPr="008150C6">
        <w:rPr>
          <w:rFonts w:cs="Arial"/>
        </w:rPr>
        <w:t xml:space="preserve"> : PRODuction COMmunautaire (Base de données)</w:t>
      </w:r>
      <w:r w:rsidR="009606C4">
        <w:rPr>
          <w:rFonts w:cs="Arial"/>
        </w:rPr>
        <w:t xml:space="preserve">. </w:t>
      </w:r>
    </w:p>
    <w:p w14:paraId="6726D455" w14:textId="732539F7" w:rsidR="009606C4" w:rsidRDefault="008150C6" w:rsidP="009606C4">
      <w:pPr>
        <w:ind w:left="-284"/>
        <w:rPr>
          <w:rFonts w:cs="Arial"/>
        </w:rPr>
      </w:pPr>
      <w:r w:rsidRPr="008150C6">
        <w:rPr>
          <w:rFonts w:cs="Arial"/>
        </w:rPr>
        <w:t>RHD / RHF : Restauration Hors Domicile / Restauration Hors Foyer</w:t>
      </w:r>
      <w:r w:rsidR="009606C4">
        <w:rPr>
          <w:rFonts w:cs="Arial"/>
        </w:rPr>
        <w:t>.</w:t>
      </w:r>
    </w:p>
    <w:p w14:paraId="040C55A4" w14:textId="27CAAD9C" w:rsidR="009606C4" w:rsidRDefault="009606C4" w:rsidP="009606C4">
      <w:pPr>
        <w:ind w:left="-284"/>
        <w:rPr>
          <w:rFonts w:cs="Arial"/>
        </w:rPr>
      </w:pPr>
      <w:r>
        <w:rPr>
          <w:rFonts w:cs="Arial"/>
        </w:rPr>
        <w:t xml:space="preserve">UVCI : Unité de Vente Industrielle. </w:t>
      </w:r>
    </w:p>
    <w:p w14:paraId="7F243DE1" w14:textId="70E2CB22" w:rsidR="009606C4" w:rsidRDefault="009606C4" w:rsidP="009606C4">
      <w:pPr>
        <w:ind w:left="-284"/>
        <w:rPr>
          <w:rFonts w:cs="Arial"/>
        </w:rPr>
      </w:pPr>
      <w:r>
        <w:rPr>
          <w:rFonts w:cs="Arial"/>
        </w:rPr>
        <w:t xml:space="preserve">UVCM : Unité de Vente Magasin. </w:t>
      </w:r>
    </w:p>
    <w:p w14:paraId="49FB9EF2" w14:textId="485C15CF" w:rsidR="008150C6" w:rsidRPr="008150C6" w:rsidRDefault="008150C6" w:rsidP="008150C6">
      <w:pPr>
        <w:ind w:left="-284"/>
        <w:rPr>
          <w:rFonts w:cs="Arial"/>
        </w:rPr>
      </w:pPr>
      <w:r w:rsidRPr="008150C6">
        <w:rPr>
          <w:rFonts w:cs="Arial"/>
        </w:rPr>
        <w:t>VA : Valeur Ajoutée</w:t>
      </w:r>
      <w:r w:rsidR="009606C4">
        <w:rPr>
          <w:rFonts w:cs="Arial"/>
        </w:rPr>
        <w:t xml:space="preserve">. </w:t>
      </w:r>
    </w:p>
    <w:p w14:paraId="01CC5D11" w14:textId="0FBD7B05" w:rsidR="008150C6" w:rsidRPr="008150C6" w:rsidRDefault="008150C6" w:rsidP="008150C6">
      <w:pPr>
        <w:ind w:left="-284"/>
        <w:rPr>
          <w:rFonts w:cs="Arial"/>
        </w:rPr>
      </w:pPr>
      <w:r w:rsidRPr="008150C6">
        <w:rPr>
          <w:rFonts w:cs="Arial"/>
        </w:rPr>
        <w:t>VSSF : Viandes Séchées, Salées, Fu</w:t>
      </w:r>
      <w:r w:rsidR="00FF150E">
        <w:rPr>
          <w:rFonts w:cs="Arial"/>
        </w:rPr>
        <w:t>mées.</w:t>
      </w:r>
    </w:p>
    <w:p w14:paraId="181B0369" w14:textId="77777777" w:rsidR="008150C6" w:rsidRPr="008150C6" w:rsidRDefault="008150C6" w:rsidP="008150C6">
      <w:pPr>
        <w:ind w:left="-284"/>
        <w:rPr>
          <w:rFonts w:cs="Arial"/>
        </w:rPr>
      </w:pPr>
    </w:p>
    <w:p w14:paraId="5F5E8965" w14:textId="77777777" w:rsidR="008150C6" w:rsidRPr="008150C6" w:rsidRDefault="008150C6" w:rsidP="008150C6">
      <w:pPr>
        <w:ind w:left="-284"/>
        <w:rPr>
          <w:rFonts w:cs="Arial"/>
        </w:rPr>
      </w:pPr>
    </w:p>
    <w:p w14:paraId="53106DB4" w14:textId="77777777" w:rsidR="00DC7A8C" w:rsidRDefault="00DC7A8C">
      <w:pPr>
        <w:rPr>
          <w:rFonts w:cs="Arial"/>
        </w:rPr>
        <w:sectPr w:rsidR="00DC7A8C" w:rsidSect="00B73F4D">
          <w:headerReference w:type="default" r:id="rId78"/>
          <w:pgSz w:w="11906" w:h="16838" w:code="9"/>
          <w:pgMar w:top="1304" w:right="1133" w:bottom="1304" w:left="1418" w:header="567" w:footer="709" w:gutter="0"/>
          <w:cols w:space="708"/>
          <w:docGrid w:linePitch="360"/>
        </w:sectPr>
      </w:pPr>
    </w:p>
    <w:p w14:paraId="6DC5A50F" w14:textId="534C20D4" w:rsidR="001E58D7" w:rsidRDefault="001E58D7" w:rsidP="001E58D7">
      <w:pPr>
        <w:pStyle w:val="INTRO"/>
      </w:pPr>
      <w:bookmarkStart w:id="428" w:name="_Toc78131720"/>
      <w:r>
        <w:lastRenderedPageBreak/>
        <w:t>ANNEXES :</w:t>
      </w:r>
      <w:bookmarkEnd w:id="428"/>
      <w:r>
        <w:t xml:space="preserve"> </w:t>
      </w:r>
    </w:p>
    <w:p w14:paraId="579E9B6F" w14:textId="749AB2AE" w:rsidR="00BC0469" w:rsidRPr="00BC0469" w:rsidRDefault="00BC0469" w:rsidP="00254565">
      <w:pPr>
        <w:tabs>
          <w:tab w:val="left" w:pos="2205"/>
          <w:tab w:val="left" w:pos="5457"/>
          <w:tab w:val="left" w:pos="8717"/>
          <w:tab w:val="left" w:pos="11410"/>
          <w:tab w:val="left" w:pos="13253"/>
        </w:tabs>
        <w:spacing w:after="0" w:line="240" w:lineRule="auto"/>
        <w:ind w:left="75"/>
        <w:rPr>
          <w:rFonts w:eastAsia="Times New Roman" w:cs="Arial"/>
          <w:b/>
          <w:i/>
          <w:sz w:val="18"/>
          <w:szCs w:val="18"/>
          <w:lang w:eastAsia="fr-FR"/>
        </w:rPr>
      </w:pPr>
      <w:r w:rsidRPr="00BC0469">
        <w:rPr>
          <w:rFonts w:cs="Arial"/>
          <w:b/>
          <w:i/>
        </w:rPr>
        <w:t>Annexe 1 </w:t>
      </w:r>
      <w:r>
        <w:rPr>
          <w:rFonts w:cs="Arial"/>
          <w:b/>
          <w:i/>
        </w:rPr>
        <w:t xml:space="preserve">a/ </w:t>
      </w:r>
      <w:r w:rsidRPr="00BC0469">
        <w:rPr>
          <w:rFonts w:cs="Arial"/>
          <w:b/>
          <w:i/>
        </w:rPr>
        <w:t>:</w:t>
      </w:r>
      <w:r w:rsidRPr="00BC0469">
        <w:rPr>
          <w:rFonts w:eastAsia="Times New Roman" w:cs="Arial"/>
          <w:b/>
          <w:i/>
          <w:color w:val="000000"/>
          <w:sz w:val="18"/>
          <w:szCs w:val="18"/>
          <w:lang w:eastAsia="fr-FR"/>
        </w:rPr>
        <w:t xml:space="preserve"> </w:t>
      </w:r>
      <w:r w:rsidRPr="00BC0469">
        <w:rPr>
          <w:rFonts w:cs="Arial"/>
          <w:b/>
          <w:i/>
        </w:rPr>
        <w:t xml:space="preserve">Désignation et codification de la Nomenclature combinée des </w:t>
      </w:r>
      <w:r>
        <w:rPr>
          <w:rFonts w:cs="Arial"/>
          <w:b/>
          <w:i/>
        </w:rPr>
        <w:t>viandes fraîches et viandes SSF</w:t>
      </w:r>
      <w:r w:rsidRPr="00BC0469">
        <w:rPr>
          <w:rFonts w:cs="Arial"/>
          <w:b/>
          <w:i/>
        </w:rPr>
        <w:t xml:space="preserve"> d</w:t>
      </w:r>
      <w:r>
        <w:rPr>
          <w:rFonts w:cs="Arial"/>
          <w:b/>
          <w:i/>
        </w:rPr>
        <w:t>e</w:t>
      </w:r>
      <w:r w:rsidRPr="00BC0469">
        <w:rPr>
          <w:rFonts w:cs="Arial"/>
          <w:b/>
          <w:i/>
        </w:rPr>
        <w:t xml:space="preserve"> porc </w:t>
      </w:r>
      <w:r>
        <w:rPr>
          <w:rFonts w:cs="Arial"/>
          <w:b/>
          <w:i/>
        </w:rPr>
        <w:t>(Eurostat)</w:t>
      </w:r>
    </w:p>
    <w:p w14:paraId="7A0760FF" w14:textId="77777777" w:rsidR="00BC0469" w:rsidRPr="00254565" w:rsidRDefault="00BC0469" w:rsidP="00254565">
      <w:pPr>
        <w:tabs>
          <w:tab w:val="left" w:pos="2205"/>
          <w:tab w:val="left" w:pos="5457"/>
          <w:tab w:val="left" w:pos="8717"/>
          <w:tab w:val="left" w:pos="11410"/>
          <w:tab w:val="left" w:pos="13253"/>
        </w:tabs>
        <w:spacing w:after="0" w:line="240" w:lineRule="auto"/>
        <w:ind w:left="75"/>
        <w:rPr>
          <w:rFonts w:eastAsia="Times New Roman" w:cs="Arial"/>
          <w:sz w:val="18"/>
          <w:szCs w:val="18"/>
          <w:lang w:eastAsia="fr-FR"/>
        </w:rPr>
      </w:pPr>
    </w:p>
    <w:tbl>
      <w:tblPr>
        <w:tblW w:w="14686" w:type="dxa"/>
        <w:tblCellMar>
          <w:left w:w="70" w:type="dxa"/>
          <w:right w:w="70" w:type="dxa"/>
        </w:tblCellMar>
        <w:tblLook w:val="04A0" w:firstRow="1" w:lastRow="0" w:firstColumn="1" w:lastColumn="0" w:noHBand="0" w:noVBand="1"/>
      </w:tblPr>
      <w:tblGrid>
        <w:gridCol w:w="2130"/>
        <w:gridCol w:w="3252"/>
        <w:gridCol w:w="3260"/>
        <w:gridCol w:w="2693"/>
        <w:gridCol w:w="1843"/>
        <w:gridCol w:w="1508"/>
      </w:tblGrid>
      <w:tr w:rsidR="00BC0469" w:rsidRPr="00254565" w14:paraId="44B5DF70" w14:textId="77777777" w:rsidTr="006F6F21">
        <w:trPr>
          <w:trHeight w:val="300"/>
        </w:trPr>
        <w:tc>
          <w:tcPr>
            <w:tcW w:w="2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318EBF"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3</w:t>
            </w:r>
          </w:p>
        </w:tc>
        <w:tc>
          <w:tcPr>
            <w:tcW w:w="3252" w:type="dxa"/>
            <w:tcBorders>
              <w:top w:val="single" w:sz="4" w:space="0" w:color="auto"/>
              <w:left w:val="nil"/>
              <w:bottom w:val="single" w:sz="4" w:space="0" w:color="auto"/>
              <w:right w:val="single" w:sz="4" w:space="0" w:color="auto"/>
            </w:tcBorders>
            <w:shd w:val="clear" w:color="auto" w:fill="auto"/>
            <w:noWrap/>
            <w:vAlign w:val="center"/>
            <w:hideMark/>
          </w:tcPr>
          <w:p w14:paraId="5D3E1DE9"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4</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330E5C65"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5</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14:paraId="48FB65FC"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6</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6F843F79" w14:textId="77777777" w:rsidR="00BC0469" w:rsidRPr="00ED22A4" w:rsidRDefault="00BC0469" w:rsidP="006F6F21">
            <w:pPr>
              <w:spacing w:after="0" w:line="240" w:lineRule="auto"/>
              <w:rPr>
                <w:rFonts w:eastAsia="Times New Roman" w:cs="Arial"/>
                <w:b/>
                <w:bCs/>
                <w:color w:val="000000"/>
                <w:sz w:val="18"/>
                <w:szCs w:val="18"/>
                <w:lang w:eastAsia="fr-FR"/>
              </w:rPr>
            </w:pPr>
            <w:r w:rsidRPr="00ED22A4">
              <w:rPr>
                <w:rFonts w:eastAsia="Times New Roman" w:cs="Arial"/>
                <w:b/>
                <w:bCs/>
                <w:color w:val="000000"/>
                <w:sz w:val="18"/>
                <w:szCs w:val="18"/>
                <w:lang w:eastAsia="fr-FR"/>
              </w:rPr>
              <w:t>Niveau 7</w:t>
            </w:r>
          </w:p>
        </w:tc>
        <w:tc>
          <w:tcPr>
            <w:tcW w:w="1508" w:type="dxa"/>
            <w:tcBorders>
              <w:top w:val="single" w:sz="4" w:space="0" w:color="auto"/>
              <w:left w:val="nil"/>
              <w:bottom w:val="single" w:sz="4" w:space="0" w:color="auto"/>
              <w:right w:val="single" w:sz="4" w:space="0" w:color="auto"/>
            </w:tcBorders>
            <w:shd w:val="clear" w:color="auto" w:fill="auto"/>
            <w:noWrap/>
            <w:vAlign w:val="center"/>
            <w:hideMark/>
          </w:tcPr>
          <w:p w14:paraId="3F83F75F" w14:textId="77777777" w:rsidR="00BC0469" w:rsidRPr="00ED22A4" w:rsidRDefault="00BC0469" w:rsidP="006F6F21">
            <w:pPr>
              <w:spacing w:after="0" w:line="240" w:lineRule="auto"/>
              <w:rPr>
                <w:rFonts w:eastAsia="Times New Roman" w:cs="Arial"/>
                <w:b/>
                <w:bCs/>
                <w:sz w:val="18"/>
                <w:szCs w:val="18"/>
                <w:lang w:eastAsia="fr-FR"/>
              </w:rPr>
            </w:pPr>
            <w:r w:rsidRPr="00ED22A4">
              <w:rPr>
                <w:rFonts w:eastAsia="Times New Roman" w:cs="Arial"/>
                <w:b/>
                <w:bCs/>
                <w:sz w:val="18"/>
                <w:szCs w:val="18"/>
                <w:lang w:eastAsia="fr-FR"/>
              </w:rPr>
              <w:t xml:space="preserve">Codification NC8 </w:t>
            </w:r>
          </w:p>
        </w:tc>
      </w:tr>
      <w:tr w:rsidR="00BC0469" w:rsidRPr="00254565" w14:paraId="4EF81D55" w14:textId="77777777" w:rsidTr="00BC0469">
        <w:trPr>
          <w:trHeight w:val="219"/>
        </w:trPr>
        <w:tc>
          <w:tcPr>
            <w:tcW w:w="213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049A30F"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Viandes FRC</w:t>
            </w: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0121FB"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Carcasses FRC</w:t>
            </w:r>
          </w:p>
        </w:tc>
        <w:tc>
          <w:tcPr>
            <w:tcW w:w="3260" w:type="dxa"/>
            <w:tcBorders>
              <w:top w:val="nil"/>
              <w:left w:val="nil"/>
              <w:bottom w:val="single" w:sz="4" w:space="0" w:color="auto"/>
              <w:right w:val="single" w:sz="4" w:space="0" w:color="auto"/>
            </w:tcBorders>
            <w:shd w:val="clear" w:color="auto" w:fill="auto"/>
            <w:noWrap/>
            <w:vAlign w:val="center"/>
            <w:hideMark/>
          </w:tcPr>
          <w:p w14:paraId="6A81887A"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Carcasses FR</w:t>
            </w:r>
          </w:p>
        </w:tc>
        <w:tc>
          <w:tcPr>
            <w:tcW w:w="2693" w:type="dxa"/>
            <w:tcBorders>
              <w:top w:val="nil"/>
              <w:left w:val="nil"/>
              <w:bottom w:val="single" w:sz="4" w:space="0" w:color="auto"/>
              <w:right w:val="single" w:sz="4" w:space="0" w:color="auto"/>
            </w:tcBorders>
            <w:shd w:val="clear" w:color="auto" w:fill="auto"/>
            <w:noWrap/>
            <w:vAlign w:val="center"/>
            <w:hideMark/>
          </w:tcPr>
          <w:p w14:paraId="065D988D" w14:textId="20CAE367" w:rsidR="00BC0469" w:rsidRPr="00ED22A4" w:rsidRDefault="00BC0469" w:rsidP="00BC0469">
            <w:pPr>
              <w:spacing w:after="0" w:line="240" w:lineRule="auto"/>
              <w:rPr>
                <w:rFonts w:eastAsia="Times New Roman" w:cs="Arial"/>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4FB1FFBC" w14:textId="228298D9" w:rsidR="00BC0469" w:rsidRPr="00ED22A4" w:rsidRDefault="00BC0469" w:rsidP="00BC0469">
            <w:pPr>
              <w:spacing w:after="0" w:line="240" w:lineRule="auto"/>
              <w:rPr>
                <w:rFonts w:eastAsia="Times New Roman" w:cs="Arial"/>
                <w:sz w:val="18"/>
                <w:szCs w:val="18"/>
                <w:lang w:eastAsia="fr-FR"/>
              </w:rPr>
            </w:pPr>
          </w:p>
        </w:tc>
        <w:tc>
          <w:tcPr>
            <w:tcW w:w="1508" w:type="dxa"/>
            <w:tcBorders>
              <w:top w:val="nil"/>
              <w:left w:val="nil"/>
              <w:bottom w:val="single" w:sz="4" w:space="0" w:color="auto"/>
              <w:right w:val="single" w:sz="4" w:space="0" w:color="auto"/>
            </w:tcBorders>
            <w:shd w:val="clear" w:color="auto" w:fill="auto"/>
            <w:noWrap/>
            <w:vAlign w:val="center"/>
            <w:hideMark/>
          </w:tcPr>
          <w:p w14:paraId="7AACB712"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02031110</w:t>
            </w:r>
          </w:p>
        </w:tc>
      </w:tr>
      <w:tr w:rsidR="00BC0469" w:rsidRPr="00254565" w14:paraId="0100A1D6" w14:textId="77777777" w:rsidTr="00BC0469">
        <w:trPr>
          <w:trHeight w:val="123"/>
        </w:trPr>
        <w:tc>
          <w:tcPr>
            <w:tcW w:w="2130" w:type="dxa"/>
            <w:vMerge/>
            <w:tcBorders>
              <w:top w:val="nil"/>
              <w:left w:val="single" w:sz="4" w:space="0" w:color="auto"/>
              <w:bottom w:val="single" w:sz="4" w:space="0" w:color="auto"/>
              <w:right w:val="single" w:sz="4" w:space="0" w:color="auto"/>
            </w:tcBorders>
            <w:vAlign w:val="center"/>
            <w:hideMark/>
          </w:tcPr>
          <w:p w14:paraId="1F8A2005"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10FB2700"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auto"/>
              <w:right w:val="single" w:sz="4" w:space="0" w:color="auto"/>
            </w:tcBorders>
            <w:shd w:val="clear" w:color="auto" w:fill="auto"/>
            <w:noWrap/>
            <w:vAlign w:val="center"/>
            <w:hideMark/>
          </w:tcPr>
          <w:p w14:paraId="0E13F3E9"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Carcasses C</w:t>
            </w:r>
          </w:p>
        </w:tc>
        <w:tc>
          <w:tcPr>
            <w:tcW w:w="2693" w:type="dxa"/>
            <w:tcBorders>
              <w:top w:val="nil"/>
              <w:left w:val="nil"/>
              <w:bottom w:val="single" w:sz="4" w:space="0" w:color="auto"/>
              <w:right w:val="single" w:sz="4" w:space="0" w:color="auto"/>
            </w:tcBorders>
            <w:shd w:val="clear" w:color="auto" w:fill="auto"/>
            <w:noWrap/>
            <w:vAlign w:val="center"/>
            <w:hideMark/>
          </w:tcPr>
          <w:p w14:paraId="2E80DB02" w14:textId="072E79AD" w:rsidR="00BC0469" w:rsidRPr="00ED22A4" w:rsidRDefault="00BC0469" w:rsidP="00BC0469">
            <w:pPr>
              <w:spacing w:after="0" w:line="240" w:lineRule="auto"/>
              <w:rPr>
                <w:rFonts w:eastAsia="Times New Roman" w:cs="Arial"/>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205E9965" w14:textId="1CFEA835" w:rsidR="00BC0469" w:rsidRPr="00ED22A4" w:rsidRDefault="00BC0469" w:rsidP="00BC0469">
            <w:pPr>
              <w:spacing w:after="0" w:line="240" w:lineRule="auto"/>
              <w:rPr>
                <w:rFonts w:eastAsia="Times New Roman" w:cs="Arial"/>
                <w:sz w:val="18"/>
                <w:szCs w:val="18"/>
                <w:lang w:eastAsia="fr-FR"/>
              </w:rPr>
            </w:pPr>
          </w:p>
        </w:tc>
        <w:tc>
          <w:tcPr>
            <w:tcW w:w="1508" w:type="dxa"/>
            <w:tcBorders>
              <w:top w:val="nil"/>
              <w:left w:val="nil"/>
              <w:bottom w:val="single" w:sz="4" w:space="0" w:color="auto"/>
              <w:right w:val="single" w:sz="4" w:space="0" w:color="auto"/>
            </w:tcBorders>
            <w:shd w:val="clear" w:color="auto" w:fill="auto"/>
            <w:noWrap/>
            <w:vAlign w:val="center"/>
            <w:hideMark/>
          </w:tcPr>
          <w:p w14:paraId="682F7DF9"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02032110</w:t>
            </w:r>
          </w:p>
        </w:tc>
      </w:tr>
      <w:tr w:rsidR="00BC0469" w:rsidRPr="00254565" w14:paraId="0B690CF8" w14:textId="77777777" w:rsidTr="00BC0469">
        <w:trPr>
          <w:trHeight w:val="155"/>
        </w:trPr>
        <w:tc>
          <w:tcPr>
            <w:tcW w:w="2130" w:type="dxa"/>
            <w:vMerge/>
            <w:tcBorders>
              <w:top w:val="nil"/>
              <w:left w:val="single" w:sz="4" w:space="0" w:color="auto"/>
              <w:bottom w:val="single" w:sz="4" w:space="0" w:color="auto"/>
              <w:right w:val="single" w:sz="4" w:space="0" w:color="auto"/>
            </w:tcBorders>
            <w:vAlign w:val="center"/>
            <w:hideMark/>
          </w:tcPr>
          <w:p w14:paraId="104D4332"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F178E55"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Pièces FRC</w:t>
            </w:r>
          </w:p>
        </w:tc>
        <w:tc>
          <w:tcPr>
            <w:tcW w:w="32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5BC4EEC"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Pièces FR</w:t>
            </w:r>
          </w:p>
        </w:tc>
        <w:tc>
          <w:tcPr>
            <w:tcW w:w="2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42C9584"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et épaules FR</w:t>
            </w:r>
          </w:p>
        </w:tc>
        <w:tc>
          <w:tcPr>
            <w:tcW w:w="1843" w:type="dxa"/>
            <w:tcBorders>
              <w:top w:val="nil"/>
              <w:left w:val="nil"/>
              <w:bottom w:val="single" w:sz="4" w:space="0" w:color="auto"/>
              <w:right w:val="single" w:sz="4" w:space="0" w:color="auto"/>
            </w:tcBorders>
            <w:shd w:val="clear" w:color="auto" w:fill="auto"/>
            <w:noWrap/>
            <w:vAlign w:val="center"/>
            <w:hideMark/>
          </w:tcPr>
          <w:p w14:paraId="1D70C45E"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FR</w:t>
            </w:r>
          </w:p>
        </w:tc>
        <w:tc>
          <w:tcPr>
            <w:tcW w:w="1508" w:type="dxa"/>
            <w:tcBorders>
              <w:top w:val="nil"/>
              <w:left w:val="nil"/>
              <w:bottom w:val="single" w:sz="4" w:space="0" w:color="auto"/>
              <w:right w:val="single" w:sz="4" w:space="0" w:color="auto"/>
            </w:tcBorders>
            <w:shd w:val="clear" w:color="auto" w:fill="auto"/>
            <w:noWrap/>
            <w:vAlign w:val="center"/>
            <w:hideMark/>
          </w:tcPr>
          <w:p w14:paraId="0A2A14B5"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02031211</w:t>
            </w:r>
          </w:p>
        </w:tc>
      </w:tr>
      <w:tr w:rsidR="00BC0469" w:rsidRPr="00254565" w14:paraId="1CD6BFC8" w14:textId="77777777" w:rsidTr="00BC0469">
        <w:trPr>
          <w:trHeight w:val="145"/>
        </w:trPr>
        <w:tc>
          <w:tcPr>
            <w:tcW w:w="2130" w:type="dxa"/>
            <w:vMerge/>
            <w:tcBorders>
              <w:top w:val="nil"/>
              <w:left w:val="single" w:sz="4" w:space="0" w:color="auto"/>
              <w:bottom w:val="single" w:sz="4" w:space="0" w:color="auto"/>
              <w:right w:val="single" w:sz="4" w:space="0" w:color="auto"/>
            </w:tcBorders>
            <w:vAlign w:val="center"/>
            <w:hideMark/>
          </w:tcPr>
          <w:p w14:paraId="582335D2"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59D4AE2D"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F2ADBF9"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3A45C150"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2115FC72"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Epaules FR</w:t>
            </w:r>
          </w:p>
        </w:tc>
        <w:tc>
          <w:tcPr>
            <w:tcW w:w="1508" w:type="dxa"/>
            <w:tcBorders>
              <w:top w:val="nil"/>
              <w:left w:val="nil"/>
              <w:bottom w:val="single" w:sz="4" w:space="0" w:color="auto"/>
              <w:right w:val="single" w:sz="4" w:space="0" w:color="auto"/>
            </w:tcBorders>
            <w:shd w:val="clear" w:color="auto" w:fill="auto"/>
            <w:noWrap/>
            <w:vAlign w:val="center"/>
            <w:hideMark/>
          </w:tcPr>
          <w:p w14:paraId="638267D8"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02031219</w:t>
            </w:r>
          </w:p>
        </w:tc>
      </w:tr>
      <w:tr w:rsidR="00BC0469" w:rsidRPr="00254565" w14:paraId="34567A09" w14:textId="77777777" w:rsidTr="00BC0469">
        <w:trPr>
          <w:trHeight w:val="247"/>
        </w:trPr>
        <w:tc>
          <w:tcPr>
            <w:tcW w:w="2130" w:type="dxa"/>
            <w:vMerge/>
            <w:tcBorders>
              <w:top w:val="nil"/>
              <w:left w:val="single" w:sz="4" w:space="0" w:color="auto"/>
              <w:bottom w:val="single" w:sz="4" w:space="0" w:color="auto"/>
              <w:right w:val="single" w:sz="4" w:space="0" w:color="auto"/>
            </w:tcBorders>
            <w:vAlign w:val="center"/>
            <w:hideMark/>
          </w:tcPr>
          <w:p w14:paraId="75882E39"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0462475B"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9583145"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766FB48"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pièces de porc FR</w:t>
            </w:r>
          </w:p>
        </w:tc>
        <w:tc>
          <w:tcPr>
            <w:tcW w:w="1843" w:type="dxa"/>
            <w:tcBorders>
              <w:top w:val="nil"/>
              <w:left w:val="nil"/>
              <w:bottom w:val="single" w:sz="4" w:space="0" w:color="auto"/>
              <w:right w:val="single" w:sz="4" w:space="0" w:color="auto"/>
            </w:tcBorders>
            <w:shd w:val="clear" w:color="auto" w:fill="auto"/>
            <w:noWrap/>
            <w:vAlign w:val="center"/>
            <w:hideMark/>
          </w:tcPr>
          <w:p w14:paraId="24C2E37B"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Parties avant FR</w:t>
            </w:r>
          </w:p>
        </w:tc>
        <w:tc>
          <w:tcPr>
            <w:tcW w:w="1508" w:type="dxa"/>
            <w:tcBorders>
              <w:top w:val="nil"/>
              <w:left w:val="nil"/>
              <w:bottom w:val="single" w:sz="4" w:space="0" w:color="auto"/>
              <w:right w:val="single" w:sz="4" w:space="0" w:color="auto"/>
            </w:tcBorders>
            <w:shd w:val="clear" w:color="auto" w:fill="auto"/>
            <w:noWrap/>
            <w:vAlign w:val="center"/>
            <w:hideMark/>
          </w:tcPr>
          <w:p w14:paraId="639DB5DB"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02031911</w:t>
            </w:r>
          </w:p>
        </w:tc>
      </w:tr>
      <w:tr w:rsidR="00BC0469" w:rsidRPr="00254565" w14:paraId="408CA35A" w14:textId="77777777" w:rsidTr="00BC0469">
        <w:trPr>
          <w:trHeight w:val="137"/>
        </w:trPr>
        <w:tc>
          <w:tcPr>
            <w:tcW w:w="2130" w:type="dxa"/>
            <w:vMerge/>
            <w:tcBorders>
              <w:top w:val="nil"/>
              <w:left w:val="single" w:sz="4" w:space="0" w:color="auto"/>
              <w:bottom w:val="single" w:sz="4" w:space="0" w:color="auto"/>
              <w:right w:val="single" w:sz="4" w:space="0" w:color="auto"/>
            </w:tcBorders>
            <w:vAlign w:val="center"/>
            <w:hideMark/>
          </w:tcPr>
          <w:p w14:paraId="74947F30"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FE03F0F"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58E00E92"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269BD513"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434A122B"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Longes FR</w:t>
            </w:r>
          </w:p>
        </w:tc>
        <w:tc>
          <w:tcPr>
            <w:tcW w:w="1508" w:type="dxa"/>
            <w:tcBorders>
              <w:top w:val="nil"/>
              <w:left w:val="nil"/>
              <w:bottom w:val="single" w:sz="4" w:space="0" w:color="auto"/>
              <w:right w:val="single" w:sz="4" w:space="0" w:color="auto"/>
            </w:tcBorders>
            <w:shd w:val="clear" w:color="auto" w:fill="auto"/>
            <w:noWrap/>
            <w:vAlign w:val="center"/>
            <w:hideMark/>
          </w:tcPr>
          <w:p w14:paraId="0BA7D46A"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02031913</w:t>
            </w:r>
          </w:p>
        </w:tc>
      </w:tr>
      <w:tr w:rsidR="00BC0469" w:rsidRPr="00254565" w14:paraId="1A38C126" w14:textId="77777777" w:rsidTr="00BC0469">
        <w:trPr>
          <w:trHeight w:val="169"/>
        </w:trPr>
        <w:tc>
          <w:tcPr>
            <w:tcW w:w="2130" w:type="dxa"/>
            <w:vMerge/>
            <w:tcBorders>
              <w:top w:val="nil"/>
              <w:left w:val="single" w:sz="4" w:space="0" w:color="auto"/>
              <w:bottom w:val="single" w:sz="4" w:space="0" w:color="auto"/>
              <w:right w:val="single" w:sz="4" w:space="0" w:color="auto"/>
            </w:tcBorders>
            <w:vAlign w:val="center"/>
            <w:hideMark/>
          </w:tcPr>
          <w:p w14:paraId="6E637A0D"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94E3410"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8304704"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7F21525F"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3C61F242"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FR</w:t>
            </w:r>
          </w:p>
        </w:tc>
        <w:tc>
          <w:tcPr>
            <w:tcW w:w="1508" w:type="dxa"/>
            <w:tcBorders>
              <w:top w:val="nil"/>
              <w:left w:val="nil"/>
              <w:bottom w:val="single" w:sz="4" w:space="0" w:color="auto"/>
              <w:right w:val="single" w:sz="4" w:space="0" w:color="auto"/>
            </w:tcBorders>
            <w:shd w:val="clear" w:color="auto" w:fill="auto"/>
            <w:noWrap/>
            <w:vAlign w:val="center"/>
            <w:hideMark/>
          </w:tcPr>
          <w:p w14:paraId="1497AF9C"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02031915</w:t>
            </w:r>
          </w:p>
        </w:tc>
      </w:tr>
      <w:tr w:rsidR="00BC0469" w:rsidRPr="00254565" w14:paraId="636A01D7"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0E56A19B"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2C825FC5"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20A0E5B4"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5798FBC3"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22FF4BB9"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Désossées FR</w:t>
            </w:r>
          </w:p>
        </w:tc>
        <w:tc>
          <w:tcPr>
            <w:tcW w:w="1508" w:type="dxa"/>
            <w:tcBorders>
              <w:top w:val="nil"/>
              <w:left w:val="nil"/>
              <w:bottom w:val="single" w:sz="4" w:space="0" w:color="auto"/>
              <w:right w:val="single" w:sz="4" w:space="0" w:color="auto"/>
            </w:tcBorders>
            <w:shd w:val="clear" w:color="auto" w:fill="auto"/>
            <w:noWrap/>
            <w:vAlign w:val="center"/>
            <w:hideMark/>
          </w:tcPr>
          <w:p w14:paraId="3708B08E"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02031955</w:t>
            </w:r>
          </w:p>
        </w:tc>
      </w:tr>
      <w:tr w:rsidR="00BC0469" w:rsidRPr="00254565" w14:paraId="726895DC"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74D56F2B"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3B16AB33"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6FB290A0"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306346CF"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6BA03043"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 nd FR</w:t>
            </w:r>
          </w:p>
        </w:tc>
        <w:tc>
          <w:tcPr>
            <w:tcW w:w="1508" w:type="dxa"/>
            <w:tcBorders>
              <w:top w:val="nil"/>
              <w:left w:val="nil"/>
              <w:bottom w:val="single" w:sz="4" w:space="0" w:color="auto"/>
              <w:right w:val="single" w:sz="4" w:space="0" w:color="auto"/>
            </w:tcBorders>
            <w:shd w:val="clear" w:color="auto" w:fill="auto"/>
            <w:noWrap/>
            <w:vAlign w:val="center"/>
            <w:hideMark/>
          </w:tcPr>
          <w:p w14:paraId="7B687BF6"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02031959</w:t>
            </w:r>
          </w:p>
        </w:tc>
      </w:tr>
      <w:tr w:rsidR="00BC0469" w:rsidRPr="00254565" w14:paraId="3ED69334"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3149FEC0"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EBEDFE4"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BA02D5A"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Pièces C</w:t>
            </w:r>
          </w:p>
        </w:tc>
        <w:tc>
          <w:tcPr>
            <w:tcW w:w="2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AF8DBE4"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pièces de porc C</w:t>
            </w:r>
          </w:p>
        </w:tc>
        <w:tc>
          <w:tcPr>
            <w:tcW w:w="1843" w:type="dxa"/>
            <w:tcBorders>
              <w:top w:val="nil"/>
              <w:left w:val="nil"/>
              <w:bottom w:val="single" w:sz="4" w:space="0" w:color="auto"/>
              <w:right w:val="single" w:sz="4" w:space="0" w:color="auto"/>
            </w:tcBorders>
            <w:shd w:val="clear" w:color="auto" w:fill="auto"/>
            <w:noWrap/>
            <w:vAlign w:val="center"/>
            <w:hideMark/>
          </w:tcPr>
          <w:p w14:paraId="48189FF5"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 nd C</w:t>
            </w:r>
          </w:p>
        </w:tc>
        <w:tc>
          <w:tcPr>
            <w:tcW w:w="1508" w:type="dxa"/>
            <w:tcBorders>
              <w:top w:val="nil"/>
              <w:left w:val="nil"/>
              <w:bottom w:val="single" w:sz="4" w:space="0" w:color="auto"/>
              <w:right w:val="single" w:sz="4" w:space="0" w:color="auto"/>
            </w:tcBorders>
            <w:shd w:val="clear" w:color="auto" w:fill="auto"/>
            <w:noWrap/>
            <w:vAlign w:val="center"/>
            <w:hideMark/>
          </w:tcPr>
          <w:p w14:paraId="73BD4395"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02032959</w:t>
            </w:r>
          </w:p>
        </w:tc>
      </w:tr>
      <w:tr w:rsidR="00BC0469" w:rsidRPr="00254565" w14:paraId="1C950580"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48DA1745"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1BB82B0"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19184DC"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06A2CD8F"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2EB48E10"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Parties avant C</w:t>
            </w:r>
          </w:p>
        </w:tc>
        <w:tc>
          <w:tcPr>
            <w:tcW w:w="1508" w:type="dxa"/>
            <w:tcBorders>
              <w:top w:val="nil"/>
              <w:left w:val="nil"/>
              <w:bottom w:val="single" w:sz="4" w:space="0" w:color="auto"/>
              <w:right w:val="single" w:sz="4" w:space="0" w:color="auto"/>
            </w:tcBorders>
            <w:shd w:val="clear" w:color="auto" w:fill="auto"/>
            <w:noWrap/>
            <w:vAlign w:val="center"/>
            <w:hideMark/>
          </w:tcPr>
          <w:p w14:paraId="5FBACE9B"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02032911</w:t>
            </w:r>
          </w:p>
        </w:tc>
      </w:tr>
      <w:tr w:rsidR="00BC0469" w:rsidRPr="00254565" w14:paraId="54C2A974"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1C00B646"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625D6CCD"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3523D85A"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3B2FD368"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34CE0709"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Désossées C</w:t>
            </w:r>
          </w:p>
        </w:tc>
        <w:tc>
          <w:tcPr>
            <w:tcW w:w="1508" w:type="dxa"/>
            <w:tcBorders>
              <w:top w:val="nil"/>
              <w:left w:val="nil"/>
              <w:bottom w:val="single" w:sz="4" w:space="0" w:color="auto"/>
              <w:right w:val="single" w:sz="4" w:space="0" w:color="auto"/>
            </w:tcBorders>
            <w:shd w:val="clear" w:color="auto" w:fill="auto"/>
            <w:noWrap/>
            <w:vAlign w:val="center"/>
            <w:hideMark/>
          </w:tcPr>
          <w:p w14:paraId="5EF0BE55"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02032955</w:t>
            </w:r>
          </w:p>
        </w:tc>
      </w:tr>
      <w:tr w:rsidR="00BC0469" w:rsidRPr="00254565" w14:paraId="08ACA56E"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4AEBBA88"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505FC2C1"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04BF4DAB"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3A134DA6"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11969972"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C</w:t>
            </w:r>
          </w:p>
        </w:tc>
        <w:tc>
          <w:tcPr>
            <w:tcW w:w="1508" w:type="dxa"/>
            <w:tcBorders>
              <w:top w:val="nil"/>
              <w:left w:val="nil"/>
              <w:bottom w:val="single" w:sz="4" w:space="0" w:color="auto"/>
              <w:right w:val="single" w:sz="4" w:space="0" w:color="auto"/>
            </w:tcBorders>
            <w:shd w:val="clear" w:color="auto" w:fill="auto"/>
            <w:noWrap/>
            <w:vAlign w:val="center"/>
            <w:hideMark/>
          </w:tcPr>
          <w:p w14:paraId="59897079"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02032915</w:t>
            </w:r>
          </w:p>
        </w:tc>
      </w:tr>
      <w:tr w:rsidR="00BC0469" w:rsidRPr="00254565" w14:paraId="5B798254"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62532DC6"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2C0FE357"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78915559"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7A8421E0"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3A1499F8"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Longes C</w:t>
            </w:r>
          </w:p>
        </w:tc>
        <w:tc>
          <w:tcPr>
            <w:tcW w:w="1508" w:type="dxa"/>
            <w:tcBorders>
              <w:top w:val="nil"/>
              <w:left w:val="nil"/>
              <w:bottom w:val="single" w:sz="4" w:space="0" w:color="auto"/>
              <w:right w:val="single" w:sz="4" w:space="0" w:color="auto"/>
            </w:tcBorders>
            <w:shd w:val="clear" w:color="auto" w:fill="auto"/>
            <w:noWrap/>
            <w:vAlign w:val="center"/>
            <w:hideMark/>
          </w:tcPr>
          <w:p w14:paraId="436381DB"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02032913</w:t>
            </w:r>
          </w:p>
        </w:tc>
      </w:tr>
      <w:tr w:rsidR="00BC0469" w:rsidRPr="00254565" w14:paraId="250D00E0"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5F89AD33"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3FC671D1"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3B09352B"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B498F15"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et épaules C</w:t>
            </w:r>
          </w:p>
        </w:tc>
        <w:tc>
          <w:tcPr>
            <w:tcW w:w="1843" w:type="dxa"/>
            <w:tcBorders>
              <w:top w:val="nil"/>
              <w:left w:val="nil"/>
              <w:bottom w:val="single" w:sz="4" w:space="0" w:color="auto"/>
              <w:right w:val="single" w:sz="4" w:space="0" w:color="auto"/>
            </w:tcBorders>
            <w:shd w:val="clear" w:color="auto" w:fill="auto"/>
            <w:noWrap/>
            <w:vAlign w:val="center"/>
            <w:hideMark/>
          </w:tcPr>
          <w:p w14:paraId="0002F804"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C</w:t>
            </w:r>
          </w:p>
        </w:tc>
        <w:tc>
          <w:tcPr>
            <w:tcW w:w="1508" w:type="dxa"/>
            <w:tcBorders>
              <w:top w:val="nil"/>
              <w:left w:val="nil"/>
              <w:bottom w:val="single" w:sz="4" w:space="0" w:color="auto"/>
              <w:right w:val="single" w:sz="4" w:space="0" w:color="auto"/>
            </w:tcBorders>
            <w:shd w:val="clear" w:color="auto" w:fill="auto"/>
            <w:noWrap/>
            <w:vAlign w:val="center"/>
            <w:hideMark/>
          </w:tcPr>
          <w:p w14:paraId="0CF16DC6"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02032211</w:t>
            </w:r>
          </w:p>
        </w:tc>
      </w:tr>
      <w:tr w:rsidR="00BC0469" w:rsidRPr="00254565" w14:paraId="3D5E4667"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7EE75EAB" w14:textId="77777777" w:rsidR="00BC0469" w:rsidRPr="00ED22A4" w:rsidRDefault="00BC0469" w:rsidP="00BC0469">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0D27D04B" w14:textId="77777777" w:rsidR="00BC0469" w:rsidRPr="00ED22A4" w:rsidRDefault="00BC0469" w:rsidP="00BC0469">
            <w:pPr>
              <w:spacing w:after="0" w:line="240" w:lineRule="auto"/>
              <w:rPr>
                <w:rFonts w:eastAsia="Times New Roman" w:cs="Arial"/>
                <w:color w:val="000000"/>
                <w:sz w:val="18"/>
                <w:szCs w:val="18"/>
                <w:lang w:eastAsia="fr-FR"/>
              </w:rPr>
            </w:pPr>
          </w:p>
        </w:tc>
        <w:tc>
          <w:tcPr>
            <w:tcW w:w="3260" w:type="dxa"/>
            <w:vMerge/>
            <w:tcBorders>
              <w:top w:val="nil"/>
              <w:left w:val="single" w:sz="4" w:space="0" w:color="auto"/>
              <w:bottom w:val="single" w:sz="4" w:space="0" w:color="auto"/>
              <w:right w:val="single" w:sz="4" w:space="0" w:color="auto"/>
            </w:tcBorders>
            <w:vAlign w:val="center"/>
            <w:hideMark/>
          </w:tcPr>
          <w:p w14:paraId="4B6E7EA0" w14:textId="77777777" w:rsidR="00BC0469" w:rsidRPr="00ED22A4" w:rsidRDefault="00BC0469" w:rsidP="00BC0469">
            <w:pPr>
              <w:spacing w:after="0" w:line="240" w:lineRule="auto"/>
              <w:rPr>
                <w:rFonts w:eastAsia="Times New Roman" w:cs="Arial"/>
                <w:color w:val="000000"/>
                <w:sz w:val="18"/>
                <w:szCs w:val="18"/>
                <w:lang w:eastAsia="fr-FR"/>
              </w:rPr>
            </w:pPr>
          </w:p>
        </w:tc>
        <w:tc>
          <w:tcPr>
            <w:tcW w:w="2693" w:type="dxa"/>
            <w:vMerge/>
            <w:tcBorders>
              <w:top w:val="nil"/>
              <w:left w:val="single" w:sz="4" w:space="0" w:color="auto"/>
              <w:bottom w:val="single" w:sz="4" w:space="0" w:color="auto"/>
              <w:right w:val="single" w:sz="4" w:space="0" w:color="auto"/>
            </w:tcBorders>
            <w:vAlign w:val="center"/>
            <w:hideMark/>
          </w:tcPr>
          <w:p w14:paraId="68FC8E7F" w14:textId="77777777" w:rsidR="00BC0469" w:rsidRPr="00ED22A4" w:rsidRDefault="00BC0469" w:rsidP="00BC0469">
            <w:pPr>
              <w:spacing w:after="0" w:line="240" w:lineRule="auto"/>
              <w:rPr>
                <w:rFonts w:eastAsia="Times New Roman" w:cs="Arial"/>
                <w:color w:val="000000"/>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center"/>
            <w:hideMark/>
          </w:tcPr>
          <w:p w14:paraId="3BF39E31" w14:textId="77777777"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Epaules C</w:t>
            </w:r>
          </w:p>
        </w:tc>
        <w:tc>
          <w:tcPr>
            <w:tcW w:w="1508" w:type="dxa"/>
            <w:tcBorders>
              <w:top w:val="nil"/>
              <w:left w:val="nil"/>
              <w:bottom w:val="single" w:sz="4" w:space="0" w:color="auto"/>
              <w:right w:val="single" w:sz="4" w:space="0" w:color="auto"/>
            </w:tcBorders>
            <w:shd w:val="clear" w:color="auto" w:fill="auto"/>
            <w:noWrap/>
            <w:vAlign w:val="center"/>
            <w:hideMark/>
          </w:tcPr>
          <w:p w14:paraId="0C08818A" w14:textId="77777777" w:rsidR="00BC0469" w:rsidRPr="00ED22A4" w:rsidRDefault="00BC0469" w:rsidP="00BC0469">
            <w:pPr>
              <w:spacing w:after="0" w:line="240" w:lineRule="auto"/>
              <w:rPr>
                <w:rFonts w:eastAsia="Times New Roman" w:cs="Arial"/>
                <w:sz w:val="18"/>
                <w:szCs w:val="18"/>
                <w:lang w:eastAsia="fr-FR"/>
              </w:rPr>
            </w:pPr>
            <w:r w:rsidRPr="00ED22A4">
              <w:rPr>
                <w:rFonts w:eastAsia="Times New Roman" w:cs="Arial"/>
                <w:sz w:val="18"/>
                <w:szCs w:val="18"/>
                <w:lang w:eastAsia="fr-FR"/>
              </w:rPr>
              <w:t>02032219</w:t>
            </w:r>
          </w:p>
        </w:tc>
      </w:tr>
      <w:tr w:rsidR="00BC0469" w:rsidRPr="00254565" w14:paraId="2EA21E3F" w14:textId="77777777" w:rsidTr="00BC0469">
        <w:trPr>
          <w:trHeight w:val="181"/>
        </w:trPr>
        <w:tc>
          <w:tcPr>
            <w:tcW w:w="2130" w:type="dxa"/>
            <w:vMerge w:val="restart"/>
            <w:tcBorders>
              <w:top w:val="nil"/>
              <w:left w:val="single" w:sz="4" w:space="0" w:color="000000"/>
              <w:right w:val="single" w:sz="4" w:space="0" w:color="000000"/>
            </w:tcBorders>
            <w:shd w:val="clear" w:color="D9D9D9" w:fill="D9D9D9"/>
            <w:noWrap/>
            <w:vAlign w:val="center"/>
            <w:hideMark/>
          </w:tcPr>
          <w:p w14:paraId="64BFAAE4" w14:textId="3006A1EE"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VSSF</w:t>
            </w:r>
          </w:p>
        </w:tc>
        <w:tc>
          <w:tcPr>
            <w:tcW w:w="3252" w:type="dxa"/>
            <w:vMerge w:val="restart"/>
            <w:tcBorders>
              <w:top w:val="nil"/>
              <w:left w:val="nil"/>
              <w:right w:val="single" w:sz="4" w:space="0" w:color="000000"/>
            </w:tcBorders>
            <w:shd w:val="clear" w:color="D9D9D9" w:fill="D9D9D9"/>
            <w:noWrap/>
            <w:vAlign w:val="center"/>
            <w:hideMark/>
          </w:tcPr>
          <w:p w14:paraId="280BE5FD" w14:textId="1969D8AE"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SSF</w:t>
            </w:r>
          </w:p>
        </w:tc>
        <w:tc>
          <w:tcPr>
            <w:tcW w:w="3260" w:type="dxa"/>
            <w:tcBorders>
              <w:top w:val="nil"/>
              <w:left w:val="nil"/>
              <w:bottom w:val="single" w:sz="4" w:space="0" w:color="000000"/>
              <w:right w:val="single" w:sz="4" w:space="0" w:color="000000"/>
            </w:tcBorders>
            <w:shd w:val="clear" w:color="D9D9D9" w:fill="D9D9D9"/>
            <w:noWrap/>
            <w:vAlign w:val="bottom"/>
            <w:hideMark/>
          </w:tcPr>
          <w:p w14:paraId="6B82E9BB"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184DAE6F"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7729A9C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1462D56B"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02101219</w:t>
            </w:r>
          </w:p>
        </w:tc>
      </w:tr>
      <w:tr w:rsidR="00BC0469" w:rsidRPr="00254565" w14:paraId="268CE787" w14:textId="77777777" w:rsidTr="00BC0469">
        <w:trPr>
          <w:trHeight w:val="213"/>
        </w:trPr>
        <w:tc>
          <w:tcPr>
            <w:tcW w:w="2130" w:type="dxa"/>
            <w:vMerge/>
            <w:tcBorders>
              <w:left w:val="single" w:sz="4" w:space="0" w:color="000000"/>
              <w:right w:val="single" w:sz="4" w:space="0" w:color="000000"/>
            </w:tcBorders>
            <w:shd w:val="clear" w:color="D9D9D9" w:fill="D9D9D9"/>
            <w:noWrap/>
            <w:vAlign w:val="bottom"/>
            <w:hideMark/>
          </w:tcPr>
          <w:p w14:paraId="1C6F2F74" w14:textId="48418171"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bottom w:val="single" w:sz="4" w:space="0" w:color="000000"/>
              <w:right w:val="single" w:sz="4" w:space="0" w:color="000000"/>
            </w:tcBorders>
            <w:shd w:val="clear" w:color="D9D9D9" w:fill="D9D9D9"/>
            <w:noWrap/>
            <w:vAlign w:val="center"/>
            <w:hideMark/>
          </w:tcPr>
          <w:p w14:paraId="707C4370" w14:textId="23E5159D"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6A3418C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Poitrines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6BA72BC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07479F4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61B637F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02101211</w:t>
            </w:r>
          </w:p>
        </w:tc>
      </w:tr>
      <w:tr w:rsidR="00BC0469" w:rsidRPr="00254565" w14:paraId="693E44A3" w14:textId="77777777" w:rsidTr="00BC0469">
        <w:trPr>
          <w:trHeight w:val="117"/>
        </w:trPr>
        <w:tc>
          <w:tcPr>
            <w:tcW w:w="2130" w:type="dxa"/>
            <w:vMerge/>
            <w:tcBorders>
              <w:left w:val="single" w:sz="4" w:space="0" w:color="000000"/>
              <w:right w:val="single" w:sz="4" w:space="0" w:color="000000"/>
            </w:tcBorders>
            <w:shd w:val="clear" w:color="D9D9D9" w:fill="D9D9D9"/>
            <w:noWrap/>
            <w:vAlign w:val="bottom"/>
            <w:hideMark/>
          </w:tcPr>
          <w:p w14:paraId="069AEAC2" w14:textId="22336CED"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val="restart"/>
            <w:tcBorders>
              <w:top w:val="nil"/>
              <w:left w:val="nil"/>
              <w:right w:val="single" w:sz="4" w:space="0" w:color="000000"/>
            </w:tcBorders>
            <w:shd w:val="clear" w:color="D9D9D9" w:fill="D9D9D9"/>
            <w:noWrap/>
            <w:vAlign w:val="center"/>
            <w:hideMark/>
          </w:tcPr>
          <w:p w14:paraId="002CB73F" w14:textId="1A168A01"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et épaules SSF</w:t>
            </w:r>
          </w:p>
        </w:tc>
        <w:tc>
          <w:tcPr>
            <w:tcW w:w="3260" w:type="dxa"/>
            <w:tcBorders>
              <w:top w:val="nil"/>
              <w:left w:val="nil"/>
              <w:bottom w:val="single" w:sz="4" w:space="0" w:color="000000"/>
              <w:right w:val="single" w:sz="4" w:space="0" w:color="000000"/>
            </w:tcBorders>
            <w:shd w:val="clear" w:color="D9D9D9" w:fill="D9D9D9"/>
            <w:noWrap/>
            <w:vAlign w:val="bottom"/>
            <w:hideMark/>
          </w:tcPr>
          <w:p w14:paraId="4E7EAA2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6C5271D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31E5F48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5DE304DC"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02101111</w:t>
            </w:r>
          </w:p>
        </w:tc>
      </w:tr>
      <w:tr w:rsidR="00BC0469" w:rsidRPr="00254565" w14:paraId="6A27F18E" w14:textId="77777777" w:rsidTr="00BC0469">
        <w:trPr>
          <w:trHeight w:val="163"/>
        </w:trPr>
        <w:tc>
          <w:tcPr>
            <w:tcW w:w="2130" w:type="dxa"/>
            <w:vMerge/>
            <w:tcBorders>
              <w:left w:val="single" w:sz="4" w:space="0" w:color="000000"/>
              <w:right w:val="single" w:sz="4" w:space="0" w:color="000000"/>
            </w:tcBorders>
            <w:shd w:val="clear" w:color="D9D9D9" w:fill="D9D9D9"/>
            <w:noWrap/>
            <w:vAlign w:val="bottom"/>
            <w:hideMark/>
          </w:tcPr>
          <w:p w14:paraId="14DBFD74" w14:textId="0098B111"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center"/>
            <w:hideMark/>
          </w:tcPr>
          <w:p w14:paraId="5697159E" w14:textId="1053ADF2"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7D253D5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Epaules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18B0195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36C9D2F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77AE05F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02101119</w:t>
            </w:r>
          </w:p>
        </w:tc>
      </w:tr>
      <w:tr w:rsidR="00BC0469" w:rsidRPr="00254565" w14:paraId="14E32ECB" w14:textId="77777777" w:rsidTr="00BC0469">
        <w:trPr>
          <w:trHeight w:val="210"/>
        </w:trPr>
        <w:tc>
          <w:tcPr>
            <w:tcW w:w="2130" w:type="dxa"/>
            <w:vMerge/>
            <w:tcBorders>
              <w:left w:val="single" w:sz="4" w:space="0" w:color="000000"/>
              <w:right w:val="single" w:sz="4" w:space="0" w:color="000000"/>
            </w:tcBorders>
            <w:shd w:val="clear" w:color="D9D9D9" w:fill="D9D9D9"/>
            <w:noWrap/>
            <w:vAlign w:val="bottom"/>
            <w:hideMark/>
          </w:tcPr>
          <w:p w14:paraId="196AB52C" w14:textId="42D72591"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center"/>
            <w:hideMark/>
          </w:tcPr>
          <w:p w14:paraId="2DB511A2" w14:textId="7159B02B"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1672339E"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Jambons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3632FDFB"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5D4647E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6C41017E"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02101131</w:t>
            </w:r>
          </w:p>
        </w:tc>
      </w:tr>
      <w:tr w:rsidR="00BC0469" w:rsidRPr="00254565" w14:paraId="5DDE56AD" w14:textId="77777777" w:rsidTr="00BC0469">
        <w:trPr>
          <w:trHeight w:val="99"/>
        </w:trPr>
        <w:tc>
          <w:tcPr>
            <w:tcW w:w="2130" w:type="dxa"/>
            <w:vMerge/>
            <w:tcBorders>
              <w:left w:val="single" w:sz="4" w:space="0" w:color="000000"/>
              <w:right w:val="single" w:sz="4" w:space="0" w:color="000000"/>
            </w:tcBorders>
            <w:shd w:val="clear" w:color="D9D9D9" w:fill="D9D9D9"/>
            <w:noWrap/>
            <w:vAlign w:val="bottom"/>
            <w:hideMark/>
          </w:tcPr>
          <w:p w14:paraId="6A86EA80" w14:textId="7A5A6C47"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bottom w:val="single" w:sz="4" w:space="0" w:color="000000"/>
              <w:right w:val="single" w:sz="4" w:space="0" w:color="000000"/>
            </w:tcBorders>
            <w:shd w:val="clear" w:color="D9D9D9" w:fill="D9D9D9"/>
            <w:noWrap/>
            <w:vAlign w:val="center"/>
            <w:hideMark/>
          </w:tcPr>
          <w:p w14:paraId="54DF18A6" w14:textId="43BDFC32" w:rsidR="00BC0469" w:rsidRPr="00ED22A4"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0DC1849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Epaules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5407E74C"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4E413E0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37F5703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02101139</w:t>
            </w:r>
          </w:p>
        </w:tc>
      </w:tr>
      <w:tr w:rsidR="00BC0469" w:rsidRPr="00254565" w14:paraId="196A65D3" w14:textId="77777777" w:rsidTr="00BC0469">
        <w:trPr>
          <w:trHeight w:val="159"/>
        </w:trPr>
        <w:tc>
          <w:tcPr>
            <w:tcW w:w="2130" w:type="dxa"/>
            <w:vMerge/>
            <w:tcBorders>
              <w:left w:val="single" w:sz="4" w:space="0" w:color="000000"/>
              <w:right w:val="single" w:sz="4" w:space="0" w:color="000000"/>
            </w:tcBorders>
            <w:shd w:val="clear" w:color="D9D9D9" w:fill="D9D9D9"/>
            <w:noWrap/>
            <w:vAlign w:val="bottom"/>
            <w:hideMark/>
          </w:tcPr>
          <w:p w14:paraId="35B0183E" w14:textId="7B7EB630"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val="restart"/>
            <w:tcBorders>
              <w:top w:val="nil"/>
              <w:left w:val="nil"/>
              <w:right w:val="single" w:sz="4" w:space="0" w:color="000000"/>
            </w:tcBorders>
            <w:shd w:val="clear" w:color="D9D9D9" w:fill="D9D9D9"/>
            <w:noWrap/>
            <w:vAlign w:val="center"/>
            <w:hideMark/>
          </w:tcPr>
          <w:p w14:paraId="3F9EE3DB" w14:textId="229211BC" w:rsidR="00BC0469" w:rsidRPr="00ED22A4" w:rsidRDefault="00BC0469" w:rsidP="00BC0469">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SSF</w:t>
            </w:r>
          </w:p>
        </w:tc>
        <w:tc>
          <w:tcPr>
            <w:tcW w:w="3260" w:type="dxa"/>
            <w:tcBorders>
              <w:top w:val="nil"/>
              <w:left w:val="nil"/>
              <w:bottom w:val="single" w:sz="4" w:space="0" w:color="000000"/>
              <w:right w:val="single" w:sz="4" w:space="0" w:color="000000"/>
            </w:tcBorders>
            <w:shd w:val="clear" w:color="D9D9D9" w:fill="D9D9D9"/>
            <w:noWrap/>
            <w:vAlign w:val="bottom"/>
            <w:hideMark/>
          </w:tcPr>
          <w:p w14:paraId="4D982086"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Parties avant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602497F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76E685B1"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04A3C28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02101960</w:t>
            </w:r>
          </w:p>
        </w:tc>
      </w:tr>
      <w:tr w:rsidR="00BC0469" w:rsidRPr="00254565" w14:paraId="47377A16" w14:textId="77777777" w:rsidTr="006F6F21">
        <w:trPr>
          <w:trHeight w:val="191"/>
        </w:trPr>
        <w:tc>
          <w:tcPr>
            <w:tcW w:w="2130" w:type="dxa"/>
            <w:vMerge/>
            <w:tcBorders>
              <w:left w:val="single" w:sz="4" w:space="0" w:color="000000"/>
              <w:right w:val="single" w:sz="4" w:space="0" w:color="000000"/>
            </w:tcBorders>
            <w:shd w:val="clear" w:color="D9D9D9" w:fill="D9D9D9"/>
            <w:noWrap/>
            <w:vAlign w:val="bottom"/>
            <w:hideMark/>
          </w:tcPr>
          <w:p w14:paraId="21D10CA5" w14:textId="46C17A2C"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6BDEEA3C" w14:textId="60C92E22"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61CCE6E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Longes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0CC2DD0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2AA4FB81"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165147A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02101940</w:t>
            </w:r>
          </w:p>
        </w:tc>
      </w:tr>
      <w:tr w:rsidR="00BC0469" w:rsidRPr="00254565" w14:paraId="032AAA12" w14:textId="77777777" w:rsidTr="006F6F21">
        <w:trPr>
          <w:trHeight w:val="237"/>
        </w:trPr>
        <w:tc>
          <w:tcPr>
            <w:tcW w:w="2130" w:type="dxa"/>
            <w:vMerge/>
            <w:tcBorders>
              <w:left w:val="single" w:sz="4" w:space="0" w:color="000000"/>
              <w:right w:val="single" w:sz="4" w:space="0" w:color="000000"/>
            </w:tcBorders>
            <w:shd w:val="clear" w:color="D9D9D9" w:fill="D9D9D9"/>
            <w:noWrap/>
            <w:vAlign w:val="bottom"/>
            <w:hideMark/>
          </w:tcPr>
          <w:p w14:paraId="36536759" w14:textId="52E02E22"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38B09481" w14:textId="0C4CE5C7"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693DE42A"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Parties avant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06670E2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3A96C16A"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4486D1C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02101930</w:t>
            </w:r>
          </w:p>
        </w:tc>
      </w:tr>
      <w:tr w:rsidR="00BC0469" w:rsidRPr="00254565" w14:paraId="7B692A3F" w14:textId="77777777" w:rsidTr="006F6F21">
        <w:trPr>
          <w:trHeight w:val="127"/>
        </w:trPr>
        <w:tc>
          <w:tcPr>
            <w:tcW w:w="2130" w:type="dxa"/>
            <w:vMerge/>
            <w:tcBorders>
              <w:left w:val="single" w:sz="4" w:space="0" w:color="000000"/>
              <w:right w:val="single" w:sz="4" w:space="0" w:color="000000"/>
            </w:tcBorders>
            <w:shd w:val="clear" w:color="D9D9D9" w:fill="D9D9D9"/>
            <w:noWrap/>
            <w:vAlign w:val="bottom"/>
            <w:hideMark/>
          </w:tcPr>
          <w:p w14:paraId="16CB21CC" w14:textId="24EB2E63"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09DC5DDD" w14:textId="20B9A325"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6609AE1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viandes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1C689B26"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7414BEC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5AE76DB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02101950</w:t>
            </w:r>
          </w:p>
        </w:tc>
      </w:tr>
      <w:tr w:rsidR="00BC0469" w:rsidRPr="00254565" w14:paraId="55C337F0" w14:textId="77777777" w:rsidTr="006F6F21">
        <w:trPr>
          <w:trHeight w:val="187"/>
        </w:trPr>
        <w:tc>
          <w:tcPr>
            <w:tcW w:w="2130" w:type="dxa"/>
            <w:vMerge/>
            <w:tcBorders>
              <w:left w:val="single" w:sz="4" w:space="0" w:color="000000"/>
              <w:right w:val="single" w:sz="4" w:space="0" w:color="000000"/>
            </w:tcBorders>
            <w:shd w:val="clear" w:color="D9D9D9" w:fill="D9D9D9"/>
            <w:noWrap/>
            <w:vAlign w:val="bottom"/>
            <w:hideMark/>
          </w:tcPr>
          <w:p w14:paraId="0C869D23" w14:textId="1299C5E9"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23471112" w14:textId="63576217"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7866B2B5"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Longes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16E2BB6C"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133CE6D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2270A052"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02101970</w:t>
            </w:r>
          </w:p>
        </w:tc>
      </w:tr>
      <w:tr w:rsidR="00BC0469" w:rsidRPr="00254565" w14:paraId="00C6089D" w14:textId="77777777" w:rsidTr="006F6F21">
        <w:trPr>
          <w:trHeight w:val="219"/>
        </w:trPr>
        <w:tc>
          <w:tcPr>
            <w:tcW w:w="2130" w:type="dxa"/>
            <w:vMerge/>
            <w:tcBorders>
              <w:left w:val="single" w:sz="4" w:space="0" w:color="000000"/>
              <w:right w:val="single" w:sz="4" w:space="0" w:color="000000"/>
            </w:tcBorders>
            <w:shd w:val="clear" w:color="D9D9D9" w:fill="D9D9D9"/>
            <w:noWrap/>
            <w:vAlign w:val="bottom"/>
            <w:hideMark/>
          </w:tcPr>
          <w:p w14:paraId="3D45DD56" w14:textId="1B0E64C2"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3C48FC57" w14:textId="3280B119"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5705761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Demi-carcasses de bacon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07910E9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62E907A6"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20D75AE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02101910</w:t>
            </w:r>
          </w:p>
        </w:tc>
      </w:tr>
      <w:tr w:rsidR="00BC0469" w:rsidRPr="00254565" w14:paraId="4BFE8185" w14:textId="77777777" w:rsidTr="006F6F21">
        <w:trPr>
          <w:trHeight w:val="265"/>
        </w:trPr>
        <w:tc>
          <w:tcPr>
            <w:tcW w:w="2130" w:type="dxa"/>
            <w:vMerge/>
            <w:tcBorders>
              <w:left w:val="single" w:sz="4" w:space="0" w:color="000000"/>
              <w:right w:val="single" w:sz="4" w:space="0" w:color="000000"/>
            </w:tcBorders>
            <w:shd w:val="clear" w:color="D9D9D9" w:fill="D9D9D9"/>
            <w:noWrap/>
            <w:vAlign w:val="bottom"/>
            <w:hideMark/>
          </w:tcPr>
          <w:p w14:paraId="48451C37" w14:textId="5581FC22"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1E585821" w14:textId="3558B8B0"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3E39A961"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Trois-quarts arrière ou milieu SS</w:t>
            </w:r>
          </w:p>
        </w:tc>
        <w:tc>
          <w:tcPr>
            <w:tcW w:w="2693" w:type="dxa"/>
            <w:tcBorders>
              <w:top w:val="nil"/>
              <w:left w:val="nil"/>
              <w:bottom w:val="single" w:sz="4" w:space="0" w:color="000000"/>
              <w:right w:val="single" w:sz="4" w:space="0" w:color="000000"/>
            </w:tcBorders>
            <w:shd w:val="clear" w:color="D9D9D9" w:fill="D9D9D9"/>
            <w:noWrap/>
            <w:vAlign w:val="bottom"/>
            <w:hideMark/>
          </w:tcPr>
          <w:p w14:paraId="4523BB57"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06D6CEED"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79CD172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02101920</w:t>
            </w:r>
          </w:p>
        </w:tc>
      </w:tr>
      <w:tr w:rsidR="00BC0469" w:rsidRPr="00254565" w14:paraId="45DFE357" w14:textId="77777777" w:rsidTr="006F6F21">
        <w:trPr>
          <w:trHeight w:val="127"/>
        </w:trPr>
        <w:tc>
          <w:tcPr>
            <w:tcW w:w="2130" w:type="dxa"/>
            <w:vMerge/>
            <w:tcBorders>
              <w:left w:val="single" w:sz="4" w:space="0" w:color="000000"/>
              <w:right w:val="single" w:sz="4" w:space="0" w:color="000000"/>
            </w:tcBorders>
            <w:shd w:val="clear" w:color="D9D9D9" w:fill="D9D9D9"/>
            <w:noWrap/>
            <w:vAlign w:val="bottom"/>
            <w:hideMark/>
          </w:tcPr>
          <w:p w14:paraId="7DBBAE71" w14:textId="06F3CE21"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right w:val="single" w:sz="4" w:space="0" w:color="000000"/>
            </w:tcBorders>
            <w:shd w:val="clear" w:color="D9D9D9" w:fill="D9D9D9"/>
            <w:noWrap/>
            <w:vAlign w:val="bottom"/>
            <w:hideMark/>
          </w:tcPr>
          <w:p w14:paraId="2420312B" w14:textId="7C73687A"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020B0BE0"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Viandes désossées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7CD34E43"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516E61E4"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12AE5AD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02101981</w:t>
            </w:r>
          </w:p>
        </w:tc>
      </w:tr>
      <w:tr w:rsidR="00BC0469" w:rsidRPr="00254565" w14:paraId="386AF50A" w14:textId="77777777" w:rsidTr="006F6F21">
        <w:trPr>
          <w:trHeight w:val="173"/>
        </w:trPr>
        <w:tc>
          <w:tcPr>
            <w:tcW w:w="2130" w:type="dxa"/>
            <w:vMerge/>
            <w:tcBorders>
              <w:left w:val="single" w:sz="4" w:space="0" w:color="000000"/>
              <w:bottom w:val="single" w:sz="4" w:space="0" w:color="000000"/>
              <w:right w:val="single" w:sz="4" w:space="0" w:color="000000"/>
            </w:tcBorders>
            <w:shd w:val="clear" w:color="D9D9D9" w:fill="D9D9D9"/>
            <w:noWrap/>
            <w:vAlign w:val="bottom"/>
            <w:hideMark/>
          </w:tcPr>
          <w:p w14:paraId="39215666" w14:textId="3DDB9B7B" w:rsidR="00BC0469" w:rsidRPr="00ED22A4" w:rsidRDefault="00BC0469" w:rsidP="006F6F21">
            <w:pPr>
              <w:spacing w:after="0" w:line="240" w:lineRule="auto"/>
              <w:rPr>
                <w:rFonts w:eastAsia="Times New Roman" w:cs="Arial"/>
                <w:color w:val="000000"/>
                <w:sz w:val="18"/>
                <w:szCs w:val="18"/>
                <w:lang w:eastAsia="fr-FR"/>
              </w:rPr>
            </w:pPr>
          </w:p>
        </w:tc>
        <w:tc>
          <w:tcPr>
            <w:tcW w:w="3252" w:type="dxa"/>
            <w:vMerge/>
            <w:tcBorders>
              <w:left w:val="nil"/>
              <w:bottom w:val="single" w:sz="4" w:space="0" w:color="000000"/>
              <w:right w:val="single" w:sz="4" w:space="0" w:color="000000"/>
            </w:tcBorders>
            <w:shd w:val="clear" w:color="D9D9D9" w:fill="D9D9D9"/>
            <w:noWrap/>
            <w:vAlign w:val="bottom"/>
            <w:hideMark/>
          </w:tcPr>
          <w:p w14:paraId="4EFC6012" w14:textId="66D6374C" w:rsidR="00BC0469" w:rsidRPr="00ED22A4"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000000"/>
              <w:right w:val="single" w:sz="4" w:space="0" w:color="000000"/>
            </w:tcBorders>
            <w:shd w:val="clear" w:color="D9D9D9" w:fill="D9D9D9"/>
            <w:noWrap/>
            <w:vAlign w:val="bottom"/>
            <w:hideMark/>
          </w:tcPr>
          <w:p w14:paraId="42FE644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Autres viandes SF</w:t>
            </w:r>
          </w:p>
        </w:tc>
        <w:tc>
          <w:tcPr>
            <w:tcW w:w="2693" w:type="dxa"/>
            <w:tcBorders>
              <w:top w:val="nil"/>
              <w:left w:val="nil"/>
              <w:bottom w:val="single" w:sz="4" w:space="0" w:color="000000"/>
              <w:right w:val="single" w:sz="4" w:space="0" w:color="000000"/>
            </w:tcBorders>
            <w:shd w:val="clear" w:color="D9D9D9" w:fill="D9D9D9"/>
            <w:noWrap/>
            <w:vAlign w:val="bottom"/>
            <w:hideMark/>
          </w:tcPr>
          <w:p w14:paraId="345A24E1"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014595D9"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65924B98" w14:textId="77777777" w:rsidR="00BC0469" w:rsidRPr="00ED22A4" w:rsidRDefault="00BC0469" w:rsidP="006F6F21">
            <w:pPr>
              <w:spacing w:after="0" w:line="240" w:lineRule="auto"/>
              <w:rPr>
                <w:rFonts w:eastAsia="Times New Roman" w:cs="Arial"/>
                <w:color w:val="000000"/>
                <w:sz w:val="18"/>
                <w:szCs w:val="18"/>
                <w:lang w:eastAsia="fr-FR"/>
              </w:rPr>
            </w:pPr>
            <w:r w:rsidRPr="00ED22A4">
              <w:rPr>
                <w:rFonts w:eastAsia="Times New Roman" w:cs="Arial"/>
                <w:color w:val="000000"/>
                <w:sz w:val="18"/>
                <w:szCs w:val="18"/>
                <w:lang w:eastAsia="fr-FR"/>
              </w:rPr>
              <w:t>02101989</w:t>
            </w:r>
          </w:p>
        </w:tc>
      </w:tr>
    </w:tbl>
    <w:p w14:paraId="0F29DB67" w14:textId="77777777" w:rsidR="00BC0469" w:rsidRPr="00BC0469" w:rsidRDefault="00BC0469" w:rsidP="00BC0469">
      <w:pPr>
        <w:tabs>
          <w:tab w:val="left" w:pos="2205"/>
          <w:tab w:val="left" w:pos="5457"/>
          <w:tab w:val="left" w:pos="8717"/>
          <w:tab w:val="left" w:pos="11410"/>
          <w:tab w:val="left" w:pos="13253"/>
        </w:tabs>
        <w:spacing w:after="0" w:line="240" w:lineRule="auto"/>
        <w:ind w:left="75"/>
        <w:rPr>
          <w:rFonts w:eastAsia="Times New Roman" w:cs="Arial"/>
          <w:b/>
          <w:i/>
          <w:sz w:val="18"/>
          <w:szCs w:val="18"/>
          <w:lang w:eastAsia="fr-FR"/>
        </w:rPr>
      </w:pPr>
      <w:r w:rsidRPr="00BC0469">
        <w:rPr>
          <w:rFonts w:cs="Arial"/>
          <w:b/>
          <w:i/>
        </w:rPr>
        <w:t>Annexe 1 </w:t>
      </w:r>
      <w:r>
        <w:rPr>
          <w:rFonts w:cs="Arial"/>
          <w:b/>
          <w:i/>
        </w:rPr>
        <w:t xml:space="preserve">b/ </w:t>
      </w:r>
      <w:r w:rsidRPr="00BC0469">
        <w:rPr>
          <w:rFonts w:cs="Arial"/>
          <w:b/>
          <w:i/>
        </w:rPr>
        <w:t>:</w:t>
      </w:r>
      <w:r w:rsidRPr="00BC0469">
        <w:rPr>
          <w:rFonts w:eastAsia="Times New Roman" w:cs="Arial"/>
          <w:b/>
          <w:i/>
          <w:color w:val="000000"/>
          <w:sz w:val="18"/>
          <w:szCs w:val="18"/>
          <w:lang w:eastAsia="fr-FR"/>
        </w:rPr>
        <w:t xml:space="preserve"> </w:t>
      </w:r>
      <w:r w:rsidRPr="00BC0469">
        <w:rPr>
          <w:rFonts w:cs="Arial"/>
          <w:b/>
          <w:i/>
        </w:rPr>
        <w:t xml:space="preserve">Désignation et codification de la Nomenclature combinée des </w:t>
      </w:r>
      <w:r>
        <w:rPr>
          <w:rFonts w:cs="Arial"/>
          <w:b/>
          <w:i/>
        </w:rPr>
        <w:t>produits transformés, abats et gras</w:t>
      </w:r>
      <w:r w:rsidRPr="00BC0469">
        <w:rPr>
          <w:rFonts w:cs="Arial"/>
          <w:b/>
          <w:i/>
        </w:rPr>
        <w:t xml:space="preserve"> d</w:t>
      </w:r>
      <w:r>
        <w:rPr>
          <w:rFonts w:cs="Arial"/>
          <w:b/>
          <w:i/>
        </w:rPr>
        <w:t>e</w:t>
      </w:r>
      <w:r w:rsidRPr="00BC0469">
        <w:rPr>
          <w:rFonts w:cs="Arial"/>
          <w:b/>
          <w:i/>
        </w:rPr>
        <w:t xml:space="preserve"> porc </w:t>
      </w:r>
      <w:r>
        <w:rPr>
          <w:rFonts w:cs="Arial"/>
          <w:b/>
          <w:i/>
        </w:rPr>
        <w:t>(Eurostat)</w:t>
      </w:r>
    </w:p>
    <w:tbl>
      <w:tblPr>
        <w:tblW w:w="14686" w:type="dxa"/>
        <w:tblCellMar>
          <w:left w:w="70" w:type="dxa"/>
          <w:right w:w="70" w:type="dxa"/>
        </w:tblCellMar>
        <w:tblLook w:val="04A0" w:firstRow="1" w:lastRow="0" w:firstColumn="1" w:lastColumn="0" w:noHBand="0" w:noVBand="1"/>
      </w:tblPr>
      <w:tblGrid>
        <w:gridCol w:w="2130"/>
        <w:gridCol w:w="3252"/>
        <w:gridCol w:w="3260"/>
        <w:gridCol w:w="2693"/>
        <w:gridCol w:w="1843"/>
        <w:gridCol w:w="1508"/>
      </w:tblGrid>
      <w:tr w:rsidR="00BC0469" w:rsidRPr="00254565" w14:paraId="6A01521B" w14:textId="77777777" w:rsidTr="006F6F21">
        <w:trPr>
          <w:trHeight w:val="300"/>
        </w:trPr>
        <w:tc>
          <w:tcPr>
            <w:tcW w:w="2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449C71"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lastRenderedPageBreak/>
              <w:t>Niveau 3</w:t>
            </w:r>
          </w:p>
        </w:tc>
        <w:tc>
          <w:tcPr>
            <w:tcW w:w="3252" w:type="dxa"/>
            <w:tcBorders>
              <w:top w:val="single" w:sz="4" w:space="0" w:color="auto"/>
              <w:left w:val="nil"/>
              <w:bottom w:val="single" w:sz="4" w:space="0" w:color="auto"/>
              <w:right w:val="single" w:sz="4" w:space="0" w:color="auto"/>
            </w:tcBorders>
            <w:shd w:val="clear" w:color="auto" w:fill="auto"/>
            <w:noWrap/>
            <w:vAlign w:val="center"/>
            <w:hideMark/>
          </w:tcPr>
          <w:p w14:paraId="78324814"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4</w:t>
            </w:r>
          </w:p>
        </w:tc>
        <w:tc>
          <w:tcPr>
            <w:tcW w:w="3260" w:type="dxa"/>
            <w:tcBorders>
              <w:top w:val="single" w:sz="4" w:space="0" w:color="auto"/>
              <w:left w:val="nil"/>
              <w:bottom w:val="single" w:sz="4" w:space="0" w:color="auto"/>
              <w:right w:val="single" w:sz="4" w:space="0" w:color="auto"/>
            </w:tcBorders>
            <w:shd w:val="clear" w:color="auto" w:fill="auto"/>
            <w:noWrap/>
            <w:vAlign w:val="center"/>
            <w:hideMark/>
          </w:tcPr>
          <w:p w14:paraId="3C042DD6"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5</w:t>
            </w:r>
          </w:p>
        </w:tc>
        <w:tc>
          <w:tcPr>
            <w:tcW w:w="2693" w:type="dxa"/>
            <w:tcBorders>
              <w:top w:val="single" w:sz="4" w:space="0" w:color="auto"/>
              <w:left w:val="nil"/>
              <w:bottom w:val="single" w:sz="4" w:space="0" w:color="auto"/>
              <w:right w:val="single" w:sz="4" w:space="0" w:color="auto"/>
            </w:tcBorders>
            <w:shd w:val="clear" w:color="auto" w:fill="auto"/>
            <w:noWrap/>
            <w:vAlign w:val="center"/>
            <w:hideMark/>
          </w:tcPr>
          <w:p w14:paraId="075F4D47"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6</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6E244ACC" w14:textId="77777777" w:rsidR="00BC0469" w:rsidRPr="00254565" w:rsidRDefault="00BC0469" w:rsidP="006F6F21">
            <w:pPr>
              <w:spacing w:after="0" w:line="240" w:lineRule="auto"/>
              <w:rPr>
                <w:rFonts w:eastAsia="Times New Roman" w:cs="Arial"/>
                <w:b/>
                <w:bCs/>
                <w:color w:val="000000"/>
                <w:sz w:val="18"/>
                <w:szCs w:val="18"/>
                <w:lang w:eastAsia="fr-FR"/>
              </w:rPr>
            </w:pPr>
            <w:r w:rsidRPr="00254565">
              <w:rPr>
                <w:rFonts w:eastAsia="Times New Roman" w:cs="Arial"/>
                <w:b/>
                <w:bCs/>
                <w:color w:val="000000"/>
                <w:sz w:val="18"/>
                <w:szCs w:val="18"/>
                <w:lang w:eastAsia="fr-FR"/>
              </w:rPr>
              <w:t>Niveau 7</w:t>
            </w:r>
          </w:p>
        </w:tc>
        <w:tc>
          <w:tcPr>
            <w:tcW w:w="1508" w:type="dxa"/>
            <w:tcBorders>
              <w:top w:val="single" w:sz="4" w:space="0" w:color="auto"/>
              <w:left w:val="nil"/>
              <w:bottom w:val="single" w:sz="4" w:space="0" w:color="auto"/>
              <w:right w:val="single" w:sz="4" w:space="0" w:color="auto"/>
            </w:tcBorders>
            <w:shd w:val="clear" w:color="auto" w:fill="auto"/>
            <w:noWrap/>
            <w:vAlign w:val="center"/>
            <w:hideMark/>
          </w:tcPr>
          <w:p w14:paraId="0156622F" w14:textId="77777777" w:rsidR="00BC0469" w:rsidRPr="00254565" w:rsidRDefault="00BC0469" w:rsidP="006F6F21">
            <w:pPr>
              <w:spacing w:after="0" w:line="240" w:lineRule="auto"/>
              <w:rPr>
                <w:rFonts w:eastAsia="Times New Roman" w:cs="Arial"/>
                <w:b/>
                <w:bCs/>
                <w:sz w:val="18"/>
                <w:szCs w:val="18"/>
                <w:lang w:eastAsia="fr-FR"/>
              </w:rPr>
            </w:pPr>
            <w:r w:rsidRPr="00254565">
              <w:rPr>
                <w:rFonts w:eastAsia="Times New Roman" w:cs="Arial"/>
                <w:b/>
                <w:bCs/>
                <w:sz w:val="18"/>
                <w:szCs w:val="18"/>
                <w:lang w:eastAsia="fr-FR"/>
              </w:rPr>
              <w:t xml:space="preserve">Codification NC8 </w:t>
            </w:r>
          </w:p>
        </w:tc>
      </w:tr>
      <w:tr w:rsidR="00254565" w:rsidRPr="00254565" w14:paraId="3DF5BE4D" w14:textId="77777777" w:rsidTr="00254565">
        <w:trPr>
          <w:trHeight w:val="300"/>
        </w:trPr>
        <w:tc>
          <w:tcPr>
            <w:tcW w:w="2130" w:type="dxa"/>
            <w:vMerge w:val="restart"/>
            <w:tcBorders>
              <w:top w:val="nil"/>
              <w:left w:val="single" w:sz="4" w:space="0" w:color="auto"/>
              <w:bottom w:val="single" w:sz="4" w:space="0" w:color="auto"/>
              <w:right w:val="single" w:sz="4" w:space="0" w:color="auto"/>
            </w:tcBorders>
            <w:shd w:val="clear" w:color="auto" w:fill="auto"/>
            <w:noWrap/>
            <w:hideMark/>
          </w:tcPr>
          <w:p w14:paraId="133B15EB" w14:textId="6B9C6EE7" w:rsidR="00254565" w:rsidRPr="00254565" w:rsidRDefault="00254565" w:rsidP="00254565">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Préparations</w:t>
            </w:r>
          </w:p>
        </w:tc>
        <w:tc>
          <w:tcPr>
            <w:tcW w:w="3252" w:type="dxa"/>
            <w:tcBorders>
              <w:top w:val="nil"/>
              <w:left w:val="nil"/>
              <w:bottom w:val="single" w:sz="4" w:space="0" w:color="auto"/>
              <w:right w:val="single" w:sz="4" w:space="0" w:color="auto"/>
            </w:tcBorders>
            <w:shd w:val="clear" w:color="auto" w:fill="auto"/>
            <w:noWrap/>
            <w:hideMark/>
          </w:tcPr>
          <w:p w14:paraId="5CC48F71"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jambons</w:t>
            </w:r>
          </w:p>
        </w:tc>
        <w:tc>
          <w:tcPr>
            <w:tcW w:w="3260" w:type="dxa"/>
            <w:tcBorders>
              <w:top w:val="nil"/>
              <w:left w:val="nil"/>
              <w:bottom w:val="single" w:sz="4" w:space="0" w:color="auto"/>
              <w:right w:val="single" w:sz="4" w:space="0" w:color="auto"/>
            </w:tcBorders>
            <w:shd w:val="clear" w:color="auto" w:fill="auto"/>
            <w:noWrap/>
            <w:vAlign w:val="bottom"/>
            <w:hideMark/>
          </w:tcPr>
          <w:p w14:paraId="7BBFCF4B" w14:textId="501AADAD" w:rsidR="00254565" w:rsidRPr="00254565" w:rsidRDefault="00254565" w:rsidP="00254565">
            <w:pPr>
              <w:spacing w:after="0" w:line="240" w:lineRule="auto"/>
              <w:rPr>
                <w:rFonts w:eastAsia="Times New Roman" w:cs="Arial"/>
                <w:sz w:val="18"/>
                <w:szCs w:val="18"/>
                <w:lang w:eastAsia="fr-FR"/>
              </w:rPr>
            </w:pPr>
          </w:p>
        </w:tc>
        <w:tc>
          <w:tcPr>
            <w:tcW w:w="2693" w:type="dxa"/>
            <w:tcBorders>
              <w:top w:val="nil"/>
              <w:left w:val="nil"/>
              <w:bottom w:val="single" w:sz="4" w:space="0" w:color="auto"/>
              <w:right w:val="single" w:sz="4" w:space="0" w:color="auto"/>
            </w:tcBorders>
            <w:shd w:val="clear" w:color="auto" w:fill="auto"/>
            <w:noWrap/>
            <w:vAlign w:val="bottom"/>
            <w:hideMark/>
          </w:tcPr>
          <w:p w14:paraId="08806A02"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416F88A5"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EDA0B70"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16024110</w:t>
            </w:r>
          </w:p>
        </w:tc>
      </w:tr>
      <w:tr w:rsidR="00254565" w:rsidRPr="00254565" w14:paraId="3107391C"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17925822"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644BC0C1"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 homogénéisées &lt;= 250 g (Prép./cons. autres viandes/abats)</w:t>
            </w:r>
          </w:p>
        </w:tc>
        <w:tc>
          <w:tcPr>
            <w:tcW w:w="3260" w:type="dxa"/>
            <w:tcBorders>
              <w:top w:val="nil"/>
              <w:left w:val="nil"/>
              <w:bottom w:val="single" w:sz="4" w:space="0" w:color="auto"/>
              <w:right w:val="single" w:sz="4" w:space="0" w:color="auto"/>
            </w:tcBorders>
            <w:shd w:val="clear" w:color="auto" w:fill="auto"/>
            <w:noWrap/>
            <w:vAlign w:val="bottom"/>
            <w:hideMark/>
          </w:tcPr>
          <w:p w14:paraId="492E92FD" w14:textId="2A859C51" w:rsidR="00254565" w:rsidRPr="00254565" w:rsidRDefault="00254565" w:rsidP="00254565">
            <w:pPr>
              <w:spacing w:after="0" w:line="240" w:lineRule="auto"/>
              <w:rPr>
                <w:rFonts w:eastAsia="Times New Roman" w:cs="Arial"/>
                <w:sz w:val="18"/>
                <w:szCs w:val="18"/>
                <w:lang w:eastAsia="fr-FR"/>
              </w:rPr>
            </w:pPr>
          </w:p>
        </w:tc>
        <w:tc>
          <w:tcPr>
            <w:tcW w:w="2693" w:type="dxa"/>
            <w:tcBorders>
              <w:top w:val="nil"/>
              <w:left w:val="nil"/>
              <w:bottom w:val="single" w:sz="4" w:space="0" w:color="auto"/>
              <w:right w:val="single" w:sz="4" w:space="0" w:color="auto"/>
            </w:tcBorders>
            <w:shd w:val="clear" w:color="auto" w:fill="auto"/>
            <w:noWrap/>
            <w:vAlign w:val="bottom"/>
            <w:hideMark/>
          </w:tcPr>
          <w:p w14:paraId="1AC9DCD0"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4D28D66D" w14:textId="11ADB58D" w:rsidR="00254565" w:rsidRPr="00254565" w:rsidRDefault="00254565" w:rsidP="00254565">
            <w:pPr>
              <w:spacing w:after="0" w:line="240" w:lineRule="auto"/>
              <w:rPr>
                <w:rFonts w:eastAsia="Times New Roman" w:cs="Arial"/>
                <w:sz w:val="18"/>
                <w:szCs w:val="18"/>
                <w:lang w:eastAsia="fr-FR"/>
              </w:rPr>
            </w:pPr>
          </w:p>
        </w:tc>
        <w:tc>
          <w:tcPr>
            <w:tcW w:w="1508" w:type="dxa"/>
            <w:tcBorders>
              <w:top w:val="nil"/>
              <w:left w:val="nil"/>
              <w:bottom w:val="single" w:sz="4" w:space="0" w:color="auto"/>
              <w:right w:val="single" w:sz="4" w:space="0" w:color="auto"/>
            </w:tcBorders>
            <w:shd w:val="clear" w:color="auto" w:fill="auto"/>
            <w:noWrap/>
            <w:vAlign w:val="bottom"/>
            <w:hideMark/>
          </w:tcPr>
          <w:p w14:paraId="32B6FCA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16021000</w:t>
            </w:r>
          </w:p>
        </w:tc>
      </w:tr>
      <w:tr w:rsidR="00BC0469" w:rsidRPr="00254565" w14:paraId="1FA7A831"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7D26A19D" w14:textId="77777777" w:rsidR="00BC0469" w:rsidRPr="00254565" w:rsidRDefault="00BC0469" w:rsidP="00254565">
            <w:pPr>
              <w:spacing w:after="0" w:line="240" w:lineRule="auto"/>
              <w:rPr>
                <w:rFonts w:eastAsia="Times New Roman" w:cs="Arial"/>
                <w:color w:val="000000"/>
                <w:sz w:val="18"/>
                <w:szCs w:val="18"/>
                <w:lang w:eastAsia="fr-FR"/>
              </w:rPr>
            </w:pPr>
          </w:p>
        </w:tc>
        <w:tc>
          <w:tcPr>
            <w:tcW w:w="3252" w:type="dxa"/>
            <w:vMerge w:val="restart"/>
            <w:tcBorders>
              <w:top w:val="nil"/>
              <w:left w:val="nil"/>
              <w:right w:val="single" w:sz="4" w:space="0" w:color="auto"/>
            </w:tcBorders>
            <w:shd w:val="clear" w:color="auto" w:fill="auto"/>
            <w:noWrap/>
            <w:vAlign w:val="center"/>
            <w:hideMark/>
          </w:tcPr>
          <w:p w14:paraId="4E12F7F3" w14:textId="0AFC9595" w:rsidR="00BC0469" w:rsidRPr="00254565" w:rsidRDefault="00BC0469" w:rsidP="00BC0469">
            <w:pPr>
              <w:spacing w:after="0" w:line="240" w:lineRule="auto"/>
              <w:rPr>
                <w:rFonts w:eastAsia="Times New Roman" w:cs="Arial"/>
                <w:sz w:val="18"/>
                <w:szCs w:val="18"/>
                <w:lang w:eastAsia="fr-FR"/>
              </w:rPr>
            </w:pPr>
            <w:r w:rsidRPr="00254565">
              <w:rPr>
                <w:rFonts w:eastAsia="Times New Roman" w:cs="Arial"/>
                <w:sz w:val="18"/>
                <w:szCs w:val="18"/>
                <w:lang w:eastAsia="fr-FR"/>
              </w:rPr>
              <w:t>Prép./cons. abats/viandes nda</w:t>
            </w:r>
          </w:p>
        </w:tc>
        <w:tc>
          <w:tcPr>
            <w:tcW w:w="3260" w:type="dxa"/>
            <w:tcBorders>
              <w:top w:val="nil"/>
              <w:left w:val="nil"/>
              <w:bottom w:val="single" w:sz="4" w:space="0" w:color="auto"/>
              <w:right w:val="single" w:sz="4" w:space="0" w:color="auto"/>
            </w:tcBorders>
            <w:shd w:val="clear" w:color="auto" w:fill="auto"/>
            <w:noWrap/>
            <w:hideMark/>
          </w:tcPr>
          <w:p w14:paraId="48BEFF1E"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Autres Prép./cons. de viande/abats</w:t>
            </w:r>
          </w:p>
        </w:tc>
        <w:tc>
          <w:tcPr>
            <w:tcW w:w="2693" w:type="dxa"/>
            <w:tcBorders>
              <w:top w:val="nil"/>
              <w:left w:val="nil"/>
              <w:bottom w:val="single" w:sz="4" w:space="0" w:color="auto"/>
              <w:right w:val="single" w:sz="4" w:space="0" w:color="auto"/>
            </w:tcBorders>
            <w:shd w:val="clear" w:color="auto" w:fill="auto"/>
            <w:noWrap/>
            <w:vAlign w:val="bottom"/>
            <w:hideMark/>
          </w:tcPr>
          <w:p w14:paraId="624DF392" w14:textId="115243AF" w:rsidR="00BC0469" w:rsidRPr="00254565" w:rsidRDefault="00BC0469" w:rsidP="00254565">
            <w:pPr>
              <w:spacing w:after="0" w:line="240" w:lineRule="auto"/>
              <w:rPr>
                <w:rFonts w:eastAsia="Times New Roman" w:cs="Arial"/>
                <w:sz w:val="18"/>
                <w:szCs w:val="18"/>
                <w:lang w:eastAsia="fr-FR"/>
              </w:rPr>
            </w:pPr>
          </w:p>
        </w:tc>
        <w:tc>
          <w:tcPr>
            <w:tcW w:w="1843" w:type="dxa"/>
            <w:tcBorders>
              <w:top w:val="nil"/>
              <w:left w:val="nil"/>
              <w:bottom w:val="single" w:sz="4" w:space="0" w:color="auto"/>
              <w:right w:val="single" w:sz="4" w:space="0" w:color="auto"/>
            </w:tcBorders>
            <w:shd w:val="clear" w:color="auto" w:fill="auto"/>
            <w:noWrap/>
            <w:vAlign w:val="bottom"/>
            <w:hideMark/>
          </w:tcPr>
          <w:p w14:paraId="6386016D" w14:textId="1BFB45B3" w:rsidR="00BC0469" w:rsidRPr="00254565" w:rsidRDefault="00BC0469" w:rsidP="00254565">
            <w:pPr>
              <w:spacing w:after="0" w:line="240" w:lineRule="auto"/>
              <w:rPr>
                <w:rFonts w:eastAsia="Times New Roman" w:cs="Arial"/>
                <w:sz w:val="18"/>
                <w:szCs w:val="18"/>
                <w:lang w:eastAsia="fr-FR"/>
              </w:rPr>
            </w:pPr>
          </w:p>
        </w:tc>
        <w:tc>
          <w:tcPr>
            <w:tcW w:w="1508" w:type="dxa"/>
            <w:tcBorders>
              <w:top w:val="nil"/>
              <w:left w:val="nil"/>
              <w:bottom w:val="single" w:sz="4" w:space="0" w:color="auto"/>
              <w:right w:val="single" w:sz="4" w:space="0" w:color="auto"/>
            </w:tcBorders>
            <w:shd w:val="clear" w:color="auto" w:fill="auto"/>
            <w:noWrap/>
            <w:vAlign w:val="bottom"/>
            <w:hideMark/>
          </w:tcPr>
          <w:p w14:paraId="26F1A730"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16029051</w:t>
            </w:r>
          </w:p>
        </w:tc>
      </w:tr>
      <w:tr w:rsidR="00BC0469" w:rsidRPr="00254565" w14:paraId="1D8FE40F" w14:textId="77777777" w:rsidTr="006F6F21">
        <w:trPr>
          <w:trHeight w:val="300"/>
        </w:trPr>
        <w:tc>
          <w:tcPr>
            <w:tcW w:w="2130" w:type="dxa"/>
            <w:vMerge/>
            <w:tcBorders>
              <w:top w:val="nil"/>
              <w:left w:val="single" w:sz="4" w:space="0" w:color="auto"/>
              <w:bottom w:val="single" w:sz="4" w:space="0" w:color="auto"/>
              <w:right w:val="single" w:sz="4" w:space="0" w:color="auto"/>
            </w:tcBorders>
            <w:vAlign w:val="center"/>
            <w:hideMark/>
          </w:tcPr>
          <w:p w14:paraId="7DEC2BC6" w14:textId="77777777" w:rsidR="00BC0469" w:rsidRPr="00254565" w:rsidRDefault="00BC0469" w:rsidP="00254565">
            <w:pPr>
              <w:spacing w:after="0" w:line="240" w:lineRule="auto"/>
              <w:rPr>
                <w:rFonts w:eastAsia="Times New Roman" w:cs="Arial"/>
                <w:color w:val="000000"/>
                <w:sz w:val="18"/>
                <w:szCs w:val="18"/>
                <w:lang w:eastAsia="fr-FR"/>
              </w:rPr>
            </w:pPr>
          </w:p>
        </w:tc>
        <w:tc>
          <w:tcPr>
            <w:tcW w:w="3252" w:type="dxa"/>
            <w:vMerge/>
            <w:tcBorders>
              <w:left w:val="nil"/>
              <w:bottom w:val="single" w:sz="4" w:space="0" w:color="auto"/>
              <w:right w:val="single" w:sz="4" w:space="0" w:color="auto"/>
            </w:tcBorders>
            <w:shd w:val="clear" w:color="auto" w:fill="auto"/>
            <w:noWrap/>
            <w:hideMark/>
          </w:tcPr>
          <w:p w14:paraId="6858522C" w14:textId="639D9BA0" w:rsidR="00BC0469" w:rsidRPr="00254565" w:rsidRDefault="00BC0469"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1F555CF2"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 de sang de tous animaux</w:t>
            </w:r>
          </w:p>
        </w:tc>
        <w:tc>
          <w:tcPr>
            <w:tcW w:w="2693" w:type="dxa"/>
            <w:tcBorders>
              <w:top w:val="nil"/>
              <w:left w:val="nil"/>
              <w:bottom w:val="single" w:sz="4" w:space="0" w:color="auto"/>
              <w:right w:val="single" w:sz="4" w:space="0" w:color="auto"/>
            </w:tcBorders>
            <w:shd w:val="clear" w:color="auto" w:fill="auto"/>
            <w:noWrap/>
            <w:vAlign w:val="bottom"/>
            <w:hideMark/>
          </w:tcPr>
          <w:p w14:paraId="28DB662A"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3EB2038"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E3FB857" w14:textId="77777777" w:rsidR="00BC0469" w:rsidRPr="00254565" w:rsidRDefault="00BC0469"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16029010</w:t>
            </w:r>
          </w:p>
        </w:tc>
      </w:tr>
      <w:tr w:rsidR="00254565" w:rsidRPr="00254565" w14:paraId="5F674BF6"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342CD011"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3636F3FE"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 à base de foie</w:t>
            </w:r>
          </w:p>
        </w:tc>
        <w:tc>
          <w:tcPr>
            <w:tcW w:w="3260" w:type="dxa"/>
            <w:tcBorders>
              <w:top w:val="nil"/>
              <w:left w:val="nil"/>
              <w:bottom w:val="single" w:sz="4" w:space="0" w:color="auto"/>
              <w:right w:val="single" w:sz="4" w:space="0" w:color="auto"/>
            </w:tcBorders>
            <w:shd w:val="clear" w:color="auto" w:fill="auto"/>
            <w:noWrap/>
            <w:vAlign w:val="bottom"/>
            <w:hideMark/>
          </w:tcPr>
          <w:p w14:paraId="753B2C9D"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7A2B7EF7"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71B2B45A"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FBDCCD0"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16022090</w:t>
            </w:r>
          </w:p>
        </w:tc>
      </w:tr>
      <w:tr w:rsidR="00254565" w:rsidRPr="00254565" w14:paraId="3C5D709C"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18D9F4B6"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7C8DA382"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dépaules</w:t>
            </w:r>
          </w:p>
        </w:tc>
        <w:tc>
          <w:tcPr>
            <w:tcW w:w="3260" w:type="dxa"/>
            <w:tcBorders>
              <w:top w:val="nil"/>
              <w:left w:val="nil"/>
              <w:bottom w:val="single" w:sz="4" w:space="0" w:color="auto"/>
              <w:right w:val="single" w:sz="4" w:space="0" w:color="auto"/>
            </w:tcBorders>
            <w:shd w:val="clear" w:color="auto" w:fill="auto"/>
            <w:noWrap/>
            <w:hideMark/>
          </w:tcPr>
          <w:p w14:paraId="60C6B7AC"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42812EA8"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70E7AF75"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0342FFD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16024210</w:t>
            </w:r>
          </w:p>
        </w:tc>
      </w:tr>
      <w:tr w:rsidR="00254565" w:rsidRPr="00254565" w14:paraId="3ACDB972" w14:textId="77777777" w:rsidTr="00BC0469">
        <w:trPr>
          <w:trHeight w:val="300"/>
        </w:trPr>
        <w:tc>
          <w:tcPr>
            <w:tcW w:w="2130" w:type="dxa"/>
            <w:vMerge/>
            <w:tcBorders>
              <w:top w:val="nil"/>
              <w:left w:val="single" w:sz="4" w:space="0" w:color="auto"/>
              <w:bottom w:val="single" w:sz="4" w:space="0" w:color="auto"/>
              <w:right w:val="single" w:sz="4" w:space="0" w:color="auto"/>
            </w:tcBorders>
            <w:vAlign w:val="center"/>
            <w:hideMark/>
          </w:tcPr>
          <w:p w14:paraId="67B5EF88"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B32399" w14:textId="77777777" w:rsidR="00254565" w:rsidRPr="00254565" w:rsidRDefault="00254565" w:rsidP="00BC0469">
            <w:pPr>
              <w:spacing w:after="0" w:line="240" w:lineRule="auto"/>
              <w:rPr>
                <w:rFonts w:eastAsia="Times New Roman" w:cs="Arial"/>
                <w:sz w:val="18"/>
                <w:szCs w:val="18"/>
                <w:lang w:eastAsia="fr-FR"/>
              </w:rPr>
            </w:pPr>
            <w:r w:rsidRPr="00254565">
              <w:rPr>
                <w:rFonts w:eastAsia="Times New Roman" w:cs="Arial"/>
                <w:sz w:val="18"/>
                <w:szCs w:val="18"/>
                <w:lang w:eastAsia="fr-FR"/>
              </w:rPr>
              <w:t>Prép./cons. autres viandes/abats (Prép. homogénéisées &lt;= 250 g)</w:t>
            </w:r>
          </w:p>
        </w:tc>
        <w:tc>
          <w:tcPr>
            <w:tcW w:w="3260" w:type="dxa"/>
            <w:tcBorders>
              <w:top w:val="nil"/>
              <w:left w:val="nil"/>
              <w:bottom w:val="single" w:sz="4" w:space="0" w:color="auto"/>
              <w:right w:val="single" w:sz="4" w:space="0" w:color="auto"/>
            </w:tcBorders>
            <w:shd w:val="clear" w:color="auto" w:fill="auto"/>
            <w:noWrap/>
            <w:hideMark/>
          </w:tcPr>
          <w:p w14:paraId="786993B3"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d'échines</w:t>
            </w:r>
          </w:p>
        </w:tc>
        <w:tc>
          <w:tcPr>
            <w:tcW w:w="2693" w:type="dxa"/>
            <w:tcBorders>
              <w:top w:val="nil"/>
              <w:left w:val="nil"/>
              <w:bottom w:val="single" w:sz="4" w:space="0" w:color="auto"/>
              <w:right w:val="single" w:sz="4" w:space="0" w:color="auto"/>
            </w:tcBorders>
            <w:shd w:val="clear" w:color="auto" w:fill="auto"/>
            <w:noWrap/>
            <w:vAlign w:val="bottom"/>
            <w:hideMark/>
          </w:tcPr>
          <w:p w14:paraId="0554222E"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7B004C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06B3CD0A"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16024913</w:t>
            </w:r>
          </w:p>
        </w:tc>
      </w:tr>
      <w:tr w:rsidR="00254565" w:rsidRPr="00254565" w14:paraId="5BBA6B3D"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015028D4"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7B3AFB65"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20CB3C3E"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longes</w:t>
            </w:r>
          </w:p>
        </w:tc>
        <w:tc>
          <w:tcPr>
            <w:tcW w:w="2693" w:type="dxa"/>
            <w:tcBorders>
              <w:top w:val="nil"/>
              <w:left w:val="nil"/>
              <w:bottom w:val="single" w:sz="4" w:space="0" w:color="auto"/>
              <w:right w:val="single" w:sz="4" w:space="0" w:color="auto"/>
            </w:tcBorders>
            <w:shd w:val="clear" w:color="auto" w:fill="auto"/>
            <w:noWrap/>
            <w:vAlign w:val="bottom"/>
            <w:hideMark/>
          </w:tcPr>
          <w:p w14:paraId="2FD2E0C7"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48060C5B"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2B14E5A3"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16024911</w:t>
            </w:r>
          </w:p>
        </w:tc>
      </w:tr>
      <w:tr w:rsidR="00254565" w:rsidRPr="00254565" w14:paraId="0CD2B694"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19B0F8E0"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35486A90"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362CF134"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viande (&gt;= 80%)</w:t>
            </w:r>
          </w:p>
        </w:tc>
        <w:tc>
          <w:tcPr>
            <w:tcW w:w="2693" w:type="dxa"/>
            <w:tcBorders>
              <w:top w:val="nil"/>
              <w:left w:val="nil"/>
              <w:bottom w:val="single" w:sz="4" w:space="0" w:color="auto"/>
              <w:right w:val="single" w:sz="4" w:space="0" w:color="auto"/>
            </w:tcBorders>
            <w:shd w:val="clear" w:color="auto" w:fill="auto"/>
            <w:noWrap/>
            <w:vAlign w:val="bottom"/>
            <w:hideMark/>
          </w:tcPr>
          <w:p w14:paraId="752E1807"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45CB0F8"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72FDC74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16024919</w:t>
            </w:r>
          </w:p>
        </w:tc>
      </w:tr>
      <w:tr w:rsidR="00254565" w:rsidRPr="00254565" w14:paraId="028C56B1"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0AB2FFD8"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100DBE2A"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7A4509AD"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viande/abats (&gt;=40%-&lt;80%)</w:t>
            </w:r>
          </w:p>
        </w:tc>
        <w:tc>
          <w:tcPr>
            <w:tcW w:w="2693" w:type="dxa"/>
            <w:tcBorders>
              <w:top w:val="nil"/>
              <w:left w:val="nil"/>
              <w:bottom w:val="single" w:sz="4" w:space="0" w:color="auto"/>
              <w:right w:val="single" w:sz="4" w:space="0" w:color="auto"/>
            </w:tcBorders>
            <w:shd w:val="clear" w:color="auto" w:fill="auto"/>
            <w:noWrap/>
            <w:vAlign w:val="bottom"/>
            <w:hideMark/>
          </w:tcPr>
          <w:p w14:paraId="4591296F"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6CEF5D44"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35D9E0A8"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16024930</w:t>
            </w:r>
          </w:p>
        </w:tc>
      </w:tr>
      <w:tr w:rsidR="00254565" w:rsidRPr="00254565" w14:paraId="275BCD98" w14:textId="77777777" w:rsidTr="00254565">
        <w:trPr>
          <w:trHeight w:val="300"/>
        </w:trPr>
        <w:tc>
          <w:tcPr>
            <w:tcW w:w="2130" w:type="dxa"/>
            <w:vMerge/>
            <w:tcBorders>
              <w:top w:val="nil"/>
              <w:left w:val="single" w:sz="4" w:space="0" w:color="auto"/>
              <w:bottom w:val="single" w:sz="4" w:space="0" w:color="auto"/>
              <w:right w:val="single" w:sz="4" w:space="0" w:color="auto"/>
            </w:tcBorders>
            <w:vAlign w:val="center"/>
            <w:hideMark/>
          </w:tcPr>
          <w:p w14:paraId="5CE6669E"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0DFB9C96"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08B2E12A"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viande/abats (&lt;40%)</w:t>
            </w:r>
          </w:p>
        </w:tc>
        <w:tc>
          <w:tcPr>
            <w:tcW w:w="2693" w:type="dxa"/>
            <w:tcBorders>
              <w:top w:val="nil"/>
              <w:left w:val="nil"/>
              <w:bottom w:val="single" w:sz="4" w:space="0" w:color="auto"/>
              <w:right w:val="single" w:sz="4" w:space="0" w:color="auto"/>
            </w:tcBorders>
            <w:shd w:val="clear" w:color="auto" w:fill="auto"/>
            <w:noWrap/>
            <w:vAlign w:val="bottom"/>
            <w:hideMark/>
          </w:tcPr>
          <w:p w14:paraId="5174C459"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79D7E1A"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3FFB50E9"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16024950</w:t>
            </w:r>
          </w:p>
        </w:tc>
      </w:tr>
      <w:tr w:rsidR="00254565" w:rsidRPr="00254565" w14:paraId="0B68BAA8" w14:textId="77777777" w:rsidTr="00BC0469">
        <w:trPr>
          <w:trHeight w:val="300"/>
        </w:trPr>
        <w:tc>
          <w:tcPr>
            <w:tcW w:w="2130" w:type="dxa"/>
            <w:vMerge/>
            <w:tcBorders>
              <w:top w:val="nil"/>
              <w:left w:val="single" w:sz="4" w:space="0" w:color="auto"/>
              <w:bottom w:val="nil"/>
              <w:right w:val="single" w:sz="4" w:space="0" w:color="auto"/>
            </w:tcBorders>
            <w:vAlign w:val="center"/>
            <w:hideMark/>
          </w:tcPr>
          <w:p w14:paraId="07EAF69F" w14:textId="77777777" w:rsidR="00254565" w:rsidRPr="00254565" w:rsidRDefault="00254565" w:rsidP="00254565">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nil"/>
              <w:right w:val="single" w:sz="4" w:space="0" w:color="auto"/>
            </w:tcBorders>
            <w:vAlign w:val="center"/>
            <w:hideMark/>
          </w:tcPr>
          <w:p w14:paraId="5C03E04A" w14:textId="77777777" w:rsidR="00254565" w:rsidRPr="00254565" w:rsidRDefault="00254565" w:rsidP="00254565">
            <w:pPr>
              <w:spacing w:after="0" w:line="240" w:lineRule="auto"/>
              <w:rPr>
                <w:rFonts w:eastAsia="Times New Roman" w:cs="Arial"/>
                <w:sz w:val="18"/>
                <w:szCs w:val="18"/>
                <w:lang w:eastAsia="fr-FR"/>
              </w:rPr>
            </w:pPr>
          </w:p>
        </w:tc>
        <w:tc>
          <w:tcPr>
            <w:tcW w:w="3260" w:type="dxa"/>
            <w:tcBorders>
              <w:top w:val="nil"/>
              <w:left w:val="nil"/>
              <w:bottom w:val="nil"/>
              <w:right w:val="single" w:sz="4" w:space="0" w:color="auto"/>
            </w:tcBorders>
            <w:shd w:val="clear" w:color="auto" w:fill="auto"/>
            <w:noWrap/>
            <w:hideMark/>
          </w:tcPr>
          <w:p w14:paraId="1BC06F5F"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Prép./cons. de mélanges</w:t>
            </w:r>
          </w:p>
        </w:tc>
        <w:tc>
          <w:tcPr>
            <w:tcW w:w="2693" w:type="dxa"/>
            <w:tcBorders>
              <w:top w:val="nil"/>
              <w:left w:val="nil"/>
              <w:bottom w:val="nil"/>
              <w:right w:val="single" w:sz="4" w:space="0" w:color="auto"/>
            </w:tcBorders>
            <w:shd w:val="clear" w:color="auto" w:fill="auto"/>
            <w:noWrap/>
            <w:vAlign w:val="bottom"/>
            <w:hideMark/>
          </w:tcPr>
          <w:p w14:paraId="407D45FC"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nil"/>
              <w:right w:val="single" w:sz="4" w:space="0" w:color="auto"/>
            </w:tcBorders>
            <w:shd w:val="clear" w:color="auto" w:fill="auto"/>
            <w:noWrap/>
            <w:vAlign w:val="bottom"/>
            <w:hideMark/>
          </w:tcPr>
          <w:p w14:paraId="20F2B069"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nil"/>
              <w:right w:val="single" w:sz="4" w:space="0" w:color="auto"/>
            </w:tcBorders>
            <w:shd w:val="clear" w:color="auto" w:fill="auto"/>
            <w:noWrap/>
            <w:vAlign w:val="bottom"/>
            <w:hideMark/>
          </w:tcPr>
          <w:p w14:paraId="19667A26" w14:textId="77777777" w:rsidR="00254565" w:rsidRPr="00254565" w:rsidRDefault="00254565" w:rsidP="00254565">
            <w:pPr>
              <w:spacing w:after="0" w:line="240" w:lineRule="auto"/>
              <w:rPr>
                <w:rFonts w:eastAsia="Times New Roman" w:cs="Arial"/>
                <w:sz w:val="18"/>
                <w:szCs w:val="18"/>
                <w:lang w:eastAsia="fr-FR"/>
              </w:rPr>
            </w:pPr>
            <w:r w:rsidRPr="00254565">
              <w:rPr>
                <w:rFonts w:eastAsia="Times New Roman" w:cs="Arial"/>
                <w:sz w:val="18"/>
                <w:szCs w:val="18"/>
                <w:lang w:eastAsia="fr-FR"/>
              </w:rPr>
              <w:t>16024915</w:t>
            </w:r>
          </w:p>
        </w:tc>
      </w:tr>
      <w:tr w:rsidR="00BC0469" w:rsidRPr="00254565" w14:paraId="115E446E" w14:textId="77777777" w:rsidTr="00BC0469">
        <w:trPr>
          <w:trHeight w:val="245"/>
        </w:trPr>
        <w:tc>
          <w:tcPr>
            <w:tcW w:w="2130" w:type="dxa"/>
            <w:vMerge w:val="restart"/>
            <w:tcBorders>
              <w:top w:val="nil"/>
              <w:left w:val="single" w:sz="4" w:space="0" w:color="000000"/>
              <w:right w:val="single" w:sz="4" w:space="0" w:color="000000"/>
            </w:tcBorders>
            <w:shd w:val="clear" w:color="D9D9D9" w:fill="D9D9D9"/>
            <w:noWrap/>
            <w:vAlign w:val="center"/>
            <w:hideMark/>
          </w:tcPr>
          <w:p w14:paraId="6EF653DC" w14:textId="5D5F018A"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Saucisses/Saucissons</w:t>
            </w:r>
          </w:p>
        </w:tc>
        <w:tc>
          <w:tcPr>
            <w:tcW w:w="3252" w:type="dxa"/>
            <w:tcBorders>
              <w:top w:val="nil"/>
              <w:left w:val="nil"/>
              <w:bottom w:val="single" w:sz="4" w:space="0" w:color="000000"/>
              <w:right w:val="single" w:sz="4" w:space="0" w:color="000000"/>
            </w:tcBorders>
            <w:shd w:val="clear" w:color="D9D9D9" w:fill="D9D9D9"/>
            <w:noWrap/>
            <w:vAlign w:val="bottom"/>
            <w:hideMark/>
          </w:tcPr>
          <w:p w14:paraId="7AFC1920"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Saucisses et saucissons, non cuits</w:t>
            </w:r>
          </w:p>
        </w:tc>
        <w:tc>
          <w:tcPr>
            <w:tcW w:w="3260" w:type="dxa"/>
            <w:tcBorders>
              <w:top w:val="nil"/>
              <w:left w:val="nil"/>
              <w:bottom w:val="single" w:sz="4" w:space="0" w:color="000000"/>
              <w:right w:val="single" w:sz="4" w:space="0" w:color="000000"/>
            </w:tcBorders>
            <w:shd w:val="clear" w:color="D9D9D9" w:fill="D9D9D9"/>
            <w:noWrap/>
            <w:vAlign w:val="bottom"/>
            <w:hideMark/>
          </w:tcPr>
          <w:p w14:paraId="345CEAB8"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6BA565B0"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433B10C4"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4BFF048C"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16010091</w:t>
            </w:r>
          </w:p>
        </w:tc>
      </w:tr>
      <w:tr w:rsidR="00BC0469" w:rsidRPr="00254565" w14:paraId="2D20C06B" w14:textId="77777777" w:rsidTr="006F6F21">
        <w:trPr>
          <w:trHeight w:val="164"/>
        </w:trPr>
        <w:tc>
          <w:tcPr>
            <w:tcW w:w="2130" w:type="dxa"/>
            <w:vMerge/>
            <w:tcBorders>
              <w:left w:val="single" w:sz="4" w:space="0" w:color="000000"/>
              <w:right w:val="single" w:sz="4" w:space="0" w:color="000000"/>
            </w:tcBorders>
            <w:shd w:val="clear" w:color="D9D9D9" w:fill="D9D9D9"/>
            <w:noWrap/>
            <w:vAlign w:val="bottom"/>
            <w:hideMark/>
          </w:tcPr>
          <w:p w14:paraId="6873F412" w14:textId="7F561FB6"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000000"/>
              <w:right w:val="single" w:sz="4" w:space="0" w:color="000000"/>
            </w:tcBorders>
            <w:shd w:val="clear" w:color="D9D9D9" w:fill="D9D9D9"/>
            <w:noWrap/>
            <w:vAlign w:val="bottom"/>
            <w:hideMark/>
          </w:tcPr>
          <w:p w14:paraId="436734A6"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Autres saucisses, saucissons</w:t>
            </w:r>
          </w:p>
        </w:tc>
        <w:tc>
          <w:tcPr>
            <w:tcW w:w="3260" w:type="dxa"/>
            <w:tcBorders>
              <w:top w:val="nil"/>
              <w:left w:val="nil"/>
              <w:bottom w:val="single" w:sz="4" w:space="0" w:color="000000"/>
              <w:right w:val="single" w:sz="4" w:space="0" w:color="000000"/>
            </w:tcBorders>
            <w:shd w:val="clear" w:color="D9D9D9" w:fill="D9D9D9"/>
            <w:noWrap/>
            <w:vAlign w:val="bottom"/>
            <w:hideMark/>
          </w:tcPr>
          <w:p w14:paraId="695BA389"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7B9DB9CC"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6CEDD10D"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7A79C8F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16010099</w:t>
            </w:r>
          </w:p>
        </w:tc>
      </w:tr>
      <w:tr w:rsidR="00BC0469" w:rsidRPr="00254565" w14:paraId="7D1F4F6A" w14:textId="77777777" w:rsidTr="006F6F21">
        <w:trPr>
          <w:trHeight w:val="194"/>
        </w:trPr>
        <w:tc>
          <w:tcPr>
            <w:tcW w:w="2130" w:type="dxa"/>
            <w:vMerge/>
            <w:tcBorders>
              <w:left w:val="single" w:sz="4" w:space="0" w:color="000000"/>
              <w:bottom w:val="single" w:sz="4" w:space="0" w:color="000000"/>
              <w:right w:val="single" w:sz="4" w:space="0" w:color="000000"/>
            </w:tcBorders>
            <w:shd w:val="clear" w:color="D9D9D9" w:fill="D9D9D9"/>
            <w:noWrap/>
            <w:vAlign w:val="bottom"/>
            <w:hideMark/>
          </w:tcPr>
          <w:p w14:paraId="5C82A45B" w14:textId="2DB19672"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000000"/>
              <w:right w:val="single" w:sz="4" w:space="0" w:color="000000"/>
            </w:tcBorders>
            <w:shd w:val="clear" w:color="D9D9D9" w:fill="D9D9D9"/>
            <w:noWrap/>
            <w:vAlign w:val="bottom"/>
            <w:hideMark/>
          </w:tcPr>
          <w:p w14:paraId="1AE82EF2"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Saucisses et saucissons de foie</w:t>
            </w:r>
          </w:p>
        </w:tc>
        <w:tc>
          <w:tcPr>
            <w:tcW w:w="3260" w:type="dxa"/>
            <w:tcBorders>
              <w:top w:val="nil"/>
              <w:left w:val="nil"/>
              <w:bottom w:val="single" w:sz="4" w:space="0" w:color="000000"/>
              <w:right w:val="single" w:sz="4" w:space="0" w:color="000000"/>
            </w:tcBorders>
            <w:shd w:val="clear" w:color="D9D9D9" w:fill="D9D9D9"/>
            <w:noWrap/>
            <w:vAlign w:val="bottom"/>
            <w:hideMark/>
          </w:tcPr>
          <w:p w14:paraId="585DC55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20697D9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0A04E168"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7847FF6F"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16010010</w:t>
            </w:r>
          </w:p>
        </w:tc>
      </w:tr>
      <w:tr w:rsidR="00BC0469" w:rsidRPr="00254565" w14:paraId="0C4C2149" w14:textId="77777777" w:rsidTr="00BC0469">
        <w:trPr>
          <w:trHeight w:val="226"/>
        </w:trPr>
        <w:tc>
          <w:tcPr>
            <w:tcW w:w="213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368CB8"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Lards et graisses</w:t>
            </w:r>
          </w:p>
        </w:tc>
        <w:tc>
          <w:tcPr>
            <w:tcW w:w="3252" w:type="dxa"/>
            <w:tcBorders>
              <w:top w:val="nil"/>
              <w:left w:val="nil"/>
              <w:bottom w:val="single" w:sz="4" w:space="0" w:color="auto"/>
              <w:right w:val="single" w:sz="4" w:space="0" w:color="auto"/>
            </w:tcBorders>
            <w:shd w:val="clear" w:color="auto" w:fill="auto"/>
            <w:noWrap/>
            <w:hideMark/>
          </w:tcPr>
          <w:p w14:paraId="08C14863"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Lard SF</w:t>
            </w:r>
          </w:p>
        </w:tc>
        <w:tc>
          <w:tcPr>
            <w:tcW w:w="3260" w:type="dxa"/>
            <w:tcBorders>
              <w:top w:val="nil"/>
              <w:left w:val="nil"/>
              <w:bottom w:val="single" w:sz="4" w:space="0" w:color="auto"/>
              <w:right w:val="single" w:sz="4" w:space="0" w:color="auto"/>
            </w:tcBorders>
            <w:shd w:val="clear" w:color="auto" w:fill="auto"/>
            <w:noWrap/>
            <w:vAlign w:val="bottom"/>
            <w:hideMark/>
          </w:tcPr>
          <w:p w14:paraId="7A02B3C3"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54B729B6"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11C81E49"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453E90F7" w14:textId="6F02CED2" w:rsidR="00BC0469" w:rsidRPr="00254565" w:rsidRDefault="00ED22A4" w:rsidP="006F6F21">
            <w:pPr>
              <w:spacing w:after="0" w:line="240" w:lineRule="auto"/>
              <w:rPr>
                <w:rFonts w:eastAsia="Times New Roman" w:cs="Arial"/>
                <w:sz w:val="18"/>
                <w:szCs w:val="18"/>
                <w:lang w:eastAsia="fr-FR"/>
              </w:rPr>
            </w:pPr>
            <w:r>
              <w:rPr>
                <w:rFonts w:eastAsia="Times New Roman" w:cs="Arial"/>
                <w:sz w:val="18"/>
                <w:szCs w:val="18"/>
                <w:lang w:eastAsia="fr-FR"/>
              </w:rPr>
              <w:t>0</w:t>
            </w:r>
            <w:r w:rsidR="00BC0469" w:rsidRPr="00254565">
              <w:rPr>
                <w:rFonts w:eastAsia="Times New Roman" w:cs="Arial"/>
                <w:sz w:val="18"/>
                <w:szCs w:val="18"/>
                <w:lang w:eastAsia="fr-FR"/>
              </w:rPr>
              <w:t>2090019</w:t>
            </w:r>
          </w:p>
        </w:tc>
      </w:tr>
      <w:tr w:rsidR="00BC0469" w:rsidRPr="00254565" w14:paraId="733530FE" w14:textId="77777777" w:rsidTr="006F6F21">
        <w:trPr>
          <w:trHeight w:val="130"/>
        </w:trPr>
        <w:tc>
          <w:tcPr>
            <w:tcW w:w="2130" w:type="dxa"/>
            <w:vMerge/>
            <w:tcBorders>
              <w:top w:val="nil"/>
              <w:left w:val="single" w:sz="4" w:space="0" w:color="auto"/>
              <w:bottom w:val="single" w:sz="4" w:space="0" w:color="auto"/>
              <w:right w:val="single" w:sz="4" w:space="0" w:color="auto"/>
            </w:tcBorders>
            <w:vAlign w:val="center"/>
            <w:hideMark/>
          </w:tcPr>
          <w:p w14:paraId="5FA5A0EB"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701B486F"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Graisse de porc</w:t>
            </w:r>
          </w:p>
        </w:tc>
        <w:tc>
          <w:tcPr>
            <w:tcW w:w="3260" w:type="dxa"/>
            <w:tcBorders>
              <w:top w:val="nil"/>
              <w:left w:val="nil"/>
              <w:bottom w:val="single" w:sz="4" w:space="0" w:color="auto"/>
              <w:right w:val="single" w:sz="4" w:space="0" w:color="auto"/>
            </w:tcBorders>
            <w:shd w:val="clear" w:color="auto" w:fill="auto"/>
            <w:noWrap/>
            <w:vAlign w:val="bottom"/>
            <w:hideMark/>
          </w:tcPr>
          <w:p w14:paraId="61B6CE32"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3D114861"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5B128083"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FD9022B" w14:textId="0BD72EB1" w:rsidR="00BC0469" w:rsidRPr="00254565" w:rsidRDefault="00ED22A4" w:rsidP="006F6F21">
            <w:pPr>
              <w:spacing w:after="0" w:line="240" w:lineRule="auto"/>
              <w:rPr>
                <w:rFonts w:eastAsia="Times New Roman" w:cs="Arial"/>
                <w:sz w:val="18"/>
                <w:szCs w:val="18"/>
                <w:lang w:eastAsia="fr-FR"/>
              </w:rPr>
            </w:pPr>
            <w:r>
              <w:rPr>
                <w:rFonts w:eastAsia="Times New Roman" w:cs="Arial"/>
                <w:sz w:val="18"/>
                <w:szCs w:val="18"/>
                <w:lang w:eastAsia="fr-FR"/>
              </w:rPr>
              <w:t>0</w:t>
            </w:r>
            <w:r w:rsidR="00BC0469" w:rsidRPr="00254565">
              <w:rPr>
                <w:rFonts w:eastAsia="Times New Roman" w:cs="Arial"/>
                <w:sz w:val="18"/>
                <w:szCs w:val="18"/>
                <w:lang w:eastAsia="fr-FR"/>
              </w:rPr>
              <w:t>2090030</w:t>
            </w:r>
          </w:p>
        </w:tc>
      </w:tr>
      <w:tr w:rsidR="00BC0469" w:rsidRPr="00254565" w14:paraId="6DF2C163" w14:textId="77777777" w:rsidTr="006F6F21">
        <w:trPr>
          <w:trHeight w:val="176"/>
        </w:trPr>
        <w:tc>
          <w:tcPr>
            <w:tcW w:w="2130" w:type="dxa"/>
            <w:vMerge/>
            <w:tcBorders>
              <w:top w:val="nil"/>
              <w:left w:val="single" w:sz="4" w:space="0" w:color="auto"/>
              <w:bottom w:val="single" w:sz="4" w:space="0" w:color="auto"/>
              <w:right w:val="single" w:sz="4" w:space="0" w:color="auto"/>
            </w:tcBorders>
            <w:vAlign w:val="center"/>
            <w:hideMark/>
          </w:tcPr>
          <w:p w14:paraId="5AA56666"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hideMark/>
          </w:tcPr>
          <w:p w14:paraId="16564713"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Lard FR-SS</w:t>
            </w:r>
          </w:p>
        </w:tc>
        <w:tc>
          <w:tcPr>
            <w:tcW w:w="3260" w:type="dxa"/>
            <w:tcBorders>
              <w:top w:val="nil"/>
              <w:left w:val="nil"/>
              <w:bottom w:val="single" w:sz="4" w:space="0" w:color="auto"/>
              <w:right w:val="single" w:sz="4" w:space="0" w:color="auto"/>
            </w:tcBorders>
            <w:shd w:val="clear" w:color="auto" w:fill="auto"/>
            <w:noWrap/>
            <w:vAlign w:val="bottom"/>
            <w:hideMark/>
          </w:tcPr>
          <w:p w14:paraId="06F16C96"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76DF714F"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750AD417"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3B7761E1" w14:textId="22E98D4B" w:rsidR="00BC0469" w:rsidRPr="00254565" w:rsidRDefault="00ED22A4" w:rsidP="006F6F21">
            <w:pPr>
              <w:spacing w:after="0" w:line="240" w:lineRule="auto"/>
              <w:rPr>
                <w:rFonts w:eastAsia="Times New Roman" w:cs="Arial"/>
                <w:sz w:val="18"/>
                <w:szCs w:val="18"/>
                <w:lang w:eastAsia="fr-FR"/>
              </w:rPr>
            </w:pPr>
            <w:r>
              <w:rPr>
                <w:rFonts w:eastAsia="Times New Roman" w:cs="Arial"/>
                <w:sz w:val="18"/>
                <w:szCs w:val="18"/>
                <w:lang w:eastAsia="fr-FR"/>
              </w:rPr>
              <w:t>0</w:t>
            </w:r>
            <w:r w:rsidR="00BC0469" w:rsidRPr="00254565">
              <w:rPr>
                <w:rFonts w:eastAsia="Times New Roman" w:cs="Arial"/>
                <w:sz w:val="18"/>
                <w:szCs w:val="18"/>
                <w:lang w:eastAsia="fr-FR"/>
              </w:rPr>
              <w:t>2090011</w:t>
            </w:r>
          </w:p>
        </w:tc>
      </w:tr>
      <w:tr w:rsidR="00BC0469" w:rsidRPr="00254565" w14:paraId="40A06EE5" w14:textId="77777777" w:rsidTr="00BC0469">
        <w:trPr>
          <w:trHeight w:val="207"/>
        </w:trPr>
        <w:tc>
          <w:tcPr>
            <w:tcW w:w="2130" w:type="dxa"/>
            <w:vMerge w:val="restart"/>
            <w:tcBorders>
              <w:top w:val="nil"/>
              <w:left w:val="single" w:sz="4" w:space="0" w:color="000000"/>
              <w:right w:val="single" w:sz="4" w:space="0" w:color="000000"/>
            </w:tcBorders>
            <w:shd w:val="clear" w:color="D9D9D9" w:fill="D9D9D9"/>
            <w:noWrap/>
            <w:vAlign w:val="center"/>
            <w:hideMark/>
          </w:tcPr>
          <w:p w14:paraId="14F1EC34" w14:textId="35307EA8"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Saindoux</w:t>
            </w:r>
          </w:p>
        </w:tc>
        <w:tc>
          <w:tcPr>
            <w:tcW w:w="3252" w:type="dxa"/>
            <w:tcBorders>
              <w:top w:val="nil"/>
              <w:left w:val="nil"/>
              <w:bottom w:val="single" w:sz="4" w:space="0" w:color="000000"/>
              <w:right w:val="single" w:sz="4" w:space="0" w:color="000000"/>
            </w:tcBorders>
            <w:shd w:val="clear" w:color="D9D9D9" w:fill="D9D9D9"/>
            <w:noWrap/>
            <w:vAlign w:val="bottom"/>
            <w:hideMark/>
          </w:tcPr>
          <w:p w14:paraId="1FFF3679"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Graisses fondues de porc</w:t>
            </w:r>
          </w:p>
        </w:tc>
        <w:tc>
          <w:tcPr>
            <w:tcW w:w="3260" w:type="dxa"/>
            <w:tcBorders>
              <w:top w:val="nil"/>
              <w:left w:val="nil"/>
              <w:bottom w:val="single" w:sz="4" w:space="0" w:color="000000"/>
              <w:right w:val="single" w:sz="4" w:space="0" w:color="000000"/>
            </w:tcBorders>
            <w:shd w:val="clear" w:color="D9D9D9" w:fill="D9D9D9"/>
            <w:noWrap/>
            <w:vAlign w:val="bottom"/>
            <w:hideMark/>
          </w:tcPr>
          <w:p w14:paraId="1CD9808C"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5F25445D"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33BC84E5"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62430840"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15010019</w:t>
            </w:r>
          </w:p>
        </w:tc>
      </w:tr>
      <w:tr w:rsidR="00BC0469" w:rsidRPr="00254565" w14:paraId="2FE725EB" w14:textId="77777777" w:rsidTr="006F6F21">
        <w:trPr>
          <w:trHeight w:val="112"/>
        </w:trPr>
        <w:tc>
          <w:tcPr>
            <w:tcW w:w="2130" w:type="dxa"/>
            <w:vMerge/>
            <w:tcBorders>
              <w:left w:val="single" w:sz="4" w:space="0" w:color="000000"/>
              <w:bottom w:val="single" w:sz="4" w:space="0" w:color="000000"/>
              <w:right w:val="single" w:sz="4" w:space="0" w:color="000000"/>
            </w:tcBorders>
            <w:shd w:val="clear" w:color="D9D9D9" w:fill="D9D9D9"/>
            <w:noWrap/>
            <w:vAlign w:val="bottom"/>
            <w:hideMark/>
          </w:tcPr>
          <w:p w14:paraId="65CB1364" w14:textId="7A68C6FF"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000000"/>
              <w:right w:val="single" w:sz="4" w:space="0" w:color="000000"/>
            </w:tcBorders>
            <w:shd w:val="clear" w:color="D9D9D9" w:fill="D9D9D9"/>
            <w:noWrap/>
            <w:vAlign w:val="bottom"/>
            <w:hideMark/>
          </w:tcPr>
          <w:p w14:paraId="3AB3D91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Huile de saindoux</w:t>
            </w:r>
          </w:p>
        </w:tc>
        <w:tc>
          <w:tcPr>
            <w:tcW w:w="3260" w:type="dxa"/>
            <w:tcBorders>
              <w:top w:val="nil"/>
              <w:left w:val="nil"/>
              <w:bottom w:val="single" w:sz="4" w:space="0" w:color="000000"/>
              <w:right w:val="single" w:sz="4" w:space="0" w:color="000000"/>
            </w:tcBorders>
            <w:shd w:val="clear" w:color="D9D9D9" w:fill="D9D9D9"/>
            <w:noWrap/>
            <w:vAlign w:val="bottom"/>
            <w:hideMark/>
          </w:tcPr>
          <w:p w14:paraId="209D1C0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2693" w:type="dxa"/>
            <w:tcBorders>
              <w:top w:val="nil"/>
              <w:left w:val="nil"/>
              <w:bottom w:val="single" w:sz="4" w:space="0" w:color="000000"/>
              <w:right w:val="single" w:sz="4" w:space="0" w:color="000000"/>
            </w:tcBorders>
            <w:shd w:val="clear" w:color="D9D9D9" w:fill="D9D9D9"/>
            <w:noWrap/>
            <w:vAlign w:val="bottom"/>
            <w:hideMark/>
          </w:tcPr>
          <w:p w14:paraId="464A1BDA"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843" w:type="dxa"/>
            <w:tcBorders>
              <w:top w:val="nil"/>
              <w:left w:val="nil"/>
              <w:bottom w:val="single" w:sz="4" w:space="0" w:color="000000"/>
              <w:right w:val="single" w:sz="4" w:space="0" w:color="000000"/>
            </w:tcBorders>
            <w:shd w:val="clear" w:color="D9D9D9" w:fill="D9D9D9"/>
            <w:noWrap/>
            <w:vAlign w:val="bottom"/>
            <w:hideMark/>
          </w:tcPr>
          <w:p w14:paraId="241B6113"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 </w:t>
            </w:r>
          </w:p>
        </w:tc>
        <w:tc>
          <w:tcPr>
            <w:tcW w:w="1508" w:type="dxa"/>
            <w:tcBorders>
              <w:top w:val="nil"/>
              <w:left w:val="nil"/>
              <w:bottom w:val="single" w:sz="4" w:space="0" w:color="000000"/>
              <w:right w:val="single" w:sz="4" w:space="0" w:color="000000"/>
            </w:tcBorders>
            <w:shd w:val="clear" w:color="D9D9D9" w:fill="D9D9D9"/>
            <w:noWrap/>
            <w:vAlign w:val="bottom"/>
            <w:hideMark/>
          </w:tcPr>
          <w:p w14:paraId="4967D870"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15010011</w:t>
            </w:r>
          </w:p>
        </w:tc>
      </w:tr>
      <w:tr w:rsidR="00BC0469" w:rsidRPr="00254565" w14:paraId="7B2A19AE" w14:textId="77777777" w:rsidTr="00BC0469">
        <w:trPr>
          <w:trHeight w:val="157"/>
        </w:trPr>
        <w:tc>
          <w:tcPr>
            <w:tcW w:w="213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A66B0E"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FRC/SSF</w:t>
            </w: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865EB3F"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SSF</w:t>
            </w:r>
          </w:p>
        </w:tc>
        <w:tc>
          <w:tcPr>
            <w:tcW w:w="3260" w:type="dxa"/>
            <w:tcBorders>
              <w:top w:val="nil"/>
              <w:left w:val="nil"/>
              <w:bottom w:val="single" w:sz="4" w:space="0" w:color="auto"/>
              <w:right w:val="single" w:sz="4" w:space="0" w:color="auto"/>
            </w:tcBorders>
            <w:shd w:val="clear" w:color="auto" w:fill="auto"/>
            <w:noWrap/>
            <w:hideMark/>
          </w:tcPr>
          <w:p w14:paraId="78FED70E"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SF</w:t>
            </w:r>
          </w:p>
        </w:tc>
        <w:tc>
          <w:tcPr>
            <w:tcW w:w="2693" w:type="dxa"/>
            <w:tcBorders>
              <w:top w:val="nil"/>
              <w:left w:val="nil"/>
              <w:bottom w:val="single" w:sz="4" w:space="0" w:color="auto"/>
              <w:right w:val="single" w:sz="4" w:space="0" w:color="auto"/>
            </w:tcBorders>
            <w:shd w:val="clear" w:color="auto" w:fill="auto"/>
            <w:noWrap/>
            <w:vAlign w:val="bottom"/>
            <w:hideMark/>
          </w:tcPr>
          <w:p w14:paraId="638D2800"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394461D7"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0F6A46C8"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02109949</w:t>
            </w:r>
          </w:p>
        </w:tc>
      </w:tr>
      <w:tr w:rsidR="00BC0469" w:rsidRPr="00254565" w14:paraId="3316C2A9" w14:textId="77777777" w:rsidTr="00BC0469">
        <w:trPr>
          <w:trHeight w:val="203"/>
        </w:trPr>
        <w:tc>
          <w:tcPr>
            <w:tcW w:w="2130" w:type="dxa"/>
            <w:vMerge/>
            <w:tcBorders>
              <w:top w:val="nil"/>
              <w:left w:val="single" w:sz="4" w:space="0" w:color="auto"/>
              <w:bottom w:val="single" w:sz="4" w:space="0" w:color="auto"/>
              <w:right w:val="single" w:sz="4" w:space="0" w:color="auto"/>
            </w:tcBorders>
            <w:vAlign w:val="center"/>
            <w:hideMark/>
          </w:tcPr>
          <w:p w14:paraId="19281CCD"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32E5B03A" w14:textId="77777777" w:rsidR="00BC0469" w:rsidRPr="00254565" w:rsidRDefault="00BC0469" w:rsidP="00BC0469">
            <w:pPr>
              <w:spacing w:after="0" w:line="240" w:lineRule="auto"/>
              <w:rPr>
                <w:rFonts w:eastAsia="Times New Roman" w:cs="Arial"/>
                <w:color w:val="000000"/>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30A66D0D"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Foies comestibles SSF</w:t>
            </w:r>
          </w:p>
        </w:tc>
        <w:tc>
          <w:tcPr>
            <w:tcW w:w="2693" w:type="dxa"/>
            <w:tcBorders>
              <w:top w:val="nil"/>
              <w:left w:val="nil"/>
              <w:bottom w:val="single" w:sz="4" w:space="0" w:color="auto"/>
              <w:right w:val="single" w:sz="4" w:space="0" w:color="auto"/>
            </w:tcBorders>
            <w:shd w:val="clear" w:color="auto" w:fill="auto"/>
            <w:noWrap/>
            <w:vAlign w:val="bottom"/>
            <w:hideMark/>
          </w:tcPr>
          <w:p w14:paraId="7BB2463D"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013D8D0C"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3158B4A4"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02109941</w:t>
            </w:r>
          </w:p>
        </w:tc>
      </w:tr>
      <w:tr w:rsidR="00BC0469" w:rsidRPr="00254565" w14:paraId="3976AE25" w14:textId="77777777" w:rsidTr="00BC0469">
        <w:trPr>
          <w:trHeight w:val="235"/>
        </w:trPr>
        <w:tc>
          <w:tcPr>
            <w:tcW w:w="2130" w:type="dxa"/>
            <w:vMerge/>
            <w:tcBorders>
              <w:top w:val="nil"/>
              <w:left w:val="single" w:sz="4" w:space="0" w:color="auto"/>
              <w:bottom w:val="single" w:sz="4" w:space="0" w:color="auto"/>
              <w:right w:val="single" w:sz="4" w:space="0" w:color="auto"/>
            </w:tcBorders>
            <w:vAlign w:val="center"/>
            <w:hideMark/>
          </w:tcPr>
          <w:p w14:paraId="0B368C86"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vAlign w:val="center"/>
            <w:hideMark/>
          </w:tcPr>
          <w:p w14:paraId="46B9B893"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Foies C</w:t>
            </w:r>
          </w:p>
        </w:tc>
        <w:tc>
          <w:tcPr>
            <w:tcW w:w="3260" w:type="dxa"/>
            <w:tcBorders>
              <w:top w:val="nil"/>
              <w:left w:val="nil"/>
              <w:bottom w:val="single" w:sz="4" w:space="0" w:color="auto"/>
              <w:right w:val="single" w:sz="4" w:space="0" w:color="auto"/>
            </w:tcBorders>
            <w:shd w:val="clear" w:color="auto" w:fill="auto"/>
            <w:noWrap/>
            <w:vAlign w:val="bottom"/>
            <w:hideMark/>
          </w:tcPr>
          <w:p w14:paraId="5DEAB0F6"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0F93AF87"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2FC17F92"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2D47E05A"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02064100</w:t>
            </w:r>
          </w:p>
        </w:tc>
      </w:tr>
      <w:tr w:rsidR="00BC0469" w:rsidRPr="00254565" w14:paraId="11A5C656" w14:textId="77777777" w:rsidTr="00BC0469">
        <w:trPr>
          <w:trHeight w:val="139"/>
        </w:trPr>
        <w:tc>
          <w:tcPr>
            <w:tcW w:w="2130" w:type="dxa"/>
            <w:vMerge/>
            <w:tcBorders>
              <w:top w:val="nil"/>
              <w:left w:val="single" w:sz="4" w:space="0" w:color="auto"/>
              <w:bottom w:val="single" w:sz="4" w:space="0" w:color="auto"/>
              <w:right w:val="single" w:sz="4" w:space="0" w:color="auto"/>
            </w:tcBorders>
            <w:vAlign w:val="center"/>
            <w:hideMark/>
          </w:tcPr>
          <w:p w14:paraId="190385EE"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tcBorders>
              <w:top w:val="nil"/>
              <w:left w:val="nil"/>
              <w:bottom w:val="single" w:sz="4" w:space="0" w:color="auto"/>
              <w:right w:val="single" w:sz="4" w:space="0" w:color="auto"/>
            </w:tcBorders>
            <w:shd w:val="clear" w:color="auto" w:fill="auto"/>
            <w:noWrap/>
            <w:vAlign w:val="center"/>
            <w:hideMark/>
          </w:tcPr>
          <w:p w14:paraId="3735AFB0"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C autres que foies</w:t>
            </w:r>
          </w:p>
        </w:tc>
        <w:tc>
          <w:tcPr>
            <w:tcW w:w="3260" w:type="dxa"/>
            <w:tcBorders>
              <w:top w:val="nil"/>
              <w:left w:val="nil"/>
              <w:bottom w:val="single" w:sz="4" w:space="0" w:color="auto"/>
              <w:right w:val="single" w:sz="4" w:space="0" w:color="auto"/>
            </w:tcBorders>
            <w:shd w:val="clear" w:color="auto" w:fill="auto"/>
            <w:noWrap/>
            <w:vAlign w:val="bottom"/>
            <w:hideMark/>
          </w:tcPr>
          <w:p w14:paraId="21A1BD91"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2693" w:type="dxa"/>
            <w:tcBorders>
              <w:top w:val="nil"/>
              <w:left w:val="nil"/>
              <w:bottom w:val="single" w:sz="4" w:space="0" w:color="auto"/>
              <w:right w:val="single" w:sz="4" w:space="0" w:color="auto"/>
            </w:tcBorders>
            <w:shd w:val="clear" w:color="auto" w:fill="auto"/>
            <w:noWrap/>
            <w:vAlign w:val="bottom"/>
            <w:hideMark/>
          </w:tcPr>
          <w:p w14:paraId="54F23A38"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6BB04850"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64D31A53"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02064920</w:t>
            </w:r>
          </w:p>
        </w:tc>
      </w:tr>
      <w:tr w:rsidR="00BC0469" w:rsidRPr="00254565" w14:paraId="14FF32A2" w14:textId="77777777" w:rsidTr="00BC0469">
        <w:trPr>
          <w:trHeight w:val="185"/>
        </w:trPr>
        <w:tc>
          <w:tcPr>
            <w:tcW w:w="2130" w:type="dxa"/>
            <w:vMerge/>
            <w:tcBorders>
              <w:top w:val="nil"/>
              <w:left w:val="single" w:sz="4" w:space="0" w:color="auto"/>
              <w:bottom w:val="single" w:sz="4" w:space="0" w:color="auto"/>
              <w:right w:val="single" w:sz="4" w:space="0" w:color="auto"/>
            </w:tcBorders>
            <w:vAlign w:val="center"/>
            <w:hideMark/>
          </w:tcPr>
          <w:p w14:paraId="1FB67F1A"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736C237" w14:textId="77777777" w:rsidR="00BC0469" w:rsidRPr="00254565" w:rsidRDefault="00BC0469" w:rsidP="00BC0469">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et foies FR</w:t>
            </w:r>
          </w:p>
        </w:tc>
        <w:tc>
          <w:tcPr>
            <w:tcW w:w="3260" w:type="dxa"/>
            <w:tcBorders>
              <w:top w:val="nil"/>
              <w:left w:val="nil"/>
              <w:bottom w:val="single" w:sz="4" w:space="0" w:color="auto"/>
              <w:right w:val="single" w:sz="4" w:space="0" w:color="auto"/>
            </w:tcBorders>
            <w:shd w:val="clear" w:color="auto" w:fill="auto"/>
            <w:noWrap/>
            <w:hideMark/>
          </w:tcPr>
          <w:p w14:paraId="4AC5938B"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Autres abats FR</w:t>
            </w:r>
          </w:p>
        </w:tc>
        <w:tc>
          <w:tcPr>
            <w:tcW w:w="2693" w:type="dxa"/>
            <w:tcBorders>
              <w:top w:val="nil"/>
              <w:left w:val="nil"/>
              <w:bottom w:val="single" w:sz="4" w:space="0" w:color="auto"/>
              <w:right w:val="single" w:sz="4" w:space="0" w:color="auto"/>
            </w:tcBorders>
            <w:shd w:val="clear" w:color="auto" w:fill="auto"/>
            <w:noWrap/>
            <w:vAlign w:val="bottom"/>
            <w:hideMark/>
          </w:tcPr>
          <w:p w14:paraId="18BA13FD"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359D983E"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79E6595D"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02063030</w:t>
            </w:r>
          </w:p>
        </w:tc>
      </w:tr>
      <w:tr w:rsidR="00BC0469" w:rsidRPr="00254565" w14:paraId="7CD6CB2D" w14:textId="77777777" w:rsidTr="006F6F21">
        <w:trPr>
          <w:trHeight w:val="89"/>
        </w:trPr>
        <w:tc>
          <w:tcPr>
            <w:tcW w:w="2130" w:type="dxa"/>
            <w:vMerge/>
            <w:tcBorders>
              <w:top w:val="nil"/>
              <w:left w:val="single" w:sz="4" w:space="0" w:color="auto"/>
              <w:bottom w:val="single" w:sz="4" w:space="0" w:color="auto"/>
              <w:right w:val="single" w:sz="4" w:space="0" w:color="auto"/>
            </w:tcBorders>
            <w:vAlign w:val="center"/>
            <w:hideMark/>
          </w:tcPr>
          <w:p w14:paraId="1D462F6B"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2895E90D" w14:textId="77777777" w:rsidR="00BC0469" w:rsidRPr="00254565"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1A1A4EA6"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Foies FR</w:t>
            </w:r>
          </w:p>
        </w:tc>
        <w:tc>
          <w:tcPr>
            <w:tcW w:w="2693" w:type="dxa"/>
            <w:tcBorders>
              <w:top w:val="nil"/>
              <w:left w:val="nil"/>
              <w:bottom w:val="single" w:sz="4" w:space="0" w:color="auto"/>
              <w:right w:val="single" w:sz="4" w:space="0" w:color="auto"/>
            </w:tcBorders>
            <w:shd w:val="clear" w:color="auto" w:fill="auto"/>
            <w:noWrap/>
            <w:vAlign w:val="bottom"/>
            <w:hideMark/>
          </w:tcPr>
          <w:p w14:paraId="7E47EF3F"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28B245E4"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5A2FF4FF"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02063020</w:t>
            </w:r>
          </w:p>
        </w:tc>
      </w:tr>
      <w:tr w:rsidR="00BC0469" w:rsidRPr="00254565" w14:paraId="40384FD6" w14:textId="77777777" w:rsidTr="006F6F21">
        <w:trPr>
          <w:trHeight w:val="163"/>
        </w:trPr>
        <w:tc>
          <w:tcPr>
            <w:tcW w:w="2130" w:type="dxa"/>
            <w:vMerge/>
            <w:tcBorders>
              <w:top w:val="nil"/>
              <w:left w:val="single" w:sz="4" w:space="0" w:color="auto"/>
              <w:bottom w:val="single" w:sz="4" w:space="0" w:color="auto"/>
              <w:right w:val="single" w:sz="4" w:space="0" w:color="auto"/>
            </w:tcBorders>
            <w:vAlign w:val="center"/>
            <w:hideMark/>
          </w:tcPr>
          <w:p w14:paraId="573D76CE" w14:textId="77777777" w:rsidR="00BC0469" w:rsidRPr="00254565" w:rsidRDefault="00BC0469" w:rsidP="006F6F21">
            <w:pPr>
              <w:spacing w:after="0" w:line="240" w:lineRule="auto"/>
              <w:rPr>
                <w:rFonts w:eastAsia="Times New Roman" w:cs="Arial"/>
                <w:color w:val="000000"/>
                <w:sz w:val="18"/>
                <w:szCs w:val="18"/>
                <w:lang w:eastAsia="fr-FR"/>
              </w:rPr>
            </w:pPr>
          </w:p>
        </w:tc>
        <w:tc>
          <w:tcPr>
            <w:tcW w:w="3252" w:type="dxa"/>
            <w:vMerge/>
            <w:tcBorders>
              <w:top w:val="nil"/>
              <w:left w:val="single" w:sz="4" w:space="0" w:color="auto"/>
              <w:bottom w:val="single" w:sz="4" w:space="0" w:color="auto"/>
              <w:right w:val="single" w:sz="4" w:space="0" w:color="auto"/>
            </w:tcBorders>
            <w:vAlign w:val="center"/>
            <w:hideMark/>
          </w:tcPr>
          <w:p w14:paraId="6C03A79B" w14:textId="77777777" w:rsidR="00BC0469" w:rsidRPr="00254565" w:rsidRDefault="00BC0469" w:rsidP="006F6F21">
            <w:pPr>
              <w:spacing w:after="0" w:line="240" w:lineRule="auto"/>
              <w:rPr>
                <w:rFonts w:eastAsia="Times New Roman" w:cs="Arial"/>
                <w:color w:val="000000"/>
                <w:sz w:val="18"/>
                <w:szCs w:val="18"/>
                <w:lang w:eastAsia="fr-FR"/>
              </w:rPr>
            </w:pPr>
          </w:p>
        </w:tc>
        <w:tc>
          <w:tcPr>
            <w:tcW w:w="3260" w:type="dxa"/>
            <w:tcBorders>
              <w:top w:val="nil"/>
              <w:left w:val="nil"/>
              <w:bottom w:val="single" w:sz="4" w:space="0" w:color="auto"/>
              <w:right w:val="single" w:sz="4" w:space="0" w:color="auto"/>
            </w:tcBorders>
            <w:shd w:val="clear" w:color="auto" w:fill="auto"/>
            <w:noWrap/>
            <w:hideMark/>
          </w:tcPr>
          <w:p w14:paraId="6341DF4A" w14:textId="77777777" w:rsidR="00BC0469" w:rsidRPr="00254565" w:rsidRDefault="00BC0469" w:rsidP="006F6F21">
            <w:pPr>
              <w:spacing w:after="0" w:line="240" w:lineRule="auto"/>
              <w:rPr>
                <w:rFonts w:eastAsia="Times New Roman" w:cs="Arial"/>
                <w:color w:val="000000"/>
                <w:sz w:val="18"/>
                <w:szCs w:val="18"/>
                <w:lang w:eastAsia="fr-FR"/>
              </w:rPr>
            </w:pPr>
            <w:r w:rsidRPr="00254565">
              <w:rPr>
                <w:rFonts w:eastAsia="Times New Roman" w:cs="Arial"/>
                <w:color w:val="000000"/>
                <w:sz w:val="18"/>
                <w:szCs w:val="18"/>
                <w:lang w:eastAsia="fr-FR"/>
              </w:rPr>
              <w:t>Abats FR</w:t>
            </w:r>
          </w:p>
        </w:tc>
        <w:tc>
          <w:tcPr>
            <w:tcW w:w="2693" w:type="dxa"/>
            <w:tcBorders>
              <w:top w:val="nil"/>
              <w:left w:val="nil"/>
              <w:bottom w:val="single" w:sz="4" w:space="0" w:color="auto"/>
              <w:right w:val="single" w:sz="4" w:space="0" w:color="auto"/>
            </w:tcBorders>
            <w:shd w:val="clear" w:color="auto" w:fill="auto"/>
            <w:noWrap/>
            <w:vAlign w:val="bottom"/>
            <w:hideMark/>
          </w:tcPr>
          <w:p w14:paraId="71200EFE"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843" w:type="dxa"/>
            <w:tcBorders>
              <w:top w:val="nil"/>
              <w:left w:val="nil"/>
              <w:bottom w:val="single" w:sz="4" w:space="0" w:color="auto"/>
              <w:right w:val="single" w:sz="4" w:space="0" w:color="auto"/>
            </w:tcBorders>
            <w:shd w:val="clear" w:color="auto" w:fill="auto"/>
            <w:noWrap/>
            <w:vAlign w:val="bottom"/>
            <w:hideMark/>
          </w:tcPr>
          <w:p w14:paraId="75EC22CD"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 </w:t>
            </w:r>
          </w:p>
        </w:tc>
        <w:tc>
          <w:tcPr>
            <w:tcW w:w="1508" w:type="dxa"/>
            <w:tcBorders>
              <w:top w:val="nil"/>
              <w:left w:val="nil"/>
              <w:bottom w:val="single" w:sz="4" w:space="0" w:color="auto"/>
              <w:right w:val="single" w:sz="4" w:space="0" w:color="auto"/>
            </w:tcBorders>
            <w:shd w:val="clear" w:color="auto" w:fill="auto"/>
            <w:noWrap/>
            <w:vAlign w:val="bottom"/>
            <w:hideMark/>
          </w:tcPr>
          <w:p w14:paraId="7F000E7A" w14:textId="77777777" w:rsidR="00BC0469" w:rsidRPr="00254565" w:rsidRDefault="00BC0469" w:rsidP="006F6F21">
            <w:pPr>
              <w:spacing w:after="0" w:line="240" w:lineRule="auto"/>
              <w:rPr>
                <w:rFonts w:eastAsia="Times New Roman" w:cs="Arial"/>
                <w:sz w:val="18"/>
                <w:szCs w:val="18"/>
                <w:lang w:eastAsia="fr-FR"/>
              </w:rPr>
            </w:pPr>
            <w:r w:rsidRPr="00254565">
              <w:rPr>
                <w:rFonts w:eastAsia="Times New Roman" w:cs="Arial"/>
                <w:sz w:val="18"/>
                <w:szCs w:val="18"/>
                <w:lang w:eastAsia="fr-FR"/>
              </w:rPr>
              <w:t>02063000</w:t>
            </w:r>
          </w:p>
        </w:tc>
      </w:tr>
    </w:tbl>
    <w:p w14:paraId="77D7D3D9" w14:textId="77777777" w:rsidR="00254565" w:rsidRDefault="00254565">
      <w:pPr>
        <w:rPr>
          <w:rFonts w:cs="Arial"/>
        </w:rPr>
        <w:sectPr w:rsidR="00254565" w:rsidSect="00B73F4D">
          <w:pgSz w:w="16838" w:h="11906" w:orient="landscape"/>
          <w:pgMar w:top="1418" w:right="1418" w:bottom="709" w:left="1418" w:header="709" w:footer="709" w:gutter="0"/>
          <w:pgNumType w:start="0"/>
          <w:cols w:space="708"/>
          <w:docGrid w:linePitch="360"/>
        </w:sectPr>
      </w:pPr>
    </w:p>
    <w:p w14:paraId="2467ADD7" w14:textId="03638CBE" w:rsidR="00501903" w:rsidRDefault="003D7837" w:rsidP="0025193D">
      <w:pPr>
        <w:spacing w:after="0" w:line="240" w:lineRule="auto"/>
        <w:rPr>
          <w:rFonts w:eastAsia="Times New Roman" w:cs="Arial"/>
          <w:b/>
          <w:bCs/>
          <w:color w:val="000000"/>
          <w:sz w:val="20"/>
          <w:szCs w:val="20"/>
          <w:lang w:eastAsia="fr-FR"/>
        </w:rPr>
      </w:pPr>
      <w:r w:rsidRPr="00BC0469">
        <w:rPr>
          <w:rFonts w:cs="Arial"/>
          <w:b/>
          <w:i/>
        </w:rPr>
        <w:lastRenderedPageBreak/>
        <w:t xml:space="preserve">Annexe </w:t>
      </w:r>
      <w:r>
        <w:rPr>
          <w:rFonts w:cs="Arial"/>
          <w:b/>
          <w:i/>
        </w:rPr>
        <w:t>2</w:t>
      </w:r>
      <w:r w:rsidRPr="00BC0469">
        <w:rPr>
          <w:rFonts w:cs="Arial"/>
          <w:b/>
          <w:i/>
        </w:rPr>
        <w:t> </w:t>
      </w:r>
      <w:r>
        <w:rPr>
          <w:rFonts w:cs="Arial"/>
          <w:b/>
          <w:i/>
        </w:rPr>
        <w:t xml:space="preserve">a/ </w:t>
      </w:r>
      <w:r w:rsidRPr="00BC0469">
        <w:rPr>
          <w:rFonts w:cs="Arial"/>
          <w:b/>
          <w:i/>
        </w:rPr>
        <w:t>:</w:t>
      </w:r>
      <w:r w:rsidRPr="00BC0469">
        <w:rPr>
          <w:rFonts w:eastAsia="Times New Roman" w:cs="Arial"/>
          <w:b/>
          <w:i/>
          <w:color w:val="000000"/>
          <w:sz w:val="18"/>
          <w:szCs w:val="18"/>
          <w:lang w:eastAsia="fr-FR"/>
        </w:rPr>
        <w:t xml:space="preserve"> </w:t>
      </w:r>
      <w:r w:rsidRPr="00CE1445">
        <w:rPr>
          <w:rFonts w:cs="Arial"/>
          <w:b/>
          <w:i/>
        </w:rPr>
        <w:t xml:space="preserve"> </w:t>
      </w:r>
      <w:r w:rsidRPr="00475BCF">
        <w:rPr>
          <w:rFonts w:cs="Arial"/>
          <w:b/>
          <w:i/>
        </w:rPr>
        <w:t>Déclinaison du tableau de correspondance PRODCOM 201</w:t>
      </w:r>
      <w:r>
        <w:rPr>
          <w:rFonts w:cs="Arial"/>
          <w:b/>
          <w:i/>
        </w:rPr>
        <w:t>8</w:t>
      </w:r>
      <w:r w:rsidR="00625462">
        <w:rPr>
          <w:rFonts w:cs="Arial"/>
          <w:b/>
          <w:i/>
        </w:rPr>
        <w:t xml:space="preserve"> </w:t>
      </w:r>
      <w:r>
        <w:rPr>
          <w:rFonts w:cs="Arial"/>
          <w:b/>
          <w:i/>
        </w:rPr>
        <w:t xml:space="preserve">et </w:t>
      </w:r>
      <w:r w:rsidRPr="00475BCF">
        <w:rPr>
          <w:rFonts w:cs="Arial"/>
          <w:b/>
          <w:i/>
        </w:rPr>
        <w:t>N</w:t>
      </w:r>
      <w:r>
        <w:rPr>
          <w:rFonts w:cs="Arial"/>
          <w:b/>
          <w:i/>
        </w:rPr>
        <w:t>C</w:t>
      </w:r>
      <w:r w:rsidRPr="00475BCF">
        <w:rPr>
          <w:rFonts w:cs="Arial"/>
          <w:b/>
          <w:i/>
        </w:rPr>
        <w:t xml:space="preserve"> 201</w:t>
      </w:r>
      <w:r>
        <w:rPr>
          <w:rFonts w:cs="Arial"/>
          <w:b/>
          <w:i/>
        </w:rPr>
        <w:t>8</w:t>
      </w:r>
      <w:r w:rsidRPr="00475BCF">
        <w:rPr>
          <w:rFonts w:cs="Arial"/>
          <w:b/>
          <w:i/>
        </w:rPr>
        <w:t xml:space="preserve"> </w:t>
      </w:r>
      <w:r w:rsidR="00625462">
        <w:rPr>
          <w:rFonts w:cs="Arial"/>
          <w:b/>
          <w:i/>
        </w:rPr>
        <w:t xml:space="preserve">pour le </w:t>
      </w:r>
      <w:r w:rsidR="00625462" w:rsidRPr="0025193D">
        <w:rPr>
          <w:rFonts w:eastAsia="Times New Roman" w:cs="Arial"/>
          <w:b/>
          <w:bCs/>
          <w:color w:val="000000"/>
          <w:sz w:val="20"/>
          <w:szCs w:val="20"/>
          <w:lang w:eastAsia="fr-FR"/>
        </w:rPr>
        <w:t>code APE 1011Z</w:t>
      </w:r>
      <w:r w:rsidRPr="0025193D">
        <w:rPr>
          <w:rFonts w:eastAsia="Times New Roman" w:cs="Arial"/>
          <w:b/>
          <w:bCs/>
          <w:color w:val="000000"/>
          <w:sz w:val="20"/>
          <w:szCs w:val="20"/>
          <w:lang w:eastAsia="fr-FR"/>
        </w:rPr>
        <w:t xml:space="preserve"> (Ifip d’après Eurostat et Ministère de l’Agriculture et de l’Alimentation)</w:t>
      </w:r>
    </w:p>
    <w:p w14:paraId="5D433CC4" w14:textId="77777777" w:rsidR="0025193D" w:rsidRPr="0025193D" w:rsidRDefault="0025193D" w:rsidP="0025193D">
      <w:pPr>
        <w:spacing w:after="0" w:line="240" w:lineRule="auto"/>
        <w:rPr>
          <w:rFonts w:eastAsia="Times New Roman" w:cs="Arial"/>
          <w:b/>
          <w:bCs/>
          <w:color w:val="000000"/>
          <w:sz w:val="20"/>
          <w:szCs w:val="20"/>
          <w:lang w:eastAsia="fr-FR"/>
        </w:rPr>
      </w:pPr>
    </w:p>
    <w:tbl>
      <w:tblPr>
        <w:tblW w:w="9209" w:type="dxa"/>
        <w:tblCellMar>
          <w:left w:w="70" w:type="dxa"/>
          <w:right w:w="70" w:type="dxa"/>
        </w:tblCellMar>
        <w:tblLook w:val="04A0" w:firstRow="1" w:lastRow="0" w:firstColumn="1" w:lastColumn="0" w:noHBand="0" w:noVBand="1"/>
      </w:tblPr>
      <w:tblGrid>
        <w:gridCol w:w="1696"/>
        <w:gridCol w:w="2410"/>
        <w:gridCol w:w="5103"/>
      </w:tblGrid>
      <w:tr w:rsidR="0096466D" w:rsidRPr="0025193D" w14:paraId="4867678B" w14:textId="77777777" w:rsidTr="0096466D">
        <w:trPr>
          <w:trHeight w:val="609"/>
        </w:trPr>
        <w:tc>
          <w:tcPr>
            <w:tcW w:w="1696"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E6F1275" w14:textId="77777777" w:rsidR="00F8146A" w:rsidRPr="0025193D" w:rsidRDefault="00F8146A" w:rsidP="0025193D">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 xml:space="preserve">Code PRODCOM </w:t>
            </w:r>
          </w:p>
        </w:tc>
        <w:tc>
          <w:tcPr>
            <w:tcW w:w="2410"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2623C7A1" w14:textId="77777777" w:rsidR="00F8146A" w:rsidRPr="0025193D" w:rsidRDefault="00F8146A" w:rsidP="0025193D">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NC8</w:t>
            </w:r>
          </w:p>
        </w:tc>
        <w:tc>
          <w:tcPr>
            <w:tcW w:w="510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45AE3D03" w14:textId="77777777" w:rsidR="00F8146A" w:rsidRPr="0025193D" w:rsidRDefault="00F8146A" w:rsidP="0025193D">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 xml:space="preserve">Descriptif Simplifié du NC8 </w:t>
            </w:r>
          </w:p>
        </w:tc>
      </w:tr>
      <w:tr w:rsidR="00F8146A" w:rsidRPr="007E2D2F" w14:paraId="695CD127" w14:textId="77777777" w:rsidTr="0096466D">
        <w:trPr>
          <w:trHeight w:val="688"/>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41FC15F7"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10.11.12.30</w:t>
            </w:r>
          </w:p>
        </w:tc>
        <w:tc>
          <w:tcPr>
            <w:tcW w:w="2410" w:type="dxa"/>
            <w:tcBorders>
              <w:top w:val="nil"/>
              <w:left w:val="nil"/>
              <w:bottom w:val="single" w:sz="4" w:space="0" w:color="auto"/>
              <w:right w:val="single" w:sz="4" w:space="0" w:color="auto"/>
            </w:tcBorders>
            <w:shd w:val="clear" w:color="auto" w:fill="auto"/>
            <w:noWrap/>
            <w:vAlign w:val="center"/>
            <w:hideMark/>
          </w:tcPr>
          <w:p w14:paraId="7EE36FBB"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0203[.11(.10 + .90)]</w:t>
            </w:r>
          </w:p>
        </w:tc>
        <w:tc>
          <w:tcPr>
            <w:tcW w:w="5103" w:type="dxa"/>
            <w:tcBorders>
              <w:top w:val="nil"/>
              <w:left w:val="nil"/>
              <w:bottom w:val="single" w:sz="4" w:space="0" w:color="auto"/>
              <w:right w:val="single" w:sz="4" w:space="0" w:color="auto"/>
            </w:tcBorders>
            <w:shd w:val="clear" w:color="auto" w:fill="auto"/>
            <w:noWrap/>
            <w:vAlign w:val="center"/>
            <w:hideMark/>
          </w:tcPr>
          <w:p w14:paraId="76425250"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Viandes porcines, fraîches ou réfrigérées, en carcasses ou demi-carcasses</w:t>
            </w:r>
          </w:p>
        </w:tc>
      </w:tr>
      <w:tr w:rsidR="0096466D" w:rsidRPr="007E2D2F" w14:paraId="51FAB633" w14:textId="77777777" w:rsidTr="0096466D">
        <w:trPr>
          <w:trHeight w:val="569"/>
        </w:trPr>
        <w:tc>
          <w:tcPr>
            <w:tcW w:w="1696" w:type="dxa"/>
            <w:tcBorders>
              <w:top w:val="single" w:sz="4" w:space="0" w:color="auto"/>
              <w:left w:val="single" w:sz="4" w:space="0" w:color="auto"/>
              <w:right w:val="single" w:sz="4" w:space="0" w:color="auto"/>
            </w:tcBorders>
            <w:shd w:val="clear" w:color="EDEDED" w:fill="EDEDED"/>
            <w:noWrap/>
            <w:vAlign w:val="center"/>
            <w:hideMark/>
          </w:tcPr>
          <w:p w14:paraId="28D0BC61"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10.11.12.50</w:t>
            </w:r>
          </w:p>
        </w:tc>
        <w:tc>
          <w:tcPr>
            <w:tcW w:w="2410" w:type="dxa"/>
            <w:tcBorders>
              <w:top w:val="single" w:sz="4" w:space="0" w:color="auto"/>
              <w:left w:val="single" w:sz="4" w:space="0" w:color="A5A5A5"/>
              <w:right w:val="single" w:sz="4" w:space="0" w:color="A5A5A5"/>
            </w:tcBorders>
            <w:shd w:val="clear" w:color="EDEDED" w:fill="EDEDED"/>
            <w:noWrap/>
            <w:vAlign w:val="center"/>
            <w:hideMark/>
          </w:tcPr>
          <w:p w14:paraId="6AD7AEB3"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0203[.12(.11 + .19 + .90)]</w:t>
            </w:r>
          </w:p>
        </w:tc>
        <w:tc>
          <w:tcPr>
            <w:tcW w:w="5103" w:type="dxa"/>
            <w:tcBorders>
              <w:top w:val="single" w:sz="4" w:space="0" w:color="auto"/>
              <w:left w:val="single" w:sz="4" w:space="0" w:color="auto"/>
              <w:right w:val="single" w:sz="4" w:space="0" w:color="auto"/>
            </w:tcBorders>
            <w:shd w:val="clear" w:color="EDEDED" w:fill="EDEDED"/>
            <w:noWrap/>
            <w:vAlign w:val="center"/>
            <w:hideMark/>
          </w:tcPr>
          <w:p w14:paraId="6F56049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Jambons, épaules de porcs et leurs morceaux non désossés, frais ou réfrigérés</w:t>
            </w:r>
          </w:p>
        </w:tc>
      </w:tr>
      <w:tr w:rsidR="00F8146A" w:rsidRPr="007E2D2F" w14:paraId="610CC7FF" w14:textId="77777777" w:rsidTr="0096466D">
        <w:trPr>
          <w:trHeight w:val="130"/>
        </w:trPr>
        <w:tc>
          <w:tcPr>
            <w:tcW w:w="1696" w:type="dxa"/>
            <w:tcBorders>
              <w:left w:val="single" w:sz="4" w:space="0" w:color="auto"/>
              <w:bottom w:val="single" w:sz="4" w:space="0" w:color="auto"/>
              <w:right w:val="single" w:sz="4" w:space="0" w:color="auto"/>
            </w:tcBorders>
            <w:shd w:val="clear" w:color="auto" w:fill="auto"/>
            <w:noWrap/>
            <w:vAlign w:val="center"/>
            <w:hideMark/>
          </w:tcPr>
          <w:p w14:paraId="1A2C95ED"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10.11.12.90</w:t>
            </w:r>
          </w:p>
        </w:tc>
        <w:tc>
          <w:tcPr>
            <w:tcW w:w="2410" w:type="dxa"/>
            <w:tcBorders>
              <w:left w:val="nil"/>
              <w:bottom w:val="single" w:sz="4" w:space="0" w:color="auto"/>
              <w:right w:val="single" w:sz="4" w:space="0" w:color="auto"/>
            </w:tcBorders>
            <w:shd w:val="clear" w:color="auto" w:fill="auto"/>
            <w:noWrap/>
            <w:vAlign w:val="center"/>
            <w:hideMark/>
          </w:tcPr>
          <w:p w14:paraId="3B805EF1"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0203[.19(.11 + .13 + .15 + .55 + .59 + .90)]</w:t>
            </w:r>
          </w:p>
        </w:tc>
        <w:tc>
          <w:tcPr>
            <w:tcW w:w="5103" w:type="dxa"/>
            <w:tcBorders>
              <w:left w:val="nil"/>
              <w:bottom w:val="single" w:sz="4" w:space="0" w:color="auto"/>
              <w:right w:val="single" w:sz="4" w:space="0" w:color="auto"/>
            </w:tcBorders>
            <w:shd w:val="clear" w:color="auto" w:fill="auto"/>
            <w:noWrap/>
            <w:vAlign w:val="center"/>
            <w:hideMark/>
          </w:tcPr>
          <w:p w14:paraId="46C7261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Autres viandes porcines, fraîches ou réfrigérées </w:t>
            </w:r>
          </w:p>
        </w:tc>
      </w:tr>
      <w:tr w:rsidR="0096466D" w:rsidRPr="007E2D2F" w14:paraId="4995EBBB" w14:textId="77777777" w:rsidTr="0096466D">
        <w:trPr>
          <w:trHeight w:val="130"/>
        </w:trPr>
        <w:tc>
          <w:tcPr>
            <w:tcW w:w="1696"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42616FB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p.10.11.20.00</w:t>
            </w:r>
          </w:p>
        </w:tc>
        <w:tc>
          <w:tcPr>
            <w:tcW w:w="2410"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2F074613"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0206[.10+.30+.80]</w:t>
            </w:r>
          </w:p>
        </w:tc>
        <w:tc>
          <w:tcPr>
            <w:tcW w:w="510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45182024"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Abats comestibles d’animaux de boucherie, frais, réfrigérés (y c. onglets, hampes) </w:t>
            </w:r>
          </w:p>
        </w:tc>
      </w:tr>
      <w:tr w:rsidR="00F8146A" w:rsidRPr="007E2D2F" w14:paraId="48AFB5A7" w14:textId="77777777" w:rsidTr="0096466D">
        <w:trPr>
          <w:trHeight w:val="130"/>
        </w:trPr>
        <w:tc>
          <w:tcPr>
            <w:tcW w:w="1696" w:type="dxa"/>
            <w:tcBorders>
              <w:top w:val="nil"/>
              <w:left w:val="single" w:sz="4" w:space="0" w:color="auto"/>
              <w:bottom w:val="single" w:sz="4" w:space="0" w:color="auto"/>
              <w:right w:val="single" w:sz="4" w:space="0" w:color="auto"/>
            </w:tcBorders>
            <w:shd w:val="clear" w:color="auto" w:fill="auto"/>
            <w:noWrap/>
            <w:vAlign w:val="center"/>
            <w:hideMark/>
          </w:tcPr>
          <w:p w14:paraId="178138EE"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1011.32.30</w:t>
            </w:r>
          </w:p>
        </w:tc>
        <w:tc>
          <w:tcPr>
            <w:tcW w:w="2410" w:type="dxa"/>
            <w:tcBorders>
              <w:top w:val="nil"/>
              <w:left w:val="nil"/>
              <w:bottom w:val="single" w:sz="4" w:space="0" w:color="auto"/>
              <w:right w:val="single" w:sz="4" w:space="0" w:color="auto"/>
            </w:tcBorders>
            <w:shd w:val="clear" w:color="auto" w:fill="auto"/>
            <w:noWrap/>
            <w:vAlign w:val="center"/>
            <w:hideMark/>
          </w:tcPr>
          <w:p w14:paraId="5371CDB0"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0203[.21(.10 + .90)]</w:t>
            </w:r>
          </w:p>
        </w:tc>
        <w:tc>
          <w:tcPr>
            <w:tcW w:w="5103" w:type="dxa"/>
            <w:tcBorders>
              <w:top w:val="nil"/>
              <w:left w:val="nil"/>
              <w:bottom w:val="single" w:sz="4" w:space="0" w:color="auto"/>
              <w:right w:val="single" w:sz="4" w:space="0" w:color="auto"/>
            </w:tcBorders>
            <w:shd w:val="clear" w:color="auto" w:fill="auto"/>
            <w:noWrap/>
            <w:vAlign w:val="center"/>
            <w:hideMark/>
          </w:tcPr>
          <w:p w14:paraId="4FECC0DD"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Viandes porcines, congelées, en carcasses ou demi-carcasses</w:t>
            </w:r>
          </w:p>
        </w:tc>
      </w:tr>
      <w:tr w:rsidR="0096466D" w:rsidRPr="007E2D2F" w14:paraId="6422BDB8" w14:textId="77777777" w:rsidTr="0096466D">
        <w:trPr>
          <w:trHeight w:val="569"/>
        </w:trPr>
        <w:tc>
          <w:tcPr>
            <w:tcW w:w="1696"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7D89991"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p.10.11.32.50 </w:t>
            </w:r>
          </w:p>
        </w:tc>
        <w:tc>
          <w:tcPr>
            <w:tcW w:w="2410"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6B88179B"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0203[.22(.11 + .19 + .90)]</w:t>
            </w:r>
          </w:p>
        </w:tc>
        <w:tc>
          <w:tcPr>
            <w:tcW w:w="5103"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5EFE7D88"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Jambons, épaules de porc et leurs morceaux non désossés, congelés </w:t>
            </w:r>
          </w:p>
        </w:tc>
      </w:tr>
      <w:tr w:rsidR="00F8146A" w:rsidRPr="007E2D2F" w14:paraId="2DAFC897" w14:textId="77777777" w:rsidTr="0096466D">
        <w:trPr>
          <w:trHeight w:val="846"/>
        </w:trPr>
        <w:tc>
          <w:tcPr>
            <w:tcW w:w="1696"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23D52A97"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p.10.11.32.90 </w:t>
            </w:r>
          </w:p>
        </w:tc>
        <w:tc>
          <w:tcPr>
            <w:tcW w:w="2410"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43CFA82A"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0203[.29(.11 + .13 + .15 + .55 + .59 + .90)]</w:t>
            </w:r>
          </w:p>
        </w:tc>
        <w:tc>
          <w:tcPr>
            <w:tcW w:w="5103"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10732DC6"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Autres viandes porcines, congelées ou surgelées (à l’exclusion des carcasses ou demi-carcasses et des jambons, épaules et leurs morceaux, non désossés)</w:t>
            </w:r>
          </w:p>
        </w:tc>
      </w:tr>
      <w:tr w:rsidR="0096466D" w:rsidRPr="007E2D2F" w14:paraId="38B16B4F" w14:textId="77777777" w:rsidTr="0096466D">
        <w:trPr>
          <w:trHeight w:val="689"/>
        </w:trPr>
        <w:tc>
          <w:tcPr>
            <w:tcW w:w="1696"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4BAF238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p.10.11.39.10</w:t>
            </w:r>
          </w:p>
        </w:tc>
        <w:tc>
          <w:tcPr>
            <w:tcW w:w="2410"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18F276EB"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0206[.2+.4+.90]</w:t>
            </w:r>
          </w:p>
        </w:tc>
        <w:tc>
          <w:tcPr>
            <w:tcW w:w="5103"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28C8C16E"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Abats comestibles d’animaux de boucherie, congelés, (y c. onglets, hampes)</w:t>
            </w:r>
          </w:p>
        </w:tc>
      </w:tr>
      <w:tr w:rsidR="00F8146A" w:rsidRPr="007E2D2F" w14:paraId="2FAF622A" w14:textId="77777777" w:rsidTr="0096466D">
        <w:trPr>
          <w:trHeight w:val="699"/>
        </w:trPr>
        <w:tc>
          <w:tcPr>
            <w:tcW w:w="1696"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096E811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 xml:space="preserve">p.10.11.50.40 </w:t>
            </w:r>
          </w:p>
        </w:tc>
        <w:tc>
          <w:tcPr>
            <w:tcW w:w="2410"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6F5AABC3"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0209[.10(.11+.19+.90)]</w:t>
            </w:r>
          </w:p>
        </w:tc>
        <w:tc>
          <w:tcPr>
            <w:tcW w:w="5103"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047C4D5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Lard, graisses de porc non fondues, frais, réfrigérés, congelés, salés</w:t>
            </w:r>
          </w:p>
        </w:tc>
      </w:tr>
      <w:tr w:rsidR="0096466D" w:rsidRPr="007E2D2F" w14:paraId="067F0B71" w14:textId="77777777" w:rsidTr="0096466D">
        <w:trPr>
          <w:trHeight w:val="554"/>
        </w:trPr>
        <w:tc>
          <w:tcPr>
            <w:tcW w:w="1696"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7655A625"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p.10.11.50.60</w:t>
            </w:r>
          </w:p>
        </w:tc>
        <w:tc>
          <w:tcPr>
            <w:tcW w:w="2410"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4ED3BED2"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1501[.1+.2]</w:t>
            </w:r>
          </w:p>
        </w:tc>
        <w:tc>
          <w:tcPr>
            <w:tcW w:w="5103"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2C4C4EFD" w14:textId="77777777" w:rsidR="00F8146A" w:rsidRPr="007E2D2F" w:rsidRDefault="00F8146A" w:rsidP="0025193D">
            <w:pPr>
              <w:spacing w:after="0" w:line="240" w:lineRule="auto"/>
              <w:rPr>
                <w:rFonts w:eastAsia="Times New Roman" w:cs="Arial"/>
                <w:bCs/>
                <w:color w:val="000000"/>
                <w:sz w:val="20"/>
                <w:szCs w:val="20"/>
                <w:lang w:eastAsia="fr-FR"/>
              </w:rPr>
            </w:pPr>
            <w:r w:rsidRPr="007E2D2F">
              <w:rPr>
                <w:rFonts w:eastAsia="Times New Roman" w:cs="Arial"/>
                <w:bCs/>
                <w:color w:val="000000"/>
                <w:sz w:val="20"/>
                <w:szCs w:val="20"/>
                <w:lang w:eastAsia="fr-FR"/>
              </w:rPr>
              <w:t>Saindoux, autres graisses de porc, fondues</w:t>
            </w:r>
          </w:p>
        </w:tc>
      </w:tr>
    </w:tbl>
    <w:p w14:paraId="59F78878" w14:textId="77777777" w:rsidR="00501903" w:rsidRPr="003D7837" w:rsidRDefault="00501903" w:rsidP="0025193D">
      <w:pPr>
        <w:tabs>
          <w:tab w:val="left" w:pos="2095"/>
          <w:tab w:val="left" w:pos="4606"/>
        </w:tabs>
        <w:spacing w:after="0" w:line="240" w:lineRule="auto"/>
        <w:jc w:val="left"/>
        <w:rPr>
          <w:rFonts w:eastAsia="Times New Roman" w:cs="Arial"/>
          <w:b/>
          <w:bCs/>
          <w:color w:val="000000"/>
          <w:lang w:eastAsia="fr-FR"/>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96"/>
        <w:gridCol w:w="2410"/>
        <w:gridCol w:w="5103"/>
      </w:tblGrid>
      <w:tr w:rsidR="003D7837" w:rsidRPr="003D7837" w14:paraId="0638866F" w14:textId="77777777" w:rsidTr="0096466D">
        <w:trPr>
          <w:trHeight w:val="487"/>
        </w:trPr>
        <w:tc>
          <w:tcPr>
            <w:tcW w:w="1696" w:type="dxa"/>
            <w:shd w:val="clear" w:color="EDEDED" w:fill="EDEDED"/>
            <w:noWrap/>
            <w:vAlign w:val="center"/>
            <w:hideMark/>
          </w:tcPr>
          <w:p w14:paraId="7952600E" w14:textId="77777777" w:rsidR="003D7837" w:rsidRPr="0025193D" w:rsidRDefault="003D7837" w:rsidP="000C44F4">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 xml:space="preserve">Code PRODCOM </w:t>
            </w:r>
          </w:p>
        </w:tc>
        <w:tc>
          <w:tcPr>
            <w:tcW w:w="2410" w:type="dxa"/>
            <w:shd w:val="clear" w:color="EDEDED" w:fill="EDEDED"/>
            <w:noWrap/>
            <w:vAlign w:val="center"/>
            <w:hideMark/>
          </w:tcPr>
          <w:p w14:paraId="683BE2F5" w14:textId="77777777" w:rsidR="003D7837" w:rsidRPr="0025193D" w:rsidRDefault="003D7837" w:rsidP="000C44F4">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NC8</w:t>
            </w:r>
          </w:p>
        </w:tc>
        <w:tc>
          <w:tcPr>
            <w:tcW w:w="5103" w:type="dxa"/>
            <w:shd w:val="clear" w:color="EDEDED" w:fill="EDEDED"/>
            <w:noWrap/>
            <w:vAlign w:val="center"/>
            <w:hideMark/>
          </w:tcPr>
          <w:p w14:paraId="5C7EC42B" w14:textId="2A4CFB28" w:rsidR="003D7837" w:rsidRPr="0025193D" w:rsidRDefault="003D7837" w:rsidP="000C44F4">
            <w:pPr>
              <w:spacing w:after="0" w:line="240" w:lineRule="auto"/>
              <w:rPr>
                <w:rFonts w:eastAsia="Times New Roman" w:cs="Arial"/>
                <w:b/>
                <w:bCs/>
                <w:color w:val="000000"/>
                <w:sz w:val="20"/>
                <w:szCs w:val="20"/>
                <w:lang w:eastAsia="fr-FR"/>
              </w:rPr>
            </w:pPr>
            <w:r w:rsidRPr="0025193D">
              <w:rPr>
                <w:rFonts w:eastAsia="Times New Roman" w:cs="Arial"/>
                <w:b/>
                <w:bCs/>
                <w:color w:val="000000"/>
                <w:sz w:val="20"/>
                <w:szCs w:val="20"/>
                <w:lang w:eastAsia="fr-FR"/>
              </w:rPr>
              <w:t xml:space="preserve">Descriptif </w:t>
            </w:r>
            <w:r w:rsidR="003E55BA" w:rsidRPr="0025193D">
              <w:rPr>
                <w:rFonts w:eastAsia="Times New Roman" w:cs="Arial"/>
                <w:b/>
                <w:bCs/>
                <w:color w:val="000000"/>
                <w:sz w:val="20"/>
                <w:szCs w:val="20"/>
                <w:lang w:eastAsia="fr-FR"/>
              </w:rPr>
              <w:t>s</w:t>
            </w:r>
            <w:r w:rsidRPr="0025193D">
              <w:rPr>
                <w:rFonts w:eastAsia="Times New Roman" w:cs="Arial"/>
                <w:b/>
                <w:bCs/>
                <w:color w:val="000000"/>
                <w:sz w:val="20"/>
                <w:szCs w:val="20"/>
                <w:lang w:eastAsia="fr-FR"/>
              </w:rPr>
              <w:t xml:space="preserve">implifié du NC8 </w:t>
            </w:r>
          </w:p>
        </w:tc>
      </w:tr>
      <w:tr w:rsidR="003D7837" w:rsidRPr="003D7837" w14:paraId="11EB155A" w14:textId="77777777" w:rsidTr="0096466D">
        <w:trPr>
          <w:trHeight w:val="676"/>
        </w:trPr>
        <w:tc>
          <w:tcPr>
            <w:tcW w:w="1696" w:type="dxa"/>
            <w:shd w:val="clear" w:color="auto" w:fill="auto"/>
            <w:noWrap/>
            <w:vAlign w:val="center"/>
            <w:hideMark/>
          </w:tcPr>
          <w:p w14:paraId="4189F783"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10.11.12.50</w:t>
            </w:r>
          </w:p>
        </w:tc>
        <w:tc>
          <w:tcPr>
            <w:tcW w:w="2410" w:type="dxa"/>
            <w:shd w:val="clear" w:color="auto" w:fill="auto"/>
            <w:noWrap/>
            <w:vAlign w:val="center"/>
            <w:hideMark/>
          </w:tcPr>
          <w:p w14:paraId="64E9365A"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0203[.12(.11 + .19 + .90)]</w:t>
            </w:r>
          </w:p>
        </w:tc>
        <w:tc>
          <w:tcPr>
            <w:tcW w:w="5103" w:type="dxa"/>
            <w:shd w:val="clear" w:color="auto" w:fill="auto"/>
            <w:noWrap/>
            <w:vAlign w:val="center"/>
            <w:hideMark/>
          </w:tcPr>
          <w:p w14:paraId="61D70BC3"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Jambons, épaules de porcs et leurs morceaux non désossés, frais ou réfrigérés</w:t>
            </w:r>
          </w:p>
        </w:tc>
      </w:tr>
      <w:tr w:rsidR="003D7837" w:rsidRPr="003D7837" w14:paraId="76E40FD5" w14:textId="77777777" w:rsidTr="0096466D">
        <w:trPr>
          <w:trHeight w:val="768"/>
        </w:trPr>
        <w:tc>
          <w:tcPr>
            <w:tcW w:w="1696" w:type="dxa"/>
            <w:shd w:val="clear" w:color="EDEDED" w:fill="EDEDED"/>
            <w:noWrap/>
            <w:vAlign w:val="center"/>
            <w:hideMark/>
          </w:tcPr>
          <w:p w14:paraId="029EEB8D"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10.11.12.90</w:t>
            </w:r>
          </w:p>
        </w:tc>
        <w:tc>
          <w:tcPr>
            <w:tcW w:w="2410" w:type="dxa"/>
            <w:shd w:val="clear" w:color="EDEDED" w:fill="EDEDED"/>
            <w:noWrap/>
            <w:vAlign w:val="center"/>
            <w:hideMark/>
          </w:tcPr>
          <w:p w14:paraId="25BF2923"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0203[.19(.11 + .13 + .15 + .55 + .59 + .90)]</w:t>
            </w:r>
          </w:p>
        </w:tc>
        <w:tc>
          <w:tcPr>
            <w:tcW w:w="5103" w:type="dxa"/>
            <w:shd w:val="clear" w:color="EDEDED" w:fill="EDEDED"/>
            <w:noWrap/>
            <w:vAlign w:val="center"/>
            <w:hideMark/>
          </w:tcPr>
          <w:p w14:paraId="3199DDF0"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Autres viandes porcines, fraîches ou réfrigérées </w:t>
            </w:r>
          </w:p>
        </w:tc>
      </w:tr>
      <w:tr w:rsidR="003D7837" w:rsidRPr="003D7837" w14:paraId="3A80C903" w14:textId="77777777" w:rsidTr="0096466D">
        <w:trPr>
          <w:trHeight w:val="575"/>
        </w:trPr>
        <w:tc>
          <w:tcPr>
            <w:tcW w:w="1696" w:type="dxa"/>
            <w:shd w:val="clear" w:color="auto" w:fill="auto"/>
            <w:noWrap/>
            <w:vAlign w:val="center"/>
            <w:hideMark/>
          </w:tcPr>
          <w:p w14:paraId="264061CE"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p.10.11.20.00</w:t>
            </w:r>
          </w:p>
        </w:tc>
        <w:tc>
          <w:tcPr>
            <w:tcW w:w="2410" w:type="dxa"/>
            <w:shd w:val="clear" w:color="auto" w:fill="auto"/>
            <w:noWrap/>
            <w:vAlign w:val="center"/>
            <w:hideMark/>
          </w:tcPr>
          <w:p w14:paraId="0EF4E665"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0206[.10+.30+.80]</w:t>
            </w:r>
          </w:p>
        </w:tc>
        <w:tc>
          <w:tcPr>
            <w:tcW w:w="5103" w:type="dxa"/>
            <w:shd w:val="clear" w:color="auto" w:fill="auto"/>
            <w:noWrap/>
            <w:vAlign w:val="center"/>
            <w:hideMark/>
          </w:tcPr>
          <w:p w14:paraId="643759E6"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Abats comestibles d’animaux de boucherie, frais, réfrigérés (y c. onglets, hampes) </w:t>
            </w:r>
          </w:p>
        </w:tc>
      </w:tr>
      <w:tr w:rsidR="003D7837" w:rsidRPr="003D7837" w14:paraId="13B65681" w14:textId="77777777" w:rsidTr="0096466D">
        <w:trPr>
          <w:trHeight w:val="681"/>
        </w:trPr>
        <w:tc>
          <w:tcPr>
            <w:tcW w:w="1696" w:type="dxa"/>
            <w:shd w:val="clear" w:color="EDEDED" w:fill="EDEDED"/>
            <w:noWrap/>
            <w:vAlign w:val="center"/>
            <w:hideMark/>
          </w:tcPr>
          <w:p w14:paraId="79AC469D"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p.10.11.32.50 </w:t>
            </w:r>
          </w:p>
        </w:tc>
        <w:tc>
          <w:tcPr>
            <w:tcW w:w="2410" w:type="dxa"/>
            <w:shd w:val="clear" w:color="EDEDED" w:fill="EDEDED"/>
            <w:noWrap/>
            <w:vAlign w:val="center"/>
            <w:hideMark/>
          </w:tcPr>
          <w:p w14:paraId="611DDCA9"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0203[.22(.11 + .19 + .90)]</w:t>
            </w:r>
          </w:p>
        </w:tc>
        <w:tc>
          <w:tcPr>
            <w:tcW w:w="5103" w:type="dxa"/>
            <w:shd w:val="clear" w:color="EDEDED" w:fill="EDEDED"/>
            <w:noWrap/>
            <w:vAlign w:val="center"/>
            <w:hideMark/>
          </w:tcPr>
          <w:p w14:paraId="51A72153"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Jambons, épaules de porc et leurs morceaux non désossés, congelés </w:t>
            </w:r>
          </w:p>
        </w:tc>
      </w:tr>
      <w:tr w:rsidR="000C44F4" w:rsidRPr="003D7837" w14:paraId="19829B86" w14:textId="77777777" w:rsidTr="0096466D">
        <w:trPr>
          <w:trHeight w:val="915"/>
        </w:trPr>
        <w:tc>
          <w:tcPr>
            <w:tcW w:w="1696" w:type="dxa"/>
            <w:shd w:val="clear" w:color="auto" w:fill="auto"/>
            <w:noWrap/>
            <w:vAlign w:val="center"/>
            <w:hideMark/>
          </w:tcPr>
          <w:p w14:paraId="5521552D"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p.10.11.32.90 </w:t>
            </w:r>
          </w:p>
        </w:tc>
        <w:tc>
          <w:tcPr>
            <w:tcW w:w="2410" w:type="dxa"/>
            <w:shd w:val="clear" w:color="auto" w:fill="auto"/>
            <w:vAlign w:val="center"/>
            <w:hideMark/>
          </w:tcPr>
          <w:p w14:paraId="7ACD6FAB"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0203[.29(.11 + .13 + .15 + .55 + .59 + .90)]</w:t>
            </w:r>
          </w:p>
        </w:tc>
        <w:tc>
          <w:tcPr>
            <w:tcW w:w="5103" w:type="dxa"/>
            <w:shd w:val="clear" w:color="auto" w:fill="auto"/>
            <w:vAlign w:val="center"/>
            <w:hideMark/>
          </w:tcPr>
          <w:p w14:paraId="3641E889"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Autres viandes porcines, congelées ou surgelées (à l’exclusion des carcasses ou demi-carcasses et des jambons, épaules et leurs morceaux, non désossés)</w:t>
            </w:r>
          </w:p>
        </w:tc>
      </w:tr>
      <w:tr w:rsidR="003D7837" w:rsidRPr="003D7837" w14:paraId="49A061B0" w14:textId="77777777" w:rsidTr="0096466D">
        <w:trPr>
          <w:trHeight w:val="170"/>
        </w:trPr>
        <w:tc>
          <w:tcPr>
            <w:tcW w:w="1696" w:type="dxa"/>
            <w:shd w:val="clear" w:color="EDEDED" w:fill="EDEDED"/>
            <w:noWrap/>
            <w:vAlign w:val="center"/>
            <w:hideMark/>
          </w:tcPr>
          <w:p w14:paraId="42952FA8"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p.10.11.39.10</w:t>
            </w:r>
          </w:p>
        </w:tc>
        <w:tc>
          <w:tcPr>
            <w:tcW w:w="2410" w:type="dxa"/>
            <w:shd w:val="clear" w:color="EDEDED" w:fill="EDEDED"/>
            <w:noWrap/>
            <w:vAlign w:val="center"/>
            <w:hideMark/>
          </w:tcPr>
          <w:p w14:paraId="705220E9"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0206[.2+.4+.90]</w:t>
            </w:r>
          </w:p>
        </w:tc>
        <w:tc>
          <w:tcPr>
            <w:tcW w:w="5103" w:type="dxa"/>
            <w:shd w:val="clear" w:color="EDEDED" w:fill="EDEDED"/>
            <w:noWrap/>
            <w:vAlign w:val="center"/>
            <w:hideMark/>
          </w:tcPr>
          <w:p w14:paraId="19C58588"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Abats comestibles d’animaux de boucherie, congelés, (y c. onglets, hampes)</w:t>
            </w:r>
          </w:p>
        </w:tc>
      </w:tr>
      <w:tr w:rsidR="000C44F4" w:rsidRPr="003D7837" w14:paraId="2F564D8B" w14:textId="77777777" w:rsidTr="0096466D">
        <w:trPr>
          <w:trHeight w:val="170"/>
        </w:trPr>
        <w:tc>
          <w:tcPr>
            <w:tcW w:w="1696" w:type="dxa"/>
            <w:shd w:val="clear" w:color="auto" w:fill="auto"/>
            <w:vAlign w:val="center"/>
            <w:hideMark/>
          </w:tcPr>
          <w:p w14:paraId="28D06804"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 xml:space="preserve">p.10.11.50.40 </w:t>
            </w:r>
          </w:p>
        </w:tc>
        <w:tc>
          <w:tcPr>
            <w:tcW w:w="2410" w:type="dxa"/>
            <w:shd w:val="clear" w:color="auto" w:fill="auto"/>
            <w:noWrap/>
            <w:vAlign w:val="center"/>
            <w:hideMark/>
          </w:tcPr>
          <w:p w14:paraId="5E333B71"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0209[.10(.11+.19+.90)]</w:t>
            </w:r>
          </w:p>
        </w:tc>
        <w:tc>
          <w:tcPr>
            <w:tcW w:w="5103" w:type="dxa"/>
            <w:shd w:val="clear" w:color="auto" w:fill="auto"/>
            <w:noWrap/>
            <w:vAlign w:val="center"/>
            <w:hideMark/>
          </w:tcPr>
          <w:p w14:paraId="6E7C3DA8"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Lard, graisses de porc non fondues, frais, réfrigérés, congelés, salés</w:t>
            </w:r>
          </w:p>
        </w:tc>
      </w:tr>
      <w:tr w:rsidR="003D7837" w:rsidRPr="003D7837" w14:paraId="0A6D9316" w14:textId="77777777" w:rsidTr="0096466D">
        <w:trPr>
          <w:trHeight w:val="414"/>
        </w:trPr>
        <w:tc>
          <w:tcPr>
            <w:tcW w:w="1696" w:type="dxa"/>
            <w:shd w:val="clear" w:color="EDEDED" w:fill="EDEDED"/>
            <w:noWrap/>
            <w:vAlign w:val="center"/>
            <w:hideMark/>
          </w:tcPr>
          <w:p w14:paraId="1CE99C8C"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p.10.11.50.60</w:t>
            </w:r>
          </w:p>
        </w:tc>
        <w:tc>
          <w:tcPr>
            <w:tcW w:w="2410" w:type="dxa"/>
            <w:shd w:val="clear" w:color="EDEDED" w:fill="EDEDED"/>
            <w:noWrap/>
            <w:vAlign w:val="center"/>
            <w:hideMark/>
          </w:tcPr>
          <w:p w14:paraId="49277289"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1501[.1+.2]</w:t>
            </w:r>
          </w:p>
        </w:tc>
        <w:tc>
          <w:tcPr>
            <w:tcW w:w="5103" w:type="dxa"/>
            <w:shd w:val="clear" w:color="EDEDED" w:fill="EDEDED"/>
            <w:noWrap/>
            <w:vAlign w:val="center"/>
            <w:hideMark/>
          </w:tcPr>
          <w:p w14:paraId="0961DD25" w14:textId="77777777" w:rsidR="003D7837" w:rsidRPr="0025193D" w:rsidRDefault="003D7837" w:rsidP="000C44F4">
            <w:pPr>
              <w:spacing w:after="0" w:line="240" w:lineRule="auto"/>
              <w:rPr>
                <w:rFonts w:eastAsia="Times New Roman" w:cs="Arial"/>
                <w:color w:val="000000"/>
                <w:sz w:val="20"/>
                <w:szCs w:val="20"/>
                <w:lang w:eastAsia="fr-FR"/>
              </w:rPr>
            </w:pPr>
            <w:r w:rsidRPr="0025193D">
              <w:rPr>
                <w:rFonts w:eastAsia="Times New Roman" w:cs="Arial"/>
                <w:color w:val="000000"/>
                <w:sz w:val="20"/>
                <w:szCs w:val="20"/>
                <w:lang w:eastAsia="fr-FR"/>
              </w:rPr>
              <w:t>Saindoux, autres graisses de porc, fondues</w:t>
            </w:r>
          </w:p>
        </w:tc>
      </w:tr>
    </w:tbl>
    <w:p w14:paraId="6365D3A6" w14:textId="5BD5674E" w:rsidR="00501903" w:rsidRDefault="00501903" w:rsidP="00625462">
      <w:pPr>
        <w:jc w:val="center"/>
        <w:rPr>
          <w:rFonts w:cs="Arial"/>
          <w:b/>
          <w:i/>
        </w:rPr>
      </w:pPr>
    </w:p>
    <w:p w14:paraId="614C0EC0" w14:textId="49F923DF" w:rsidR="0096466D" w:rsidRDefault="0096466D">
      <w:pPr>
        <w:jc w:val="left"/>
        <w:rPr>
          <w:rFonts w:cs="Arial"/>
          <w:b/>
          <w:i/>
        </w:rPr>
      </w:pPr>
      <w:r>
        <w:rPr>
          <w:rFonts w:cs="Arial"/>
          <w:b/>
          <w:i/>
        </w:rPr>
        <w:br w:type="page"/>
      </w:r>
    </w:p>
    <w:p w14:paraId="0E928FE8" w14:textId="5B04C6D0" w:rsidR="00625462" w:rsidRPr="003D7837" w:rsidRDefault="003D7837" w:rsidP="00625462">
      <w:pPr>
        <w:jc w:val="center"/>
        <w:rPr>
          <w:rFonts w:cs="Arial"/>
          <w:b/>
          <w:i/>
        </w:rPr>
      </w:pPr>
      <w:r w:rsidRPr="00BC0469">
        <w:rPr>
          <w:rFonts w:cs="Arial"/>
          <w:b/>
          <w:i/>
        </w:rPr>
        <w:lastRenderedPageBreak/>
        <w:t xml:space="preserve">Annexe </w:t>
      </w:r>
      <w:r>
        <w:rPr>
          <w:rFonts w:cs="Arial"/>
          <w:b/>
          <w:i/>
        </w:rPr>
        <w:t>2</w:t>
      </w:r>
      <w:r w:rsidRPr="00BC0469">
        <w:rPr>
          <w:rFonts w:cs="Arial"/>
          <w:b/>
          <w:i/>
        </w:rPr>
        <w:t> </w:t>
      </w:r>
      <w:r>
        <w:rPr>
          <w:rFonts w:cs="Arial"/>
          <w:b/>
          <w:i/>
        </w:rPr>
        <w:t xml:space="preserve">b/ </w:t>
      </w:r>
      <w:r w:rsidRPr="00BC0469">
        <w:rPr>
          <w:rFonts w:cs="Arial"/>
          <w:b/>
          <w:i/>
        </w:rPr>
        <w:t>:</w:t>
      </w:r>
      <w:r w:rsidRPr="00BC0469">
        <w:rPr>
          <w:rFonts w:eastAsia="Times New Roman" w:cs="Arial"/>
          <w:b/>
          <w:i/>
          <w:color w:val="000000"/>
          <w:sz w:val="18"/>
          <w:szCs w:val="18"/>
          <w:lang w:eastAsia="fr-FR"/>
        </w:rPr>
        <w:t xml:space="preserve"> </w:t>
      </w:r>
      <w:r w:rsidRPr="00CE1445">
        <w:rPr>
          <w:rFonts w:cs="Arial"/>
          <w:b/>
          <w:i/>
        </w:rPr>
        <w:t xml:space="preserve"> </w:t>
      </w:r>
      <w:r w:rsidR="00625462" w:rsidRPr="00475BCF">
        <w:rPr>
          <w:rFonts w:cs="Arial"/>
          <w:b/>
          <w:i/>
        </w:rPr>
        <w:t>Déclinaison du tableau de correspondance PRODCOM 201</w:t>
      </w:r>
      <w:r w:rsidR="00625462">
        <w:rPr>
          <w:rFonts w:cs="Arial"/>
          <w:b/>
          <w:i/>
        </w:rPr>
        <w:t xml:space="preserve">8 et </w:t>
      </w:r>
      <w:r w:rsidR="00625462" w:rsidRPr="00475BCF">
        <w:rPr>
          <w:rFonts w:cs="Arial"/>
          <w:b/>
          <w:i/>
        </w:rPr>
        <w:t>N</w:t>
      </w:r>
      <w:r w:rsidR="00625462">
        <w:rPr>
          <w:rFonts w:cs="Arial"/>
          <w:b/>
          <w:i/>
        </w:rPr>
        <w:t>C</w:t>
      </w:r>
      <w:r w:rsidR="00625462" w:rsidRPr="00475BCF">
        <w:rPr>
          <w:rFonts w:cs="Arial"/>
          <w:b/>
          <w:i/>
        </w:rPr>
        <w:t xml:space="preserve"> 201</w:t>
      </w:r>
      <w:r w:rsidR="00625462">
        <w:rPr>
          <w:rFonts w:cs="Arial"/>
          <w:b/>
          <w:i/>
        </w:rPr>
        <w:t>8</w:t>
      </w:r>
      <w:r w:rsidR="00625462" w:rsidRPr="00475BCF">
        <w:rPr>
          <w:rFonts w:cs="Arial"/>
          <w:b/>
          <w:i/>
        </w:rPr>
        <w:t xml:space="preserve"> </w:t>
      </w:r>
      <w:r w:rsidR="00625462">
        <w:rPr>
          <w:rFonts w:cs="Arial"/>
          <w:b/>
          <w:i/>
        </w:rPr>
        <w:t xml:space="preserve">pour le code APE 1013A </w:t>
      </w:r>
      <w:r w:rsidR="00625462" w:rsidRPr="00CE1445">
        <w:rPr>
          <w:rFonts w:cs="Arial"/>
          <w:i/>
        </w:rPr>
        <w:t>(</w:t>
      </w:r>
      <w:r w:rsidR="00625462">
        <w:rPr>
          <w:rFonts w:cs="Arial"/>
          <w:i/>
        </w:rPr>
        <w:t>Ifip d’après Eurostat et Ministère de l’Agriculture et de l’Alimentation</w:t>
      </w:r>
      <w:r w:rsidR="00625462" w:rsidRPr="00CE1445">
        <w:rPr>
          <w:rFonts w:cs="Arial"/>
          <w:i/>
        </w:rPr>
        <w:t>)</w:t>
      </w:r>
    </w:p>
    <w:tbl>
      <w:tblPr>
        <w:tblW w:w="9209" w:type="dxa"/>
        <w:tblCellMar>
          <w:left w:w="70" w:type="dxa"/>
          <w:right w:w="70" w:type="dxa"/>
        </w:tblCellMar>
        <w:tblLook w:val="04A0" w:firstRow="1" w:lastRow="0" w:firstColumn="1" w:lastColumn="0" w:noHBand="0" w:noVBand="1"/>
      </w:tblPr>
      <w:tblGrid>
        <w:gridCol w:w="2020"/>
        <w:gridCol w:w="1944"/>
        <w:gridCol w:w="5245"/>
      </w:tblGrid>
      <w:tr w:rsidR="00E1779E" w:rsidRPr="007E2D2F" w14:paraId="012083B1" w14:textId="77777777" w:rsidTr="0096466D">
        <w:trPr>
          <w:trHeight w:val="390"/>
        </w:trPr>
        <w:tc>
          <w:tcPr>
            <w:tcW w:w="20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EC0DB8" w14:textId="77777777" w:rsidR="00E1779E" w:rsidRPr="007E2D2F" w:rsidRDefault="00E1779E" w:rsidP="00E1779E">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 xml:space="preserve">Code PRODCOM </w:t>
            </w:r>
          </w:p>
        </w:tc>
        <w:tc>
          <w:tcPr>
            <w:tcW w:w="1944" w:type="dxa"/>
            <w:tcBorders>
              <w:top w:val="single" w:sz="4" w:space="0" w:color="auto"/>
              <w:left w:val="nil"/>
              <w:bottom w:val="single" w:sz="4" w:space="0" w:color="auto"/>
              <w:right w:val="single" w:sz="4" w:space="0" w:color="auto"/>
            </w:tcBorders>
            <w:shd w:val="clear" w:color="auto" w:fill="auto"/>
            <w:noWrap/>
            <w:vAlign w:val="center"/>
            <w:hideMark/>
          </w:tcPr>
          <w:p w14:paraId="71D733D7" w14:textId="77777777" w:rsidR="00E1779E" w:rsidRPr="007E2D2F" w:rsidRDefault="00E1779E" w:rsidP="00E1779E">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NC8</w:t>
            </w:r>
          </w:p>
        </w:tc>
        <w:tc>
          <w:tcPr>
            <w:tcW w:w="5245" w:type="dxa"/>
            <w:tcBorders>
              <w:top w:val="single" w:sz="4" w:space="0" w:color="auto"/>
              <w:left w:val="nil"/>
              <w:bottom w:val="single" w:sz="4" w:space="0" w:color="auto"/>
              <w:right w:val="single" w:sz="4" w:space="0" w:color="auto"/>
            </w:tcBorders>
            <w:shd w:val="clear" w:color="auto" w:fill="auto"/>
            <w:noWrap/>
            <w:vAlign w:val="center"/>
            <w:hideMark/>
          </w:tcPr>
          <w:p w14:paraId="67ECC3CD" w14:textId="77777777" w:rsidR="00E1779E" w:rsidRPr="007E2D2F" w:rsidRDefault="00E1779E" w:rsidP="00E1779E">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 xml:space="preserve">Descriptif Simplifié du NC8 </w:t>
            </w:r>
          </w:p>
        </w:tc>
      </w:tr>
      <w:tr w:rsidR="00E1779E" w:rsidRPr="007E2D2F" w14:paraId="0709671D" w14:textId="77777777" w:rsidTr="0096466D">
        <w:trPr>
          <w:trHeight w:val="630"/>
        </w:trPr>
        <w:tc>
          <w:tcPr>
            <w:tcW w:w="2020"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5768C636"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10.13.14.30</w:t>
            </w:r>
          </w:p>
        </w:tc>
        <w:tc>
          <w:tcPr>
            <w:tcW w:w="1944"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6988E633"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231F20"/>
                <w:sz w:val="20"/>
                <w:szCs w:val="20"/>
                <w:lang w:eastAsia="fr-FR"/>
              </w:rPr>
              <w:t>16010010</w:t>
            </w:r>
            <w:r w:rsidRPr="007E2D2F">
              <w:rPr>
                <w:rFonts w:eastAsia="Times New Roman" w:cs="Arial"/>
                <w:i/>
                <w:iCs/>
                <w:color w:val="231F20"/>
                <w:sz w:val="20"/>
                <w:szCs w:val="20"/>
                <w:lang w:eastAsia="fr-FR"/>
              </w:rPr>
              <w:t>a</w:t>
            </w:r>
          </w:p>
        </w:tc>
        <w:tc>
          <w:tcPr>
            <w:tcW w:w="5245" w:type="dxa"/>
            <w:tcBorders>
              <w:top w:val="single" w:sz="4" w:space="0" w:color="auto"/>
              <w:left w:val="single" w:sz="4" w:space="0" w:color="auto"/>
              <w:bottom w:val="single" w:sz="4" w:space="0" w:color="A5A5A5"/>
              <w:right w:val="single" w:sz="4" w:space="0" w:color="auto"/>
            </w:tcBorders>
            <w:shd w:val="clear" w:color="EDEDED" w:fill="EDEDED"/>
            <w:vAlign w:val="center"/>
            <w:hideMark/>
          </w:tcPr>
          <w:p w14:paraId="43F41D00" w14:textId="77777777" w:rsidR="00E1779E" w:rsidRPr="007E2D2F" w:rsidRDefault="00E1779E" w:rsidP="00E1779E">
            <w:pPr>
              <w:spacing w:after="0" w:line="240" w:lineRule="auto"/>
              <w:rPr>
                <w:rFonts w:eastAsia="Times New Roman" w:cs="Arial"/>
                <w:color w:val="231F20"/>
                <w:sz w:val="20"/>
                <w:szCs w:val="20"/>
                <w:lang w:eastAsia="fr-FR"/>
              </w:rPr>
            </w:pPr>
            <w:r w:rsidRPr="007E2D2F">
              <w:rPr>
                <w:rFonts w:eastAsia="Times New Roman" w:cs="Arial"/>
                <w:color w:val="231F20"/>
                <w:sz w:val="20"/>
                <w:szCs w:val="20"/>
                <w:lang w:eastAsia="fr-FR"/>
              </w:rPr>
              <w:t>Saucisses, saucissons et produits similaires, de foie,</w:t>
            </w:r>
            <w:r w:rsidRPr="007E2D2F">
              <w:rPr>
                <w:rFonts w:eastAsia="Times New Roman" w:cs="Arial"/>
                <w:color w:val="231F20"/>
                <w:sz w:val="20"/>
                <w:szCs w:val="20"/>
                <w:lang w:eastAsia="fr-FR"/>
              </w:rPr>
              <w:br/>
              <w:t>et préparations alimentaires à base de ces produits (à l’exclusion des plats préparés)</w:t>
            </w:r>
          </w:p>
        </w:tc>
      </w:tr>
      <w:tr w:rsidR="00E1779E" w:rsidRPr="007E2D2F" w14:paraId="0DF27543" w14:textId="77777777" w:rsidTr="0096466D">
        <w:trPr>
          <w:trHeight w:val="945"/>
        </w:trPr>
        <w:tc>
          <w:tcPr>
            <w:tcW w:w="2020"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0EC57C69"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10.13.14.60</w:t>
            </w:r>
          </w:p>
        </w:tc>
        <w:tc>
          <w:tcPr>
            <w:tcW w:w="1944" w:type="dxa"/>
            <w:tcBorders>
              <w:top w:val="single" w:sz="4" w:space="0" w:color="auto"/>
              <w:left w:val="single" w:sz="4" w:space="0" w:color="auto"/>
              <w:bottom w:val="single" w:sz="4" w:space="0" w:color="A5A5A5"/>
              <w:right w:val="single" w:sz="4" w:space="0" w:color="auto"/>
            </w:tcBorders>
            <w:shd w:val="clear" w:color="auto" w:fill="auto"/>
            <w:noWrap/>
            <w:vAlign w:val="center"/>
            <w:hideMark/>
          </w:tcPr>
          <w:p w14:paraId="49427673"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1601[.00(.91a + .99a)]</w:t>
            </w:r>
          </w:p>
        </w:tc>
        <w:tc>
          <w:tcPr>
            <w:tcW w:w="5245"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15C6FD5C" w14:textId="2C454ED0"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Saucisses, saucissons et produits similaires, de viande,</w:t>
            </w:r>
            <w:r w:rsidRPr="007E2D2F">
              <w:rPr>
                <w:rFonts w:eastAsia="Times New Roman" w:cs="Arial"/>
                <w:color w:val="000000"/>
                <w:sz w:val="20"/>
                <w:szCs w:val="20"/>
                <w:lang w:eastAsia="fr-FR"/>
              </w:rPr>
              <w:br/>
              <w:t>d’abats ou de sang, et préparations alimentaires à base de ces produits (à l’exclusion des saucisses et saucissons de foie ainsi que des plats préparés)</w:t>
            </w:r>
          </w:p>
        </w:tc>
      </w:tr>
      <w:tr w:rsidR="00E1779E" w:rsidRPr="007E2D2F" w14:paraId="18C5801E" w14:textId="77777777" w:rsidTr="0096466D">
        <w:trPr>
          <w:trHeight w:val="570"/>
        </w:trPr>
        <w:tc>
          <w:tcPr>
            <w:tcW w:w="2020"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29893FB7"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10.13.15.45</w:t>
            </w:r>
          </w:p>
        </w:tc>
        <w:tc>
          <w:tcPr>
            <w:tcW w:w="1944"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115E280D"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1602[.41(.10a + .90a)]</w:t>
            </w:r>
          </w:p>
        </w:tc>
        <w:tc>
          <w:tcPr>
            <w:tcW w:w="5245" w:type="dxa"/>
            <w:tcBorders>
              <w:top w:val="single" w:sz="4" w:space="0" w:color="auto"/>
              <w:left w:val="single" w:sz="4" w:space="0" w:color="auto"/>
              <w:bottom w:val="single" w:sz="4" w:space="0" w:color="A5A5A5"/>
              <w:right w:val="single" w:sz="4" w:space="0" w:color="auto"/>
            </w:tcBorders>
            <w:shd w:val="clear" w:color="EDEDED" w:fill="EDEDED"/>
            <w:vAlign w:val="center"/>
            <w:hideMark/>
          </w:tcPr>
          <w:p w14:paraId="643322A8" w14:textId="3C4FADCA"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Préparations et conserves de porc</w:t>
            </w:r>
            <w:r w:rsidR="00E80419">
              <w:rPr>
                <w:rFonts w:eastAsia="Times New Roman" w:cs="Arial"/>
                <w:color w:val="000000"/>
                <w:sz w:val="20"/>
                <w:szCs w:val="20"/>
                <w:lang w:eastAsia="fr-FR"/>
              </w:rPr>
              <w:t xml:space="preserve"> </w:t>
            </w:r>
            <w:r w:rsidRPr="007E2D2F">
              <w:rPr>
                <w:rFonts w:eastAsia="Times New Roman" w:cs="Arial"/>
                <w:color w:val="000000"/>
                <w:sz w:val="20"/>
                <w:szCs w:val="20"/>
                <w:lang w:eastAsia="fr-FR"/>
              </w:rPr>
              <w:t>: jambons et leurs morceaux (à l’exclusion des plats préparés)</w:t>
            </w:r>
          </w:p>
        </w:tc>
      </w:tr>
      <w:tr w:rsidR="00E1779E" w:rsidRPr="007E2D2F" w14:paraId="02D6AE5F" w14:textId="77777777" w:rsidTr="0096466D">
        <w:trPr>
          <w:trHeight w:val="690"/>
        </w:trPr>
        <w:tc>
          <w:tcPr>
            <w:tcW w:w="2020"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6BD0C6C1"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10.13.15.55</w:t>
            </w:r>
          </w:p>
        </w:tc>
        <w:tc>
          <w:tcPr>
            <w:tcW w:w="1944" w:type="dxa"/>
            <w:tcBorders>
              <w:top w:val="nil"/>
              <w:left w:val="nil"/>
              <w:bottom w:val="single" w:sz="4" w:space="0" w:color="auto"/>
              <w:right w:val="single" w:sz="4" w:space="0" w:color="auto"/>
            </w:tcBorders>
            <w:shd w:val="clear" w:color="auto" w:fill="auto"/>
            <w:noWrap/>
            <w:vAlign w:val="center"/>
            <w:hideMark/>
          </w:tcPr>
          <w:p w14:paraId="4365BB5F"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1602[.42(.10a + .90a)]</w:t>
            </w:r>
          </w:p>
        </w:tc>
        <w:tc>
          <w:tcPr>
            <w:tcW w:w="5245" w:type="dxa"/>
            <w:tcBorders>
              <w:top w:val="single" w:sz="4" w:space="0" w:color="auto"/>
              <w:left w:val="single" w:sz="4" w:space="0" w:color="auto"/>
              <w:bottom w:val="single" w:sz="4" w:space="0" w:color="A5A5A5"/>
              <w:right w:val="single" w:sz="4" w:space="0" w:color="auto"/>
            </w:tcBorders>
            <w:shd w:val="clear" w:color="auto" w:fill="auto"/>
            <w:vAlign w:val="center"/>
            <w:hideMark/>
          </w:tcPr>
          <w:p w14:paraId="30D1FCA9" w14:textId="57CAED22"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Préparations et conserves de porc</w:t>
            </w:r>
            <w:r w:rsidR="00E80419">
              <w:rPr>
                <w:rFonts w:eastAsia="Times New Roman" w:cs="Arial"/>
                <w:color w:val="000000"/>
                <w:sz w:val="20"/>
                <w:szCs w:val="20"/>
                <w:lang w:eastAsia="fr-FR"/>
              </w:rPr>
              <w:t xml:space="preserve"> </w:t>
            </w:r>
            <w:r w:rsidRPr="007E2D2F">
              <w:rPr>
                <w:rFonts w:eastAsia="Times New Roman" w:cs="Arial"/>
                <w:color w:val="000000"/>
                <w:sz w:val="20"/>
                <w:szCs w:val="20"/>
                <w:lang w:eastAsia="fr-FR"/>
              </w:rPr>
              <w:t>: épaules et leurs morceaux (à l’exclusion des plats préparés)</w:t>
            </w:r>
          </w:p>
        </w:tc>
      </w:tr>
      <w:tr w:rsidR="00E1779E" w:rsidRPr="007E2D2F" w14:paraId="7E00EEFC" w14:textId="77777777" w:rsidTr="0096466D">
        <w:trPr>
          <w:trHeight w:val="1545"/>
        </w:trPr>
        <w:tc>
          <w:tcPr>
            <w:tcW w:w="2020" w:type="dxa"/>
            <w:tcBorders>
              <w:top w:val="single" w:sz="4" w:space="0" w:color="auto"/>
              <w:left w:val="single" w:sz="4" w:space="0" w:color="auto"/>
              <w:bottom w:val="single" w:sz="4" w:space="0" w:color="A5A5A5"/>
              <w:right w:val="single" w:sz="4" w:space="0" w:color="auto"/>
            </w:tcBorders>
            <w:shd w:val="clear" w:color="EDEDED" w:fill="EDEDED"/>
            <w:noWrap/>
            <w:vAlign w:val="center"/>
            <w:hideMark/>
          </w:tcPr>
          <w:p w14:paraId="00EC373A"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10.13.15.65</w:t>
            </w:r>
          </w:p>
        </w:tc>
        <w:tc>
          <w:tcPr>
            <w:tcW w:w="1944" w:type="dxa"/>
            <w:tcBorders>
              <w:top w:val="single" w:sz="4" w:space="0" w:color="auto"/>
              <w:left w:val="single" w:sz="4" w:space="0" w:color="auto"/>
              <w:bottom w:val="single" w:sz="4" w:space="0" w:color="auto"/>
              <w:right w:val="single" w:sz="4" w:space="0" w:color="auto"/>
            </w:tcBorders>
            <w:shd w:val="clear" w:color="EDEDED" w:fill="EDEDED"/>
            <w:noWrap/>
            <w:vAlign w:val="center"/>
            <w:hideMark/>
          </w:tcPr>
          <w:p w14:paraId="010F4ED8"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 49 50a</w:t>
            </w:r>
          </w:p>
        </w:tc>
        <w:tc>
          <w:tcPr>
            <w:tcW w:w="5245" w:type="dxa"/>
            <w:tcBorders>
              <w:top w:val="single" w:sz="4" w:space="0" w:color="auto"/>
              <w:left w:val="single" w:sz="4" w:space="0" w:color="auto"/>
              <w:bottom w:val="single" w:sz="4" w:space="0" w:color="A5A5A5"/>
              <w:right w:val="single" w:sz="4" w:space="0" w:color="auto"/>
            </w:tcBorders>
            <w:shd w:val="clear" w:color="EDEDED" w:fill="EDEDED"/>
            <w:vAlign w:val="center"/>
            <w:hideMark/>
          </w:tcPr>
          <w:p w14:paraId="4350635E"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Préparations et conserves de viande ou d’abats d’animaux domestiques de l’espèce porcine, y compris les mélanges, contenant en poids &lt; 40 % de viande ou d’abats, de toutes espèces, y compris le lard et les graisses de toute nature ou origine (à l’exclusion des saucisses, saucissons et produits similaires, des préparations finement homogénéisées, des préparations à base de foie ainsi que des plats préparés)</w:t>
            </w:r>
          </w:p>
        </w:tc>
      </w:tr>
      <w:tr w:rsidR="00E1779E" w:rsidRPr="007E2D2F" w14:paraId="731264B8" w14:textId="77777777" w:rsidTr="0096466D">
        <w:trPr>
          <w:trHeight w:val="855"/>
        </w:trPr>
        <w:tc>
          <w:tcPr>
            <w:tcW w:w="20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DD23CD"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10.13.15.75</w:t>
            </w:r>
          </w:p>
        </w:tc>
        <w:tc>
          <w:tcPr>
            <w:tcW w:w="19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B31277"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1602[.49(.11a + .13a + .15a + .19a + .30a + .90a)]</w:t>
            </w:r>
          </w:p>
        </w:tc>
        <w:tc>
          <w:tcPr>
            <w:tcW w:w="524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D83267" w14:textId="77777777" w:rsidR="00E1779E" w:rsidRPr="007E2D2F" w:rsidRDefault="00E1779E" w:rsidP="00E1779E">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Autres préparations et conserves de porc, y compris les mélanges (à l’exclusion des saucisses, saucissons et produits similaires, des préparations finement homogénéisées, des préparations à base de foie ainsi que des plats préparés)</w:t>
            </w:r>
          </w:p>
        </w:tc>
      </w:tr>
    </w:tbl>
    <w:p w14:paraId="3A1AD40C" w14:textId="32459B70" w:rsidR="003D7837" w:rsidRDefault="003D7837">
      <w:pPr>
        <w:rPr>
          <w:rFonts w:cs="Arial"/>
        </w:rPr>
      </w:pPr>
    </w:p>
    <w:p w14:paraId="3408D03D" w14:textId="077E870D" w:rsidR="00933977" w:rsidRPr="003D7837" w:rsidRDefault="00F30F74" w:rsidP="00933977">
      <w:pPr>
        <w:jc w:val="center"/>
        <w:rPr>
          <w:rFonts w:cs="Arial"/>
          <w:b/>
          <w:i/>
        </w:rPr>
      </w:pPr>
      <w:r>
        <w:rPr>
          <w:rFonts w:cs="Arial"/>
        </w:rPr>
        <w:br w:type="page"/>
      </w:r>
      <w:r w:rsidR="00933977" w:rsidRPr="00BC0469">
        <w:rPr>
          <w:rFonts w:cs="Arial"/>
          <w:b/>
          <w:i/>
        </w:rPr>
        <w:lastRenderedPageBreak/>
        <w:t xml:space="preserve">Annexe </w:t>
      </w:r>
      <w:r w:rsidR="00933977">
        <w:rPr>
          <w:rFonts w:cs="Arial"/>
          <w:b/>
          <w:i/>
        </w:rPr>
        <w:t>2</w:t>
      </w:r>
      <w:r w:rsidR="00933977" w:rsidRPr="00BC0469">
        <w:rPr>
          <w:rFonts w:cs="Arial"/>
          <w:b/>
          <w:i/>
        </w:rPr>
        <w:t> </w:t>
      </w:r>
      <w:r w:rsidR="00E1779E">
        <w:rPr>
          <w:rFonts w:cs="Arial"/>
          <w:b/>
          <w:i/>
        </w:rPr>
        <w:t>c</w:t>
      </w:r>
      <w:r w:rsidR="00933977">
        <w:rPr>
          <w:rFonts w:cs="Arial"/>
          <w:b/>
          <w:i/>
        </w:rPr>
        <w:t xml:space="preserve">/ </w:t>
      </w:r>
      <w:r w:rsidR="00933977" w:rsidRPr="00BC0469">
        <w:rPr>
          <w:rFonts w:cs="Arial"/>
          <w:b/>
          <w:i/>
        </w:rPr>
        <w:t>:</w:t>
      </w:r>
      <w:r w:rsidR="00933977" w:rsidRPr="00BC0469">
        <w:rPr>
          <w:rFonts w:eastAsia="Times New Roman" w:cs="Arial"/>
          <w:b/>
          <w:i/>
          <w:color w:val="000000"/>
          <w:sz w:val="18"/>
          <w:szCs w:val="18"/>
          <w:lang w:eastAsia="fr-FR"/>
        </w:rPr>
        <w:t xml:space="preserve"> </w:t>
      </w:r>
      <w:r w:rsidR="00933977" w:rsidRPr="00CE1445">
        <w:rPr>
          <w:rFonts w:cs="Arial"/>
          <w:b/>
          <w:i/>
        </w:rPr>
        <w:t xml:space="preserve"> </w:t>
      </w:r>
      <w:r w:rsidR="00933977" w:rsidRPr="00475BCF">
        <w:rPr>
          <w:rFonts w:cs="Arial"/>
          <w:b/>
          <w:i/>
        </w:rPr>
        <w:t>Déclinaison du tableau de correspondance PRODCOM 201</w:t>
      </w:r>
      <w:r w:rsidR="00933977">
        <w:rPr>
          <w:rFonts w:cs="Arial"/>
          <w:b/>
          <w:i/>
        </w:rPr>
        <w:t xml:space="preserve">8 et </w:t>
      </w:r>
      <w:r w:rsidR="00933977" w:rsidRPr="00475BCF">
        <w:rPr>
          <w:rFonts w:cs="Arial"/>
          <w:b/>
          <w:i/>
        </w:rPr>
        <w:t>N</w:t>
      </w:r>
      <w:r w:rsidR="00933977">
        <w:rPr>
          <w:rFonts w:cs="Arial"/>
          <w:b/>
          <w:i/>
        </w:rPr>
        <w:t>C</w:t>
      </w:r>
      <w:r w:rsidR="00933977" w:rsidRPr="00475BCF">
        <w:rPr>
          <w:rFonts w:cs="Arial"/>
          <w:b/>
          <w:i/>
        </w:rPr>
        <w:t xml:space="preserve"> 201</w:t>
      </w:r>
      <w:r w:rsidR="00933977">
        <w:rPr>
          <w:rFonts w:cs="Arial"/>
          <w:b/>
          <w:i/>
        </w:rPr>
        <w:t>8</w:t>
      </w:r>
      <w:r w:rsidR="00933977" w:rsidRPr="00475BCF">
        <w:rPr>
          <w:rFonts w:cs="Arial"/>
          <w:b/>
          <w:i/>
        </w:rPr>
        <w:t xml:space="preserve"> </w:t>
      </w:r>
      <w:r w:rsidR="00933977">
        <w:rPr>
          <w:rFonts w:cs="Arial"/>
          <w:b/>
          <w:i/>
        </w:rPr>
        <w:t xml:space="preserve">pour le code APE 1085Z </w:t>
      </w:r>
      <w:r w:rsidR="00933977" w:rsidRPr="00CE1445">
        <w:rPr>
          <w:rFonts w:cs="Arial"/>
          <w:i/>
        </w:rPr>
        <w:t>(</w:t>
      </w:r>
      <w:r w:rsidR="00933977">
        <w:rPr>
          <w:rFonts w:cs="Arial"/>
          <w:i/>
        </w:rPr>
        <w:t>Ifip d’après Eurostat et Ministère de l’Agriculture et de l’Alimentation</w:t>
      </w:r>
      <w:r w:rsidR="00933977" w:rsidRPr="00CE1445">
        <w:rPr>
          <w:rFonts w:cs="Arial"/>
          <w:i/>
        </w:rPr>
        <w:t>)</w:t>
      </w:r>
    </w:p>
    <w:tbl>
      <w:tblPr>
        <w:tblW w:w="9918" w:type="dxa"/>
        <w:tblCellMar>
          <w:left w:w="70" w:type="dxa"/>
          <w:right w:w="70" w:type="dxa"/>
        </w:tblCellMar>
        <w:tblLook w:val="04A0" w:firstRow="1" w:lastRow="0" w:firstColumn="1" w:lastColumn="0" w:noHBand="0" w:noVBand="1"/>
      </w:tblPr>
      <w:tblGrid>
        <w:gridCol w:w="1980"/>
        <w:gridCol w:w="3402"/>
        <w:gridCol w:w="4536"/>
      </w:tblGrid>
      <w:tr w:rsidR="000F7D52" w:rsidRPr="007E2D2F" w14:paraId="3E361115" w14:textId="77777777" w:rsidTr="000F7D52">
        <w:trPr>
          <w:trHeight w:val="390"/>
        </w:trPr>
        <w:tc>
          <w:tcPr>
            <w:tcW w:w="19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91BC71" w14:textId="77777777" w:rsidR="000F7D52" w:rsidRPr="007E2D2F" w:rsidRDefault="000F7D52" w:rsidP="000F7D52">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 xml:space="preserve">Code PRODCOM </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14:paraId="0BF73915" w14:textId="77777777" w:rsidR="000F7D52" w:rsidRPr="007E2D2F" w:rsidRDefault="000F7D52" w:rsidP="000F7D52">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NC8</w:t>
            </w:r>
          </w:p>
        </w:tc>
        <w:tc>
          <w:tcPr>
            <w:tcW w:w="4536" w:type="dxa"/>
            <w:tcBorders>
              <w:top w:val="single" w:sz="4" w:space="0" w:color="auto"/>
              <w:left w:val="nil"/>
              <w:bottom w:val="single" w:sz="4" w:space="0" w:color="auto"/>
              <w:right w:val="single" w:sz="4" w:space="0" w:color="auto"/>
            </w:tcBorders>
            <w:shd w:val="clear" w:color="auto" w:fill="auto"/>
            <w:noWrap/>
            <w:vAlign w:val="center"/>
            <w:hideMark/>
          </w:tcPr>
          <w:p w14:paraId="2655A20A" w14:textId="77777777" w:rsidR="000F7D52" w:rsidRPr="007E2D2F" w:rsidRDefault="000F7D52" w:rsidP="000F7D52">
            <w:pPr>
              <w:spacing w:after="0" w:line="240" w:lineRule="auto"/>
              <w:rPr>
                <w:rFonts w:eastAsia="Times New Roman" w:cs="Arial"/>
                <w:b/>
                <w:bCs/>
                <w:color w:val="000000"/>
                <w:sz w:val="20"/>
                <w:szCs w:val="20"/>
                <w:lang w:eastAsia="fr-FR"/>
              </w:rPr>
            </w:pPr>
            <w:r w:rsidRPr="007E2D2F">
              <w:rPr>
                <w:rFonts w:eastAsia="Times New Roman" w:cs="Arial"/>
                <w:b/>
                <w:bCs/>
                <w:color w:val="000000"/>
                <w:sz w:val="20"/>
                <w:szCs w:val="20"/>
                <w:lang w:eastAsia="fr-FR"/>
              </w:rPr>
              <w:t xml:space="preserve">Descriptif Simplifié du NC8 </w:t>
            </w:r>
          </w:p>
        </w:tc>
      </w:tr>
      <w:tr w:rsidR="000F7D52" w:rsidRPr="007E2D2F" w14:paraId="5A87DD1D" w14:textId="77777777" w:rsidTr="000F7D52">
        <w:trPr>
          <w:trHeight w:val="855"/>
        </w:trPr>
        <w:tc>
          <w:tcPr>
            <w:tcW w:w="1980" w:type="dxa"/>
            <w:tcBorders>
              <w:top w:val="nil"/>
              <w:left w:val="single" w:sz="4" w:space="0" w:color="auto"/>
              <w:bottom w:val="single" w:sz="4" w:space="0" w:color="auto"/>
              <w:right w:val="single" w:sz="4" w:space="0" w:color="auto"/>
            </w:tcBorders>
            <w:shd w:val="clear" w:color="EDEDED" w:fill="EDEDED"/>
            <w:noWrap/>
            <w:vAlign w:val="center"/>
            <w:hideMark/>
          </w:tcPr>
          <w:p w14:paraId="3B3A15FD"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10.13.15.95</w:t>
            </w:r>
          </w:p>
        </w:tc>
        <w:tc>
          <w:tcPr>
            <w:tcW w:w="3402" w:type="dxa"/>
            <w:tcBorders>
              <w:top w:val="nil"/>
              <w:left w:val="nil"/>
              <w:bottom w:val="single" w:sz="4" w:space="0" w:color="auto"/>
              <w:right w:val="single" w:sz="4" w:space="0" w:color="auto"/>
            </w:tcBorders>
            <w:shd w:val="clear" w:color="EDEDED" w:fill="EDEDED"/>
            <w:noWrap/>
            <w:vAlign w:val="center"/>
            <w:hideMark/>
          </w:tcPr>
          <w:p w14:paraId="3E6A7010"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1602[.90(.10a + .31a + .51a + .61a + .69a + .91a + .95a + .99a)]</w:t>
            </w:r>
          </w:p>
        </w:tc>
        <w:tc>
          <w:tcPr>
            <w:tcW w:w="4536" w:type="dxa"/>
            <w:tcBorders>
              <w:top w:val="nil"/>
              <w:left w:val="nil"/>
              <w:bottom w:val="single" w:sz="4" w:space="0" w:color="A5A5A5"/>
              <w:right w:val="single" w:sz="4" w:space="0" w:color="auto"/>
            </w:tcBorders>
            <w:shd w:val="clear" w:color="EDEDED" w:fill="EDEDED"/>
            <w:vAlign w:val="center"/>
            <w:hideMark/>
          </w:tcPr>
          <w:p w14:paraId="1459F7E6"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Autres préparations et conserves d’autres animaux, préparations de sang et d’abats (à l’exclusion des saucisses, saucissons et produits similaires, des préparations finement homogénéisées, des préparations à base de foie ainsi que des plats préparés)</w:t>
            </w:r>
          </w:p>
        </w:tc>
      </w:tr>
      <w:tr w:rsidR="000F7D52" w:rsidRPr="007E2D2F" w14:paraId="27103652" w14:textId="77777777" w:rsidTr="000F7D52">
        <w:trPr>
          <w:trHeight w:val="2355"/>
        </w:trPr>
        <w:tc>
          <w:tcPr>
            <w:tcW w:w="1980" w:type="dxa"/>
            <w:tcBorders>
              <w:top w:val="nil"/>
              <w:left w:val="single" w:sz="4" w:space="0" w:color="auto"/>
              <w:bottom w:val="single" w:sz="4" w:space="0" w:color="auto"/>
              <w:right w:val="single" w:sz="4" w:space="0" w:color="auto"/>
            </w:tcBorders>
            <w:shd w:val="clear" w:color="auto" w:fill="auto"/>
            <w:noWrap/>
            <w:vAlign w:val="center"/>
            <w:hideMark/>
          </w:tcPr>
          <w:p w14:paraId="293A81F8"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10.85.11.00</w:t>
            </w:r>
          </w:p>
        </w:tc>
        <w:tc>
          <w:tcPr>
            <w:tcW w:w="3402" w:type="dxa"/>
            <w:tcBorders>
              <w:top w:val="nil"/>
              <w:left w:val="nil"/>
              <w:bottom w:val="single" w:sz="4" w:space="0" w:color="auto"/>
              <w:right w:val="single" w:sz="4" w:space="0" w:color="auto"/>
            </w:tcBorders>
            <w:shd w:val="clear" w:color="auto" w:fill="auto"/>
            <w:vAlign w:val="center"/>
            <w:hideMark/>
          </w:tcPr>
          <w:p w14:paraId="4498D82B"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1601[.00(.10b + .91b + .99b)] + 1602[.20(.10b + .90b) + .31(.11b + .19b + .80b) + .32(.11b + .19b + .30b + .90b) + .39(.21b + .29b + .85b) + .41(.10b + .90b) + .42(.10b + .90b) + .49(.11b + .13b + .15b + .19b + .30b + .50b + .90b) + .50(.10b + .31b + .95b</w:t>
            </w:r>
          </w:p>
        </w:tc>
        <w:tc>
          <w:tcPr>
            <w:tcW w:w="4536" w:type="dxa"/>
            <w:tcBorders>
              <w:top w:val="single" w:sz="4" w:space="0" w:color="auto"/>
              <w:left w:val="nil"/>
              <w:bottom w:val="single" w:sz="4" w:space="0" w:color="A5A5A5"/>
              <w:right w:val="single" w:sz="4" w:space="0" w:color="auto"/>
            </w:tcBorders>
            <w:shd w:val="clear" w:color="auto" w:fill="auto"/>
            <w:vAlign w:val="center"/>
            <w:hideMark/>
          </w:tcPr>
          <w:p w14:paraId="36A9B1A1"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Plats préparés à base de viandes, d’abats ou de sang</w:t>
            </w:r>
          </w:p>
        </w:tc>
      </w:tr>
      <w:tr w:rsidR="000F7D52" w:rsidRPr="007E2D2F" w14:paraId="25325D84" w14:textId="77777777" w:rsidTr="000F7D52">
        <w:trPr>
          <w:trHeight w:val="300"/>
        </w:trPr>
        <w:tc>
          <w:tcPr>
            <w:tcW w:w="1980" w:type="dxa"/>
            <w:tcBorders>
              <w:top w:val="nil"/>
              <w:left w:val="single" w:sz="4" w:space="0" w:color="auto"/>
              <w:bottom w:val="single" w:sz="4" w:space="0" w:color="auto"/>
              <w:right w:val="single" w:sz="4" w:space="0" w:color="auto"/>
            </w:tcBorders>
            <w:shd w:val="clear" w:color="EDEDED" w:fill="EDEDED"/>
            <w:noWrap/>
            <w:vAlign w:val="center"/>
            <w:hideMark/>
          </w:tcPr>
          <w:p w14:paraId="3400B08C"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10.85.19.10</w:t>
            </w:r>
          </w:p>
        </w:tc>
        <w:tc>
          <w:tcPr>
            <w:tcW w:w="3402" w:type="dxa"/>
            <w:tcBorders>
              <w:top w:val="nil"/>
              <w:left w:val="nil"/>
              <w:bottom w:val="single" w:sz="4" w:space="0" w:color="auto"/>
              <w:right w:val="single" w:sz="4" w:space="0" w:color="auto"/>
            </w:tcBorders>
            <w:shd w:val="clear" w:color="EDEDED" w:fill="EDEDED"/>
            <w:noWrap/>
            <w:vAlign w:val="center"/>
            <w:hideMark/>
          </w:tcPr>
          <w:p w14:paraId="1981ACA6"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2105 90 98b</w:t>
            </w:r>
          </w:p>
        </w:tc>
        <w:tc>
          <w:tcPr>
            <w:tcW w:w="4536" w:type="dxa"/>
            <w:tcBorders>
              <w:top w:val="single" w:sz="4" w:space="0" w:color="auto"/>
              <w:left w:val="nil"/>
              <w:bottom w:val="single" w:sz="4" w:space="0" w:color="auto"/>
              <w:right w:val="single" w:sz="4" w:space="0" w:color="auto"/>
            </w:tcBorders>
            <w:shd w:val="clear" w:color="EDEDED" w:fill="EDEDED"/>
            <w:vAlign w:val="center"/>
            <w:hideMark/>
          </w:tcPr>
          <w:p w14:paraId="1EC92237" w14:textId="77777777" w:rsidR="000F7D52" w:rsidRPr="007E2D2F" w:rsidRDefault="000F7D52" w:rsidP="000F7D52">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Autres plats préparés, y compris les pizzas surgelées (à l’exclusion des pizzas fraîches)</w:t>
            </w:r>
          </w:p>
        </w:tc>
      </w:tr>
    </w:tbl>
    <w:p w14:paraId="5FF59B64" w14:textId="388E30DB" w:rsidR="00F30F74" w:rsidRPr="007E2D2F" w:rsidRDefault="00F30F74">
      <w:pPr>
        <w:rPr>
          <w:rFonts w:cs="Arial"/>
          <w:sz w:val="20"/>
          <w:szCs w:val="20"/>
        </w:rPr>
      </w:pPr>
    </w:p>
    <w:p w14:paraId="41F526A3" w14:textId="5F5B84FA" w:rsidR="0096466D" w:rsidRDefault="0096466D">
      <w:pPr>
        <w:jc w:val="left"/>
        <w:rPr>
          <w:rFonts w:cs="Arial"/>
        </w:rPr>
      </w:pPr>
      <w:r>
        <w:rPr>
          <w:rFonts w:cs="Arial"/>
        </w:rPr>
        <w:br w:type="page"/>
      </w:r>
    </w:p>
    <w:p w14:paraId="14C08604" w14:textId="20D07BEA" w:rsidR="000F7D52" w:rsidRPr="007E2D2F" w:rsidRDefault="00882459">
      <w:pPr>
        <w:rPr>
          <w:rFonts w:cs="Arial"/>
          <w:b/>
          <w:i/>
          <w:sz w:val="20"/>
          <w:szCs w:val="20"/>
        </w:rPr>
      </w:pPr>
      <w:r w:rsidRPr="00F025C6">
        <w:rPr>
          <w:rFonts w:cs="Arial"/>
          <w:b/>
          <w:i/>
        </w:rPr>
        <w:lastRenderedPageBreak/>
        <w:t xml:space="preserve">Annexe 3 : </w:t>
      </w:r>
      <w:r w:rsidR="00F025C6" w:rsidRPr="00F025C6">
        <w:rPr>
          <w:rFonts w:cs="Arial"/>
          <w:b/>
          <w:i/>
        </w:rPr>
        <w:t xml:space="preserve">Liste des principales recettes déclarées par typologie de produit dans l’enquête </w:t>
      </w:r>
      <w:r w:rsidR="00F025C6" w:rsidRPr="007E2D2F">
        <w:rPr>
          <w:rFonts w:cs="Arial"/>
          <w:b/>
          <w:i/>
          <w:sz w:val="20"/>
          <w:szCs w:val="20"/>
        </w:rPr>
        <w:t xml:space="preserve">CCAF Credoc 2019 </w:t>
      </w:r>
      <w:r w:rsidR="00F025C6" w:rsidRPr="007E2D2F">
        <w:rPr>
          <w:rFonts w:cs="Arial"/>
          <w:i/>
          <w:sz w:val="20"/>
          <w:szCs w:val="20"/>
        </w:rPr>
        <w:t xml:space="preserve">(Ifip d’après CCAF, Credoc). </w:t>
      </w:r>
    </w:p>
    <w:tbl>
      <w:tblPr>
        <w:tblW w:w="0" w:type="auto"/>
        <w:tblCellMar>
          <w:left w:w="0" w:type="dxa"/>
          <w:right w:w="0" w:type="dxa"/>
        </w:tblCellMar>
        <w:tblLook w:val="04A0" w:firstRow="1" w:lastRow="0" w:firstColumn="1" w:lastColumn="0" w:noHBand="0" w:noVBand="1"/>
      </w:tblPr>
      <w:tblGrid>
        <w:gridCol w:w="2725"/>
        <w:gridCol w:w="1820"/>
        <w:gridCol w:w="2505"/>
        <w:gridCol w:w="2306"/>
      </w:tblGrid>
      <w:tr w:rsidR="0033186D" w:rsidRPr="007E2D2F" w14:paraId="71485939" w14:textId="77777777" w:rsidTr="0033186D">
        <w:trPr>
          <w:trHeight w:val="300"/>
        </w:trPr>
        <w:tc>
          <w:tcPr>
            <w:tcW w:w="2850" w:type="dxa"/>
            <w:noWrap/>
            <w:tcMar>
              <w:top w:w="0" w:type="dxa"/>
              <w:left w:w="70" w:type="dxa"/>
              <w:bottom w:w="0" w:type="dxa"/>
              <w:right w:w="70" w:type="dxa"/>
            </w:tcMar>
            <w:vAlign w:val="bottom"/>
            <w:hideMark/>
          </w:tcPr>
          <w:p w14:paraId="01F65179" w14:textId="77777777" w:rsidR="00882459" w:rsidRPr="007E2D2F" w:rsidRDefault="00882459">
            <w:pPr>
              <w:rPr>
                <w:rFonts w:cs="Arial"/>
                <w:b/>
                <w:bCs/>
                <w:color w:val="000000"/>
                <w:sz w:val="20"/>
                <w:szCs w:val="20"/>
                <w:lang w:eastAsia="fr-FR"/>
              </w:rPr>
            </w:pPr>
            <w:r w:rsidRPr="007E2D2F">
              <w:rPr>
                <w:rFonts w:cs="Arial"/>
                <w:b/>
                <w:bCs/>
                <w:color w:val="000000"/>
                <w:sz w:val="20"/>
                <w:szCs w:val="20"/>
                <w:lang w:eastAsia="fr-FR"/>
              </w:rPr>
              <w:t>Porc plats à base de viande &gt;50%</w:t>
            </w:r>
          </w:p>
        </w:tc>
        <w:tc>
          <w:tcPr>
            <w:tcW w:w="1901" w:type="dxa"/>
            <w:noWrap/>
            <w:tcMar>
              <w:top w:w="0" w:type="dxa"/>
              <w:left w:w="70" w:type="dxa"/>
              <w:bottom w:w="0" w:type="dxa"/>
              <w:right w:w="70" w:type="dxa"/>
            </w:tcMar>
            <w:vAlign w:val="bottom"/>
            <w:hideMark/>
          </w:tcPr>
          <w:p w14:paraId="61A0311F" w14:textId="77777777" w:rsidR="00882459" w:rsidRPr="007E2D2F" w:rsidRDefault="00882459">
            <w:pPr>
              <w:rPr>
                <w:rFonts w:cs="Arial"/>
                <w:b/>
                <w:bCs/>
                <w:color w:val="000000"/>
                <w:sz w:val="20"/>
                <w:szCs w:val="20"/>
                <w:lang w:eastAsia="fr-FR"/>
              </w:rPr>
            </w:pPr>
            <w:r w:rsidRPr="007E2D2F">
              <w:rPr>
                <w:rFonts w:cs="Arial"/>
                <w:b/>
                <w:bCs/>
                <w:color w:val="000000"/>
                <w:sz w:val="20"/>
                <w:szCs w:val="20"/>
                <w:lang w:eastAsia="fr-FR"/>
              </w:rPr>
              <w:t>Porc ingrédient</w:t>
            </w:r>
          </w:p>
        </w:tc>
        <w:tc>
          <w:tcPr>
            <w:tcW w:w="2620" w:type="dxa"/>
            <w:noWrap/>
            <w:tcMar>
              <w:top w:w="0" w:type="dxa"/>
              <w:left w:w="70" w:type="dxa"/>
              <w:bottom w:w="0" w:type="dxa"/>
              <w:right w:w="70" w:type="dxa"/>
            </w:tcMar>
            <w:vAlign w:val="bottom"/>
            <w:hideMark/>
          </w:tcPr>
          <w:p w14:paraId="59896BDF" w14:textId="77777777" w:rsidR="00882459" w:rsidRPr="007E2D2F" w:rsidRDefault="00882459">
            <w:pPr>
              <w:rPr>
                <w:rFonts w:cs="Arial"/>
                <w:b/>
                <w:bCs/>
                <w:color w:val="000000"/>
                <w:sz w:val="20"/>
                <w:szCs w:val="20"/>
                <w:lang w:eastAsia="fr-FR"/>
              </w:rPr>
            </w:pPr>
            <w:r w:rsidRPr="007E2D2F">
              <w:rPr>
                <w:rFonts w:cs="Arial"/>
                <w:b/>
                <w:bCs/>
                <w:color w:val="000000"/>
                <w:sz w:val="20"/>
                <w:szCs w:val="20"/>
                <w:lang w:eastAsia="fr-FR"/>
              </w:rPr>
              <w:t>CHARCUTERIE (ingréd.)</w:t>
            </w:r>
          </w:p>
        </w:tc>
        <w:tc>
          <w:tcPr>
            <w:tcW w:w="2411" w:type="dxa"/>
            <w:noWrap/>
            <w:tcMar>
              <w:top w:w="0" w:type="dxa"/>
              <w:left w:w="70" w:type="dxa"/>
              <w:bottom w:w="0" w:type="dxa"/>
              <w:right w:w="70" w:type="dxa"/>
            </w:tcMar>
            <w:vAlign w:val="bottom"/>
            <w:hideMark/>
          </w:tcPr>
          <w:p w14:paraId="07FC334A" w14:textId="77777777" w:rsidR="00882459" w:rsidRPr="007E2D2F" w:rsidRDefault="00882459" w:rsidP="0033186D">
            <w:pPr>
              <w:ind w:right="-69"/>
              <w:rPr>
                <w:rFonts w:cs="Arial"/>
                <w:b/>
                <w:bCs/>
                <w:color w:val="000000"/>
                <w:sz w:val="20"/>
                <w:szCs w:val="20"/>
                <w:lang w:eastAsia="fr-FR"/>
              </w:rPr>
            </w:pPr>
            <w:r w:rsidRPr="007E2D2F">
              <w:rPr>
                <w:rFonts w:cs="Arial"/>
                <w:b/>
                <w:bCs/>
                <w:color w:val="000000"/>
                <w:sz w:val="20"/>
                <w:szCs w:val="20"/>
                <w:lang w:eastAsia="fr-FR"/>
              </w:rPr>
              <w:t>SAUCISSERIE (ingréd.)</w:t>
            </w:r>
          </w:p>
        </w:tc>
      </w:tr>
      <w:tr w:rsidR="0033186D" w:rsidRPr="007E2D2F" w14:paraId="251B0273" w14:textId="77777777" w:rsidTr="0033186D">
        <w:trPr>
          <w:trHeight w:val="454"/>
        </w:trPr>
        <w:tc>
          <w:tcPr>
            <w:tcW w:w="2850" w:type="dxa"/>
            <w:tcBorders>
              <w:top w:val="single" w:sz="8" w:space="0" w:color="000000"/>
              <w:left w:val="single" w:sz="8" w:space="0" w:color="000000"/>
              <w:bottom w:val="single" w:sz="8" w:space="0" w:color="000000"/>
              <w:right w:val="single" w:sz="8" w:space="0" w:color="000000"/>
            </w:tcBorders>
            <w:tcMar>
              <w:top w:w="0" w:type="dxa"/>
              <w:left w:w="70" w:type="dxa"/>
              <w:bottom w:w="0" w:type="dxa"/>
              <w:right w:w="70" w:type="dxa"/>
            </w:tcMar>
            <w:hideMark/>
          </w:tcPr>
          <w:p w14:paraId="7F93DA83"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côte de porc sauce coréenne</w:t>
            </w:r>
          </w:p>
        </w:tc>
        <w:tc>
          <w:tcPr>
            <w:tcW w:w="1901" w:type="dxa"/>
            <w:tcBorders>
              <w:top w:val="single" w:sz="8" w:space="0" w:color="000000"/>
              <w:left w:val="nil"/>
              <w:bottom w:val="single" w:sz="8" w:space="0" w:color="000000"/>
              <w:right w:val="single" w:sz="8" w:space="0" w:color="000000"/>
            </w:tcBorders>
            <w:tcMar>
              <w:top w:w="0" w:type="dxa"/>
              <w:left w:w="70" w:type="dxa"/>
              <w:bottom w:w="0" w:type="dxa"/>
              <w:right w:w="70" w:type="dxa"/>
            </w:tcMar>
            <w:hideMark/>
          </w:tcPr>
          <w:p w14:paraId="6632C8B3"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Ragout de porc ou porc au jus</w:t>
            </w:r>
          </w:p>
        </w:tc>
        <w:tc>
          <w:tcPr>
            <w:tcW w:w="2620" w:type="dxa"/>
            <w:tcBorders>
              <w:top w:val="single" w:sz="8" w:space="0" w:color="000000"/>
              <w:left w:val="nil"/>
              <w:bottom w:val="single" w:sz="8" w:space="0" w:color="000000"/>
              <w:right w:val="single" w:sz="8" w:space="0" w:color="000000"/>
            </w:tcBorders>
            <w:tcMar>
              <w:top w:w="0" w:type="dxa"/>
              <w:left w:w="70" w:type="dxa"/>
              <w:bottom w:w="0" w:type="dxa"/>
              <w:right w:w="70" w:type="dxa"/>
            </w:tcMar>
            <w:hideMark/>
          </w:tcPr>
          <w:p w14:paraId="454A77A2"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petit salé</w:t>
            </w:r>
          </w:p>
        </w:tc>
        <w:tc>
          <w:tcPr>
            <w:tcW w:w="2411" w:type="dxa"/>
            <w:tcBorders>
              <w:top w:val="single" w:sz="8" w:space="0" w:color="000000"/>
              <w:left w:val="nil"/>
              <w:bottom w:val="single" w:sz="8" w:space="0" w:color="000000"/>
              <w:right w:val="single" w:sz="8" w:space="0" w:color="000000"/>
            </w:tcBorders>
            <w:tcMar>
              <w:top w:w="0" w:type="dxa"/>
              <w:left w:w="70" w:type="dxa"/>
              <w:bottom w:w="0" w:type="dxa"/>
              <w:right w:w="70" w:type="dxa"/>
            </w:tcMar>
            <w:hideMark/>
          </w:tcPr>
          <w:p w14:paraId="54DC5E50"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cassoulet en boite</w:t>
            </w:r>
          </w:p>
        </w:tc>
      </w:tr>
      <w:tr w:rsidR="0033186D" w:rsidRPr="007E2D2F" w14:paraId="02A8D1AF" w14:textId="77777777" w:rsidTr="0033186D">
        <w:trPr>
          <w:trHeight w:val="525"/>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1839B206"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Raviolis à la viande de porc</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786F4527"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cassoulet (au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5FBCD31D" w14:textId="569BEA74" w:rsidR="00882459" w:rsidRPr="007E2D2F" w:rsidRDefault="00843426"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Cappelletis</w:t>
            </w:r>
            <w:r w:rsidR="00882459" w:rsidRPr="007E2D2F">
              <w:rPr>
                <w:rFonts w:eastAsia="Times New Roman" w:cs="Arial"/>
                <w:color w:val="000000"/>
                <w:sz w:val="20"/>
                <w:szCs w:val="20"/>
                <w:lang w:eastAsia="fr-FR"/>
              </w:rPr>
              <w:t xml:space="preserve"> au jambon (blanc, cru, de Bayonne...)</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69FBF9BE"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choucroute garnie</w:t>
            </w:r>
          </w:p>
        </w:tc>
      </w:tr>
      <w:tr w:rsidR="0033186D" w:rsidRPr="007E2D2F" w14:paraId="065E81C9" w14:textId="77777777" w:rsidTr="0033186D">
        <w:trPr>
          <w:trHeight w:val="3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2180CA04" w14:textId="51A9625E"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Sauté de porc</w:t>
            </w:r>
            <w:r w:rsidR="0033186D" w:rsidRPr="007E2D2F">
              <w:rPr>
                <w:rFonts w:eastAsia="Times New Roman" w:cs="Arial"/>
                <w:color w:val="000000"/>
                <w:sz w:val="20"/>
                <w:szCs w:val="20"/>
                <w:lang w:eastAsia="fr-FR"/>
              </w:rPr>
              <w:t xml:space="preserve">, Sauté de porc curry, sauté de porc, sans précisions, sauté de porc aux pruneaux, sauté de porc aux épices </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64D2D212" w14:textId="51ECB70E"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G</w:t>
            </w:r>
            <w:r w:rsidR="00882459" w:rsidRPr="007E2D2F">
              <w:rPr>
                <w:rFonts w:eastAsia="Times New Roman" w:cs="Arial"/>
                <w:color w:val="000000"/>
                <w:sz w:val="20"/>
                <w:szCs w:val="20"/>
                <w:lang w:eastAsia="fr-FR"/>
              </w:rPr>
              <w:t>oulache de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06D1EC7C" w14:textId="24086B60"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w:t>
            </w:r>
            <w:r w:rsidR="00882459" w:rsidRPr="007E2D2F">
              <w:rPr>
                <w:rFonts w:eastAsia="Times New Roman" w:cs="Arial"/>
                <w:color w:val="000000"/>
                <w:sz w:val="20"/>
                <w:szCs w:val="20"/>
                <w:lang w:eastAsia="fr-FR"/>
              </w:rPr>
              <w:t>oufflé au fromage-jambon</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3E6A12C2"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saucisse aux lentilles</w:t>
            </w:r>
          </w:p>
        </w:tc>
      </w:tr>
      <w:tr w:rsidR="0033186D" w:rsidRPr="007E2D2F" w14:paraId="3F6BCA76" w14:textId="77777777" w:rsidTr="0033186D">
        <w:trPr>
          <w:trHeight w:val="471"/>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72A59F4F" w14:textId="5C463A5E"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brochette de porc</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56DD88BE"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nem ou pâté impérial au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0BD3C25C"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potée au chou et petit salé</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55D3F506"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tomates farcies traditionnelles</w:t>
            </w:r>
          </w:p>
        </w:tc>
      </w:tr>
      <w:tr w:rsidR="0033186D" w:rsidRPr="007E2D2F" w14:paraId="4E9840D8" w14:textId="77777777" w:rsidTr="0033186D">
        <w:trPr>
          <w:trHeight w:val="3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2542DE32" w14:textId="542E63D8"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cassoulet (au porc)</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1152E907"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palette de porc à la diable</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34C2623F"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endives au jambon avec béchamel</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203FE747"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chou farci</w:t>
            </w:r>
          </w:p>
        </w:tc>
      </w:tr>
      <w:tr w:rsidR="0033186D" w:rsidRPr="007E2D2F" w14:paraId="214B03AA" w14:textId="77777777" w:rsidTr="0033186D">
        <w:trPr>
          <w:trHeight w:val="6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41FC8532" w14:textId="1A8BB7B4"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palette de porc à la diable</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0F8EAA21"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avec des carottes, des pommes de terre et des poireaux</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6F217B18" w14:textId="5C80B6FC"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Lasagne jambon salsifi</w:t>
            </w:r>
            <w:r w:rsidR="0033186D" w:rsidRPr="007E2D2F">
              <w:rPr>
                <w:rFonts w:eastAsia="Times New Roman" w:cs="Arial"/>
                <w:color w:val="000000"/>
                <w:sz w:val="20"/>
                <w:szCs w:val="20"/>
                <w:lang w:eastAsia="fr-FR"/>
              </w:rPr>
              <w:t>, gratin de pâtes (toutes sortes) au jambon, fusilli à la carbonara</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727C3004"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rougail de saucisse (spécialité réunionnaise)</w:t>
            </w:r>
          </w:p>
        </w:tc>
      </w:tr>
      <w:tr w:rsidR="0033186D" w:rsidRPr="007E2D2F" w14:paraId="69C73463" w14:textId="77777777" w:rsidTr="0033186D">
        <w:trPr>
          <w:trHeight w:val="3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55D84E20" w14:textId="6692A340"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au caramel, porc au curry, porc au miel, porc aux épices, porc au soja, porc aux carottes mijotées, porc à la dijonnaise, porc à l’ananas</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6639F265"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ragout abat de porc coree coeur pdt</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5815058D"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riz cantonais</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3982CB8A"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feuilleté ou friand saucisse</w:t>
            </w:r>
          </w:p>
        </w:tc>
      </w:tr>
      <w:tr w:rsidR="0033186D" w:rsidRPr="007E2D2F" w14:paraId="7624B4B9" w14:textId="77777777" w:rsidTr="0033186D">
        <w:trPr>
          <w:trHeight w:val="3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1A31B034" w14:textId="46F57930"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laqué</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7F41867D"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raviolis vapeur au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0FD1742E"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Feijoada (cassoulet portugais)</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7162CB78"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hot dog</w:t>
            </w:r>
          </w:p>
        </w:tc>
      </w:tr>
      <w:tr w:rsidR="0033186D" w:rsidRPr="007E2D2F" w14:paraId="0FABF147" w14:textId="77777777" w:rsidTr="0033186D">
        <w:trPr>
          <w:trHeight w:val="6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79362067" w14:textId="6E13B127"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porc confit</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2C8611B8"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sandwich baguette porc crudités</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2E6294E4" w14:textId="50BAEC55" w:rsidR="00882459"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croziflette crozet reblochon lardons</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16F6A887" w14:textId="77777777" w:rsidR="00882459" w:rsidRPr="007E2D2F" w:rsidRDefault="00882459"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pizza</w:t>
            </w:r>
          </w:p>
        </w:tc>
      </w:tr>
      <w:tr w:rsidR="0033186D" w:rsidRPr="007E2D2F" w14:paraId="300E4E6D" w14:textId="77777777" w:rsidTr="0033186D">
        <w:trPr>
          <w:trHeight w:val="600"/>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5253E70A" w14:textId="4BCCD392"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raviolis a la viande de porc, raviolis vapeur au porc</w:t>
            </w:r>
          </w:p>
        </w:tc>
        <w:tc>
          <w:tcPr>
            <w:tcW w:w="1901" w:type="dxa"/>
            <w:tcBorders>
              <w:top w:val="nil"/>
              <w:left w:val="nil"/>
              <w:bottom w:val="single" w:sz="8" w:space="0" w:color="000000"/>
              <w:right w:val="single" w:sz="8" w:space="0" w:color="000000"/>
            </w:tcBorders>
            <w:tcMar>
              <w:top w:w="0" w:type="dxa"/>
              <w:left w:w="70" w:type="dxa"/>
              <w:bottom w:w="0" w:type="dxa"/>
              <w:right w:w="70" w:type="dxa"/>
            </w:tcMar>
            <w:hideMark/>
          </w:tcPr>
          <w:p w14:paraId="77D357F3"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spagettis au porc et à la tomate</w:t>
            </w:r>
          </w:p>
        </w:tc>
        <w:tc>
          <w:tcPr>
            <w:tcW w:w="2620" w:type="dxa"/>
            <w:tcBorders>
              <w:top w:val="nil"/>
              <w:left w:val="nil"/>
              <w:bottom w:val="single" w:sz="8" w:space="0" w:color="000000"/>
              <w:right w:val="single" w:sz="8" w:space="0" w:color="000000"/>
            </w:tcBorders>
            <w:tcMar>
              <w:top w:w="0" w:type="dxa"/>
              <w:left w:w="70" w:type="dxa"/>
              <w:bottom w:w="0" w:type="dxa"/>
              <w:right w:w="70" w:type="dxa"/>
            </w:tcMar>
            <w:hideMark/>
          </w:tcPr>
          <w:p w14:paraId="01E20602" w14:textId="73D30DED"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croque-monsieur traditionnel (jambon-fromage)</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570D3099"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sandwich baguette merguez, avec frites</w:t>
            </w:r>
          </w:p>
        </w:tc>
      </w:tr>
      <w:tr w:rsidR="0033186D" w:rsidRPr="007E2D2F" w14:paraId="2825168D" w14:textId="77777777" w:rsidTr="00AF6620">
        <w:trPr>
          <w:trHeight w:val="761"/>
        </w:trPr>
        <w:tc>
          <w:tcPr>
            <w:tcW w:w="2850" w:type="dxa"/>
            <w:tcBorders>
              <w:top w:val="nil"/>
              <w:left w:val="single" w:sz="8" w:space="0" w:color="000000"/>
              <w:bottom w:val="single" w:sz="8" w:space="0" w:color="000000"/>
              <w:right w:val="single" w:sz="8" w:space="0" w:color="000000"/>
            </w:tcBorders>
            <w:tcMar>
              <w:top w:w="0" w:type="dxa"/>
              <w:left w:w="70" w:type="dxa"/>
              <w:bottom w:w="0" w:type="dxa"/>
              <w:right w:w="70" w:type="dxa"/>
            </w:tcMar>
            <w:hideMark/>
          </w:tcPr>
          <w:p w14:paraId="2FE38B35" w14:textId="31E8BEC5"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nil"/>
              <w:left w:val="nil"/>
              <w:bottom w:val="single" w:sz="4" w:space="0" w:color="auto"/>
              <w:right w:val="single" w:sz="8" w:space="0" w:color="000000"/>
            </w:tcBorders>
            <w:tcMar>
              <w:top w:w="0" w:type="dxa"/>
              <w:left w:w="70" w:type="dxa"/>
              <w:bottom w:w="0" w:type="dxa"/>
              <w:right w:w="70" w:type="dxa"/>
            </w:tcMar>
            <w:hideMark/>
          </w:tcPr>
          <w:p w14:paraId="47604167"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tourte à la viande de porc</w:t>
            </w:r>
          </w:p>
        </w:tc>
        <w:tc>
          <w:tcPr>
            <w:tcW w:w="2620" w:type="dxa"/>
            <w:tcBorders>
              <w:top w:val="nil"/>
              <w:left w:val="nil"/>
              <w:bottom w:val="single" w:sz="8" w:space="0" w:color="000000"/>
              <w:right w:val="single" w:sz="8" w:space="0" w:color="000000"/>
            </w:tcBorders>
            <w:tcMar>
              <w:top w:w="0" w:type="dxa"/>
              <w:left w:w="70" w:type="dxa"/>
              <w:bottom w:w="0" w:type="dxa"/>
              <w:right w:w="70" w:type="dxa"/>
            </w:tcMar>
          </w:tcPr>
          <w:p w14:paraId="52B9DB64" w14:textId="02CA2361"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raviolis jambon - ricotta</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3F227667"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pizza orientale (merguez, poivrons, oignons)</w:t>
            </w:r>
          </w:p>
        </w:tc>
      </w:tr>
      <w:tr w:rsidR="0033186D" w:rsidRPr="007E2D2F" w14:paraId="305D7CF9" w14:textId="77777777" w:rsidTr="00AF6620">
        <w:trPr>
          <w:trHeight w:val="300"/>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31DEDD7D" w14:textId="5C02EB95"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DE3DC13"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tcPr>
          <w:p w14:paraId="397EB2AC" w14:textId="1FBBF178"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quiche au jambon ou aux lardons</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4C994E4B"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champignon farci</w:t>
            </w:r>
          </w:p>
        </w:tc>
      </w:tr>
      <w:tr w:rsidR="0033186D" w:rsidRPr="007E2D2F" w14:paraId="6F99829C" w14:textId="77777777" w:rsidTr="00AF6620">
        <w:trPr>
          <w:trHeight w:val="300"/>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0D901B40" w14:textId="4F7733AA"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6C7221F7"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tcPr>
          <w:p w14:paraId="718DF803" w14:textId="126D0D29"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crêpe ou galette au jambon, crêpe ou galette jambon-fromage</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6E7091E2"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sandwich baguette merguez</w:t>
            </w:r>
          </w:p>
        </w:tc>
      </w:tr>
      <w:tr w:rsidR="0033186D" w:rsidRPr="007E2D2F" w14:paraId="17B07489" w14:textId="77777777" w:rsidTr="00AF6620">
        <w:trPr>
          <w:trHeight w:val="600"/>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6F349015" w14:textId="4C6DD8F2"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E8867BE"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tcPr>
          <w:p w14:paraId="6200D670" w14:textId="46C523D4"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croissant au jambon avec béchamel</w:t>
            </w: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552F6E8A"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crêpe ou galette saucisse</w:t>
            </w:r>
          </w:p>
        </w:tc>
      </w:tr>
      <w:tr w:rsidR="0033186D" w:rsidRPr="007E2D2F" w14:paraId="1E2C8251" w14:textId="77777777" w:rsidTr="00AF6620">
        <w:trPr>
          <w:trHeight w:val="300"/>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67735B6C" w14:textId="04587C68"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4F872C27"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hideMark/>
          </w:tcPr>
          <w:p w14:paraId="0FB5BFEB" w14:textId="3479FBFF" w:rsidR="0033186D" w:rsidRPr="007E2D2F" w:rsidRDefault="0033186D" w:rsidP="0033186D">
            <w:pPr>
              <w:spacing w:after="0" w:line="240" w:lineRule="auto"/>
              <w:rPr>
                <w:rFonts w:eastAsia="Times New Roman" w:cs="Arial"/>
                <w:color w:val="000000"/>
                <w:sz w:val="20"/>
                <w:szCs w:val="20"/>
                <w:lang w:eastAsia="fr-FR"/>
              </w:rPr>
            </w:pP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4A90557D"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Tarte épinards saucisse</w:t>
            </w:r>
          </w:p>
        </w:tc>
      </w:tr>
      <w:tr w:rsidR="0033186D" w:rsidRPr="007E2D2F" w14:paraId="1B2C8232" w14:textId="77777777" w:rsidTr="00AF6620">
        <w:trPr>
          <w:trHeight w:val="615"/>
        </w:trPr>
        <w:tc>
          <w:tcPr>
            <w:tcW w:w="2850" w:type="dxa"/>
            <w:tcBorders>
              <w:top w:val="nil"/>
              <w:left w:val="single" w:sz="8" w:space="0" w:color="000000"/>
              <w:bottom w:val="single" w:sz="8" w:space="0" w:color="000000"/>
              <w:right w:val="single" w:sz="4" w:space="0" w:color="auto"/>
            </w:tcBorders>
            <w:tcMar>
              <w:top w:w="0" w:type="dxa"/>
              <w:left w:w="70" w:type="dxa"/>
              <w:bottom w:w="0" w:type="dxa"/>
              <w:right w:w="70" w:type="dxa"/>
            </w:tcMar>
            <w:hideMark/>
          </w:tcPr>
          <w:p w14:paraId="2C90121A" w14:textId="4915088A" w:rsidR="0033186D" w:rsidRPr="007E2D2F" w:rsidRDefault="0033186D" w:rsidP="0033186D">
            <w:pPr>
              <w:spacing w:after="0" w:line="240" w:lineRule="auto"/>
              <w:rPr>
                <w:rFonts w:eastAsia="Times New Roman" w:cs="Arial"/>
                <w:color w:val="000000"/>
                <w:sz w:val="20"/>
                <w:szCs w:val="20"/>
                <w:lang w:eastAsia="fr-FR"/>
              </w:rPr>
            </w:pPr>
          </w:p>
        </w:tc>
        <w:tc>
          <w:tcPr>
            <w:tcW w:w="190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bottom"/>
            <w:hideMark/>
          </w:tcPr>
          <w:p w14:paraId="2E133D86" w14:textId="77777777" w:rsidR="0033186D" w:rsidRPr="007E2D2F" w:rsidRDefault="0033186D" w:rsidP="0033186D">
            <w:pPr>
              <w:spacing w:after="0" w:line="240" w:lineRule="auto"/>
              <w:rPr>
                <w:rFonts w:eastAsia="Times New Roman" w:cs="Arial"/>
                <w:color w:val="000000"/>
                <w:sz w:val="20"/>
                <w:szCs w:val="20"/>
                <w:lang w:eastAsia="fr-FR"/>
              </w:rPr>
            </w:pPr>
          </w:p>
        </w:tc>
        <w:tc>
          <w:tcPr>
            <w:tcW w:w="2620" w:type="dxa"/>
            <w:tcBorders>
              <w:top w:val="nil"/>
              <w:left w:val="single" w:sz="4" w:space="0" w:color="auto"/>
              <w:bottom w:val="single" w:sz="8" w:space="0" w:color="000000"/>
              <w:right w:val="single" w:sz="8" w:space="0" w:color="000000"/>
            </w:tcBorders>
            <w:tcMar>
              <w:top w:w="0" w:type="dxa"/>
              <w:left w:w="70" w:type="dxa"/>
              <w:bottom w:w="0" w:type="dxa"/>
              <w:right w:w="70" w:type="dxa"/>
            </w:tcMar>
            <w:hideMark/>
          </w:tcPr>
          <w:p w14:paraId="332BFB7F" w14:textId="7D969B4E" w:rsidR="0033186D" w:rsidRPr="007E2D2F" w:rsidRDefault="0033186D" w:rsidP="0033186D">
            <w:pPr>
              <w:spacing w:after="0" w:line="240" w:lineRule="auto"/>
              <w:rPr>
                <w:rFonts w:eastAsia="Times New Roman" w:cs="Arial"/>
                <w:color w:val="000000"/>
                <w:sz w:val="20"/>
                <w:szCs w:val="20"/>
                <w:lang w:eastAsia="fr-FR"/>
              </w:rPr>
            </w:pPr>
          </w:p>
        </w:tc>
        <w:tc>
          <w:tcPr>
            <w:tcW w:w="2411" w:type="dxa"/>
            <w:tcBorders>
              <w:top w:val="nil"/>
              <w:left w:val="nil"/>
              <w:bottom w:val="single" w:sz="8" w:space="0" w:color="000000"/>
              <w:right w:val="single" w:sz="8" w:space="0" w:color="000000"/>
            </w:tcBorders>
            <w:tcMar>
              <w:top w:w="0" w:type="dxa"/>
              <w:left w:w="70" w:type="dxa"/>
              <w:bottom w:w="0" w:type="dxa"/>
              <w:right w:w="70" w:type="dxa"/>
            </w:tcMar>
            <w:hideMark/>
          </w:tcPr>
          <w:p w14:paraId="395C0B5B" w14:textId="77777777" w:rsidR="0033186D" w:rsidRPr="007E2D2F" w:rsidRDefault="0033186D" w:rsidP="0033186D">
            <w:pPr>
              <w:spacing w:after="0" w:line="240" w:lineRule="auto"/>
              <w:rPr>
                <w:rFonts w:eastAsia="Times New Roman" w:cs="Arial"/>
                <w:color w:val="000000"/>
                <w:sz w:val="20"/>
                <w:szCs w:val="20"/>
                <w:lang w:eastAsia="fr-FR"/>
              </w:rPr>
            </w:pPr>
            <w:r w:rsidRPr="007E2D2F">
              <w:rPr>
                <w:rFonts w:eastAsia="Times New Roman" w:cs="Arial"/>
                <w:color w:val="000000"/>
                <w:sz w:val="20"/>
                <w:szCs w:val="20"/>
                <w:lang w:eastAsia="fr-FR"/>
              </w:rPr>
              <w:t>salade composée à base de crudités (et/ou salade verte) + saucisse</w:t>
            </w:r>
          </w:p>
        </w:tc>
      </w:tr>
    </w:tbl>
    <w:p w14:paraId="2EDE3C1F" w14:textId="73179CD1" w:rsidR="006E0144" w:rsidRPr="00AF6620" w:rsidRDefault="000F7D52" w:rsidP="006E0144">
      <w:pPr>
        <w:rPr>
          <w:rFonts w:cs="Arial"/>
        </w:rPr>
      </w:pPr>
      <w:r w:rsidRPr="007E2D2F">
        <w:rPr>
          <w:rFonts w:cs="Arial"/>
          <w:sz w:val="20"/>
          <w:szCs w:val="20"/>
        </w:rPr>
        <w:br w:type="page"/>
      </w:r>
      <w:r w:rsidR="006E0144" w:rsidRPr="00AF6620">
        <w:rPr>
          <w:rFonts w:cs="Arial"/>
          <w:b/>
        </w:rPr>
        <w:lastRenderedPageBreak/>
        <w:t xml:space="preserve">Annexe 4 : Distribution de la proportion de viande dans les plats à base de viande, </w:t>
      </w:r>
      <w:r w:rsidR="00D34E41" w:rsidRPr="00AF6620">
        <w:rPr>
          <w:rFonts w:cs="Arial"/>
          <w:b/>
        </w:rPr>
        <w:t xml:space="preserve">les pizzas, quiches et </w:t>
      </w:r>
      <w:r w:rsidR="006E0144" w:rsidRPr="00AF6620">
        <w:rPr>
          <w:rFonts w:cs="Arial"/>
          <w:b/>
        </w:rPr>
        <w:t>les sand</w:t>
      </w:r>
      <w:r w:rsidR="00D34E41" w:rsidRPr="00AF6620">
        <w:rPr>
          <w:rFonts w:cs="Arial"/>
          <w:b/>
        </w:rPr>
        <w:t>wiches</w:t>
      </w:r>
      <w:r w:rsidR="006E0144" w:rsidRPr="00AF6620">
        <w:rPr>
          <w:rFonts w:cs="Arial"/>
          <w:b/>
        </w:rPr>
        <w:t xml:space="preserve"> </w:t>
      </w:r>
      <w:r w:rsidR="006E0144" w:rsidRPr="00AF6620">
        <w:rPr>
          <w:rFonts w:cs="Arial"/>
        </w:rPr>
        <w:t xml:space="preserve">(Ifip d’après CCAF, Credoc). </w:t>
      </w:r>
    </w:p>
    <w:p w14:paraId="043FD2B2" w14:textId="7BDEA3A7" w:rsidR="006E0144" w:rsidRDefault="006E0144" w:rsidP="00AF6620">
      <w:r w:rsidRPr="006E0144">
        <w:rPr>
          <w:noProof/>
        </w:rPr>
        <w:drawing>
          <wp:inline distT="0" distB="0" distL="0" distR="0" wp14:anchorId="2A93DBD6" wp14:editId="3B27DABE">
            <wp:extent cx="5895975" cy="2533015"/>
            <wp:effectExtent l="0" t="0" r="9525" b="635"/>
            <wp:docPr id="53" name="Graphique 53">
              <a:extLst xmlns:a="http://schemas.openxmlformats.org/drawingml/2006/main">
                <a:ext uri="{FF2B5EF4-FFF2-40B4-BE49-F238E27FC236}">
                  <a16:creationId xmlns:a16="http://schemas.microsoft.com/office/drawing/2014/main" id="{F97D0078-EDD3-40EE-9B93-42291C7B6C8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14:paraId="13629148" w14:textId="4CF9B5CC" w:rsidR="006E0144" w:rsidRDefault="006E0144" w:rsidP="006E0144">
      <w:pPr>
        <w:rPr>
          <w:rFonts w:cs="Arial"/>
          <w:b/>
          <w:i/>
        </w:rPr>
      </w:pPr>
      <w:r w:rsidRPr="00D34E41">
        <w:rPr>
          <w:rFonts w:cs="Arial"/>
          <w:b/>
          <w:i/>
          <w:noProof/>
          <w:color w:val="000000" w:themeColor="text1"/>
        </w:rPr>
        <w:drawing>
          <wp:inline distT="0" distB="0" distL="0" distR="0" wp14:anchorId="06869FD3" wp14:editId="1219CA07">
            <wp:extent cx="5905500" cy="2125980"/>
            <wp:effectExtent l="0" t="0" r="0" b="7620"/>
            <wp:docPr id="54" name="Graphique 54">
              <a:extLst xmlns:a="http://schemas.openxmlformats.org/drawingml/2006/main">
                <a:ext uri="{FF2B5EF4-FFF2-40B4-BE49-F238E27FC236}">
                  <a16:creationId xmlns:a16="http://schemas.microsoft.com/office/drawing/2014/main" id="{B91302A7-B196-45CE-AC86-0C4278465D1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14:paraId="4EEEDB5E" w14:textId="74A38C31" w:rsidR="00D34E41" w:rsidRDefault="00D34E41" w:rsidP="006E0144">
      <w:pPr>
        <w:rPr>
          <w:rFonts w:cs="Arial"/>
          <w:b/>
          <w:i/>
        </w:rPr>
      </w:pPr>
      <w:r w:rsidRPr="00D34E41">
        <w:rPr>
          <w:rFonts w:cs="Arial"/>
          <w:b/>
          <w:i/>
          <w:noProof/>
          <w:highlight w:val="black"/>
        </w:rPr>
        <w:drawing>
          <wp:inline distT="0" distB="0" distL="0" distR="0" wp14:anchorId="65A33353" wp14:editId="3A145E1F">
            <wp:extent cx="5934075" cy="2099310"/>
            <wp:effectExtent l="0" t="0" r="9525" b="15240"/>
            <wp:docPr id="55" name="Graphique 55">
              <a:extLst xmlns:a="http://schemas.openxmlformats.org/drawingml/2006/main">
                <a:ext uri="{FF2B5EF4-FFF2-40B4-BE49-F238E27FC236}">
                  <a16:creationId xmlns:a16="http://schemas.microsoft.com/office/drawing/2014/main" id="{CD52D475-5D72-4AE4-9634-E19B22AA20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14:paraId="38838AF8" w14:textId="77777777" w:rsidR="00D34E41" w:rsidRPr="00F025C6" w:rsidRDefault="00D34E41" w:rsidP="006E0144">
      <w:pPr>
        <w:rPr>
          <w:rFonts w:cs="Arial"/>
          <w:b/>
          <w:i/>
        </w:rPr>
      </w:pPr>
    </w:p>
    <w:p w14:paraId="54218311" w14:textId="46EB4064" w:rsidR="006E0144" w:rsidRDefault="006E0144">
      <w:pPr>
        <w:rPr>
          <w:rFonts w:cs="Arial"/>
        </w:rPr>
      </w:pPr>
      <w:r>
        <w:rPr>
          <w:rFonts w:cs="Arial"/>
        </w:rPr>
        <w:br w:type="page"/>
      </w:r>
    </w:p>
    <w:p w14:paraId="7962DB8F" w14:textId="2DE15A4B" w:rsidR="005B0175" w:rsidRPr="00AF6620" w:rsidRDefault="005B0175" w:rsidP="005B0175">
      <w:pPr>
        <w:rPr>
          <w:rFonts w:cs="Arial"/>
        </w:rPr>
      </w:pPr>
      <w:r w:rsidRPr="00AF6620">
        <w:rPr>
          <w:rFonts w:cs="Arial"/>
          <w:b/>
        </w:rPr>
        <w:lastRenderedPageBreak/>
        <w:t xml:space="preserve">Annexe 5 : Arborescence et nomenclature Kantar </w:t>
      </w:r>
      <w:r w:rsidR="007203A1" w:rsidRPr="00AF6620">
        <w:rPr>
          <w:rFonts w:cs="Arial"/>
          <w:b/>
        </w:rPr>
        <w:t xml:space="preserve">a/ Viande de porc b/ Charcuterie salaison de porc et de volaille </w:t>
      </w:r>
      <w:r w:rsidRPr="00AF6620">
        <w:rPr>
          <w:rFonts w:cs="Arial"/>
        </w:rPr>
        <w:t>(</w:t>
      </w:r>
      <w:r w:rsidR="004E3334" w:rsidRPr="00AF6620">
        <w:rPr>
          <w:rFonts w:cs="Arial"/>
        </w:rPr>
        <w:t>KWp</w:t>
      </w:r>
      <w:r w:rsidRPr="00AF6620">
        <w:rPr>
          <w:rFonts w:cs="Arial"/>
        </w:rPr>
        <w:t>, 2020)</w:t>
      </w:r>
    </w:p>
    <w:p w14:paraId="7118339F" w14:textId="01135767" w:rsidR="007203A1" w:rsidRPr="00AF6620" w:rsidRDefault="007203A1" w:rsidP="007203A1">
      <w:pPr>
        <w:spacing w:after="0"/>
        <w:rPr>
          <w:rFonts w:cs="Arial"/>
          <w:b/>
        </w:rPr>
      </w:pPr>
      <w:r w:rsidRPr="00AF6620">
        <w:rPr>
          <w:rFonts w:cs="Arial"/>
          <w:b/>
        </w:rPr>
        <w:t xml:space="preserve">a/ Viande de boucherie </w:t>
      </w:r>
    </w:p>
    <w:tbl>
      <w:tblPr>
        <w:tblW w:w="9923" w:type="dxa"/>
        <w:tblCellMar>
          <w:left w:w="70" w:type="dxa"/>
          <w:right w:w="70" w:type="dxa"/>
        </w:tblCellMar>
        <w:tblLook w:val="04A0" w:firstRow="1" w:lastRow="0" w:firstColumn="1" w:lastColumn="0" w:noHBand="0" w:noVBand="1"/>
      </w:tblPr>
      <w:tblGrid>
        <w:gridCol w:w="1629"/>
        <w:gridCol w:w="146"/>
        <w:gridCol w:w="146"/>
        <w:gridCol w:w="2285"/>
        <w:gridCol w:w="719"/>
        <w:gridCol w:w="1454"/>
        <w:gridCol w:w="2789"/>
        <w:gridCol w:w="755"/>
      </w:tblGrid>
      <w:tr w:rsidR="005B0175" w:rsidRPr="00865201" w14:paraId="3236B0ED" w14:textId="77777777" w:rsidTr="00637E5A">
        <w:trPr>
          <w:trHeight w:val="136"/>
        </w:trPr>
        <w:tc>
          <w:tcPr>
            <w:tcW w:w="1775" w:type="dxa"/>
            <w:gridSpan w:val="2"/>
            <w:tcBorders>
              <w:top w:val="nil"/>
              <w:left w:val="nil"/>
              <w:bottom w:val="nil"/>
              <w:right w:val="nil"/>
            </w:tcBorders>
            <w:shd w:val="clear" w:color="000000" w:fill="D9D9D9"/>
            <w:noWrap/>
            <w:vAlign w:val="center"/>
            <w:hideMark/>
          </w:tcPr>
          <w:p w14:paraId="608DF3DC"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0</w:t>
            </w:r>
          </w:p>
        </w:tc>
        <w:tc>
          <w:tcPr>
            <w:tcW w:w="8148" w:type="dxa"/>
            <w:gridSpan w:val="6"/>
            <w:tcBorders>
              <w:top w:val="nil"/>
              <w:left w:val="nil"/>
              <w:bottom w:val="nil"/>
              <w:right w:val="nil"/>
            </w:tcBorders>
            <w:shd w:val="clear" w:color="000000" w:fill="D9D9D9"/>
            <w:noWrap/>
            <w:vAlign w:val="center"/>
            <w:hideMark/>
          </w:tcPr>
          <w:p w14:paraId="40D122F4"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 DE BOUCHERIE FRAICHE (1)</w:t>
            </w:r>
          </w:p>
        </w:tc>
      </w:tr>
      <w:tr w:rsidR="005B0175" w:rsidRPr="00865201" w14:paraId="2E94FFB0"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772E361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1</w:t>
            </w:r>
          </w:p>
        </w:tc>
        <w:tc>
          <w:tcPr>
            <w:tcW w:w="146" w:type="dxa"/>
            <w:tcBorders>
              <w:top w:val="nil"/>
              <w:left w:val="nil"/>
              <w:bottom w:val="nil"/>
              <w:right w:val="nil"/>
            </w:tcBorders>
            <w:shd w:val="clear" w:color="auto" w:fill="auto"/>
            <w:noWrap/>
            <w:vAlign w:val="bottom"/>
            <w:hideMark/>
          </w:tcPr>
          <w:p w14:paraId="42DEAAFC"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2285" w:type="dxa"/>
            <w:tcBorders>
              <w:top w:val="nil"/>
              <w:left w:val="nil"/>
              <w:bottom w:val="nil"/>
              <w:right w:val="nil"/>
            </w:tcBorders>
            <w:shd w:val="clear" w:color="auto" w:fill="auto"/>
            <w:noWrap/>
            <w:vAlign w:val="center"/>
            <w:hideMark/>
          </w:tcPr>
          <w:p w14:paraId="73526514"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w:t>
            </w:r>
          </w:p>
        </w:tc>
        <w:tc>
          <w:tcPr>
            <w:tcW w:w="2173" w:type="dxa"/>
            <w:gridSpan w:val="2"/>
            <w:tcBorders>
              <w:top w:val="nil"/>
              <w:left w:val="nil"/>
              <w:bottom w:val="nil"/>
              <w:right w:val="nil"/>
            </w:tcBorders>
            <w:shd w:val="clear" w:color="auto" w:fill="auto"/>
            <w:noWrap/>
            <w:vAlign w:val="bottom"/>
            <w:hideMark/>
          </w:tcPr>
          <w:p w14:paraId="3AFCA0CF" w14:textId="77777777" w:rsidR="005B0175" w:rsidRPr="00865201" w:rsidRDefault="005B0175" w:rsidP="00637E5A">
            <w:pPr>
              <w:spacing w:after="0" w:line="240" w:lineRule="auto"/>
              <w:rPr>
                <w:rFonts w:eastAsia="Times New Roman" w:cs="Arial"/>
                <w:color w:val="000000"/>
                <w:sz w:val="18"/>
                <w:szCs w:val="18"/>
                <w:lang w:eastAsia="fr-FR"/>
              </w:rPr>
            </w:pPr>
          </w:p>
        </w:tc>
        <w:tc>
          <w:tcPr>
            <w:tcW w:w="3544" w:type="dxa"/>
            <w:gridSpan w:val="2"/>
            <w:tcBorders>
              <w:top w:val="nil"/>
              <w:left w:val="nil"/>
              <w:bottom w:val="nil"/>
              <w:right w:val="nil"/>
            </w:tcBorders>
            <w:shd w:val="clear" w:color="auto" w:fill="auto"/>
            <w:noWrap/>
            <w:vAlign w:val="bottom"/>
            <w:hideMark/>
          </w:tcPr>
          <w:p w14:paraId="08B1F873"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2115697F"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2521C759"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1</w:t>
            </w:r>
          </w:p>
        </w:tc>
        <w:tc>
          <w:tcPr>
            <w:tcW w:w="146" w:type="dxa"/>
            <w:tcBorders>
              <w:top w:val="nil"/>
              <w:left w:val="nil"/>
              <w:bottom w:val="nil"/>
              <w:right w:val="nil"/>
            </w:tcBorders>
            <w:shd w:val="clear" w:color="auto" w:fill="auto"/>
            <w:noWrap/>
            <w:vAlign w:val="bottom"/>
            <w:hideMark/>
          </w:tcPr>
          <w:p w14:paraId="1BE974F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8002" w:type="dxa"/>
            <w:gridSpan w:val="5"/>
            <w:tcBorders>
              <w:top w:val="nil"/>
              <w:left w:val="nil"/>
              <w:bottom w:val="nil"/>
              <w:right w:val="nil"/>
            </w:tcBorders>
            <w:shd w:val="clear" w:color="auto" w:fill="auto"/>
            <w:noWrap/>
            <w:vAlign w:val="center"/>
            <w:hideMark/>
          </w:tcPr>
          <w:p w14:paraId="66388363"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 hors abats et hors gros achats</w:t>
            </w:r>
          </w:p>
        </w:tc>
      </w:tr>
      <w:tr w:rsidR="005B0175" w:rsidRPr="00865201" w14:paraId="3FD582B9"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4D7D02A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1</w:t>
            </w:r>
          </w:p>
        </w:tc>
        <w:tc>
          <w:tcPr>
            <w:tcW w:w="146" w:type="dxa"/>
            <w:tcBorders>
              <w:top w:val="nil"/>
              <w:left w:val="nil"/>
              <w:bottom w:val="nil"/>
              <w:right w:val="nil"/>
            </w:tcBorders>
            <w:shd w:val="clear" w:color="auto" w:fill="auto"/>
            <w:noWrap/>
            <w:vAlign w:val="bottom"/>
            <w:hideMark/>
          </w:tcPr>
          <w:p w14:paraId="4FDABDF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8002" w:type="dxa"/>
            <w:gridSpan w:val="5"/>
            <w:tcBorders>
              <w:top w:val="nil"/>
              <w:left w:val="nil"/>
              <w:bottom w:val="nil"/>
              <w:right w:val="nil"/>
            </w:tcBorders>
            <w:shd w:val="clear" w:color="auto" w:fill="auto"/>
            <w:noWrap/>
            <w:vAlign w:val="center"/>
            <w:hideMark/>
          </w:tcPr>
          <w:p w14:paraId="15B79B82"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 de boucherie fraiche hors produits élaborés</w:t>
            </w:r>
          </w:p>
        </w:tc>
      </w:tr>
      <w:tr w:rsidR="005B0175" w:rsidRPr="00865201" w14:paraId="556D0760"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7D04CB65"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3BFBD9E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2285" w:type="dxa"/>
            <w:tcBorders>
              <w:top w:val="nil"/>
              <w:left w:val="nil"/>
              <w:bottom w:val="nil"/>
              <w:right w:val="nil"/>
            </w:tcBorders>
            <w:shd w:val="clear" w:color="auto" w:fill="auto"/>
            <w:noWrap/>
            <w:vAlign w:val="bottom"/>
            <w:hideMark/>
          </w:tcPr>
          <w:p w14:paraId="47E24DB3" w14:textId="77777777" w:rsidR="005B0175" w:rsidRPr="00865201" w:rsidRDefault="005B0175" w:rsidP="00637E5A">
            <w:pPr>
              <w:spacing w:after="0" w:line="240" w:lineRule="auto"/>
              <w:rPr>
                <w:rFonts w:eastAsia="Times New Roman" w:cs="Arial"/>
                <w:sz w:val="18"/>
                <w:szCs w:val="18"/>
                <w:lang w:eastAsia="fr-FR"/>
              </w:rPr>
            </w:pPr>
          </w:p>
        </w:tc>
        <w:tc>
          <w:tcPr>
            <w:tcW w:w="5717" w:type="dxa"/>
            <w:gridSpan w:val="4"/>
            <w:tcBorders>
              <w:top w:val="nil"/>
              <w:left w:val="nil"/>
              <w:bottom w:val="nil"/>
              <w:right w:val="nil"/>
            </w:tcBorders>
            <w:shd w:val="clear" w:color="auto" w:fill="auto"/>
            <w:noWrap/>
            <w:vAlign w:val="center"/>
            <w:hideMark/>
          </w:tcPr>
          <w:p w14:paraId="4FCBB85F"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Hors abats et hors gros achats</w:t>
            </w:r>
          </w:p>
        </w:tc>
      </w:tr>
      <w:tr w:rsidR="005B0175" w:rsidRPr="00865201" w14:paraId="26F422A0"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52C0D92C"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4B584B05"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2285" w:type="dxa"/>
            <w:tcBorders>
              <w:top w:val="nil"/>
              <w:left w:val="nil"/>
              <w:bottom w:val="nil"/>
              <w:right w:val="nil"/>
            </w:tcBorders>
            <w:shd w:val="clear" w:color="auto" w:fill="auto"/>
            <w:noWrap/>
            <w:vAlign w:val="bottom"/>
            <w:hideMark/>
          </w:tcPr>
          <w:p w14:paraId="1542D716"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4042196B"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Abats</w:t>
            </w:r>
          </w:p>
        </w:tc>
        <w:tc>
          <w:tcPr>
            <w:tcW w:w="3544" w:type="dxa"/>
            <w:gridSpan w:val="2"/>
            <w:tcBorders>
              <w:top w:val="nil"/>
              <w:left w:val="nil"/>
              <w:bottom w:val="nil"/>
              <w:right w:val="nil"/>
            </w:tcBorders>
            <w:shd w:val="clear" w:color="auto" w:fill="auto"/>
            <w:noWrap/>
            <w:vAlign w:val="bottom"/>
            <w:hideMark/>
          </w:tcPr>
          <w:p w14:paraId="42D60114"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4CF25637" w14:textId="77777777" w:rsidTr="00637E5A">
        <w:trPr>
          <w:trHeight w:val="136"/>
        </w:trPr>
        <w:tc>
          <w:tcPr>
            <w:tcW w:w="1775" w:type="dxa"/>
            <w:gridSpan w:val="2"/>
            <w:tcBorders>
              <w:top w:val="nil"/>
              <w:left w:val="nil"/>
              <w:bottom w:val="nil"/>
              <w:right w:val="nil"/>
            </w:tcBorders>
            <w:shd w:val="clear" w:color="auto" w:fill="auto"/>
            <w:noWrap/>
            <w:vAlign w:val="center"/>
            <w:hideMark/>
          </w:tcPr>
          <w:p w14:paraId="7EE11D1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1D266B8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2285" w:type="dxa"/>
            <w:tcBorders>
              <w:top w:val="nil"/>
              <w:left w:val="nil"/>
              <w:bottom w:val="nil"/>
              <w:right w:val="nil"/>
            </w:tcBorders>
            <w:shd w:val="clear" w:color="auto" w:fill="auto"/>
            <w:noWrap/>
            <w:vAlign w:val="bottom"/>
            <w:hideMark/>
          </w:tcPr>
          <w:p w14:paraId="65F6ED7B" w14:textId="77777777" w:rsidR="005B0175" w:rsidRPr="00865201" w:rsidRDefault="005B0175" w:rsidP="00637E5A">
            <w:pPr>
              <w:spacing w:after="0" w:line="240" w:lineRule="auto"/>
              <w:rPr>
                <w:rFonts w:eastAsia="Times New Roman" w:cs="Arial"/>
                <w:sz w:val="18"/>
                <w:szCs w:val="18"/>
                <w:lang w:eastAsia="fr-FR"/>
              </w:rPr>
            </w:pPr>
          </w:p>
        </w:tc>
        <w:tc>
          <w:tcPr>
            <w:tcW w:w="5717" w:type="dxa"/>
            <w:gridSpan w:val="4"/>
            <w:tcBorders>
              <w:top w:val="nil"/>
              <w:left w:val="nil"/>
              <w:bottom w:val="nil"/>
              <w:right w:val="nil"/>
            </w:tcBorders>
            <w:shd w:val="clear" w:color="auto" w:fill="auto"/>
            <w:noWrap/>
            <w:vAlign w:val="center"/>
            <w:hideMark/>
          </w:tcPr>
          <w:p w14:paraId="4D017BAC"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Gros achats*</w:t>
            </w:r>
          </w:p>
        </w:tc>
      </w:tr>
      <w:tr w:rsidR="005B0175" w:rsidRPr="00865201" w14:paraId="25844590" w14:textId="77777777" w:rsidTr="00637E5A">
        <w:trPr>
          <w:trHeight w:val="136"/>
        </w:trPr>
        <w:tc>
          <w:tcPr>
            <w:tcW w:w="1629" w:type="dxa"/>
            <w:tcBorders>
              <w:top w:val="nil"/>
              <w:left w:val="nil"/>
              <w:bottom w:val="nil"/>
              <w:right w:val="nil"/>
            </w:tcBorders>
            <w:shd w:val="clear" w:color="auto" w:fill="auto"/>
            <w:noWrap/>
            <w:vAlign w:val="center"/>
            <w:hideMark/>
          </w:tcPr>
          <w:p w14:paraId="07E268EE"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13E029FC"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9B772E1" w14:textId="77777777" w:rsidR="005B0175" w:rsidRPr="00865201" w:rsidRDefault="005B0175" w:rsidP="00637E5A">
            <w:pPr>
              <w:spacing w:after="0" w:line="240" w:lineRule="auto"/>
              <w:rPr>
                <w:rFonts w:eastAsia="Times New Roman" w:cs="Arial"/>
                <w:sz w:val="18"/>
                <w:szCs w:val="18"/>
                <w:lang w:eastAsia="fr-FR"/>
              </w:rPr>
            </w:pPr>
          </w:p>
        </w:tc>
        <w:tc>
          <w:tcPr>
            <w:tcW w:w="7247" w:type="dxa"/>
            <w:gridSpan w:val="4"/>
            <w:tcBorders>
              <w:top w:val="nil"/>
              <w:left w:val="nil"/>
              <w:bottom w:val="nil"/>
              <w:right w:val="nil"/>
            </w:tcBorders>
            <w:shd w:val="clear" w:color="auto" w:fill="auto"/>
            <w:noWrap/>
            <w:vAlign w:val="center"/>
            <w:hideMark/>
          </w:tcPr>
          <w:p w14:paraId="2DBEDC69"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 hors produits élaborés</w:t>
            </w:r>
          </w:p>
        </w:tc>
        <w:tc>
          <w:tcPr>
            <w:tcW w:w="755" w:type="dxa"/>
            <w:tcBorders>
              <w:top w:val="nil"/>
              <w:left w:val="nil"/>
              <w:bottom w:val="nil"/>
              <w:right w:val="nil"/>
            </w:tcBorders>
            <w:shd w:val="clear" w:color="auto" w:fill="auto"/>
            <w:vAlign w:val="center"/>
            <w:hideMark/>
          </w:tcPr>
          <w:p w14:paraId="0E1A643E"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2EA709C" w14:textId="77777777" w:rsidTr="00637E5A">
        <w:trPr>
          <w:trHeight w:val="136"/>
        </w:trPr>
        <w:tc>
          <w:tcPr>
            <w:tcW w:w="1629" w:type="dxa"/>
            <w:tcBorders>
              <w:top w:val="nil"/>
              <w:left w:val="nil"/>
              <w:bottom w:val="nil"/>
              <w:right w:val="nil"/>
            </w:tcBorders>
            <w:shd w:val="clear" w:color="auto" w:fill="auto"/>
            <w:noWrap/>
            <w:vAlign w:val="center"/>
            <w:hideMark/>
          </w:tcPr>
          <w:p w14:paraId="5E6D712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279A4507"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456D3F0"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20D9971" w14:textId="77777777" w:rsidR="005B0175" w:rsidRPr="00865201" w:rsidRDefault="005B0175" w:rsidP="00637E5A">
            <w:pPr>
              <w:spacing w:after="0" w:line="240" w:lineRule="auto"/>
              <w:rPr>
                <w:rFonts w:eastAsia="Times New Roman" w:cs="Arial"/>
                <w:sz w:val="18"/>
                <w:szCs w:val="18"/>
                <w:lang w:eastAsia="fr-FR"/>
              </w:rPr>
            </w:pPr>
          </w:p>
        </w:tc>
        <w:tc>
          <w:tcPr>
            <w:tcW w:w="5717" w:type="dxa"/>
            <w:gridSpan w:val="4"/>
            <w:tcBorders>
              <w:top w:val="nil"/>
              <w:left w:val="nil"/>
              <w:bottom w:val="nil"/>
              <w:right w:val="nil"/>
            </w:tcBorders>
            <w:shd w:val="clear" w:color="auto" w:fill="auto"/>
            <w:noWrap/>
            <w:vAlign w:val="center"/>
            <w:hideMark/>
          </w:tcPr>
          <w:p w14:paraId="0EC47C8A"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Hors abats et hors gros achats</w:t>
            </w:r>
          </w:p>
        </w:tc>
      </w:tr>
      <w:tr w:rsidR="005B0175" w:rsidRPr="00865201" w14:paraId="13715421" w14:textId="77777777" w:rsidTr="00637E5A">
        <w:trPr>
          <w:trHeight w:val="136"/>
        </w:trPr>
        <w:tc>
          <w:tcPr>
            <w:tcW w:w="1629" w:type="dxa"/>
            <w:tcBorders>
              <w:top w:val="nil"/>
              <w:left w:val="nil"/>
              <w:bottom w:val="nil"/>
              <w:right w:val="nil"/>
            </w:tcBorders>
            <w:shd w:val="clear" w:color="auto" w:fill="auto"/>
            <w:noWrap/>
            <w:vAlign w:val="center"/>
            <w:hideMark/>
          </w:tcPr>
          <w:p w14:paraId="16EEC62C"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613553FC"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5E3C7C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E7335D2"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4E472AF" w14:textId="77777777" w:rsidR="005B0175" w:rsidRPr="00865201" w:rsidRDefault="005B0175" w:rsidP="00637E5A">
            <w:pPr>
              <w:spacing w:after="0" w:line="240" w:lineRule="auto"/>
              <w:rPr>
                <w:rFonts w:eastAsia="Times New Roman" w:cs="Arial"/>
                <w:sz w:val="18"/>
                <w:szCs w:val="18"/>
                <w:lang w:eastAsia="fr-FR"/>
              </w:rPr>
            </w:pPr>
          </w:p>
        </w:tc>
        <w:tc>
          <w:tcPr>
            <w:tcW w:w="4998" w:type="dxa"/>
            <w:gridSpan w:val="3"/>
            <w:tcBorders>
              <w:top w:val="nil"/>
              <w:left w:val="nil"/>
              <w:bottom w:val="nil"/>
              <w:right w:val="nil"/>
            </w:tcBorders>
            <w:shd w:val="clear" w:color="auto" w:fill="auto"/>
            <w:noWrap/>
            <w:vAlign w:val="center"/>
            <w:hideMark/>
          </w:tcPr>
          <w:p w14:paraId="0B1082A9"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 rôtir, griller et poêler</w:t>
            </w:r>
          </w:p>
        </w:tc>
      </w:tr>
      <w:tr w:rsidR="005B0175" w:rsidRPr="00865201" w14:paraId="522F90EE" w14:textId="77777777" w:rsidTr="00637E5A">
        <w:trPr>
          <w:trHeight w:val="136"/>
        </w:trPr>
        <w:tc>
          <w:tcPr>
            <w:tcW w:w="1629" w:type="dxa"/>
            <w:tcBorders>
              <w:top w:val="nil"/>
              <w:left w:val="nil"/>
              <w:bottom w:val="nil"/>
              <w:right w:val="nil"/>
            </w:tcBorders>
            <w:shd w:val="clear" w:color="auto" w:fill="auto"/>
            <w:noWrap/>
            <w:vAlign w:val="center"/>
            <w:hideMark/>
          </w:tcPr>
          <w:p w14:paraId="7DB53B72"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2CB66CD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D7B3C3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2BC1F355"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AA0C657"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14E5D5D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 bouillir et braiser</w:t>
            </w:r>
          </w:p>
        </w:tc>
        <w:tc>
          <w:tcPr>
            <w:tcW w:w="755" w:type="dxa"/>
            <w:tcBorders>
              <w:top w:val="nil"/>
              <w:left w:val="nil"/>
              <w:bottom w:val="nil"/>
              <w:right w:val="nil"/>
            </w:tcBorders>
            <w:shd w:val="clear" w:color="auto" w:fill="auto"/>
            <w:vAlign w:val="center"/>
            <w:hideMark/>
          </w:tcPr>
          <w:p w14:paraId="504A6C74"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DC73CC0" w14:textId="77777777" w:rsidTr="00637E5A">
        <w:trPr>
          <w:trHeight w:val="136"/>
        </w:trPr>
        <w:tc>
          <w:tcPr>
            <w:tcW w:w="1629" w:type="dxa"/>
            <w:tcBorders>
              <w:top w:val="nil"/>
              <w:left w:val="nil"/>
              <w:bottom w:val="nil"/>
              <w:right w:val="nil"/>
            </w:tcBorders>
            <w:shd w:val="clear" w:color="auto" w:fill="auto"/>
            <w:noWrap/>
            <w:vAlign w:val="center"/>
            <w:hideMark/>
          </w:tcPr>
          <w:p w14:paraId="05D7DEC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58ACD8A"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78FBFF05"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673657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4096438"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756A344"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11C24943"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658155D8"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78257F8B" w14:textId="77777777" w:rsidTr="00637E5A">
        <w:trPr>
          <w:trHeight w:val="136"/>
        </w:trPr>
        <w:tc>
          <w:tcPr>
            <w:tcW w:w="1629" w:type="dxa"/>
            <w:tcBorders>
              <w:top w:val="nil"/>
              <w:left w:val="nil"/>
              <w:bottom w:val="nil"/>
              <w:right w:val="nil"/>
            </w:tcBorders>
            <w:shd w:val="clear" w:color="auto" w:fill="auto"/>
            <w:noWrap/>
            <w:vAlign w:val="center"/>
            <w:hideMark/>
          </w:tcPr>
          <w:p w14:paraId="4F72603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71E1652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EF3A20D"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39CAECF"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CEAE5D4"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5A8003C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Longe</w:t>
            </w:r>
          </w:p>
        </w:tc>
        <w:tc>
          <w:tcPr>
            <w:tcW w:w="2789" w:type="dxa"/>
            <w:tcBorders>
              <w:top w:val="nil"/>
              <w:left w:val="nil"/>
              <w:bottom w:val="nil"/>
              <w:right w:val="nil"/>
            </w:tcBorders>
            <w:shd w:val="clear" w:color="auto" w:fill="auto"/>
            <w:noWrap/>
            <w:vAlign w:val="bottom"/>
            <w:hideMark/>
          </w:tcPr>
          <w:p w14:paraId="7C1DDC9B"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20A5150E"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665732DA" w14:textId="77777777" w:rsidTr="00637E5A">
        <w:trPr>
          <w:trHeight w:val="136"/>
        </w:trPr>
        <w:tc>
          <w:tcPr>
            <w:tcW w:w="1629" w:type="dxa"/>
            <w:tcBorders>
              <w:top w:val="nil"/>
              <w:left w:val="nil"/>
              <w:bottom w:val="nil"/>
              <w:right w:val="nil"/>
            </w:tcBorders>
            <w:shd w:val="clear" w:color="auto" w:fill="auto"/>
            <w:noWrap/>
            <w:vAlign w:val="center"/>
            <w:hideMark/>
          </w:tcPr>
          <w:p w14:paraId="519ADFF2"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3D8E28D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1C1CFD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34E6D9A"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2CF7D46"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6D058F1D" w14:textId="77777777" w:rsidR="005B0175" w:rsidRPr="00865201" w:rsidRDefault="005B0175" w:rsidP="00637E5A">
            <w:pPr>
              <w:spacing w:after="0" w:line="240" w:lineRule="auto"/>
              <w:rPr>
                <w:rFonts w:eastAsia="Times New Roman" w:cs="Arial"/>
                <w:sz w:val="18"/>
                <w:szCs w:val="18"/>
                <w:lang w:eastAsia="fr-FR"/>
              </w:rPr>
            </w:pPr>
          </w:p>
        </w:tc>
        <w:tc>
          <w:tcPr>
            <w:tcW w:w="3544" w:type="dxa"/>
            <w:gridSpan w:val="2"/>
            <w:tcBorders>
              <w:top w:val="nil"/>
              <w:left w:val="nil"/>
              <w:bottom w:val="nil"/>
              <w:right w:val="nil"/>
            </w:tcBorders>
            <w:shd w:val="clear" w:color="auto" w:fill="auto"/>
            <w:noWrap/>
            <w:vAlign w:val="center"/>
            <w:hideMark/>
          </w:tcPr>
          <w:p w14:paraId="09503D95"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Escalope, grillade</w:t>
            </w:r>
          </w:p>
        </w:tc>
      </w:tr>
      <w:tr w:rsidR="005B0175" w:rsidRPr="00865201" w14:paraId="61A90BD6" w14:textId="77777777" w:rsidTr="00637E5A">
        <w:trPr>
          <w:trHeight w:val="136"/>
        </w:trPr>
        <w:tc>
          <w:tcPr>
            <w:tcW w:w="1629" w:type="dxa"/>
            <w:tcBorders>
              <w:top w:val="nil"/>
              <w:left w:val="nil"/>
              <w:bottom w:val="nil"/>
              <w:right w:val="nil"/>
            </w:tcBorders>
            <w:shd w:val="clear" w:color="auto" w:fill="auto"/>
            <w:noWrap/>
            <w:vAlign w:val="center"/>
            <w:hideMark/>
          </w:tcPr>
          <w:p w14:paraId="3A46B81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46118E4B"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A8CACB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1CA974F"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41B9FB3"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32CA3C04" w14:textId="77777777" w:rsidR="005B0175" w:rsidRPr="00865201" w:rsidRDefault="005B0175" w:rsidP="00637E5A">
            <w:pPr>
              <w:spacing w:after="0" w:line="240" w:lineRule="auto"/>
              <w:rPr>
                <w:rFonts w:eastAsia="Times New Roman" w:cs="Arial"/>
                <w:sz w:val="18"/>
                <w:szCs w:val="18"/>
                <w:lang w:eastAsia="fr-FR"/>
              </w:rPr>
            </w:pPr>
          </w:p>
        </w:tc>
        <w:tc>
          <w:tcPr>
            <w:tcW w:w="3544" w:type="dxa"/>
            <w:gridSpan w:val="2"/>
            <w:tcBorders>
              <w:top w:val="nil"/>
              <w:left w:val="nil"/>
              <w:bottom w:val="nil"/>
              <w:right w:val="nil"/>
            </w:tcBorders>
            <w:shd w:val="clear" w:color="auto" w:fill="auto"/>
            <w:noWrap/>
            <w:vAlign w:val="center"/>
            <w:hideMark/>
          </w:tcPr>
          <w:p w14:paraId="136D42D1"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Côte, côtelette</w:t>
            </w:r>
          </w:p>
        </w:tc>
      </w:tr>
      <w:tr w:rsidR="005B0175" w:rsidRPr="00865201" w14:paraId="6B7BC8E2" w14:textId="77777777" w:rsidTr="00637E5A">
        <w:trPr>
          <w:trHeight w:val="136"/>
        </w:trPr>
        <w:tc>
          <w:tcPr>
            <w:tcW w:w="1629" w:type="dxa"/>
            <w:tcBorders>
              <w:top w:val="nil"/>
              <w:left w:val="nil"/>
              <w:bottom w:val="nil"/>
              <w:right w:val="nil"/>
            </w:tcBorders>
            <w:shd w:val="clear" w:color="auto" w:fill="auto"/>
            <w:noWrap/>
            <w:vAlign w:val="center"/>
            <w:hideMark/>
          </w:tcPr>
          <w:p w14:paraId="2D380EA0"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5A95C998"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3F63B245"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6EBAEA0A"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3B16DD5"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18CF42F2"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62480B1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Filet, rôti</w:t>
            </w:r>
          </w:p>
        </w:tc>
        <w:tc>
          <w:tcPr>
            <w:tcW w:w="755" w:type="dxa"/>
            <w:tcBorders>
              <w:top w:val="nil"/>
              <w:left w:val="nil"/>
              <w:bottom w:val="nil"/>
              <w:right w:val="nil"/>
            </w:tcBorders>
            <w:shd w:val="clear" w:color="auto" w:fill="auto"/>
            <w:vAlign w:val="center"/>
            <w:hideMark/>
          </w:tcPr>
          <w:p w14:paraId="00DE4EA5"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130EA31" w14:textId="77777777" w:rsidTr="00637E5A">
        <w:trPr>
          <w:trHeight w:val="136"/>
        </w:trPr>
        <w:tc>
          <w:tcPr>
            <w:tcW w:w="1629" w:type="dxa"/>
            <w:tcBorders>
              <w:top w:val="nil"/>
              <w:left w:val="nil"/>
              <w:bottom w:val="nil"/>
              <w:right w:val="nil"/>
            </w:tcBorders>
            <w:shd w:val="clear" w:color="auto" w:fill="auto"/>
            <w:noWrap/>
            <w:vAlign w:val="center"/>
            <w:hideMark/>
          </w:tcPr>
          <w:p w14:paraId="06D6881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6F30388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7F50F73"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F5E6D0A"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648A16A9"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20943F51"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724DCBC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755" w:type="dxa"/>
            <w:tcBorders>
              <w:top w:val="nil"/>
              <w:left w:val="nil"/>
              <w:bottom w:val="nil"/>
              <w:right w:val="nil"/>
            </w:tcBorders>
            <w:shd w:val="clear" w:color="auto" w:fill="auto"/>
            <w:vAlign w:val="center"/>
            <w:hideMark/>
          </w:tcPr>
          <w:p w14:paraId="2D90A5AF"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0C4D9E33" w14:textId="77777777" w:rsidTr="00637E5A">
        <w:trPr>
          <w:trHeight w:val="136"/>
        </w:trPr>
        <w:tc>
          <w:tcPr>
            <w:tcW w:w="1629" w:type="dxa"/>
            <w:tcBorders>
              <w:top w:val="nil"/>
              <w:left w:val="nil"/>
              <w:bottom w:val="nil"/>
              <w:right w:val="nil"/>
            </w:tcBorders>
            <w:shd w:val="clear" w:color="auto" w:fill="auto"/>
            <w:noWrap/>
            <w:vAlign w:val="center"/>
            <w:hideMark/>
          </w:tcPr>
          <w:p w14:paraId="6C95157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2E64805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09D7AC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47BFBF6"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37DD3C5"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D3230B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4984AC62"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1D610C2"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65137AB2" w14:textId="77777777" w:rsidTr="00637E5A">
        <w:trPr>
          <w:trHeight w:val="136"/>
        </w:trPr>
        <w:tc>
          <w:tcPr>
            <w:tcW w:w="1629" w:type="dxa"/>
            <w:tcBorders>
              <w:top w:val="nil"/>
              <w:left w:val="nil"/>
              <w:bottom w:val="nil"/>
              <w:right w:val="nil"/>
            </w:tcBorders>
            <w:shd w:val="clear" w:color="auto" w:fill="auto"/>
            <w:noWrap/>
            <w:vAlign w:val="center"/>
            <w:hideMark/>
          </w:tcPr>
          <w:p w14:paraId="18BAB51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4DC2046B"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7305BFF"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545FCA3" w14:textId="77777777" w:rsidR="005B0175" w:rsidRPr="00865201" w:rsidRDefault="005B0175" w:rsidP="00637E5A">
            <w:pPr>
              <w:spacing w:after="0" w:line="240" w:lineRule="auto"/>
              <w:rPr>
                <w:rFonts w:eastAsia="Times New Roman" w:cs="Arial"/>
                <w:sz w:val="18"/>
                <w:szCs w:val="18"/>
                <w:lang w:eastAsia="fr-FR"/>
              </w:rPr>
            </w:pPr>
          </w:p>
        </w:tc>
        <w:tc>
          <w:tcPr>
            <w:tcW w:w="4962" w:type="dxa"/>
            <w:gridSpan w:val="3"/>
            <w:tcBorders>
              <w:top w:val="nil"/>
              <w:left w:val="nil"/>
              <w:bottom w:val="nil"/>
              <w:right w:val="nil"/>
            </w:tcBorders>
            <w:shd w:val="clear" w:color="auto" w:fill="auto"/>
            <w:noWrap/>
            <w:vAlign w:val="center"/>
            <w:hideMark/>
          </w:tcPr>
          <w:p w14:paraId="68F9B920"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Abats, hors abats cuisinés</w:t>
            </w:r>
          </w:p>
        </w:tc>
        <w:tc>
          <w:tcPr>
            <w:tcW w:w="755" w:type="dxa"/>
            <w:tcBorders>
              <w:top w:val="nil"/>
              <w:left w:val="nil"/>
              <w:bottom w:val="nil"/>
              <w:right w:val="nil"/>
            </w:tcBorders>
            <w:shd w:val="clear" w:color="auto" w:fill="auto"/>
            <w:vAlign w:val="center"/>
            <w:hideMark/>
          </w:tcPr>
          <w:p w14:paraId="4F3FFE81"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48725605" w14:textId="77777777" w:rsidTr="00637E5A">
        <w:trPr>
          <w:trHeight w:val="136"/>
        </w:trPr>
        <w:tc>
          <w:tcPr>
            <w:tcW w:w="1629" w:type="dxa"/>
            <w:tcBorders>
              <w:top w:val="nil"/>
              <w:left w:val="nil"/>
              <w:bottom w:val="nil"/>
              <w:right w:val="nil"/>
            </w:tcBorders>
            <w:shd w:val="clear" w:color="auto" w:fill="auto"/>
            <w:noWrap/>
            <w:vAlign w:val="center"/>
            <w:hideMark/>
          </w:tcPr>
          <w:p w14:paraId="3756E4B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B912975"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AF0335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BEE4F2B"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60601829" w14:textId="77777777" w:rsidR="005B0175" w:rsidRPr="00865201" w:rsidRDefault="005B0175" w:rsidP="00637E5A">
            <w:pPr>
              <w:spacing w:after="0" w:line="240" w:lineRule="auto"/>
              <w:rPr>
                <w:rFonts w:eastAsia="Times New Roman" w:cs="Arial"/>
                <w:sz w:val="18"/>
                <w:szCs w:val="18"/>
                <w:lang w:eastAsia="fr-FR"/>
              </w:rPr>
            </w:pPr>
          </w:p>
        </w:tc>
        <w:tc>
          <w:tcPr>
            <w:tcW w:w="4998" w:type="dxa"/>
            <w:gridSpan w:val="3"/>
            <w:tcBorders>
              <w:top w:val="nil"/>
              <w:left w:val="nil"/>
              <w:bottom w:val="nil"/>
              <w:right w:val="nil"/>
            </w:tcBorders>
            <w:shd w:val="clear" w:color="auto" w:fill="auto"/>
            <w:noWrap/>
            <w:vAlign w:val="center"/>
            <w:hideMark/>
          </w:tcPr>
          <w:p w14:paraId="618BBA2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Cœur, langue, rognon</w:t>
            </w:r>
          </w:p>
        </w:tc>
      </w:tr>
      <w:tr w:rsidR="005B0175" w:rsidRPr="00865201" w14:paraId="657EB707" w14:textId="77777777" w:rsidTr="00637E5A">
        <w:trPr>
          <w:trHeight w:val="136"/>
        </w:trPr>
        <w:tc>
          <w:tcPr>
            <w:tcW w:w="1629" w:type="dxa"/>
            <w:tcBorders>
              <w:top w:val="nil"/>
              <w:left w:val="nil"/>
              <w:bottom w:val="nil"/>
              <w:right w:val="nil"/>
            </w:tcBorders>
            <w:shd w:val="clear" w:color="auto" w:fill="auto"/>
            <w:noWrap/>
            <w:vAlign w:val="center"/>
            <w:hideMark/>
          </w:tcPr>
          <w:p w14:paraId="655AD974"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6955169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0050D529"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80E36C0"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45727B7"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6E9B4FAD"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Foie</w:t>
            </w:r>
          </w:p>
        </w:tc>
        <w:tc>
          <w:tcPr>
            <w:tcW w:w="2789" w:type="dxa"/>
            <w:tcBorders>
              <w:top w:val="nil"/>
              <w:left w:val="nil"/>
              <w:bottom w:val="nil"/>
              <w:right w:val="nil"/>
            </w:tcBorders>
            <w:shd w:val="clear" w:color="auto" w:fill="auto"/>
            <w:noWrap/>
            <w:vAlign w:val="bottom"/>
            <w:hideMark/>
          </w:tcPr>
          <w:p w14:paraId="574C8287"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2D38576D"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34ACAE1B" w14:textId="77777777" w:rsidTr="00637E5A">
        <w:trPr>
          <w:trHeight w:val="136"/>
        </w:trPr>
        <w:tc>
          <w:tcPr>
            <w:tcW w:w="1629" w:type="dxa"/>
            <w:tcBorders>
              <w:top w:val="nil"/>
              <w:left w:val="nil"/>
              <w:bottom w:val="nil"/>
              <w:right w:val="nil"/>
            </w:tcBorders>
            <w:shd w:val="clear" w:color="auto" w:fill="auto"/>
            <w:noWrap/>
            <w:vAlign w:val="center"/>
            <w:hideMark/>
          </w:tcPr>
          <w:p w14:paraId="49407DD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A290D2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3E98B4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190BF91"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3911EDED"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7FE1652D"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04F36583"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88A174E"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1D17D811" w14:textId="77777777" w:rsidTr="00637E5A">
        <w:trPr>
          <w:trHeight w:val="136"/>
        </w:trPr>
        <w:tc>
          <w:tcPr>
            <w:tcW w:w="1629" w:type="dxa"/>
            <w:tcBorders>
              <w:top w:val="nil"/>
              <w:left w:val="nil"/>
              <w:bottom w:val="nil"/>
              <w:right w:val="nil"/>
            </w:tcBorders>
            <w:shd w:val="clear" w:color="auto" w:fill="auto"/>
            <w:noWrap/>
            <w:vAlign w:val="center"/>
            <w:hideMark/>
          </w:tcPr>
          <w:p w14:paraId="5FA0001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182FB092"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78959871"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E062B3A"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6DB5136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Gros achats*</w:t>
            </w:r>
          </w:p>
        </w:tc>
        <w:tc>
          <w:tcPr>
            <w:tcW w:w="2789" w:type="dxa"/>
            <w:tcBorders>
              <w:top w:val="nil"/>
              <w:left w:val="nil"/>
              <w:bottom w:val="nil"/>
              <w:right w:val="nil"/>
            </w:tcBorders>
            <w:shd w:val="clear" w:color="auto" w:fill="auto"/>
            <w:noWrap/>
            <w:vAlign w:val="bottom"/>
            <w:hideMark/>
          </w:tcPr>
          <w:p w14:paraId="56B7481D"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505662C4"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7AA3ECEB" w14:textId="77777777" w:rsidTr="00637E5A">
        <w:trPr>
          <w:trHeight w:val="136"/>
        </w:trPr>
        <w:tc>
          <w:tcPr>
            <w:tcW w:w="1629" w:type="dxa"/>
            <w:tcBorders>
              <w:top w:val="nil"/>
              <w:left w:val="nil"/>
              <w:bottom w:val="nil"/>
              <w:right w:val="nil"/>
            </w:tcBorders>
            <w:shd w:val="clear" w:color="auto" w:fill="auto"/>
            <w:noWrap/>
            <w:vAlign w:val="center"/>
            <w:hideMark/>
          </w:tcPr>
          <w:p w14:paraId="36C8B60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4CFB162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78EF066" w14:textId="77777777" w:rsidR="005B0175" w:rsidRPr="00865201" w:rsidRDefault="005B0175" w:rsidP="00637E5A">
            <w:pPr>
              <w:spacing w:after="0" w:line="240" w:lineRule="auto"/>
              <w:rPr>
                <w:rFonts w:eastAsia="Times New Roman" w:cs="Arial"/>
                <w:sz w:val="18"/>
                <w:szCs w:val="18"/>
                <w:lang w:eastAsia="fr-FR"/>
              </w:rPr>
            </w:pPr>
          </w:p>
        </w:tc>
        <w:tc>
          <w:tcPr>
            <w:tcW w:w="8002" w:type="dxa"/>
            <w:gridSpan w:val="5"/>
            <w:tcBorders>
              <w:top w:val="nil"/>
              <w:left w:val="nil"/>
              <w:bottom w:val="nil"/>
              <w:right w:val="nil"/>
            </w:tcBorders>
            <w:shd w:val="clear" w:color="auto" w:fill="auto"/>
            <w:noWrap/>
            <w:vAlign w:val="center"/>
            <w:hideMark/>
          </w:tcPr>
          <w:p w14:paraId="21A9656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 produits élaborés de viande de boucherie</w:t>
            </w:r>
          </w:p>
        </w:tc>
      </w:tr>
      <w:tr w:rsidR="005B0175" w:rsidRPr="00865201" w14:paraId="411352E6" w14:textId="77777777" w:rsidTr="00637E5A">
        <w:trPr>
          <w:trHeight w:val="136"/>
        </w:trPr>
        <w:tc>
          <w:tcPr>
            <w:tcW w:w="1629" w:type="dxa"/>
            <w:tcBorders>
              <w:top w:val="nil"/>
              <w:left w:val="nil"/>
              <w:bottom w:val="nil"/>
              <w:right w:val="nil"/>
            </w:tcBorders>
            <w:shd w:val="clear" w:color="auto" w:fill="auto"/>
            <w:noWrap/>
            <w:vAlign w:val="center"/>
            <w:hideMark/>
          </w:tcPr>
          <w:p w14:paraId="7DC4DEA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049F242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83AEADF"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7514CC5"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44FB00A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Brochette</w:t>
            </w:r>
            <w:r>
              <w:rPr>
                <w:rFonts w:eastAsia="Times New Roman" w:cs="Arial"/>
                <w:color w:val="000000"/>
                <w:sz w:val="18"/>
                <w:szCs w:val="18"/>
                <w:lang w:eastAsia="fr-FR"/>
              </w:rPr>
              <w:t xml:space="preserve"> ME</w:t>
            </w:r>
          </w:p>
        </w:tc>
        <w:tc>
          <w:tcPr>
            <w:tcW w:w="2789" w:type="dxa"/>
            <w:tcBorders>
              <w:top w:val="nil"/>
              <w:left w:val="nil"/>
              <w:bottom w:val="nil"/>
              <w:right w:val="nil"/>
            </w:tcBorders>
            <w:shd w:val="clear" w:color="auto" w:fill="auto"/>
            <w:noWrap/>
            <w:vAlign w:val="bottom"/>
            <w:hideMark/>
          </w:tcPr>
          <w:p w14:paraId="6C54CD66"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C58ADE1"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368DB015" w14:textId="77777777" w:rsidTr="00637E5A">
        <w:trPr>
          <w:trHeight w:val="136"/>
        </w:trPr>
        <w:tc>
          <w:tcPr>
            <w:tcW w:w="1629" w:type="dxa"/>
            <w:tcBorders>
              <w:top w:val="nil"/>
              <w:left w:val="nil"/>
              <w:bottom w:val="nil"/>
              <w:right w:val="nil"/>
            </w:tcBorders>
            <w:shd w:val="clear" w:color="auto" w:fill="auto"/>
            <w:noWrap/>
            <w:vAlign w:val="center"/>
            <w:hideMark/>
          </w:tcPr>
          <w:p w14:paraId="1D602A4F"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D43C9A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7C9AF06A"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F0604EC"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4F7B9AA"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2E9A5FC3"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Dt </w:t>
            </w:r>
            <w:r w:rsidRPr="00865201">
              <w:rPr>
                <w:rFonts w:eastAsia="Times New Roman" w:cs="Arial"/>
                <w:color w:val="000000"/>
                <w:sz w:val="18"/>
                <w:szCs w:val="18"/>
                <w:lang w:eastAsia="fr-FR"/>
              </w:rPr>
              <w:t>Porc</w:t>
            </w:r>
          </w:p>
        </w:tc>
        <w:tc>
          <w:tcPr>
            <w:tcW w:w="2789" w:type="dxa"/>
            <w:tcBorders>
              <w:top w:val="nil"/>
              <w:left w:val="nil"/>
              <w:bottom w:val="nil"/>
              <w:right w:val="nil"/>
            </w:tcBorders>
            <w:shd w:val="clear" w:color="auto" w:fill="auto"/>
            <w:noWrap/>
            <w:vAlign w:val="bottom"/>
            <w:hideMark/>
          </w:tcPr>
          <w:p w14:paraId="73588DBC"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27425398"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10804176" w14:textId="77777777" w:rsidTr="00637E5A">
        <w:trPr>
          <w:trHeight w:val="136"/>
        </w:trPr>
        <w:tc>
          <w:tcPr>
            <w:tcW w:w="1629" w:type="dxa"/>
            <w:tcBorders>
              <w:top w:val="nil"/>
              <w:left w:val="nil"/>
              <w:bottom w:val="nil"/>
              <w:right w:val="nil"/>
            </w:tcBorders>
            <w:shd w:val="clear" w:color="auto" w:fill="auto"/>
            <w:noWrap/>
            <w:vAlign w:val="center"/>
            <w:hideMark/>
          </w:tcPr>
          <w:p w14:paraId="74A8E28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E0656A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4369B1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DE855BC"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352DF6B9"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3F5EE07D"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 de viande</w:t>
            </w:r>
          </w:p>
        </w:tc>
        <w:tc>
          <w:tcPr>
            <w:tcW w:w="755" w:type="dxa"/>
            <w:tcBorders>
              <w:top w:val="nil"/>
              <w:left w:val="nil"/>
              <w:bottom w:val="nil"/>
              <w:right w:val="nil"/>
            </w:tcBorders>
            <w:shd w:val="clear" w:color="auto" w:fill="auto"/>
            <w:vAlign w:val="center"/>
            <w:hideMark/>
          </w:tcPr>
          <w:p w14:paraId="35D6E79D"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58A52EC0" w14:textId="77777777" w:rsidTr="00637E5A">
        <w:trPr>
          <w:trHeight w:val="136"/>
        </w:trPr>
        <w:tc>
          <w:tcPr>
            <w:tcW w:w="1629" w:type="dxa"/>
            <w:tcBorders>
              <w:top w:val="nil"/>
              <w:left w:val="nil"/>
              <w:bottom w:val="nil"/>
              <w:right w:val="nil"/>
            </w:tcBorders>
            <w:shd w:val="clear" w:color="auto" w:fill="auto"/>
            <w:noWrap/>
            <w:vAlign w:val="center"/>
            <w:hideMark/>
          </w:tcPr>
          <w:p w14:paraId="235C1406"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E7900F3"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3262ACB"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A447049"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E945F62"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1D1C1BA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5A5DA29E"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55347624"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62C13F45" w14:textId="77777777" w:rsidTr="00637E5A">
        <w:trPr>
          <w:trHeight w:val="136"/>
        </w:trPr>
        <w:tc>
          <w:tcPr>
            <w:tcW w:w="1629" w:type="dxa"/>
            <w:tcBorders>
              <w:top w:val="nil"/>
              <w:left w:val="nil"/>
              <w:bottom w:val="nil"/>
              <w:right w:val="nil"/>
            </w:tcBorders>
            <w:shd w:val="clear" w:color="auto" w:fill="auto"/>
            <w:noWrap/>
            <w:vAlign w:val="center"/>
            <w:hideMark/>
          </w:tcPr>
          <w:p w14:paraId="53FF564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059D325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7AA1F47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22BB160" w14:textId="77777777" w:rsidR="005B0175" w:rsidRPr="00865201" w:rsidRDefault="005B0175" w:rsidP="00637E5A">
            <w:pPr>
              <w:spacing w:after="0" w:line="240" w:lineRule="auto"/>
              <w:rPr>
                <w:rFonts w:eastAsia="Times New Roman" w:cs="Arial"/>
                <w:sz w:val="18"/>
                <w:szCs w:val="18"/>
                <w:lang w:eastAsia="fr-FR"/>
              </w:rPr>
            </w:pPr>
          </w:p>
        </w:tc>
        <w:tc>
          <w:tcPr>
            <w:tcW w:w="4962" w:type="dxa"/>
            <w:gridSpan w:val="3"/>
            <w:tcBorders>
              <w:top w:val="nil"/>
              <w:left w:val="nil"/>
              <w:bottom w:val="nil"/>
              <w:right w:val="nil"/>
            </w:tcBorders>
            <w:shd w:val="clear" w:color="auto" w:fill="auto"/>
            <w:noWrap/>
            <w:vAlign w:val="center"/>
            <w:hideMark/>
          </w:tcPr>
          <w:p w14:paraId="5140825F"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Plateau pour grill, barbecue</w:t>
            </w:r>
          </w:p>
        </w:tc>
        <w:tc>
          <w:tcPr>
            <w:tcW w:w="755" w:type="dxa"/>
            <w:tcBorders>
              <w:top w:val="nil"/>
              <w:left w:val="nil"/>
              <w:bottom w:val="nil"/>
              <w:right w:val="nil"/>
            </w:tcBorders>
            <w:shd w:val="clear" w:color="auto" w:fill="auto"/>
            <w:vAlign w:val="center"/>
            <w:hideMark/>
          </w:tcPr>
          <w:p w14:paraId="32D64FD4"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1DD83EB6" w14:textId="77777777" w:rsidTr="00637E5A">
        <w:trPr>
          <w:trHeight w:val="136"/>
        </w:trPr>
        <w:tc>
          <w:tcPr>
            <w:tcW w:w="1629" w:type="dxa"/>
            <w:tcBorders>
              <w:top w:val="nil"/>
              <w:left w:val="nil"/>
              <w:bottom w:val="nil"/>
              <w:right w:val="nil"/>
            </w:tcBorders>
            <w:shd w:val="clear" w:color="auto" w:fill="auto"/>
            <w:noWrap/>
            <w:vAlign w:val="center"/>
            <w:hideMark/>
          </w:tcPr>
          <w:p w14:paraId="2AA5304E"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E3AEBF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57A3A9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4D269BFB"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D3ABFF4"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1E2D054"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w:t>
            </w:r>
          </w:p>
        </w:tc>
        <w:tc>
          <w:tcPr>
            <w:tcW w:w="2789" w:type="dxa"/>
            <w:tcBorders>
              <w:top w:val="nil"/>
              <w:left w:val="nil"/>
              <w:bottom w:val="nil"/>
              <w:right w:val="nil"/>
            </w:tcBorders>
            <w:shd w:val="clear" w:color="auto" w:fill="auto"/>
            <w:noWrap/>
            <w:vAlign w:val="bottom"/>
            <w:hideMark/>
          </w:tcPr>
          <w:p w14:paraId="655EF470"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6D4694C"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08148930" w14:textId="77777777" w:rsidTr="00637E5A">
        <w:trPr>
          <w:trHeight w:val="136"/>
        </w:trPr>
        <w:tc>
          <w:tcPr>
            <w:tcW w:w="1629" w:type="dxa"/>
            <w:tcBorders>
              <w:top w:val="nil"/>
              <w:left w:val="nil"/>
              <w:bottom w:val="nil"/>
              <w:right w:val="nil"/>
            </w:tcBorders>
            <w:shd w:val="clear" w:color="auto" w:fill="auto"/>
            <w:noWrap/>
            <w:vAlign w:val="center"/>
            <w:hideMark/>
          </w:tcPr>
          <w:p w14:paraId="0BEA8524"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3F027252"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BE88F20"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3C7A894"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D9AE31A"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5A070BCC"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 de viande</w:t>
            </w:r>
          </w:p>
        </w:tc>
        <w:tc>
          <w:tcPr>
            <w:tcW w:w="755" w:type="dxa"/>
            <w:tcBorders>
              <w:top w:val="nil"/>
              <w:left w:val="nil"/>
              <w:bottom w:val="nil"/>
              <w:right w:val="nil"/>
            </w:tcBorders>
            <w:shd w:val="clear" w:color="auto" w:fill="auto"/>
            <w:vAlign w:val="center"/>
            <w:hideMark/>
          </w:tcPr>
          <w:p w14:paraId="5B5C8985"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3E2DAC03" w14:textId="77777777" w:rsidTr="00637E5A">
        <w:trPr>
          <w:trHeight w:val="136"/>
        </w:trPr>
        <w:tc>
          <w:tcPr>
            <w:tcW w:w="1629" w:type="dxa"/>
            <w:tcBorders>
              <w:top w:val="nil"/>
              <w:left w:val="nil"/>
              <w:bottom w:val="nil"/>
              <w:right w:val="nil"/>
            </w:tcBorders>
            <w:shd w:val="clear" w:color="auto" w:fill="auto"/>
            <w:noWrap/>
            <w:vAlign w:val="center"/>
            <w:hideMark/>
          </w:tcPr>
          <w:p w14:paraId="16DFB00F"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E71FD1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606A2A3"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179A0DC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C1028FF"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630188F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4CF04CC3"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39BDB74C"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0FBE320B" w14:textId="77777777" w:rsidTr="00637E5A">
        <w:trPr>
          <w:trHeight w:val="136"/>
        </w:trPr>
        <w:tc>
          <w:tcPr>
            <w:tcW w:w="1629" w:type="dxa"/>
            <w:tcBorders>
              <w:top w:val="nil"/>
              <w:left w:val="nil"/>
              <w:bottom w:val="nil"/>
              <w:right w:val="nil"/>
            </w:tcBorders>
            <w:shd w:val="clear" w:color="auto" w:fill="auto"/>
            <w:noWrap/>
            <w:vAlign w:val="center"/>
            <w:hideMark/>
          </w:tcPr>
          <w:p w14:paraId="792CBAE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440B9C5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0C78AC44"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C756235" w14:textId="77777777" w:rsidR="005B0175" w:rsidRPr="00865201" w:rsidRDefault="005B0175" w:rsidP="00637E5A">
            <w:pPr>
              <w:spacing w:after="0" w:line="240" w:lineRule="auto"/>
              <w:rPr>
                <w:rFonts w:eastAsia="Times New Roman" w:cs="Arial"/>
                <w:sz w:val="18"/>
                <w:szCs w:val="18"/>
                <w:lang w:eastAsia="fr-FR"/>
              </w:rPr>
            </w:pPr>
          </w:p>
        </w:tc>
        <w:tc>
          <w:tcPr>
            <w:tcW w:w="5717" w:type="dxa"/>
            <w:gridSpan w:val="4"/>
            <w:tcBorders>
              <w:top w:val="nil"/>
              <w:left w:val="nil"/>
              <w:bottom w:val="nil"/>
              <w:right w:val="nil"/>
            </w:tcBorders>
            <w:shd w:val="clear" w:color="auto" w:fill="auto"/>
            <w:noWrap/>
            <w:vAlign w:val="center"/>
            <w:hideMark/>
          </w:tcPr>
          <w:p w14:paraId="0E4532E5"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Plateau pour pierrade, fondue</w:t>
            </w:r>
          </w:p>
        </w:tc>
      </w:tr>
      <w:tr w:rsidR="005B0175" w:rsidRPr="00865201" w14:paraId="08796B5A" w14:textId="77777777" w:rsidTr="00637E5A">
        <w:trPr>
          <w:trHeight w:val="136"/>
        </w:trPr>
        <w:tc>
          <w:tcPr>
            <w:tcW w:w="1629" w:type="dxa"/>
            <w:tcBorders>
              <w:top w:val="nil"/>
              <w:left w:val="nil"/>
              <w:bottom w:val="nil"/>
              <w:right w:val="nil"/>
            </w:tcBorders>
            <w:shd w:val="clear" w:color="auto" w:fill="auto"/>
            <w:noWrap/>
            <w:vAlign w:val="center"/>
            <w:hideMark/>
          </w:tcPr>
          <w:p w14:paraId="0E9281F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25910D38"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8B4D610"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C8510E8"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7E6801A"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60CD4DE5"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Dt </w:t>
            </w:r>
            <w:r w:rsidRPr="00865201">
              <w:rPr>
                <w:rFonts w:eastAsia="Times New Roman" w:cs="Arial"/>
                <w:color w:val="000000"/>
                <w:sz w:val="18"/>
                <w:szCs w:val="18"/>
                <w:lang w:eastAsia="fr-FR"/>
              </w:rPr>
              <w:t>Porc</w:t>
            </w:r>
          </w:p>
        </w:tc>
        <w:tc>
          <w:tcPr>
            <w:tcW w:w="2789" w:type="dxa"/>
            <w:tcBorders>
              <w:top w:val="nil"/>
              <w:left w:val="nil"/>
              <w:bottom w:val="nil"/>
              <w:right w:val="nil"/>
            </w:tcBorders>
            <w:shd w:val="clear" w:color="auto" w:fill="auto"/>
            <w:noWrap/>
            <w:vAlign w:val="bottom"/>
            <w:hideMark/>
          </w:tcPr>
          <w:p w14:paraId="3F322C20"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2D38A9D"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7DAE4239" w14:textId="77777777" w:rsidTr="00637E5A">
        <w:trPr>
          <w:trHeight w:val="136"/>
        </w:trPr>
        <w:tc>
          <w:tcPr>
            <w:tcW w:w="1629" w:type="dxa"/>
            <w:tcBorders>
              <w:top w:val="nil"/>
              <w:left w:val="nil"/>
              <w:bottom w:val="nil"/>
              <w:right w:val="nil"/>
            </w:tcBorders>
            <w:shd w:val="clear" w:color="auto" w:fill="auto"/>
            <w:noWrap/>
            <w:vAlign w:val="center"/>
            <w:hideMark/>
          </w:tcPr>
          <w:p w14:paraId="351805A9"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759DE412"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54386A1"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4A90A8E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AAD6F28"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5A8E09F3"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 de viande</w:t>
            </w:r>
          </w:p>
        </w:tc>
        <w:tc>
          <w:tcPr>
            <w:tcW w:w="755" w:type="dxa"/>
            <w:tcBorders>
              <w:top w:val="nil"/>
              <w:left w:val="nil"/>
              <w:bottom w:val="nil"/>
              <w:right w:val="nil"/>
            </w:tcBorders>
            <w:shd w:val="clear" w:color="auto" w:fill="auto"/>
            <w:vAlign w:val="center"/>
            <w:hideMark/>
          </w:tcPr>
          <w:p w14:paraId="1620A6DE"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0EB36381" w14:textId="77777777" w:rsidTr="00637E5A">
        <w:trPr>
          <w:trHeight w:val="136"/>
        </w:trPr>
        <w:tc>
          <w:tcPr>
            <w:tcW w:w="1629" w:type="dxa"/>
            <w:tcBorders>
              <w:top w:val="nil"/>
              <w:left w:val="nil"/>
              <w:bottom w:val="nil"/>
              <w:right w:val="nil"/>
            </w:tcBorders>
            <w:shd w:val="clear" w:color="auto" w:fill="auto"/>
            <w:noWrap/>
            <w:vAlign w:val="bottom"/>
            <w:hideMark/>
          </w:tcPr>
          <w:p w14:paraId="212F9206" w14:textId="77777777" w:rsidR="005B0175" w:rsidRPr="00865201" w:rsidRDefault="005B0175" w:rsidP="00637E5A">
            <w:pPr>
              <w:spacing w:after="0" w:line="240" w:lineRule="auto"/>
              <w:rPr>
                <w:rFonts w:eastAsia="Times New Roman" w:cs="Arial"/>
                <w:sz w:val="18"/>
                <w:szCs w:val="18"/>
                <w:lang w:eastAsia="fr-FR"/>
              </w:rPr>
            </w:pPr>
          </w:p>
        </w:tc>
        <w:tc>
          <w:tcPr>
            <w:tcW w:w="146" w:type="dxa"/>
            <w:tcBorders>
              <w:top w:val="nil"/>
              <w:left w:val="nil"/>
              <w:bottom w:val="nil"/>
              <w:right w:val="nil"/>
            </w:tcBorders>
            <w:shd w:val="clear" w:color="auto" w:fill="auto"/>
            <w:noWrap/>
            <w:vAlign w:val="bottom"/>
            <w:hideMark/>
          </w:tcPr>
          <w:p w14:paraId="3901B9D6" w14:textId="77777777" w:rsidR="005B0175" w:rsidRPr="00865201" w:rsidRDefault="005B0175" w:rsidP="00637E5A">
            <w:pPr>
              <w:spacing w:after="0" w:line="240" w:lineRule="auto"/>
              <w:rPr>
                <w:rFonts w:eastAsia="Times New Roman" w:cs="Arial"/>
                <w:sz w:val="18"/>
                <w:szCs w:val="18"/>
                <w:lang w:eastAsia="fr-FR"/>
              </w:rPr>
            </w:pPr>
          </w:p>
        </w:tc>
        <w:tc>
          <w:tcPr>
            <w:tcW w:w="146" w:type="dxa"/>
            <w:tcBorders>
              <w:top w:val="nil"/>
              <w:left w:val="nil"/>
              <w:bottom w:val="nil"/>
              <w:right w:val="nil"/>
            </w:tcBorders>
            <w:shd w:val="clear" w:color="auto" w:fill="auto"/>
            <w:noWrap/>
            <w:vAlign w:val="bottom"/>
            <w:hideMark/>
          </w:tcPr>
          <w:p w14:paraId="12430F6D"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1B3836B"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EC569E6"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067C8815"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bottom"/>
            <w:hideMark/>
          </w:tcPr>
          <w:p w14:paraId="727D33D7" w14:textId="77777777" w:rsidR="005B0175" w:rsidRPr="00865201" w:rsidRDefault="005B0175" w:rsidP="00637E5A">
            <w:pPr>
              <w:spacing w:after="0" w:line="240" w:lineRule="auto"/>
              <w:rPr>
                <w:rFonts w:eastAsia="Times New Roman" w:cs="Arial"/>
                <w:sz w:val="18"/>
                <w:szCs w:val="18"/>
                <w:lang w:eastAsia="fr-FR"/>
              </w:rPr>
            </w:pPr>
          </w:p>
        </w:tc>
        <w:tc>
          <w:tcPr>
            <w:tcW w:w="755" w:type="dxa"/>
            <w:tcBorders>
              <w:top w:val="nil"/>
              <w:left w:val="nil"/>
              <w:bottom w:val="nil"/>
              <w:right w:val="nil"/>
            </w:tcBorders>
            <w:shd w:val="clear" w:color="auto" w:fill="auto"/>
            <w:vAlign w:val="center"/>
            <w:hideMark/>
          </w:tcPr>
          <w:p w14:paraId="483AB15F"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29B3FBA0" w14:textId="77777777" w:rsidTr="00637E5A">
        <w:trPr>
          <w:trHeight w:val="136"/>
        </w:trPr>
        <w:tc>
          <w:tcPr>
            <w:tcW w:w="1629" w:type="dxa"/>
            <w:tcBorders>
              <w:top w:val="nil"/>
              <w:left w:val="nil"/>
              <w:bottom w:val="nil"/>
              <w:right w:val="nil"/>
            </w:tcBorders>
            <w:shd w:val="clear" w:color="auto" w:fill="auto"/>
            <w:noWrap/>
            <w:vAlign w:val="center"/>
            <w:hideMark/>
          </w:tcPr>
          <w:p w14:paraId="12FD051D"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FB9D453"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7131CC3"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63434FE9"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85D8D24"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27FC5C58"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Pour pierrade</w:t>
            </w:r>
          </w:p>
        </w:tc>
        <w:tc>
          <w:tcPr>
            <w:tcW w:w="755" w:type="dxa"/>
            <w:tcBorders>
              <w:top w:val="nil"/>
              <w:left w:val="nil"/>
              <w:bottom w:val="nil"/>
              <w:right w:val="nil"/>
            </w:tcBorders>
            <w:shd w:val="clear" w:color="auto" w:fill="auto"/>
            <w:vAlign w:val="center"/>
            <w:hideMark/>
          </w:tcPr>
          <w:p w14:paraId="176F73A3"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0822DBE0" w14:textId="77777777" w:rsidTr="00637E5A">
        <w:trPr>
          <w:trHeight w:val="136"/>
        </w:trPr>
        <w:tc>
          <w:tcPr>
            <w:tcW w:w="1629" w:type="dxa"/>
            <w:tcBorders>
              <w:top w:val="nil"/>
              <w:left w:val="nil"/>
              <w:bottom w:val="nil"/>
              <w:right w:val="nil"/>
            </w:tcBorders>
            <w:shd w:val="clear" w:color="auto" w:fill="auto"/>
            <w:noWrap/>
            <w:vAlign w:val="center"/>
            <w:hideMark/>
          </w:tcPr>
          <w:p w14:paraId="78C8E092"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D5C2AC3"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3E16011"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82F5539"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AE55EE0"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3C7571D2"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Pour fondue</w:t>
            </w:r>
          </w:p>
        </w:tc>
        <w:tc>
          <w:tcPr>
            <w:tcW w:w="755" w:type="dxa"/>
            <w:tcBorders>
              <w:top w:val="nil"/>
              <w:left w:val="nil"/>
              <w:bottom w:val="nil"/>
              <w:right w:val="nil"/>
            </w:tcBorders>
            <w:shd w:val="clear" w:color="auto" w:fill="auto"/>
            <w:vAlign w:val="center"/>
            <w:hideMark/>
          </w:tcPr>
          <w:p w14:paraId="009C52D8"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4B0E7814" w14:textId="77777777" w:rsidTr="00637E5A">
        <w:trPr>
          <w:trHeight w:val="136"/>
        </w:trPr>
        <w:tc>
          <w:tcPr>
            <w:tcW w:w="1629" w:type="dxa"/>
            <w:tcBorders>
              <w:top w:val="nil"/>
              <w:left w:val="nil"/>
              <w:bottom w:val="nil"/>
              <w:right w:val="nil"/>
            </w:tcBorders>
            <w:shd w:val="clear" w:color="auto" w:fill="auto"/>
            <w:noWrap/>
            <w:vAlign w:val="center"/>
            <w:hideMark/>
          </w:tcPr>
          <w:p w14:paraId="3C59C4B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5ADC897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993833C"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B1E742F"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2A5BEB51"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Carpaccio</w:t>
            </w:r>
          </w:p>
        </w:tc>
        <w:tc>
          <w:tcPr>
            <w:tcW w:w="2789" w:type="dxa"/>
            <w:tcBorders>
              <w:top w:val="nil"/>
              <w:left w:val="nil"/>
              <w:bottom w:val="nil"/>
              <w:right w:val="nil"/>
            </w:tcBorders>
            <w:shd w:val="clear" w:color="auto" w:fill="auto"/>
            <w:noWrap/>
            <w:vAlign w:val="bottom"/>
            <w:hideMark/>
          </w:tcPr>
          <w:p w14:paraId="235F5DC4"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1C9CEBCA"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4BBBD556" w14:textId="77777777" w:rsidTr="00637E5A">
        <w:trPr>
          <w:trHeight w:val="136"/>
        </w:trPr>
        <w:tc>
          <w:tcPr>
            <w:tcW w:w="1629" w:type="dxa"/>
            <w:tcBorders>
              <w:top w:val="nil"/>
              <w:left w:val="nil"/>
              <w:bottom w:val="nil"/>
              <w:right w:val="nil"/>
            </w:tcBorders>
            <w:shd w:val="clear" w:color="auto" w:fill="auto"/>
            <w:noWrap/>
            <w:vAlign w:val="center"/>
            <w:hideMark/>
          </w:tcPr>
          <w:p w14:paraId="05216CFD"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6E5ED197"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69B8A1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80D4E20"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17AFD31"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64FF2E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w:t>
            </w:r>
          </w:p>
        </w:tc>
        <w:tc>
          <w:tcPr>
            <w:tcW w:w="2789" w:type="dxa"/>
            <w:tcBorders>
              <w:top w:val="nil"/>
              <w:left w:val="nil"/>
              <w:bottom w:val="nil"/>
              <w:right w:val="nil"/>
            </w:tcBorders>
            <w:shd w:val="clear" w:color="auto" w:fill="auto"/>
            <w:noWrap/>
            <w:vAlign w:val="bottom"/>
            <w:hideMark/>
          </w:tcPr>
          <w:p w14:paraId="34275BCB"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64F95196"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453B761D" w14:textId="77777777" w:rsidTr="00637E5A">
        <w:trPr>
          <w:trHeight w:val="136"/>
        </w:trPr>
        <w:tc>
          <w:tcPr>
            <w:tcW w:w="1629" w:type="dxa"/>
            <w:tcBorders>
              <w:top w:val="nil"/>
              <w:left w:val="nil"/>
              <w:bottom w:val="nil"/>
              <w:right w:val="nil"/>
            </w:tcBorders>
            <w:shd w:val="clear" w:color="auto" w:fill="auto"/>
            <w:noWrap/>
            <w:vAlign w:val="bottom"/>
            <w:hideMark/>
          </w:tcPr>
          <w:p w14:paraId="7FF42904" w14:textId="77777777" w:rsidR="005B0175" w:rsidRPr="00865201" w:rsidRDefault="005B0175" w:rsidP="00637E5A">
            <w:pPr>
              <w:spacing w:after="0" w:line="240" w:lineRule="auto"/>
              <w:rPr>
                <w:rFonts w:eastAsia="Times New Roman" w:cs="Arial"/>
                <w:sz w:val="18"/>
                <w:szCs w:val="18"/>
                <w:lang w:eastAsia="fr-FR"/>
              </w:rPr>
            </w:pPr>
          </w:p>
        </w:tc>
        <w:tc>
          <w:tcPr>
            <w:tcW w:w="146" w:type="dxa"/>
            <w:tcBorders>
              <w:top w:val="nil"/>
              <w:left w:val="nil"/>
              <w:bottom w:val="nil"/>
              <w:right w:val="nil"/>
            </w:tcBorders>
            <w:shd w:val="clear" w:color="auto" w:fill="auto"/>
            <w:noWrap/>
            <w:vAlign w:val="bottom"/>
            <w:hideMark/>
          </w:tcPr>
          <w:p w14:paraId="54D68A6B" w14:textId="77777777" w:rsidR="005B0175" w:rsidRPr="00865201" w:rsidRDefault="005B0175" w:rsidP="00637E5A">
            <w:pPr>
              <w:spacing w:after="0" w:line="240" w:lineRule="auto"/>
              <w:rPr>
                <w:rFonts w:eastAsia="Times New Roman" w:cs="Arial"/>
                <w:sz w:val="18"/>
                <w:szCs w:val="18"/>
                <w:lang w:eastAsia="fr-FR"/>
              </w:rPr>
            </w:pPr>
          </w:p>
        </w:tc>
        <w:tc>
          <w:tcPr>
            <w:tcW w:w="146" w:type="dxa"/>
            <w:tcBorders>
              <w:top w:val="nil"/>
              <w:left w:val="nil"/>
              <w:bottom w:val="nil"/>
              <w:right w:val="nil"/>
            </w:tcBorders>
            <w:shd w:val="clear" w:color="auto" w:fill="auto"/>
            <w:noWrap/>
            <w:vAlign w:val="bottom"/>
            <w:hideMark/>
          </w:tcPr>
          <w:p w14:paraId="4589106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646F79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B9624B7"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2A0B62CA"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11D99EDA"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64AFBEE6"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2BFEFC0E" w14:textId="77777777" w:rsidTr="00637E5A">
        <w:trPr>
          <w:trHeight w:val="136"/>
        </w:trPr>
        <w:tc>
          <w:tcPr>
            <w:tcW w:w="1629" w:type="dxa"/>
            <w:tcBorders>
              <w:top w:val="nil"/>
              <w:left w:val="nil"/>
              <w:bottom w:val="nil"/>
              <w:right w:val="nil"/>
            </w:tcBorders>
            <w:shd w:val="clear" w:color="auto" w:fill="auto"/>
            <w:noWrap/>
            <w:vAlign w:val="center"/>
            <w:hideMark/>
          </w:tcPr>
          <w:p w14:paraId="152F1A5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4B12535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9144BB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AA93872"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08E7312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Produit cuit</w:t>
            </w:r>
          </w:p>
        </w:tc>
        <w:tc>
          <w:tcPr>
            <w:tcW w:w="2789" w:type="dxa"/>
            <w:tcBorders>
              <w:top w:val="nil"/>
              <w:left w:val="nil"/>
              <w:bottom w:val="nil"/>
              <w:right w:val="nil"/>
            </w:tcBorders>
            <w:shd w:val="clear" w:color="auto" w:fill="auto"/>
            <w:noWrap/>
            <w:vAlign w:val="bottom"/>
            <w:hideMark/>
          </w:tcPr>
          <w:p w14:paraId="28556070"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6E617629"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37700D2C" w14:textId="77777777" w:rsidTr="00637E5A">
        <w:trPr>
          <w:trHeight w:val="136"/>
        </w:trPr>
        <w:tc>
          <w:tcPr>
            <w:tcW w:w="1629" w:type="dxa"/>
            <w:tcBorders>
              <w:top w:val="nil"/>
              <w:left w:val="nil"/>
              <w:bottom w:val="nil"/>
              <w:right w:val="nil"/>
            </w:tcBorders>
            <w:shd w:val="clear" w:color="auto" w:fill="auto"/>
            <w:noWrap/>
            <w:vAlign w:val="center"/>
            <w:hideMark/>
          </w:tcPr>
          <w:p w14:paraId="701873FC"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75266EA6"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E6FC9EB"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1A220B4"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3CD552F"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3749C3F8"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Rôti cuit</w:t>
            </w:r>
          </w:p>
        </w:tc>
        <w:tc>
          <w:tcPr>
            <w:tcW w:w="2789" w:type="dxa"/>
            <w:tcBorders>
              <w:top w:val="nil"/>
              <w:left w:val="nil"/>
              <w:bottom w:val="nil"/>
              <w:right w:val="nil"/>
            </w:tcBorders>
            <w:shd w:val="clear" w:color="auto" w:fill="auto"/>
            <w:noWrap/>
            <w:vAlign w:val="bottom"/>
            <w:hideMark/>
          </w:tcPr>
          <w:p w14:paraId="23EFC282"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4005BEA8"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325C7BCF" w14:textId="77777777" w:rsidTr="00637E5A">
        <w:trPr>
          <w:trHeight w:val="136"/>
        </w:trPr>
        <w:tc>
          <w:tcPr>
            <w:tcW w:w="1629" w:type="dxa"/>
            <w:tcBorders>
              <w:top w:val="nil"/>
              <w:left w:val="nil"/>
              <w:bottom w:val="nil"/>
              <w:right w:val="nil"/>
            </w:tcBorders>
            <w:shd w:val="clear" w:color="auto" w:fill="auto"/>
            <w:noWrap/>
            <w:vAlign w:val="center"/>
            <w:hideMark/>
          </w:tcPr>
          <w:p w14:paraId="60B6182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4C9F287"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269F4C5"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5DFE73C"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9B6AF14"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70677AA3"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 en sauce</w:t>
            </w:r>
          </w:p>
        </w:tc>
        <w:tc>
          <w:tcPr>
            <w:tcW w:w="755" w:type="dxa"/>
            <w:tcBorders>
              <w:top w:val="nil"/>
              <w:left w:val="nil"/>
              <w:bottom w:val="nil"/>
              <w:right w:val="nil"/>
            </w:tcBorders>
            <w:shd w:val="clear" w:color="auto" w:fill="auto"/>
            <w:vAlign w:val="center"/>
            <w:hideMark/>
          </w:tcPr>
          <w:p w14:paraId="4CD8C077"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10D67F75" w14:textId="77777777" w:rsidTr="00637E5A">
        <w:trPr>
          <w:trHeight w:val="136"/>
        </w:trPr>
        <w:tc>
          <w:tcPr>
            <w:tcW w:w="1629" w:type="dxa"/>
            <w:tcBorders>
              <w:top w:val="nil"/>
              <w:left w:val="nil"/>
              <w:bottom w:val="nil"/>
              <w:right w:val="nil"/>
            </w:tcBorders>
            <w:shd w:val="clear" w:color="auto" w:fill="auto"/>
            <w:noWrap/>
            <w:vAlign w:val="center"/>
            <w:hideMark/>
          </w:tcPr>
          <w:p w14:paraId="2106813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1985D6C"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D44B96D"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08A3F1F"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2A46EC5"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793A1B42"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Abats cuisinés</w:t>
            </w:r>
          </w:p>
        </w:tc>
        <w:tc>
          <w:tcPr>
            <w:tcW w:w="755" w:type="dxa"/>
            <w:tcBorders>
              <w:top w:val="nil"/>
              <w:left w:val="nil"/>
              <w:bottom w:val="nil"/>
              <w:right w:val="nil"/>
            </w:tcBorders>
            <w:shd w:val="clear" w:color="auto" w:fill="auto"/>
            <w:vAlign w:val="center"/>
            <w:hideMark/>
          </w:tcPr>
          <w:p w14:paraId="4534ACD0"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B0AE79C" w14:textId="77777777" w:rsidTr="00637E5A">
        <w:trPr>
          <w:trHeight w:val="136"/>
        </w:trPr>
        <w:tc>
          <w:tcPr>
            <w:tcW w:w="1629" w:type="dxa"/>
            <w:tcBorders>
              <w:top w:val="nil"/>
              <w:left w:val="nil"/>
              <w:bottom w:val="nil"/>
              <w:right w:val="nil"/>
            </w:tcBorders>
            <w:shd w:val="clear" w:color="auto" w:fill="auto"/>
            <w:noWrap/>
            <w:vAlign w:val="center"/>
            <w:hideMark/>
          </w:tcPr>
          <w:p w14:paraId="0FE46175"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477B7096"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59B155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98E8533"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3B9899CB"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6850D749"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2789" w:type="dxa"/>
            <w:tcBorders>
              <w:top w:val="nil"/>
              <w:left w:val="nil"/>
              <w:bottom w:val="nil"/>
              <w:right w:val="nil"/>
            </w:tcBorders>
            <w:shd w:val="clear" w:color="auto" w:fill="auto"/>
            <w:noWrap/>
            <w:vAlign w:val="bottom"/>
            <w:hideMark/>
          </w:tcPr>
          <w:p w14:paraId="006003DC"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7E80B774"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1BB2E462" w14:textId="77777777" w:rsidTr="00637E5A">
        <w:trPr>
          <w:trHeight w:val="136"/>
        </w:trPr>
        <w:tc>
          <w:tcPr>
            <w:tcW w:w="1629" w:type="dxa"/>
            <w:tcBorders>
              <w:top w:val="nil"/>
              <w:left w:val="nil"/>
              <w:bottom w:val="nil"/>
              <w:right w:val="nil"/>
            </w:tcBorders>
            <w:shd w:val="clear" w:color="auto" w:fill="auto"/>
            <w:noWrap/>
            <w:vAlign w:val="center"/>
            <w:hideMark/>
          </w:tcPr>
          <w:p w14:paraId="5C64274F"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0944E129"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327EA51B"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F90D407" w14:textId="77777777" w:rsidR="005B0175" w:rsidRPr="00865201" w:rsidRDefault="005B0175" w:rsidP="00637E5A">
            <w:pPr>
              <w:spacing w:after="0" w:line="240" w:lineRule="auto"/>
              <w:rPr>
                <w:rFonts w:eastAsia="Times New Roman" w:cs="Arial"/>
                <w:sz w:val="18"/>
                <w:szCs w:val="18"/>
                <w:lang w:eastAsia="fr-FR"/>
              </w:rPr>
            </w:pPr>
          </w:p>
        </w:tc>
        <w:tc>
          <w:tcPr>
            <w:tcW w:w="2173" w:type="dxa"/>
            <w:gridSpan w:val="2"/>
            <w:tcBorders>
              <w:top w:val="nil"/>
              <w:left w:val="nil"/>
              <w:bottom w:val="nil"/>
              <w:right w:val="nil"/>
            </w:tcBorders>
            <w:shd w:val="clear" w:color="auto" w:fill="auto"/>
            <w:noWrap/>
            <w:vAlign w:val="center"/>
            <w:hideMark/>
          </w:tcPr>
          <w:p w14:paraId="3222D481"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 marinée</w:t>
            </w:r>
            <w:r>
              <w:rPr>
                <w:rFonts w:eastAsia="Times New Roman" w:cs="Arial"/>
                <w:color w:val="000000"/>
                <w:sz w:val="18"/>
                <w:szCs w:val="18"/>
                <w:lang w:eastAsia="fr-FR"/>
              </w:rPr>
              <w:t xml:space="preserve"> ME</w:t>
            </w:r>
          </w:p>
        </w:tc>
        <w:tc>
          <w:tcPr>
            <w:tcW w:w="2789" w:type="dxa"/>
            <w:tcBorders>
              <w:top w:val="nil"/>
              <w:left w:val="nil"/>
              <w:bottom w:val="nil"/>
              <w:right w:val="nil"/>
            </w:tcBorders>
            <w:shd w:val="clear" w:color="auto" w:fill="auto"/>
            <w:noWrap/>
            <w:vAlign w:val="bottom"/>
            <w:hideMark/>
          </w:tcPr>
          <w:p w14:paraId="7D3F2908"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7B1625BE"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0955FE9F" w14:textId="77777777" w:rsidTr="00637E5A">
        <w:trPr>
          <w:trHeight w:val="136"/>
        </w:trPr>
        <w:tc>
          <w:tcPr>
            <w:tcW w:w="1629" w:type="dxa"/>
            <w:tcBorders>
              <w:top w:val="nil"/>
              <w:left w:val="nil"/>
              <w:bottom w:val="nil"/>
              <w:right w:val="nil"/>
            </w:tcBorders>
            <w:shd w:val="clear" w:color="auto" w:fill="auto"/>
            <w:noWrap/>
            <w:vAlign w:val="center"/>
            <w:hideMark/>
          </w:tcPr>
          <w:p w14:paraId="38F04EE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760FE2C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A7D18CE"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C2D8F8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4AE8B93D"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5D1728A8"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Dont </w:t>
            </w:r>
            <w:r w:rsidRPr="00865201">
              <w:rPr>
                <w:rFonts w:eastAsia="Times New Roman" w:cs="Arial"/>
                <w:color w:val="000000"/>
                <w:sz w:val="18"/>
                <w:szCs w:val="18"/>
                <w:lang w:eastAsia="fr-FR"/>
              </w:rPr>
              <w:t>Porc</w:t>
            </w:r>
          </w:p>
        </w:tc>
        <w:tc>
          <w:tcPr>
            <w:tcW w:w="2789" w:type="dxa"/>
            <w:tcBorders>
              <w:top w:val="nil"/>
              <w:left w:val="nil"/>
              <w:bottom w:val="nil"/>
              <w:right w:val="nil"/>
            </w:tcBorders>
            <w:shd w:val="clear" w:color="auto" w:fill="auto"/>
            <w:noWrap/>
            <w:vAlign w:val="bottom"/>
            <w:hideMark/>
          </w:tcPr>
          <w:p w14:paraId="5C7FAA84"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28BD82F7"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1FFDDC92" w14:textId="77777777" w:rsidTr="00637E5A">
        <w:trPr>
          <w:trHeight w:val="136"/>
        </w:trPr>
        <w:tc>
          <w:tcPr>
            <w:tcW w:w="1629" w:type="dxa"/>
            <w:tcBorders>
              <w:top w:val="nil"/>
              <w:left w:val="nil"/>
              <w:bottom w:val="nil"/>
              <w:right w:val="nil"/>
            </w:tcBorders>
            <w:shd w:val="clear" w:color="auto" w:fill="auto"/>
            <w:noWrap/>
            <w:vAlign w:val="center"/>
            <w:hideMark/>
          </w:tcPr>
          <w:p w14:paraId="4315D8C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382A1AEB"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2576DEE"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2F212505"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595F753"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053E0213"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Mélange de viande</w:t>
            </w:r>
          </w:p>
        </w:tc>
        <w:tc>
          <w:tcPr>
            <w:tcW w:w="755" w:type="dxa"/>
            <w:tcBorders>
              <w:top w:val="nil"/>
              <w:left w:val="nil"/>
              <w:bottom w:val="nil"/>
              <w:right w:val="nil"/>
            </w:tcBorders>
            <w:shd w:val="clear" w:color="auto" w:fill="auto"/>
            <w:vAlign w:val="center"/>
            <w:hideMark/>
          </w:tcPr>
          <w:p w14:paraId="36E23AFD"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1D4B6E29" w14:textId="77777777" w:rsidTr="00637E5A">
        <w:trPr>
          <w:trHeight w:val="136"/>
        </w:trPr>
        <w:tc>
          <w:tcPr>
            <w:tcW w:w="1629" w:type="dxa"/>
            <w:tcBorders>
              <w:top w:val="nil"/>
              <w:left w:val="nil"/>
              <w:bottom w:val="nil"/>
              <w:right w:val="nil"/>
            </w:tcBorders>
            <w:shd w:val="clear" w:color="auto" w:fill="auto"/>
            <w:noWrap/>
            <w:vAlign w:val="center"/>
            <w:hideMark/>
          </w:tcPr>
          <w:p w14:paraId="69038CA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3</w:t>
            </w:r>
          </w:p>
        </w:tc>
        <w:tc>
          <w:tcPr>
            <w:tcW w:w="146" w:type="dxa"/>
            <w:tcBorders>
              <w:top w:val="nil"/>
              <w:left w:val="nil"/>
              <w:bottom w:val="nil"/>
              <w:right w:val="nil"/>
            </w:tcBorders>
            <w:shd w:val="clear" w:color="auto" w:fill="auto"/>
            <w:noWrap/>
            <w:vAlign w:val="bottom"/>
            <w:hideMark/>
          </w:tcPr>
          <w:p w14:paraId="4837C4AD"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E80EACE"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2BC9F07" w14:textId="77777777" w:rsidR="005B0175" w:rsidRPr="00865201" w:rsidRDefault="005B0175" w:rsidP="00637E5A">
            <w:pPr>
              <w:spacing w:after="0" w:line="240" w:lineRule="auto"/>
              <w:rPr>
                <w:rFonts w:eastAsia="Times New Roman" w:cs="Arial"/>
                <w:sz w:val="18"/>
                <w:szCs w:val="18"/>
                <w:lang w:eastAsia="fr-FR"/>
              </w:rPr>
            </w:pPr>
          </w:p>
        </w:tc>
        <w:tc>
          <w:tcPr>
            <w:tcW w:w="4962" w:type="dxa"/>
            <w:gridSpan w:val="3"/>
            <w:tcBorders>
              <w:top w:val="nil"/>
              <w:left w:val="nil"/>
              <w:bottom w:val="nil"/>
              <w:right w:val="nil"/>
            </w:tcBorders>
            <w:shd w:val="clear" w:color="auto" w:fill="auto"/>
            <w:noWrap/>
            <w:vAlign w:val="center"/>
            <w:hideMark/>
          </w:tcPr>
          <w:p w14:paraId="292DA03E"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Produit préparé à cuire</w:t>
            </w:r>
          </w:p>
        </w:tc>
        <w:tc>
          <w:tcPr>
            <w:tcW w:w="755" w:type="dxa"/>
            <w:tcBorders>
              <w:top w:val="nil"/>
              <w:left w:val="nil"/>
              <w:bottom w:val="nil"/>
              <w:right w:val="nil"/>
            </w:tcBorders>
            <w:shd w:val="clear" w:color="auto" w:fill="auto"/>
            <w:vAlign w:val="center"/>
            <w:hideMark/>
          </w:tcPr>
          <w:p w14:paraId="5669360D"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8838140" w14:textId="77777777" w:rsidTr="00637E5A">
        <w:trPr>
          <w:trHeight w:val="136"/>
        </w:trPr>
        <w:tc>
          <w:tcPr>
            <w:tcW w:w="1629" w:type="dxa"/>
            <w:tcBorders>
              <w:top w:val="nil"/>
              <w:left w:val="nil"/>
              <w:bottom w:val="nil"/>
              <w:right w:val="nil"/>
            </w:tcBorders>
            <w:shd w:val="clear" w:color="auto" w:fill="auto"/>
            <w:noWrap/>
            <w:vAlign w:val="center"/>
            <w:hideMark/>
          </w:tcPr>
          <w:p w14:paraId="71CDE1C6"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25B62B1"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06E5DA39"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AF17FD9"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DC268B6"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0637E437"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Paupiette</w:t>
            </w:r>
            <w:r>
              <w:rPr>
                <w:rFonts w:eastAsia="Times New Roman" w:cs="Arial"/>
                <w:color w:val="000000"/>
                <w:sz w:val="18"/>
                <w:szCs w:val="18"/>
                <w:lang w:eastAsia="fr-FR"/>
              </w:rPr>
              <w:t xml:space="preserve"> ME</w:t>
            </w:r>
          </w:p>
        </w:tc>
        <w:tc>
          <w:tcPr>
            <w:tcW w:w="2789" w:type="dxa"/>
            <w:tcBorders>
              <w:top w:val="nil"/>
              <w:left w:val="nil"/>
              <w:bottom w:val="nil"/>
              <w:right w:val="nil"/>
            </w:tcBorders>
            <w:shd w:val="clear" w:color="auto" w:fill="auto"/>
            <w:noWrap/>
            <w:vAlign w:val="bottom"/>
            <w:hideMark/>
          </w:tcPr>
          <w:p w14:paraId="293ABA25"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4D03DEB4"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47F3055A" w14:textId="77777777" w:rsidTr="00637E5A">
        <w:trPr>
          <w:trHeight w:val="136"/>
        </w:trPr>
        <w:tc>
          <w:tcPr>
            <w:tcW w:w="1629" w:type="dxa"/>
            <w:tcBorders>
              <w:top w:val="nil"/>
              <w:left w:val="nil"/>
              <w:bottom w:val="nil"/>
              <w:right w:val="nil"/>
            </w:tcBorders>
            <w:shd w:val="clear" w:color="auto" w:fill="auto"/>
            <w:noWrap/>
            <w:vAlign w:val="center"/>
            <w:hideMark/>
          </w:tcPr>
          <w:p w14:paraId="58023044"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67028D7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7FB377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2B8B095A"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FF27B9E"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647D1F88"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2F2F9B05"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Porc</w:t>
            </w:r>
          </w:p>
        </w:tc>
        <w:tc>
          <w:tcPr>
            <w:tcW w:w="755" w:type="dxa"/>
            <w:tcBorders>
              <w:top w:val="nil"/>
              <w:left w:val="nil"/>
              <w:bottom w:val="nil"/>
              <w:right w:val="nil"/>
            </w:tcBorders>
            <w:shd w:val="clear" w:color="auto" w:fill="auto"/>
            <w:vAlign w:val="center"/>
            <w:hideMark/>
          </w:tcPr>
          <w:p w14:paraId="505AD6E6"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00DD0F93" w14:textId="77777777" w:rsidTr="00637E5A">
        <w:trPr>
          <w:trHeight w:val="136"/>
        </w:trPr>
        <w:tc>
          <w:tcPr>
            <w:tcW w:w="1629" w:type="dxa"/>
            <w:tcBorders>
              <w:top w:val="nil"/>
              <w:left w:val="nil"/>
              <w:bottom w:val="nil"/>
              <w:right w:val="nil"/>
            </w:tcBorders>
            <w:shd w:val="clear" w:color="auto" w:fill="auto"/>
            <w:noWrap/>
            <w:vAlign w:val="center"/>
            <w:hideMark/>
          </w:tcPr>
          <w:p w14:paraId="512138B1"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0288C6D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4407567"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47E4C7B6"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2ECE730D"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center"/>
            <w:hideMark/>
          </w:tcPr>
          <w:p w14:paraId="41207CB5"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Rôti farci</w:t>
            </w:r>
            <w:r>
              <w:rPr>
                <w:rFonts w:eastAsia="Times New Roman" w:cs="Arial"/>
                <w:color w:val="000000"/>
                <w:sz w:val="18"/>
                <w:szCs w:val="18"/>
                <w:lang w:eastAsia="fr-FR"/>
              </w:rPr>
              <w:t xml:space="preserve"> ME</w:t>
            </w:r>
          </w:p>
        </w:tc>
        <w:tc>
          <w:tcPr>
            <w:tcW w:w="2789" w:type="dxa"/>
            <w:tcBorders>
              <w:top w:val="nil"/>
              <w:left w:val="nil"/>
              <w:bottom w:val="nil"/>
              <w:right w:val="nil"/>
            </w:tcBorders>
            <w:shd w:val="clear" w:color="auto" w:fill="auto"/>
            <w:noWrap/>
            <w:vAlign w:val="bottom"/>
            <w:hideMark/>
          </w:tcPr>
          <w:p w14:paraId="165D146E" w14:textId="77777777" w:rsidR="005B0175" w:rsidRPr="00865201" w:rsidRDefault="005B0175" w:rsidP="00637E5A">
            <w:pPr>
              <w:spacing w:after="0" w:line="240" w:lineRule="auto"/>
              <w:rPr>
                <w:rFonts w:eastAsia="Times New Roman" w:cs="Arial"/>
                <w:color w:val="000000"/>
                <w:sz w:val="18"/>
                <w:szCs w:val="18"/>
                <w:lang w:eastAsia="fr-FR"/>
              </w:rPr>
            </w:pPr>
          </w:p>
        </w:tc>
        <w:tc>
          <w:tcPr>
            <w:tcW w:w="755" w:type="dxa"/>
            <w:tcBorders>
              <w:top w:val="nil"/>
              <w:left w:val="nil"/>
              <w:bottom w:val="nil"/>
              <w:right w:val="nil"/>
            </w:tcBorders>
            <w:shd w:val="clear" w:color="auto" w:fill="auto"/>
            <w:vAlign w:val="center"/>
            <w:hideMark/>
          </w:tcPr>
          <w:p w14:paraId="0BE5904A" w14:textId="77777777" w:rsidR="005B0175" w:rsidRPr="00865201" w:rsidRDefault="005B0175" w:rsidP="00637E5A">
            <w:pPr>
              <w:spacing w:after="0" w:line="240" w:lineRule="auto"/>
              <w:rPr>
                <w:rFonts w:eastAsia="Times New Roman" w:cs="Arial"/>
                <w:sz w:val="18"/>
                <w:szCs w:val="18"/>
                <w:lang w:eastAsia="fr-FR"/>
              </w:rPr>
            </w:pPr>
          </w:p>
        </w:tc>
      </w:tr>
      <w:tr w:rsidR="005B0175" w:rsidRPr="00865201" w14:paraId="04FF7A8E" w14:textId="77777777" w:rsidTr="00637E5A">
        <w:trPr>
          <w:trHeight w:val="136"/>
        </w:trPr>
        <w:tc>
          <w:tcPr>
            <w:tcW w:w="1629" w:type="dxa"/>
            <w:tcBorders>
              <w:top w:val="nil"/>
              <w:left w:val="nil"/>
              <w:bottom w:val="nil"/>
              <w:right w:val="nil"/>
            </w:tcBorders>
            <w:shd w:val="clear" w:color="auto" w:fill="auto"/>
            <w:noWrap/>
            <w:vAlign w:val="center"/>
            <w:hideMark/>
          </w:tcPr>
          <w:p w14:paraId="3BAB1FB8"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2EEC9ADB"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5FD8DAA"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2B307EE3"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7E8092EB"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25913403"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4E852DA2"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Dont </w:t>
            </w:r>
            <w:r w:rsidRPr="00865201">
              <w:rPr>
                <w:rFonts w:eastAsia="Times New Roman" w:cs="Arial"/>
                <w:color w:val="000000"/>
                <w:sz w:val="18"/>
                <w:szCs w:val="18"/>
                <w:lang w:eastAsia="fr-FR"/>
              </w:rPr>
              <w:t>Porc</w:t>
            </w:r>
          </w:p>
        </w:tc>
        <w:tc>
          <w:tcPr>
            <w:tcW w:w="755" w:type="dxa"/>
            <w:tcBorders>
              <w:top w:val="nil"/>
              <w:left w:val="nil"/>
              <w:bottom w:val="nil"/>
              <w:right w:val="nil"/>
            </w:tcBorders>
            <w:shd w:val="clear" w:color="auto" w:fill="auto"/>
            <w:vAlign w:val="center"/>
            <w:hideMark/>
          </w:tcPr>
          <w:p w14:paraId="663471D2"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7132FA2E" w14:textId="77777777" w:rsidTr="00637E5A">
        <w:trPr>
          <w:trHeight w:val="136"/>
        </w:trPr>
        <w:tc>
          <w:tcPr>
            <w:tcW w:w="1629" w:type="dxa"/>
            <w:tcBorders>
              <w:top w:val="nil"/>
              <w:left w:val="nil"/>
              <w:bottom w:val="nil"/>
              <w:right w:val="nil"/>
            </w:tcBorders>
            <w:shd w:val="clear" w:color="auto" w:fill="auto"/>
            <w:noWrap/>
            <w:vAlign w:val="center"/>
            <w:hideMark/>
          </w:tcPr>
          <w:p w14:paraId="580D5753"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4</w:t>
            </w:r>
          </w:p>
        </w:tc>
        <w:tc>
          <w:tcPr>
            <w:tcW w:w="146" w:type="dxa"/>
            <w:tcBorders>
              <w:top w:val="nil"/>
              <w:left w:val="nil"/>
              <w:bottom w:val="nil"/>
              <w:right w:val="nil"/>
            </w:tcBorders>
            <w:shd w:val="clear" w:color="auto" w:fill="auto"/>
            <w:noWrap/>
            <w:vAlign w:val="bottom"/>
            <w:hideMark/>
          </w:tcPr>
          <w:p w14:paraId="12DBFEC5"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1CC98976"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7AAB28B0"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1344EA51" w14:textId="77777777" w:rsidR="005B0175" w:rsidRPr="00865201" w:rsidRDefault="005B0175" w:rsidP="00637E5A">
            <w:pPr>
              <w:spacing w:after="0" w:line="240" w:lineRule="auto"/>
              <w:rPr>
                <w:rFonts w:eastAsia="Times New Roman" w:cs="Arial"/>
                <w:sz w:val="18"/>
                <w:szCs w:val="18"/>
                <w:lang w:eastAsia="fr-FR"/>
              </w:rPr>
            </w:pPr>
          </w:p>
        </w:tc>
        <w:tc>
          <w:tcPr>
            <w:tcW w:w="4243" w:type="dxa"/>
            <w:gridSpan w:val="2"/>
            <w:tcBorders>
              <w:top w:val="nil"/>
              <w:left w:val="nil"/>
              <w:bottom w:val="nil"/>
              <w:right w:val="nil"/>
            </w:tcBorders>
            <w:shd w:val="clear" w:color="auto" w:fill="auto"/>
            <w:noWrap/>
            <w:vAlign w:val="center"/>
            <w:hideMark/>
          </w:tcPr>
          <w:p w14:paraId="55DDDB00"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Morceau demi-sel</w:t>
            </w:r>
          </w:p>
        </w:tc>
        <w:tc>
          <w:tcPr>
            <w:tcW w:w="755" w:type="dxa"/>
            <w:tcBorders>
              <w:top w:val="nil"/>
              <w:left w:val="nil"/>
              <w:bottom w:val="nil"/>
              <w:right w:val="nil"/>
            </w:tcBorders>
            <w:shd w:val="clear" w:color="auto" w:fill="auto"/>
            <w:vAlign w:val="center"/>
            <w:hideMark/>
          </w:tcPr>
          <w:p w14:paraId="3B2763F8"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192E68C2" w14:textId="77777777" w:rsidTr="00637E5A">
        <w:trPr>
          <w:trHeight w:val="136"/>
        </w:trPr>
        <w:tc>
          <w:tcPr>
            <w:tcW w:w="1629" w:type="dxa"/>
            <w:tcBorders>
              <w:top w:val="nil"/>
              <w:left w:val="nil"/>
              <w:bottom w:val="nil"/>
              <w:right w:val="nil"/>
            </w:tcBorders>
            <w:shd w:val="clear" w:color="auto" w:fill="auto"/>
            <w:noWrap/>
            <w:vAlign w:val="center"/>
            <w:hideMark/>
          </w:tcPr>
          <w:p w14:paraId="4BB4B5CA"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6EAEE29E"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4638B83E"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0900EB48"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034EEAF3"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05980BD3"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350A6330"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Palette</w:t>
            </w:r>
          </w:p>
        </w:tc>
        <w:tc>
          <w:tcPr>
            <w:tcW w:w="755" w:type="dxa"/>
            <w:tcBorders>
              <w:top w:val="nil"/>
              <w:left w:val="nil"/>
              <w:bottom w:val="nil"/>
              <w:right w:val="nil"/>
            </w:tcBorders>
            <w:shd w:val="clear" w:color="auto" w:fill="auto"/>
            <w:vAlign w:val="center"/>
            <w:hideMark/>
          </w:tcPr>
          <w:p w14:paraId="6A8C087C"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5C6E3181" w14:textId="77777777" w:rsidTr="00637E5A">
        <w:trPr>
          <w:trHeight w:val="136"/>
        </w:trPr>
        <w:tc>
          <w:tcPr>
            <w:tcW w:w="1629" w:type="dxa"/>
            <w:tcBorders>
              <w:top w:val="nil"/>
              <w:left w:val="nil"/>
              <w:bottom w:val="nil"/>
              <w:right w:val="nil"/>
            </w:tcBorders>
            <w:shd w:val="clear" w:color="auto" w:fill="auto"/>
            <w:noWrap/>
            <w:vAlign w:val="center"/>
            <w:hideMark/>
          </w:tcPr>
          <w:p w14:paraId="2475A542"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50519317"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6484C972"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5531106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65002A8"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5682D7CC" w14:textId="77777777" w:rsidR="005B0175" w:rsidRPr="00865201" w:rsidRDefault="005B0175" w:rsidP="00637E5A">
            <w:pPr>
              <w:spacing w:after="0" w:line="240" w:lineRule="auto"/>
              <w:rPr>
                <w:rFonts w:eastAsia="Times New Roman" w:cs="Arial"/>
                <w:sz w:val="18"/>
                <w:szCs w:val="18"/>
                <w:lang w:eastAsia="fr-FR"/>
              </w:rPr>
            </w:pPr>
          </w:p>
        </w:tc>
        <w:tc>
          <w:tcPr>
            <w:tcW w:w="3544" w:type="dxa"/>
            <w:gridSpan w:val="2"/>
            <w:tcBorders>
              <w:top w:val="nil"/>
              <w:left w:val="nil"/>
              <w:bottom w:val="nil"/>
              <w:right w:val="nil"/>
            </w:tcBorders>
            <w:shd w:val="clear" w:color="auto" w:fill="auto"/>
            <w:noWrap/>
            <w:vAlign w:val="center"/>
            <w:hideMark/>
          </w:tcPr>
          <w:p w14:paraId="749D951B"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Poitrine, lard</w:t>
            </w:r>
          </w:p>
        </w:tc>
      </w:tr>
      <w:tr w:rsidR="005B0175" w:rsidRPr="00865201" w14:paraId="0930241C" w14:textId="77777777" w:rsidTr="00637E5A">
        <w:trPr>
          <w:trHeight w:val="136"/>
        </w:trPr>
        <w:tc>
          <w:tcPr>
            <w:tcW w:w="1629" w:type="dxa"/>
            <w:tcBorders>
              <w:top w:val="nil"/>
              <w:left w:val="nil"/>
              <w:bottom w:val="nil"/>
              <w:right w:val="nil"/>
            </w:tcBorders>
            <w:shd w:val="clear" w:color="auto" w:fill="auto"/>
            <w:noWrap/>
            <w:vAlign w:val="center"/>
            <w:hideMark/>
          </w:tcPr>
          <w:p w14:paraId="0A6E1615"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3C51CC8A"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2920AAB8"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65420D7D"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320C5A8A"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1EFA29B7" w14:textId="77777777" w:rsidR="005B0175" w:rsidRPr="00865201" w:rsidRDefault="005B0175" w:rsidP="00637E5A">
            <w:pPr>
              <w:spacing w:after="0" w:line="240" w:lineRule="auto"/>
              <w:rPr>
                <w:rFonts w:eastAsia="Times New Roman" w:cs="Arial"/>
                <w:sz w:val="18"/>
                <w:szCs w:val="18"/>
                <w:lang w:eastAsia="fr-FR"/>
              </w:rPr>
            </w:pPr>
          </w:p>
        </w:tc>
        <w:tc>
          <w:tcPr>
            <w:tcW w:w="3544" w:type="dxa"/>
            <w:gridSpan w:val="2"/>
            <w:tcBorders>
              <w:top w:val="nil"/>
              <w:left w:val="nil"/>
              <w:bottom w:val="nil"/>
              <w:right w:val="nil"/>
            </w:tcBorders>
            <w:shd w:val="clear" w:color="auto" w:fill="auto"/>
            <w:noWrap/>
            <w:vAlign w:val="center"/>
            <w:hideMark/>
          </w:tcPr>
          <w:p w14:paraId="7E1F1330"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Jambonneau</w:t>
            </w:r>
          </w:p>
        </w:tc>
      </w:tr>
      <w:tr w:rsidR="005B0175" w:rsidRPr="00865201" w14:paraId="35A4F17E" w14:textId="77777777" w:rsidTr="00637E5A">
        <w:trPr>
          <w:trHeight w:val="136"/>
        </w:trPr>
        <w:tc>
          <w:tcPr>
            <w:tcW w:w="1629" w:type="dxa"/>
            <w:tcBorders>
              <w:top w:val="nil"/>
              <w:left w:val="nil"/>
              <w:bottom w:val="nil"/>
              <w:right w:val="nil"/>
            </w:tcBorders>
            <w:shd w:val="clear" w:color="auto" w:fill="auto"/>
            <w:noWrap/>
            <w:vAlign w:val="center"/>
            <w:hideMark/>
          </w:tcPr>
          <w:p w14:paraId="16E5E97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5</w:t>
            </w:r>
          </w:p>
        </w:tc>
        <w:tc>
          <w:tcPr>
            <w:tcW w:w="146" w:type="dxa"/>
            <w:tcBorders>
              <w:top w:val="nil"/>
              <w:left w:val="nil"/>
              <w:bottom w:val="nil"/>
              <w:right w:val="nil"/>
            </w:tcBorders>
            <w:shd w:val="clear" w:color="auto" w:fill="auto"/>
            <w:noWrap/>
            <w:vAlign w:val="bottom"/>
            <w:hideMark/>
          </w:tcPr>
          <w:p w14:paraId="0D3A42EA"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0F25C5D4"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bottom"/>
            <w:hideMark/>
          </w:tcPr>
          <w:p w14:paraId="3723200C" w14:textId="77777777" w:rsidR="005B0175" w:rsidRPr="00865201" w:rsidRDefault="005B0175" w:rsidP="00637E5A">
            <w:pPr>
              <w:spacing w:after="0" w:line="240" w:lineRule="auto"/>
              <w:rPr>
                <w:rFonts w:eastAsia="Times New Roman" w:cs="Arial"/>
                <w:sz w:val="18"/>
                <w:szCs w:val="18"/>
                <w:lang w:eastAsia="fr-FR"/>
              </w:rPr>
            </w:pPr>
          </w:p>
        </w:tc>
        <w:tc>
          <w:tcPr>
            <w:tcW w:w="719" w:type="dxa"/>
            <w:tcBorders>
              <w:top w:val="nil"/>
              <w:left w:val="nil"/>
              <w:bottom w:val="nil"/>
              <w:right w:val="nil"/>
            </w:tcBorders>
            <w:shd w:val="clear" w:color="auto" w:fill="auto"/>
            <w:noWrap/>
            <w:vAlign w:val="bottom"/>
            <w:hideMark/>
          </w:tcPr>
          <w:p w14:paraId="59913184" w14:textId="77777777" w:rsidR="005B0175" w:rsidRPr="00865201" w:rsidRDefault="005B0175" w:rsidP="00637E5A">
            <w:pPr>
              <w:spacing w:after="0" w:line="240" w:lineRule="auto"/>
              <w:rPr>
                <w:rFonts w:eastAsia="Times New Roman" w:cs="Arial"/>
                <w:sz w:val="18"/>
                <w:szCs w:val="18"/>
                <w:lang w:eastAsia="fr-FR"/>
              </w:rPr>
            </w:pPr>
          </w:p>
        </w:tc>
        <w:tc>
          <w:tcPr>
            <w:tcW w:w="1454" w:type="dxa"/>
            <w:tcBorders>
              <w:top w:val="nil"/>
              <w:left w:val="nil"/>
              <w:bottom w:val="nil"/>
              <w:right w:val="nil"/>
            </w:tcBorders>
            <w:shd w:val="clear" w:color="auto" w:fill="auto"/>
            <w:noWrap/>
            <w:vAlign w:val="bottom"/>
            <w:hideMark/>
          </w:tcPr>
          <w:p w14:paraId="322587E5" w14:textId="77777777" w:rsidR="005B0175" w:rsidRPr="00865201" w:rsidRDefault="005B0175" w:rsidP="00637E5A">
            <w:pPr>
              <w:spacing w:after="0" w:line="240" w:lineRule="auto"/>
              <w:rPr>
                <w:rFonts w:eastAsia="Times New Roman" w:cs="Arial"/>
                <w:sz w:val="18"/>
                <w:szCs w:val="18"/>
                <w:lang w:eastAsia="fr-FR"/>
              </w:rPr>
            </w:pPr>
          </w:p>
        </w:tc>
        <w:tc>
          <w:tcPr>
            <w:tcW w:w="2789" w:type="dxa"/>
            <w:tcBorders>
              <w:top w:val="nil"/>
              <w:left w:val="nil"/>
              <w:bottom w:val="nil"/>
              <w:right w:val="nil"/>
            </w:tcBorders>
            <w:shd w:val="clear" w:color="auto" w:fill="auto"/>
            <w:noWrap/>
            <w:vAlign w:val="center"/>
            <w:hideMark/>
          </w:tcPr>
          <w:p w14:paraId="64DB2818"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Autres</w:t>
            </w:r>
          </w:p>
        </w:tc>
        <w:tc>
          <w:tcPr>
            <w:tcW w:w="755" w:type="dxa"/>
            <w:tcBorders>
              <w:top w:val="nil"/>
              <w:left w:val="nil"/>
              <w:bottom w:val="nil"/>
              <w:right w:val="nil"/>
            </w:tcBorders>
            <w:shd w:val="clear" w:color="auto" w:fill="auto"/>
            <w:vAlign w:val="center"/>
            <w:hideMark/>
          </w:tcPr>
          <w:p w14:paraId="469DFAA2"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2636324D" w14:textId="77777777" w:rsidTr="00637E5A">
        <w:trPr>
          <w:trHeight w:val="136"/>
        </w:trPr>
        <w:tc>
          <w:tcPr>
            <w:tcW w:w="1629" w:type="dxa"/>
            <w:tcBorders>
              <w:top w:val="nil"/>
              <w:left w:val="nil"/>
              <w:bottom w:val="nil"/>
              <w:right w:val="nil"/>
            </w:tcBorders>
            <w:shd w:val="clear" w:color="000000" w:fill="D9D9D9"/>
            <w:noWrap/>
            <w:vAlign w:val="center"/>
            <w:hideMark/>
          </w:tcPr>
          <w:p w14:paraId="13D1440B"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0</w:t>
            </w:r>
          </w:p>
        </w:tc>
        <w:tc>
          <w:tcPr>
            <w:tcW w:w="4750" w:type="dxa"/>
            <w:gridSpan w:val="5"/>
            <w:tcBorders>
              <w:top w:val="nil"/>
              <w:left w:val="nil"/>
              <w:bottom w:val="nil"/>
              <w:right w:val="nil"/>
            </w:tcBorders>
            <w:shd w:val="clear" w:color="000000" w:fill="D9D9D9"/>
            <w:noWrap/>
            <w:vAlign w:val="center"/>
            <w:hideMark/>
          </w:tcPr>
          <w:p w14:paraId="5E2C2898" w14:textId="77777777" w:rsidR="005B0175" w:rsidRPr="00865201" w:rsidRDefault="005B0175" w:rsidP="00637E5A">
            <w:pPr>
              <w:spacing w:after="0" w:line="240" w:lineRule="auto"/>
              <w:rPr>
                <w:rFonts w:eastAsia="Times New Roman" w:cs="Arial"/>
                <w:color w:val="000000"/>
                <w:sz w:val="18"/>
                <w:szCs w:val="18"/>
                <w:lang w:eastAsia="fr-FR"/>
              </w:rPr>
            </w:pPr>
            <w:r w:rsidRPr="00865201">
              <w:rPr>
                <w:rFonts w:eastAsia="Times New Roman" w:cs="Arial"/>
                <w:color w:val="000000"/>
                <w:sz w:val="18"/>
                <w:szCs w:val="18"/>
                <w:lang w:eastAsia="fr-FR"/>
              </w:rPr>
              <w:t>VIANDES ET VOLAILLES SURGELEES (3)</w:t>
            </w:r>
          </w:p>
        </w:tc>
        <w:tc>
          <w:tcPr>
            <w:tcW w:w="3544" w:type="dxa"/>
            <w:gridSpan w:val="2"/>
            <w:tcBorders>
              <w:top w:val="nil"/>
              <w:left w:val="nil"/>
              <w:bottom w:val="nil"/>
              <w:right w:val="nil"/>
            </w:tcBorders>
            <w:shd w:val="clear" w:color="auto" w:fill="auto"/>
            <w:vAlign w:val="center"/>
            <w:hideMark/>
          </w:tcPr>
          <w:p w14:paraId="5F1E3DD0"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591B1941" w14:textId="77777777" w:rsidTr="00637E5A">
        <w:trPr>
          <w:trHeight w:val="136"/>
        </w:trPr>
        <w:tc>
          <w:tcPr>
            <w:tcW w:w="1629" w:type="dxa"/>
            <w:tcBorders>
              <w:top w:val="nil"/>
              <w:left w:val="nil"/>
              <w:bottom w:val="nil"/>
              <w:right w:val="nil"/>
            </w:tcBorders>
            <w:shd w:val="clear" w:color="auto" w:fill="auto"/>
            <w:noWrap/>
            <w:vAlign w:val="center"/>
            <w:hideMark/>
          </w:tcPr>
          <w:p w14:paraId="1C8B4857"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2662E4EF"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3AF5688F" w14:textId="77777777" w:rsidR="005B0175" w:rsidRPr="00865201" w:rsidRDefault="005B0175" w:rsidP="00637E5A">
            <w:pPr>
              <w:spacing w:after="0" w:line="240" w:lineRule="auto"/>
              <w:rPr>
                <w:rFonts w:eastAsia="Times New Roman" w:cs="Arial"/>
                <w:sz w:val="18"/>
                <w:szCs w:val="18"/>
                <w:lang w:eastAsia="fr-FR"/>
              </w:rPr>
            </w:pPr>
          </w:p>
        </w:tc>
        <w:tc>
          <w:tcPr>
            <w:tcW w:w="4458" w:type="dxa"/>
            <w:gridSpan w:val="3"/>
            <w:tcBorders>
              <w:top w:val="nil"/>
              <w:left w:val="nil"/>
              <w:bottom w:val="nil"/>
              <w:right w:val="nil"/>
            </w:tcBorders>
            <w:shd w:val="clear" w:color="auto" w:fill="auto"/>
            <w:noWrap/>
            <w:vAlign w:val="center"/>
            <w:hideMark/>
          </w:tcPr>
          <w:p w14:paraId="73B91794"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Dt </w:t>
            </w:r>
            <w:r w:rsidRPr="00865201">
              <w:rPr>
                <w:rFonts w:eastAsia="Times New Roman" w:cs="Arial"/>
                <w:color w:val="000000"/>
                <w:sz w:val="18"/>
                <w:szCs w:val="18"/>
                <w:lang w:eastAsia="fr-FR"/>
              </w:rPr>
              <w:t>Porc (hors abats)</w:t>
            </w:r>
          </w:p>
        </w:tc>
        <w:tc>
          <w:tcPr>
            <w:tcW w:w="3544" w:type="dxa"/>
            <w:gridSpan w:val="2"/>
            <w:tcBorders>
              <w:top w:val="nil"/>
              <w:left w:val="nil"/>
              <w:bottom w:val="nil"/>
              <w:right w:val="nil"/>
            </w:tcBorders>
            <w:shd w:val="clear" w:color="auto" w:fill="auto"/>
            <w:vAlign w:val="center"/>
            <w:hideMark/>
          </w:tcPr>
          <w:p w14:paraId="1ECA7C9B" w14:textId="77777777" w:rsidR="005B0175" w:rsidRPr="00865201" w:rsidRDefault="005B0175" w:rsidP="00637E5A">
            <w:pPr>
              <w:spacing w:after="0" w:line="240" w:lineRule="auto"/>
              <w:rPr>
                <w:rFonts w:eastAsia="Times New Roman" w:cs="Arial"/>
                <w:color w:val="000000"/>
                <w:sz w:val="18"/>
                <w:szCs w:val="18"/>
                <w:lang w:eastAsia="fr-FR"/>
              </w:rPr>
            </w:pPr>
          </w:p>
        </w:tc>
      </w:tr>
      <w:tr w:rsidR="005B0175" w:rsidRPr="00865201" w14:paraId="41608D2B" w14:textId="77777777" w:rsidTr="00637E5A">
        <w:trPr>
          <w:trHeight w:val="136"/>
        </w:trPr>
        <w:tc>
          <w:tcPr>
            <w:tcW w:w="1629" w:type="dxa"/>
            <w:tcBorders>
              <w:top w:val="nil"/>
              <w:left w:val="nil"/>
              <w:bottom w:val="nil"/>
              <w:right w:val="nil"/>
            </w:tcBorders>
            <w:shd w:val="clear" w:color="auto" w:fill="auto"/>
            <w:noWrap/>
            <w:vAlign w:val="center"/>
            <w:hideMark/>
          </w:tcPr>
          <w:p w14:paraId="7FA4AF5F" w14:textId="77777777" w:rsidR="005B0175" w:rsidRPr="00865201" w:rsidRDefault="005B0175" w:rsidP="00637E5A">
            <w:pPr>
              <w:spacing w:after="0" w:line="240" w:lineRule="auto"/>
              <w:jc w:val="right"/>
              <w:rPr>
                <w:rFonts w:eastAsia="Times New Roman" w:cs="Arial"/>
                <w:color w:val="000000"/>
                <w:sz w:val="18"/>
                <w:szCs w:val="18"/>
                <w:lang w:eastAsia="fr-FR"/>
              </w:rPr>
            </w:pPr>
            <w:r w:rsidRPr="00865201">
              <w:rPr>
                <w:rFonts w:eastAsia="Times New Roman" w:cs="Arial"/>
                <w:color w:val="000000"/>
                <w:sz w:val="18"/>
                <w:szCs w:val="18"/>
                <w:lang w:eastAsia="fr-FR"/>
              </w:rPr>
              <w:t>2</w:t>
            </w:r>
          </w:p>
        </w:tc>
        <w:tc>
          <w:tcPr>
            <w:tcW w:w="146" w:type="dxa"/>
            <w:tcBorders>
              <w:top w:val="nil"/>
              <w:left w:val="nil"/>
              <w:bottom w:val="nil"/>
              <w:right w:val="nil"/>
            </w:tcBorders>
            <w:shd w:val="clear" w:color="auto" w:fill="auto"/>
            <w:noWrap/>
            <w:vAlign w:val="bottom"/>
            <w:hideMark/>
          </w:tcPr>
          <w:p w14:paraId="6BE8CAC4" w14:textId="77777777" w:rsidR="005B0175" w:rsidRPr="00865201" w:rsidRDefault="005B0175" w:rsidP="00637E5A">
            <w:pPr>
              <w:spacing w:after="0" w:line="240" w:lineRule="auto"/>
              <w:jc w:val="right"/>
              <w:rPr>
                <w:rFonts w:eastAsia="Times New Roman" w:cs="Arial"/>
                <w:color w:val="000000"/>
                <w:sz w:val="18"/>
                <w:szCs w:val="18"/>
                <w:lang w:eastAsia="fr-FR"/>
              </w:rPr>
            </w:pPr>
          </w:p>
        </w:tc>
        <w:tc>
          <w:tcPr>
            <w:tcW w:w="146" w:type="dxa"/>
            <w:tcBorders>
              <w:top w:val="nil"/>
              <w:left w:val="nil"/>
              <w:bottom w:val="nil"/>
              <w:right w:val="nil"/>
            </w:tcBorders>
            <w:shd w:val="clear" w:color="auto" w:fill="auto"/>
            <w:noWrap/>
            <w:vAlign w:val="bottom"/>
            <w:hideMark/>
          </w:tcPr>
          <w:p w14:paraId="5CB7B9C3" w14:textId="77777777" w:rsidR="005B0175" w:rsidRPr="00865201" w:rsidRDefault="005B0175" w:rsidP="00637E5A">
            <w:pPr>
              <w:spacing w:after="0" w:line="240" w:lineRule="auto"/>
              <w:rPr>
                <w:rFonts w:eastAsia="Times New Roman" w:cs="Arial"/>
                <w:sz w:val="18"/>
                <w:szCs w:val="18"/>
                <w:lang w:eastAsia="fr-FR"/>
              </w:rPr>
            </w:pPr>
          </w:p>
        </w:tc>
        <w:tc>
          <w:tcPr>
            <w:tcW w:w="2285" w:type="dxa"/>
            <w:tcBorders>
              <w:top w:val="nil"/>
              <w:left w:val="nil"/>
              <w:bottom w:val="nil"/>
              <w:right w:val="nil"/>
            </w:tcBorders>
            <w:shd w:val="clear" w:color="auto" w:fill="auto"/>
            <w:noWrap/>
            <w:vAlign w:val="center"/>
            <w:hideMark/>
          </w:tcPr>
          <w:p w14:paraId="0F5E51B9" w14:textId="77777777" w:rsidR="005B0175" w:rsidRPr="00865201" w:rsidRDefault="005B0175" w:rsidP="00637E5A">
            <w:pPr>
              <w:spacing w:after="0" w:line="240" w:lineRule="auto"/>
              <w:rPr>
                <w:rFonts w:eastAsia="Times New Roman" w:cs="Arial"/>
                <w:color w:val="000000"/>
                <w:sz w:val="18"/>
                <w:szCs w:val="18"/>
                <w:lang w:eastAsia="fr-FR"/>
              </w:rPr>
            </w:pPr>
            <w:r>
              <w:rPr>
                <w:rFonts w:eastAsia="Times New Roman" w:cs="Arial"/>
                <w:color w:val="000000"/>
                <w:sz w:val="18"/>
                <w:szCs w:val="18"/>
                <w:lang w:eastAsia="fr-FR"/>
              </w:rPr>
              <w:t xml:space="preserve">Dt </w:t>
            </w:r>
            <w:r w:rsidRPr="00865201">
              <w:rPr>
                <w:rFonts w:eastAsia="Times New Roman" w:cs="Arial"/>
                <w:color w:val="000000"/>
                <w:sz w:val="18"/>
                <w:szCs w:val="18"/>
                <w:lang w:eastAsia="fr-FR"/>
              </w:rPr>
              <w:t>Abats</w:t>
            </w:r>
          </w:p>
        </w:tc>
        <w:tc>
          <w:tcPr>
            <w:tcW w:w="719" w:type="dxa"/>
            <w:tcBorders>
              <w:top w:val="nil"/>
              <w:left w:val="nil"/>
              <w:bottom w:val="nil"/>
              <w:right w:val="nil"/>
            </w:tcBorders>
            <w:shd w:val="clear" w:color="auto" w:fill="auto"/>
            <w:noWrap/>
            <w:vAlign w:val="bottom"/>
            <w:hideMark/>
          </w:tcPr>
          <w:p w14:paraId="3071DE8E" w14:textId="77777777" w:rsidR="005B0175" w:rsidRPr="00865201" w:rsidRDefault="005B0175" w:rsidP="00637E5A">
            <w:pPr>
              <w:spacing w:after="0" w:line="240" w:lineRule="auto"/>
              <w:rPr>
                <w:rFonts w:eastAsia="Times New Roman" w:cs="Arial"/>
                <w:color w:val="000000"/>
                <w:sz w:val="18"/>
                <w:szCs w:val="18"/>
                <w:lang w:eastAsia="fr-FR"/>
              </w:rPr>
            </w:pPr>
          </w:p>
        </w:tc>
        <w:tc>
          <w:tcPr>
            <w:tcW w:w="4998" w:type="dxa"/>
            <w:gridSpan w:val="3"/>
            <w:tcBorders>
              <w:top w:val="nil"/>
              <w:left w:val="nil"/>
              <w:bottom w:val="nil"/>
              <w:right w:val="nil"/>
            </w:tcBorders>
            <w:shd w:val="clear" w:color="auto" w:fill="auto"/>
            <w:vAlign w:val="center"/>
            <w:hideMark/>
          </w:tcPr>
          <w:p w14:paraId="1B73B7D8" w14:textId="77777777" w:rsidR="005B0175" w:rsidRPr="00865201" w:rsidRDefault="005B0175" w:rsidP="00637E5A">
            <w:pPr>
              <w:spacing w:after="0" w:line="240" w:lineRule="auto"/>
              <w:rPr>
                <w:rFonts w:eastAsia="Times New Roman" w:cs="Arial"/>
                <w:sz w:val="18"/>
                <w:szCs w:val="18"/>
                <w:lang w:eastAsia="fr-FR"/>
              </w:rPr>
            </w:pPr>
          </w:p>
        </w:tc>
      </w:tr>
    </w:tbl>
    <w:p w14:paraId="021D4FF0" w14:textId="053349B3" w:rsidR="007203A1" w:rsidRDefault="007203A1">
      <w:pPr>
        <w:jc w:val="left"/>
        <w:rPr>
          <w:rFonts w:cs="Arial"/>
        </w:rPr>
      </w:pPr>
      <w:r>
        <w:rPr>
          <w:rFonts w:cs="Arial"/>
          <w:b/>
          <w:i/>
        </w:rPr>
        <w:t>b/ Charcuterie salaison de porc et de volaille</w:t>
      </w:r>
    </w:p>
    <w:tbl>
      <w:tblPr>
        <w:tblW w:w="8931" w:type="dxa"/>
        <w:tblCellMar>
          <w:left w:w="70" w:type="dxa"/>
          <w:right w:w="70" w:type="dxa"/>
        </w:tblCellMar>
        <w:tblLook w:val="04A0" w:firstRow="1" w:lastRow="0" w:firstColumn="1" w:lastColumn="0" w:noHBand="0" w:noVBand="1"/>
      </w:tblPr>
      <w:tblGrid>
        <w:gridCol w:w="1216"/>
        <w:gridCol w:w="1000"/>
        <w:gridCol w:w="912"/>
        <w:gridCol w:w="1601"/>
        <w:gridCol w:w="1296"/>
        <w:gridCol w:w="1296"/>
        <w:gridCol w:w="1610"/>
      </w:tblGrid>
      <w:tr w:rsidR="007203A1" w:rsidRPr="007203A1" w14:paraId="2CDD973E" w14:textId="77777777" w:rsidTr="007203A1">
        <w:trPr>
          <w:trHeight w:val="130"/>
        </w:trPr>
        <w:tc>
          <w:tcPr>
            <w:tcW w:w="1216" w:type="dxa"/>
            <w:tcBorders>
              <w:top w:val="nil"/>
              <w:left w:val="nil"/>
              <w:bottom w:val="nil"/>
              <w:right w:val="nil"/>
            </w:tcBorders>
            <w:shd w:val="clear" w:color="000000" w:fill="D9D9D9"/>
            <w:noWrap/>
            <w:vAlign w:val="center"/>
            <w:hideMark/>
          </w:tcPr>
          <w:p w14:paraId="07EFFA13"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lastRenderedPageBreak/>
              <w:t>0</w:t>
            </w:r>
          </w:p>
        </w:tc>
        <w:tc>
          <w:tcPr>
            <w:tcW w:w="3513" w:type="dxa"/>
            <w:gridSpan w:val="3"/>
            <w:tcBorders>
              <w:top w:val="nil"/>
              <w:left w:val="nil"/>
              <w:bottom w:val="nil"/>
              <w:right w:val="nil"/>
            </w:tcBorders>
            <w:shd w:val="clear" w:color="000000" w:fill="D9D9D9"/>
            <w:noWrap/>
            <w:vAlign w:val="center"/>
            <w:hideMark/>
          </w:tcPr>
          <w:p w14:paraId="1C595550"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JAMBON ET CHARCUTERIE (4)</w:t>
            </w:r>
          </w:p>
        </w:tc>
        <w:tc>
          <w:tcPr>
            <w:tcW w:w="1296" w:type="dxa"/>
            <w:tcBorders>
              <w:top w:val="nil"/>
              <w:left w:val="nil"/>
              <w:bottom w:val="nil"/>
              <w:right w:val="nil"/>
            </w:tcBorders>
            <w:shd w:val="clear" w:color="000000" w:fill="D9D9D9"/>
            <w:noWrap/>
            <w:vAlign w:val="center"/>
            <w:hideMark/>
          </w:tcPr>
          <w:p w14:paraId="2A2AB08F"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 </w:t>
            </w:r>
          </w:p>
        </w:tc>
        <w:tc>
          <w:tcPr>
            <w:tcW w:w="1296" w:type="dxa"/>
            <w:tcBorders>
              <w:top w:val="nil"/>
              <w:left w:val="nil"/>
              <w:bottom w:val="nil"/>
              <w:right w:val="nil"/>
            </w:tcBorders>
            <w:shd w:val="clear" w:color="000000" w:fill="D9D9D9"/>
            <w:noWrap/>
            <w:vAlign w:val="center"/>
            <w:hideMark/>
          </w:tcPr>
          <w:p w14:paraId="42C43744"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 </w:t>
            </w:r>
          </w:p>
        </w:tc>
        <w:tc>
          <w:tcPr>
            <w:tcW w:w="1610" w:type="dxa"/>
            <w:tcBorders>
              <w:top w:val="nil"/>
              <w:left w:val="nil"/>
              <w:bottom w:val="nil"/>
              <w:right w:val="nil"/>
            </w:tcBorders>
            <w:shd w:val="clear" w:color="000000" w:fill="D9D9D9"/>
            <w:noWrap/>
            <w:vAlign w:val="center"/>
            <w:hideMark/>
          </w:tcPr>
          <w:p w14:paraId="7C88F2F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 </w:t>
            </w:r>
          </w:p>
        </w:tc>
      </w:tr>
      <w:tr w:rsidR="007203A1" w:rsidRPr="007203A1" w14:paraId="5D08F272" w14:textId="77777777" w:rsidTr="007203A1">
        <w:trPr>
          <w:trHeight w:val="130"/>
        </w:trPr>
        <w:tc>
          <w:tcPr>
            <w:tcW w:w="1216" w:type="dxa"/>
            <w:tcBorders>
              <w:top w:val="nil"/>
              <w:left w:val="nil"/>
              <w:bottom w:val="nil"/>
              <w:right w:val="nil"/>
            </w:tcBorders>
            <w:shd w:val="clear" w:color="auto" w:fill="auto"/>
            <w:noWrap/>
            <w:vAlign w:val="center"/>
            <w:hideMark/>
          </w:tcPr>
          <w:p w14:paraId="4BFFF147"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1</w:t>
            </w:r>
          </w:p>
        </w:tc>
        <w:tc>
          <w:tcPr>
            <w:tcW w:w="7715" w:type="dxa"/>
            <w:gridSpan w:val="6"/>
            <w:tcBorders>
              <w:top w:val="nil"/>
              <w:left w:val="nil"/>
              <w:bottom w:val="nil"/>
              <w:right w:val="nil"/>
            </w:tcBorders>
            <w:shd w:val="clear" w:color="auto" w:fill="auto"/>
            <w:noWrap/>
            <w:vAlign w:val="center"/>
            <w:hideMark/>
          </w:tcPr>
          <w:p w14:paraId="34D7FCC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 xml:space="preserve">Jambon et charcuterie hors saucisses à gros hachage et hors charcuterie de volaille </w:t>
            </w:r>
          </w:p>
        </w:tc>
      </w:tr>
      <w:tr w:rsidR="007203A1" w:rsidRPr="007203A1" w14:paraId="588AF1D3" w14:textId="77777777" w:rsidTr="007203A1">
        <w:trPr>
          <w:trHeight w:val="130"/>
        </w:trPr>
        <w:tc>
          <w:tcPr>
            <w:tcW w:w="1216" w:type="dxa"/>
            <w:tcBorders>
              <w:top w:val="nil"/>
              <w:left w:val="nil"/>
              <w:bottom w:val="nil"/>
              <w:right w:val="nil"/>
            </w:tcBorders>
            <w:shd w:val="clear" w:color="auto" w:fill="auto"/>
            <w:noWrap/>
            <w:vAlign w:val="center"/>
            <w:hideMark/>
          </w:tcPr>
          <w:p w14:paraId="3B49FA4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1</w:t>
            </w:r>
          </w:p>
        </w:tc>
        <w:tc>
          <w:tcPr>
            <w:tcW w:w="1000" w:type="dxa"/>
            <w:tcBorders>
              <w:top w:val="nil"/>
              <w:left w:val="nil"/>
              <w:bottom w:val="nil"/>
              <w:right w:val="nil"/>
            </w:tcBorders>
            <w:shd w:val="clear" w:color="auto" w:fill="auto"/>
            <w:noWrap/>
            <w:vAlign w:val="center"/>
            <w:hideMark/>
          </w:tcPr>
          <w:p w14:paraId="20140B41"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Jambon</w:t>
            </w:r>
          </w:p>
        </w:tc>
        <w:tc>
          <w:tcPr>
            <w:tcW w:w="912" w:type="dxa"/>
            <w:tcBorders>
              <w:top w:val="nil"/>
              <w:left w:val="nil"/>
              <w:bottom w:val="nil"/>
              <w:right w:val="nil"/>
            </w:tcBorders>
            <w:shd w:val="clear" w:color="auto" w:fill="auto"/>
            <w:noWrap/>
            <w:vAlign w:val="center"/>
            <w:hideMark/>
          </w:tcPr>
          <w:p w14:paraId="3C0087B1"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601" w:type="dxa"/>
            <w:tcBorders>
              <w:top w:val="nil"/>
              <w:left w:val="nil"/>
              <w:bottom w:val="nil"/>
              <w:right w:val="nil"/>
            </w:tcBorders>
            <w:shd w:val="clear" w:color="auto" w:fill="auto"/>
            <w:noWrap/>
            <w:vAlign w:val="bottom"/>
            <w:hideMark/>
          </w:tcPr>
          <w:p w14:paraId="7B626B49"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09BAD57F"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F9D13EB"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281213B6"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38726842" w14:textId="77777777" w:rsidTr="007203A1">
        <w:trPr>
          <w:trHeight w:val="130"/>
        </w:trPr>
        <w:tc>
          <w:tcPr>
            <w:tcW w:w="1216" w:type="dxa"/>
            <w:tcBorders>
              <w:top w:val="nil"/>
              <w:left w:val="nil"/>
              <w:bottom w:val="nil"/>
              <w:right w:val="nil"/>
            </w:tcBorders>
            <w:shd w:val="clear" w:color="auto" w:fill="auto"/>
            <w:noWrap/>
            <w:vAlign w:val="center"/>
            <w:hideMark/>
          </w:tcPr>
          <w:p w14:paraId="656C1B25"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7F5A3F1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44326D3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Cuit</w:t>
            </w:r>
          </w:p>
        </w:tc>
        <w:tc>
          <w:tcPr>
            <w:tcW w:w="1601" w:type="dxa"/>
            <w:tcBorders>
              <w:top w:val="nil"/>
              <w:left w:val="nil"/>
              <w:bottom w:val="nil"/>
              <w:right w:val="nil"/>
            </w:tcBorders>
            <w:shd w:val="clear" w:color="auto" w:fill="auto"/>
            <w:noWrap/>
            <w:vAlign w:val="bottom"/>
            <w:hideMark/>
          </w:tcPr>
          <w:p w14:paraId="5D9451CF"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1E135DF3"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6807EE65"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13517E99"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7C846D67" w14:textId="77777777" w:rsidTr="007203A1">
        <w:trPr>
          <w:trHeight w:val="130"/>
        </w:trPr>
        <w:tc>
          <w:tcPr>
            <w:tcW w:w="1216" w:type="dxa"/>
            <w:tcBorders>
              <w:top w:val="nil"/>
              <w:left w:val="nil"/>
              <w:bottom w:val="nil"/>
              <w:right w:val="nil"/>
            </w:tcBorders>
            <w:shd w:val="clear" w:color="auto" w:fill="auto"/>
            <w:noWrap/>
            <w:vAlign w:val="center"/>
            <w:hideMark/>
          </w:tcPr>
          <w:p w14:paraId="18167A0E"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315528E7"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B0EFA24"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789EF0D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048A9066"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52D24B5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Supérieur</w:t>
            </w:r>
          </w:p>
        </w:tc>
        <w:tc>
          <w:tcPr>
            <w:tcW w:w="1610" w:type="dxa"/>
            <w:tcBorders>
              <w:top w:val="nil"/>
              <w:left w:val="nil"/>
              <w:bottom w:val="nil"/>
              <w:right w:val="nil"/>
            </w:tcBorders>
            <w:shd w:val="clear" w:color="auto" w:fill="auto"/>
            <w:noWrap/>
            <w:vAlign w:val="center"/>
            <w:hideMark/>
          </w:tcPr>
          <w:p w14:paraId="68A0D125"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0AB901EF" w14:textId="77777777" w:rsidTr="007203A1">
        <w:trPr>
          <w:trHeight w:val="130"/>
        </w:trPr>
        <w:tc>
          <w:tcPr>
            <w:tcW w:w="1216" w:type="dxa"/>
            <w:tcBorders>
              <w:top w:val="nil"/>
              <w:left w:val="nil"/>
              <w:bottom w:val="nil"/>
              <w:right w:val="nil"/>
            </w:tcBorders>
            <w:shd w:val="clear" w:color="auto" w:fill="auto"/>
            <w:noWrap/>
            <w:vAlign w:val="center"/>
            <w:hideMark/>
          </w:tcPr>
          <w:p w14:paraId="7F65F702"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05C20BD4"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04C807D"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11E9DEEE"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41A07AF"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05A5A7C4"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Choix</w:t>
            </w:r>
          </w:p>
        </w:tc>
        <w:tc>
          <w:tcPr>
            <w:tcW w:w="1610" w:type="dxa"/>
            <w:tcBorders>
              <w:top w:val="nil"/>
              <w:left w:val="nil"/>
              <w:bottom w:val="nil"/>
              <w:right w:val="nil"/>
            </w:tcBorders>
            <w:shd w:val="clear" w:color="auto" w:fill="auto"/>
            <w:noWrap/>
            <w:vAlign w:val="center"/>
            <w:hideMark/>
          </w:tcPr>
          <w:p w14:paraId="3F21B211"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6779E3C3" w14:textId="77777777" w:rsidTr="007203A1">
        <w:trPr>
          <w:trHeight w:val="130"/>
        </w:trPr>
        <w:tc>
          <w:tcPr>
            <w:tcW w:w="1216" w:type="dxa"/>
            <w:tcBorders>
              <w:top w:val="nil"/>
              <w:left w:val="nil"/>
              <w:bottom w:val="nil"/>
              <w:right w:val="nil"/>
            </w:tcBorders>
            <w:shd w:val="clear" w:color="auto" w:fill="auto"/>
            <w:noWrap/>
            <w:vAlign w:val="center"/>
            <w:hideMark/>
          </w:tcPr>
          <w:p w14:paraId="768BD36F"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6D3B509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178EC5A3"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5B40B489"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C5AE00F" w14:textId="77777777" w:rsidR="007203A1" w:rsidRPr="007203A1" w:rsidRDefault="007203A1" w:rsidP="007203A1">
            <w:pPr>
              <w:spacing w:after="0" w:line="240" w:lineRule="auto"/>
              <w:jc w:val="left"/>
              <w:rPr>
                <w:rFonts w:eastAsia="Times New Roman" w:cs="Arial"/>
                <w:sz w:val="20"/>
                <w:szCs w:val="20"/>
                <w:lang w:eastAsia="fr-FR"/>
              </w:rPr>
            </w:pPr>
          </w:p>
        </w:tc>
        <w:tc>
          <w:tcPr>
            <w:tcW w:w="2906" w:type="dxa"/>
            <w:gridSpan w:val="2"/>
            <w:tcBorders>
              <w:top w:val="nil"/>
              <w:left w:val="nil"/>
              <w:bottom w:val="nil"/>
              <w:right w:val="nil"/>
            </w:tcBorders>
            <w:shd w:val="clear" w:color="auto" w:fill="auto"/>
            <w:noWrap/>
            <w:vAlign w:val="center"/>
            <w:hideMark/>
          </w:tcPr>
          <w:p w14:paraId="255275B2"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Epaule, standard</w:t>
            </w:r>
          </w:p>
        </w:tc>
      </w:tr>
      <w:tr w:rsidR="007203A1" w:rsidRPr="007203A1" w14:paraId="4DDF26FD" w14:textId="77777777" w:rsidTr="007203A1">
        <w:trPr>
          <w:trHeight w:val="130"/>
        </w:trPr>
        <w:tc>
          <w:tcPr>
            <w:tcW w:w="1216" w:type="dxa"/>
            <w:tcBorders>
              <w:top w:val="nil"/>
              <w:left w:val="nil"/>
              <w:bottom w:val="nil"/>
              <w:right w:val="nil"/>
            </w:tcBorders>
            <w:shd w:val="clear" w:color="auto" w:fill="auto"/>
            <w:noWrap/>
            <w:vAlign w:val="center"/>
            <w:hideMark/>
          </w:tcPr>
          <w:p w14:paraId="4A238F3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513A6050"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478DB866"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Cru</w:t>
            </w:r>
          </w:p>
        </w:tc>
        <w:tc>
          <w:tcPr>
            <w:tcW w:w="1601" w:type="dxa"/>
            <w:tcBorders>
              <w:top w:val="nil"/>
              <w:left w:val="nil"/>
              <w:bottom w:val="nil"/>
              <w:right w:val="nil"/>
            </w:tcBorders>
            <w:shd w:val="clear" w:color="auto" w:fill="auto"/>
            <w:noWrap/>
            <w:vAlign w:val="bottom"/>
            <w:hideMark/>
          </w:tcPr>
          <w:p w14:paraId="22E80B01"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3AFAF90F"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49318A2B"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0C8E65AC"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4ECEA471" w14:textId="77777777" w:rsidTr="007203A1">
        <w:trPr>
          <w:trHeight w:val="130"/>
        </w:trPr>
        <w:tc>
          <w:tcPr>
            <w:tcW w:w="1216" w:type="dxa"/>
            <w:tcBorders>
              <w:top w:val="nil"/>
              <w:left w:val="nil"/>
              <w:bottom w:val="nil"/>
              <w:right w:val="nil"/>
            </w:tcBorders>
            <w:shd w:val="clear" w:color="auto" w:fill="auto"/>
            <w:noWrap/>
            <w:vAlign w:val="center"/>
            <w:hideMark/>
          </w:tcPr>
          <w:p w14:paraId="04E797E6"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1</w:t>
            </w:r>
          </w:p>
        </w:tc>
        <w:tc>
          <w:tcPr>
            <w:tcW w:w="1912" w:type="dxa"/>
            <w:gridSpan w:val="2"/>
            <w:tcBorders>
              <w:top w:val="nil"/>
              <w:left w:val="nil"/>
              <w:bottom w:val="nil"/>
              <w:right w:val="nil"/>
            </w:tcBorders>
            <w:shd w:val="clear" w:color="auto" w:fill="auto"/>
            <w:noWrap/>
            <w:vAlign w:val="center"/>
            <w:hideMark/>
          </w:tcPr>
          <w:p w14:paraId="43BAF9D1"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Charcuterie</w:t>
            </w:r>
          </w:p>
        </w:tc>
        <w:tc>
          <w:tcPr>
            <w:tcW w:w="1601" w:type="dxa"/>
            <w:tcBorders>
              <w:top w:val="nil"/>
              <w:left w:val="nil"/>
              <w:bottom w:val="nil"/>
              <w:right w:val="nil"/>
            </w:tcBorders>
            <w:shd w:val="clear" w:color="auto" w:fill="auto"/>
            <w:noWrap/>
            <w:vAlign w:val="bottom"/>
            <w:hideMark/>
          </w:tcPr>
          <w:p w14:paraId="770EA7A8"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0842C4FB"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048B88DC"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780E11D2"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00DFA59B" w14:textId="77777777" w:rsidTr="007203A1">
        <w:trPr>
          <w:trHeight w:val="130"/>
        </w:trPr>
        <w:tc>
          <w:tcPr>
            <w:tcW w:w="1216" w:type="dxa"/>
            <w:tcBorders>
              <w:top w:val="nil"/>
              <w:left w:val="nil"/>
              <w:bottom w:val="nil"/>
              <w:right w:val="nil"/>
            </w:tcBorders>
            <w:shd w:val="clear" w:color="auto" w:fill="auto"/>
            <w:noWrap/>
            <w:vAlign w:val="center"/>
            <w:hideMark/>
          </w:tcPr>
          <w:p w14:paraId="68876654"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2D6D9835"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6715" w:type="dxa"/>
            <w:gridSpan w:val="5"/>
            <w:tcBorders>
              <w:top w:val="nil"/>
              <w:left w:val="nil"/>
              <w:bottom w:val="nil"/>
              <w:right w:val="nil"/>
            </w:tcBorders>
            <w:shd w:val="clear" w:color="auto" w:fill="auto"/>
            <w:noWrap/>
            <w:vAlign w:val="center"/>
            <w:hideMark/>
          </w:tcPr>
          <w:p w14:paraId="6074EE1D"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Charcuterie hors saucisse à gros hachage et hors charcuterie de volaille</w:t>
            </w:r>
          </w:p>
        </w:tc>
      </w:tr>
      <w:tr w:rsidR="007203A1" w:rsidRPr="007203A1" w14:paraId="7C626850" w14:textId="77777777" w:rsidTr="007203A1">
        <w:trPr>
          <w:trHeight w:val="130"/>
        </w:trPr>
        <w:tc>
          <w:tcPr>
            <w:tcW w:w="1216" w:type="dxa"/>
            <w:tcBorders>
              <w:top w:val="nil"/>
              <w:left w:val="nil"/>
              <w:bottom w:val="nil"/>
              <w:right w:val="nil"/>
            </w:tcBorders>
            <w:shd w:val="clear" w:color="auto" w:fill="auto"/>
            <w:noWrap/>
            <w:vAlign w:val="center"/>
            <w:hideMark/>
          </w:tcPr>
          <w:p w14:paraId="1EE0E156"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3431524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632EF979"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Rillette</w:t>
            </w:r>
          </w:p>
        </w:tc>
        <w:tc>
          <w:tcPr>
            <w:tcW w:w="1601" w:type="dxa"/>
            <w:tcBorders>
              <w:top w:val="nil"/>
              <w:left w:val="nil"/>
              <w:bottom w:val="nil"/>
              <w:right w:val="nil"/>
            </w:tcBorders>
            <w:shd w:val="clear" w:color="auto" w:fill="auto"/>
            <w:noWrap/>
            <w:vAlign w:val="bottom"/>
            <w:hideMark/>
          </w:tcPr>
          <w:p w14:paraId="1C258092"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65C22885"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64995B18"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6A488D52"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27CD6673" w14:textId="77777777" w:rsidTr="007203A1">
        <w:trPr>
          <w:trHeight w:val="130"/>
        </w:trPr>
        <w:tc>
          <w:tcPr>
            <w:tcW w:w="1216" w:type="dxa"/>
            <w:tcBorders>
              <w:top w:val="nil"/>
              <w:left w:val="nil"/>
              <w:bottom w:val="nil"/>
              <w:right w:val="nil"/>
            </w:tcBorders>
            <w:shd w:val="clear" w:color="auto" w:fill="auto"/>
            <w:noWrap/>
            <w:vAlign w:val="center"/>
            <w:hideMark/>
          </w:tcPr>
          <w:p w14:paraId="6648C9F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1179AB6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3B0721F"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2316C67C"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3BC957DE"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63CAACD"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Pur porc</w:t>
            </w:r>
          </w:p>
        </w:tc>
        <w:tc>
          <w:tcPr>
            <w:tcW w:w="1610" w:type="dxa"/>
            <w:tcBorders>
              <w:top w:val="nil"/>
              <w:left w:val="nil"/>
              <w:bottom w:val="nil"/>
              <w:right w:val="nil"/>
            </w:tcBorders>
            <w:shd w:val="clear" w:color="auto" w:fill="auto"/>
            <w:noWrap/>
            <w:vAlign w:val="center"/>
            <w:hideMark/>
          </w:tcPr>
          <w:p w14:paraId="50715B6E"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3984E0E7" w14:textId="77777777" w:rsidTr="007203A1">
        <w:trPr>
          <w:trHeight w:val="130"/>
        </w:trPr>
        <w:tc>
          <w:tcPr>
            <w:tcW w:w="1216" w:type="dxa"/>
            <w:tcBorders>
              <w:top w:val="nil"/>
              <w:left w:val="nil"/>
              <w:bottom w:val="nil"/>
              <w:right w:val="nil"/>
            </w:tcBorders>
            <w:shd w:val="clear" w:color="auto" w:fill="auto"/>
            <w:noWrap/>
            <w:vAlign w:val="center"/>
            <w:hideMark/>
          </w:tcPr>
          <w:p w14:paraId="0DE01B4D"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6984246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D764011"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0C84972F"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5A892BB"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F11F3AA"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Autres</w:t>
            </w:r>
          </w:p>
        </w:tc>
        <w:tc>
          <w:tcPr>
            <w:tcW w:w="1610" w:type="dxa"/>
            <w:tcBorders>
              <w:top w:val="nil"/>
              <w:left w:val="nil"/>
              <w:bottom w:val="nil"/>
              <w:right w:val="nil"/>
            </w:tcBorders>
            <w:shd w:val="clear" w:color="auto" w:fill="auto"/>
            <w:noWrap/>
            <w:vAlign w:val="center"/>
            <w:hideMark/>
          </w:tcPr>
          <w:p w14:paraId="2EBD9188"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054A5744" w14:textId="77777777" w:rsidTr="007203A1">
        <w:trPr>
          <w:trHeight w:val="130"/>
        </w:trPr>
        <w:tc>
          <w:tcPr>
            <w:tcW w:w="1216" w:type="dxa"/>
            <w:tcBorders>
              <w:top w:val="nil"/>
              <w:left w:val="nil"/>
              <w:bottom w:val="nil"/>
              <w:right w:val="nil"/>
            </w:tcBorders>
            <w:shd w:val="clear" w:color="auto" w:fill="auto"/>
            <w:noWrap/>
            <w:vAlign w:val="center"/>
            <w:hideMark/>
          </w:tcPr>
          <w:p w14:paraId="39B4D73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69B1E00D"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3809" w:type="dxa"/>
            <w:gridSpan w:val="3"/>
            <w:tcBorders>
              <w:top w:val="nil"/>
              <w:left w:val="nil"/>
              <w:bottom w:val="nil"/>
              <w:right w:val="nil"/>
            </w:tcBorders>
            <w:shd w:val="clear" w:color="auto" w:fill="auto"/>
            <w:noWrap/>
            <w:vAlign w:val="center"/>
            <w:hideMark/>
          </w:tcPr>
          <w:p w14:paraId="67ED48F5"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Lardons, poitrine, bacon</w:t>
            </w:r>
          </w:p>
        </w:tc>
        <w:tc>
          <w:tcPr>
            <w:tcW w:w="1296" w:type="dxa"/>
            <w:tcBorders>
              <w:top w:val="nil"/>
              <w:left w:val="nil"/>
              <w:bottom w:val="nil"/>
              <w:right w:val="nil"/>
            </w:tcBorders>
            <w:shd w:val="clear" w:color="auto" w:fill="auto"/>
            <w:noWrap/>
            <w:vAlign w:val="center"/>
            <w:hideMark/>
          </w:tcPr>
          <w:p w14:paraId="1514D0F9"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610" w:type="dxa"/>
            <w:tcBorders>
              <w:top w:val="nil"/>
              <w:left w:val="nil"/>
              <w:bottom w:val="nil"/>
              <w:right w:val="nil"/>
            </w:tcBorders>
            <w:shd w:val="clear" w:color="auto" w:fill="auto"/>
            <w:noWrap/>
            <w:vAlign w:val="center"/>
            <w:hideMark/>
          </w:tcPr>
          <w:p w14:paraId="5AA19E7F"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246E1769" w14:textId="77777777" w:rsidTr="007203A1">
        <w:trPr>
          <w:trHeight w:val="130"/>
        </w:trPr>
        <w:tc>
          <w:tcPr>
            <w:tcW w:w="1216" w:type="dxa"/>
            <w:tcBorders>
              <w:top w:val="nil"/>
              <w:left w:val="nil"/>
              <w:bottom w:val="nil"/>
              <w:right w:val="nil"/>
            </w:tcBorders>
            <w:shd w:val="clear" w:color="auto" w:fill="auto"/>
            <w:noWrap/>
            <w:vAlign w:val="center"/>
            <w:hideMark/>
          </w:tcPr>
          <w:p w14:paraId="1002791D"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3</w:t>
            </w:r>
          </w:p>
        </w:tc>
        <w:tc>
          <w:tcPr>
            <w:tcW w:w="1000" w:type="dxa"/>
            <w:tcBorders>
              <w:top w:val="nil"/>
              <w:left w:val="nil"/>
              <w:bottom w:val="nil"/>
              <w:right w:val="nil"/>
            </w:tcBorders>
            <w:shd w:val="clear" w:color="auto" w:fill="auto"/>
            <w:noWrap/>
            <w:vAlign w:val="bottom"/>
            <w:hideMark/>
          </w:tcPr>
          <w:p w14:paraId="49ED03D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4B9DCD9"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center"/>
            <w:hideMark/>
          </w:tcPr>
          <w:p w14:paraId="095A4714"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Libre service</w:t>
            </w:r>
          </w:p>
        </w:tc>
        <w:tc>
          <w:tcPr>
            <w:tcW w:w="1296" w:type="dxa"/>
            <w:tcBorders>
              <w:top w:val="nil"/>
              <w:left w:val="nil"/>
              <w:bottom w:val="nil"/>
              <w:right w:val="nil"/>
            </w:tcBorders>
            <w:shd w:val="clear" w:color="auto" w:fill="auto"/>
            <w:noWrap/>
            <w:vAlign w:val="center"/>
            <w:hideMark/>
          </w:tcPr>
          <w:p w14:paraId="6765805D"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3BFA4F2B"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0CBC073B"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760617EA" w14:textId="77777777" w:rsidTr="007203A1">
        <w:trPr>
          <w:trHeight w:val="130"/>
        </w:trPr>
        <w:tc>
          <w:tcPr>
            <w:tcW w:w="1216" w:type="dxa"/>
            <w:tcBorders>
              <w:top w:val="nil"/>
              <w:left w:val="nil"/>
              <w:bottom w:val="nil"/>
              <w:right w:val="nil"/>
            </w:tcBorders>
            <w:shd w:val="clear" w:color="auto" w:fill="auto"/>
            <w:noWrap/>
            <w:vAlign w:val="center"/>
            <w:hideMark/>
          </w:tcPr>
          <w:p w14:paraId="2E84DABB"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39C80BA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4A72F535"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3735C44D"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24B893D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580C7F16"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Lardon</w:t>
            </w:r>
          </w:p>
        </w:tc>
        <w:tc>
          <w:tcPr>
            <w:tcW w:w="1610" w:type="dxa"/>
            <w:tcBorders>
              <w:top w:val="nil"/>
              <w:left w:val="nil"/>
              <w:bottom w:val="nil"/>
              <w:right w:val="nil"/>
            </w:tcBorders>
            <w:shd w:val="clear" w:color="auto" w:fill="auto"/>
            <w:noWrap/>
            <w:vAlign w:val="center"/>
            <w:hideMark/>
          </w:tcPr>
          <w:p w14:paraId="727462FA"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5CA40E32" w14:textId="77777777" w:rsidTr="007203A1">
        <w:trPr>
          <w:trHeight w:val="130"/>
        </w:trPr>
        <w:tc>
          <w:tcPr>
            <w:tcW w:w="1216" w:type="dxa"/>
            <w:tcBorders>
              <w:top w:val="nil"/>
              <w:left w:val="nil"/>
              <w:bottom w:val="nil"/>
              <w:right w:val="nil"/>
            </w:tcBorders>
            <w:shd w:val="clear" w:color="auto" w:fill="auto"/>
            <w:noWrap/>
            <w:vAlign w:val="center"/>
            <w:hideMark/>
          </w:tcPr>
          <w:p w14:paraId="62D05907"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6DF44678"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4F405D22"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7341BEC9"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3C411244"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27668E40"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Poitrine</w:t>
            </w:r>
          </w:p>
        </w:tc>
        <w:tc>
          <w:tcPr>
            <w:tcW w:w="1610" w:type="dxa"/>
            <w:tcBorders>
              <w:top w:val="nil"/>
              <w:left w:val="nil"/>
              <w:bottom w:val="nil"/>
              <w:right w:val="nil"/>
            </w:tcBorders>
            <w:shd w:val="clear" w:color="auto" w:fill="auto"/>
            <w:noWrap/>
            <w:vAlign w:val="center"/>
            <w:hideMark/>
          </w:tcPr>
          <w:p w14:paraId="246BF509"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1764F456" w14:textId="77777777" w:rsidTr="007203A1">
        <w:trPr>
          <w:trHeight w:val="130"/>
        </w:trPr>
        <w:tc>
          <w:tcPr>
            <w:tcW w:w="1216" w:type="dxa"/>
            <w:tcBorders>
              <w:top w:val="nil"/>
              <w:left w:val="nil"/>
              <w:bottom w:val="nil"/>
              <w:right w:val="nil"/>
            </w:tcBorders>
            <w:shd w:val="clear" w:color="auto" w:fill="auto"/>
            <w:noWrap/>
            <w:vAlign w:val="center"/>
            <w:hideMark/>
          </w:tcPr>
          <w:p w14:paraId="1CC1694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42F0D62F"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C55998C"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6AF06CD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248C8445"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DBB10D3"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Bacon</w:t>
            </w:r>
          </w:p>
        </w:tc>
        <w:tc>
          <w:tcPr>
            <w:tcW w:w="1610" w:type="dxa"/>
            <w:tcBorders>
              <w:top w:val="nil"/>
              <w:left w:val="nil"/>
              <w:bottom w:val="nil"/>
              <w:right w:val="nil"/>
            </w:tcBorders>
            <w:shd w:val="clear" w:color="auto" w:fill="auto"/>
            <w:noWrap/>
            <w:vAlign w:val="center"/>
            <w:hideMark/>
          </w:tcPr>
          <w:p w14:paraId="4C814C9D"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0A6C785A" w14:textId="77777777" w:rsidTr="007203A1">
        <w:trPr>
          <w:trHeight w:val="130"/>
        </w:trPr>
        <w:tc>
          <w:tcPr>
            <w:tcW w:w="1216" w:type="dxa"/>
            <w:tcBorders>
              <w:top w:val="nil"/>
              <w:left w:val="nil"/>
              <w:bottom w:val="nil"/>
              <w:right w:val="nil"/>
            </w:tcBorders>
            <w:shd w:val="clear" w:color="auto" w:fill="auto"/>
            <w:noWrap/>
            <w:vAlign w:val="center"/>
            <w:hideMark/>
          </w:tcPr>
          <w:p w14:paraId="16FE3DCB"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3</w:t>
            </w:r>
          </w:p>
        </w:tc>
        <w:tc>
          <w:tcPr>
            <w:tcW w:w="1000" w:type="dxa"/>
            <w:tcBorders>
              <w:top w:val="nil"/>
              <w:left w:val="nil"/>
              <w:bottom w:val="nil"/>
              <w:right w:val="nil"/>
            </w:tcBorders>
            <w:shd w:val="clear" w:color="auto" w:fill="auto"/>
            <w:noWrap/>
            <w:vAlign w:val="bottom"/>
            <w:hideMark/>
          </w:tcPr>
          <w:p w14:paraId="32955137"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55974DD"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center"/>
            <w:hideMark/>
          </w:tcPr>
          <w:p w14:paraId="73E4F981"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Coupe</w:t>
            </w:r>
          </w:p>
        </w:tc>
        <w:tc>
          <w:tcPr>
            <w:tcW w:w="1296" w:type="dxa"/>
            <w:tcBorders>
              <w:top w:val="nil"/>
              <w:left w:val="nil"/>
              <w:bottom w:val="nil"/>
              <w:right w:val="nil"/>
            </w:tcBorders>
            <w:shd w:val="clear" w:color="auto" w:fill="auto"/>
            <w:noWrap/>
            <w:vAlign w:val="center"/>
            <w:hideMark/>
          </w:tcPr>
          <w:p w14:paraId="3244C50C"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13482884"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52470A8C"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52057575" w14:textId="77777777" w:rsidTr="007203A1">
        <w:trPr>
          <w:trHeight w:val="130"/>
        </w:trPr>
        <w:tc>
          <w:tcPr>
            <w:tcW w:w="1216" w:type="dxa"/>
            <w:tcBorders>
              <w:top w:val="nil"/>
              <w:left w:val="nil"/>
              <w:bottom w:val="nil"/>
              <w:right w:val="nil"/>
            </w:tcBorders>
            <w:shd w:val="clear" w:color="auto" w:fill="auto"/>
            <w:noWrap/>
            <w:vAlign w:val="center"/>
            <w:hideMark/>
          </w:tcPr>
          <w:p w14:paraId="7E51BFDA"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213A0003"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491F49A2"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50589DD3"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72AB768D"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6EFE354"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Poitrine</w:t>
            </w:r>
          </w:p>
        </w:tc>
        <w:tc>
          <w:tcPr>
            <w:tcW w:w="1610" w:type="dxa"/>
            <w:tcBorders>
              <w:top w:val="nil"/>
              <w:left w:val="nil"/>
              <w:bottom w:val="nil"/>
              <w:right w:val="nil"/>
            </w:tcBorders>
            <w:shd w:val="clear" w:color="auto" w:fill="auto"/>
            <w:noWrap/>
            <w:vAlign w:val="center"/>
            <w:hideMark/>
          </w:tcPr>
          <w:p w14:paraId="2BF0DAC5"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5C08243D" w14:textId="77777777" w:rsidTr="007203A1">
        <w:trPr>
          <w:trHeight w:val="130"/>
        </w:trPr>
        <w:tc>
          <w:tcPr>
            <w:tcW w:w="1216" w:type="dxa"/>
            <w:tcBorders>
              <w:top w:val="nil"/>
              <w:left w:val="nil"/>
              <w:bottom w:val="nil"/>
              <w:right w:val="nil"/>
            </w:tcBorders>
            <w:shd w:val="clear" w:color="auto" w:fill="auto"/>
            <w:noWrap/>
            <w:vAlign w:val="center"/>
            <w:hideMark/>
          </w:tcPr>
          <w:p w14:paraId="3677E4B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308D3650"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34697700"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4D070FF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22FC7630"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4A4EC1CA"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Bacon</w:t>
            </w:r>
          </w:p>
        </w:tc>
        <w:tc>
          <w:tcPr>
            <w:tcW w:w="1610" w:type="dxa"/>
            <w:tcBorders>
              <w:top w:val="nil"/>
              <w:left w:val="nil"/>
              <w:bottom w:val="nil"/>
              <w:right w:val="nil"/>
            </w:tcBorders>
            <w:shd w:val="clear" w:color="auto" w:fill="auto"/>
            <w:noWrap/>
            <w:vAlign w:val="center"/>
            <w:hideMark/>
          </w:tcPr>
          <w:p w14:paraId="4A6D3E9F"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3D298D9D" w14:textId="77777777" w:rsidTr="007203A1">
        <w:trPr>
          <w:trHeight w:val="130"/>
        </w:trPr>
        <w:tc>
          <w:tcPr>
            <w:tcW w:w="1216" w:type="dxa"/>
            <w:tcBorders>
              <w:top w:val="nil"/>
              <w:left w:val="nil"/>
              <w:bottom w:val="nil"/>
              <w:right w:val="nil"/>
            </w:tcBorders>
            <w:shd w:val="clear" w:color="auto" w:fill="auto"/>
            <w:noWrap/>
            <w:vAlign w:val="center"/>
            <w:hideMark/>
          </w:tcPr>
          <w:p w14:paraId="3F63272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59E0F733"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2678540B"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Pâté</w:t>
            </w:r>
          </w:p>
        </w:tc>
        <w:tc>
          <w:tcPr>
            <w:tcW w:w="1601" w:type="dxa"/>
            <w:tcBorders>
              <w:top w:val="nil"/>
              <w:left w:val="nil"/>
              <w:bottom w:val="nil"/>
              <w:right w:val="nil"/>
            </w:tcBorders>
            <w:shd w:val="clear" w:color="auto" w:fill="auto"/>
            <w:noWrap/>
            <w:vAlign w:val="bottom"/>
            <w:hideMark/>
          </w:tcPr>
          <w:p w14:paraId="713CEEC7"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49A13EC1"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49F152B2"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49FE55AC"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3E6C04F9" w14:textId="77777777" w:rsidTr="007203A1">
        <w:trPr>
          <w:trHeight w:val="130"/>
        </w:trPr>
        <w:tc>
          <w:tcPr>
            <w:tcW w:w="1216" w:type="dxa"/>
            <w:tcBorders>
              <w:top w:val="nil"/>
              <w:left w:val="nil"/>
              <w:bottom w:val="nil"/>
              <w:right w:val="nil"/>
            </w:tcBorders>
            <w:shd w:val="clear" w:color="auto" w:fill="auto"/>
            <w:noWrap/>
            <w:vAlign w:val="center"/>
            <w:hideMark/>
          </w:tcPr>
          <w:p w14:paraId="7E2A899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40EE341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D51FB8E"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1D2C20D9"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40F4E964" w14:textId="77777777" w:rsidR="007203A1" w:rsidRPr="007203A1" w:rsidRDefault="007203A1" w:rsidP="007203A1">
            <w:pPr>
              <w:spacing w:after="0" w:line="240" w:lineRule="auto"/>
              <w:jc w:val="left"/>
              <w:rPr>
                <w:rFonts w:eastAsia="Times New Roman" w:cs="Arial"/>
                <w:sz w:val="20"/>
                <w:szCs w:val="20"/>
                <w:lang w:eastAsia="fr-FR"/>
              </w:rPr>
            </w:pPr>
          </w:p>
        </w:tc>
        <w:tc>
          <w:tcPr>
            <w:tcW w:w="2906" w:type="dxa"/>
            <w:gridSpan w:val="2"/>
            <w:tcBorders>
              <w:top w:val="nil"/>
              <w:left w:val="nil"/>
              <w:bottom w:val="nil"/>
              <w:right w:val="nil"/>
            </w:tcBorders>
            <w:shd w:val="clear" w:color="auto" w:fill="auto"/>
            <w:noWrap/>
            <w:vAlign w:val="center"/>
            <w:hideMark/>
          </w:tcPr>
          <w:p w14:paraId="0EAA82E3"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Pâté de campagne</w:t>
            </w:r>
          </w:p>
        </w:tc>
      </w:tr>
      <w:tr w:rsidR="007203A1" w:rsidRPr="007203A1" w14:paraId="3C0645A4" w14:textId="77777777" w:rsidTr="007203A1">
        <w:trPr>
          <w:trHeight w:val="130"/>
        </w:trPr>
        <w:tc>
          <w:tcPr>
            <w:tcW w:w="1216" w:type="dxa"/>
            <w:tcBorders>
              <w:top w:val="nil"/>
              <w:left w:val="nil"/>
              <w:bottom w:val="nil"/>
              <w:right w:val="nil"/>
            </w:tcBorders>
            <w:shd w:val="clear" w:color="auto" w:fill="auto"/>
            <w:noWrap/>
            <w:vAlign w:val="center"/>
            <w:hideMark/>
          </w:tcPr>
          <w:p w14:paraId="51079B60"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2BE08054"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5EA7D0CF"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67027B2D"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653C4F5A"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55BD2003"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Pâté de foie</w:t>
            </w:r>
          </w:p>
        </w:tc>
        <w:tc>
          <w:tcPr>
            <w:tcW w:w="1610" w:type="dxa"/>
            <w:tcBorders>
              <w:top w:val="nil"/>
              <w:left w:val="nil"/>
              <w:bottom w:val="nil"/>
              <w:right w:val="nil"/>
            </w:tcBorders>
            <w:shd w:val="clear" w:color="auto" w:fill="auto"/>
            <w:noWrap/>
            <w:vAlign w:val="center"/>
            <w:hideMark/>
          </w:tcPr>
          <w:p w14:paraId="5381F7A5"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7FBD8CDE" w14:textId="77777777" w:rsidTr="007203A1">
        <w:trPr>
          <w:trHeight w:val="130"/>
        </w:trPr>
        <w:tc>
          <w:tcPr>
            <w:tcW w:w="1216" w:type="dxa"/>
            <w:tcBorders>
              <w:top w:val="nil"/>
              <w:left w:val="nil"/>
              <w:bottom w:val="nil"/>
              <w:right w:val="nil"/>
            </w:tcBorders>
            <w:shd w:val="clear" w:color="auto" w:fill="auto"/>
            <w:noWrap/>
            <w:vAlign w:val="center"/>
            <w:hideMark/>
          </w:tcPr>
          <w:p w14:paraId="57AA701B"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409B993F"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C52CCC5"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7F8674F5"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6441E193"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4E77A6EF"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Autres</w:t>
            </w:r>
          </w:p>
        </w:tc>
        <w:tc>
          <w:tcPr>
            <w:tcW w:w="1610" w:type="dxa"/>
            <w:tcBorders>
              <w:top w:val="nil"/>
              <w:left w:val="nil"/>
              <w:bottom w:val="nil"/>
              <w:right w:val="nil"/>
            </w:tcBorders>
            <w:shd w:val="clear" w:color="auto" w:fill="auto"/>
            <w:noWrap/>
            <w:vAlign w:val="center"/>
            <w:hideMark/>
          </w:tcPr>
          <w:p w14:paraId="5F4BF331"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2448B12F" w14:textId="77777777" w:rsidTr="007203A1">
        <w:trPr>
          <w:trHeight w:val="130"/>
        </w:trPr>
        <w:tc>
          <w:tcPr>
            <w:tcW w:w="1216" w:type="dxa"/>
            <w:tcBorders>
              <w:top w:val="nil"/>
              <w:left w:val="nil"/>
              <w:bottom w:val="nil"/>
              <w:right w:val="nil"/>
            </w:tcBorders>
            <w:shd w:val="clear" w:color="auto" w:fill="auto"/>
            <w:noWrap/>
            <w:vAlign w:val="center"/>
            <w:hideMark/>
          </w:tcPr>
          <w:p w14:paraId="25D21A55"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0849081F"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center"/>
            <w:hideMark/>
          </w:tcPr>
          <w:p w14:paraId="74C94D8C"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Boudin</w:t>
            </w:r>
          </w:p>
        </w:tc>
        <w:tc>
          <w:tcPr>
            <w:tcW w:w="1601" w:type="dxa"/>
            <w:tcBorders>
              <w:top w:val="nil"/>
              <w:left w:val="nil"/>
              <w:bottom w:val="nil"/>
              <w:right w:val="nil"/>
            </w:tcBorders>
            <w:shd w:val="clear" w:color="auto" w:fill="auto"/>
            <w:noWrap/>
            <w:vAlign w:val="bottom"/>
            <w:hideMark/>
          </w:tcPr>
          <w:p w14:paraId="69B0EE37"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bottom"/>
            <w:hideMark/>
          </w:tcPr>
          <w:p w14:paraId="43AFA5A6"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447299D6"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bottom"/>
            <w:hideMark/>
          </w:tcPr>
          <w:p w14:paraId="7B8479FC"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3DE4DC3B" w14:textId="77777777" w:rsidTr="007203A1">
        <w:trPr>
          <w:trHeight w:val="130"/>
        </w:trPr>
        <w:tc>
          <w:tcPr>
            <w:tcW w:w="1216" w:type="dxa"/>
            <w:tcBorders>
              <w:top w:val="nil"/>
              <w:left w:val="nil"/>
              <w:bottom w:val="nil"/>
              <w:right w:val="nil"/>
            </w:tcBorders>
            <w:shd w:val="clear" w:color="auto" w:fill="auto"/>
            <w:noWrap/>
            <w:vAlign w:val="center"/>
            <w:hideMark/>
          </w:tcPr>
          <w:p w14:paraId="13C21CA3"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18D15469"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31A006A7"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Andouille, andouillette</w:t>
            </w:r>
          </w:p>
        </w:tc>
        <w:tc>
          <w:tcPr>
            <w:tcW w:w="1296" w:type="dxa"/>
            <w:tcBorders>
              <w:top w:val="nil"/>
              <w:left w:val="nil"/>
              <w:bottom w:val="nil"/>
              <w:right w:val="nil"/>
            </w:tcBorders>
            <w:shd w:val="clear" w:color="auto" w:fill="auto"/>
            <w:noWrap/>
            <w:vAlign w:val="center"/>
            <w:hideMark/>
          </w:tcPr>
          <w:p w14:paraId="632C0B95"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2BC547F2"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4A65C935"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15A74EC5" w14:textId="77777777" w:rsidTr="007203A1">
        <w:trPr>
          <w:trHeight w:val="130"/>
        </w:trPr>
        <w:tc>
          <w:tcPr>
            <w:tcW w:w="1216" w:type="dxa"/>
            <w:tcBorders>
              <w:top w:val="nil"/>
              <w:left w:val="nil"/>
              <w:bottom w:val="nil"/>
              <w:right w:val="nil"/>
            </w:tcBorders>
            <w:shd w:val="clear" w:color="auto" w:fill="auto"/>
            <w:noWrap/>
            <w:vAlign w:val="center"/>
            <w:hideMark/>
          </w:tcPr>
          <w:p w14:paraId="0FE1A57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5E94AA0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084ACCEC"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38A42412"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0C089212"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3FD8739D"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Andouille</w:t>
            </w:r>
          </w:p>
        </w:tc>
        <w:tc>
          <w:tcPr>
            <w:tcW w:w="1610" w:type="dxa"/>
            <w:tcBorders>
              <w:top w:val="nil"/>
              <w:left w:val="nil"/>
              <w:bottom w:val="nil"/>
              <w:right w:val="nil"/>
            </w:tcBorders>
            <w:shd w:val="clear" w:color="auto" w:fill="auto"/>
            <w:noWrap/>
            <w:vAlign w:val="center"/>
            <w:hideMark/>
          </w:tcPr>
          <w:p w14:paraId="6DD814EA"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4C12CDCE" w14:textId="77777777" w:rsidTr="007203A1">
        <w:trPr>
          <w:trHeight w:val="130"/>
        </w:trPr>
        <w:tc>
          <w:tcPr>
            <w:tcW w:w="1216" w:type="dxa"/>
            <w:tcBorders>
              <w:top w:val="nil"/>
              <w:left w:val="nil"/>
              <w:bottom w:val="nil"/>
              <w:right w:val="nil"/>
            </w:tcBorders>
            <w:shd w:val="clear" w:color="auto" w:fill="auto"/>
            <w:noWrap/>
            <w:vAlign w:val="center"/>
            <w:hideMark/>
          </w:tcPr>
          <w:p w14:paraId="4E85957C"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75C49F8B"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13298E1C"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3C3D9054"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20D6BD49" w14:textId="77777777" w:rsidR="007203A1" w:rsidRPr="007203A1" w:rsidRDefault="007203A1" w:rsidP="007203A1">
            <w:pPr>
              <w:spacing w:after="0" w:line="240" w:lineRule="auto"/>
              <w:jc w:val="left"/>
              <w:rPr>
                <w:rFonts w:eastAsia="Times New Roman" w:cs="Arial"/>
                <w:sz w:val="20"/>
                <w:szCs w:val="20"/>
                <w:lang w:eastAsia="fr-FR"/>
              </w:rPr>
            </w:pPr>
          </w:p>
        </w:tc>
        <w:tc>
          <w:tcPr>
            <w:tcW w:w="2906" w:type="dxa"/>
            <w:gridSpan w:val="2"/>
            <w:tcBorders>
              <w:top w:val="nil"/>
              <w:left w:val="nil"/>
              <w:bottom w:val="nil"/>
              <w:right w:val="nil"/>
            </w:tcBorders>
            <w:shd w:val="clear" w:color="auto" w:fill="auto"/>
            <w:noWrap/>
            <w:vAlign w:val="center"/>
            <w:hideMark/>
          </w:tcPr>
          <w:p w14:paraId="69285A08"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Andouillette</w:t>
            </w:r>
          </w:p>
        </w:tc>
      </w:tr>
      <w:tr w:rsidR="007203A1" w:rsidRPr="007203A1" w14:paraId="4625899E" w14:textId="77777777" w:rsidTr="007203A1">
        <w:trPr>
          <w:trHeight w:val="130"/>
        </w:trPr>
        <w:tc>
          <w:tcPr>
            <w:tcW w:w="1216" w:type="dxa"/>
            <w:tcBorders>
              <w:top w:val="nil"/>
              <w:left w:val="nil"/>
              <w:bottom w:val="nil"/>
              <w:right w:val="nil"/>
            </w:tcBorders>
            <w:shd w:val="clear" w:color="auto" w:fill="auto"/>
            <w:noWrap/>
            <w:vAlign w:val="center"/>
            <w:hideMark/>
          </w:tcPr>
          <w:p w14:paraId="086E3D1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082977DE"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39E82616"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Saucisson sec et salami</w:t>
            </w:r>
          </w:p>
        </w:tc>
        <w:tc>
          <w:tcPr>
            <w:tcW w:w="1296" w:type="dxa"/>
            <w:tcBorders>
              <w:top w:val="nil"/>
              <w:left w:val="nil"/>
              <w:bottom w:val="nil"/>
              <w:right w:val="nil"/>
            </w:tcBorders>
            <w:shd w:val="clear" w:color="auto" w:fill="auto"/>
            <w:noWrap/>
            <w:vAlign w:val="center"/>
            <w:hideMark/>
          </w:tcPr>
          <w:p w14:paraId="1A09FACD"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0BE75807"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4528B7F2"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1B8403C4" w14:textId="77777777" w:rsidTr="007203A1">
        <w:trPr>
          <w:trHeight w:val="130"/>
        </w:trPr>
        <w:tc>
          <w:tcPr>
            <w:tcW w:w="1216" w:type="dxa"/>
            <w:tcBorders>
              <w:top w:val="nil"/>
              <w:left w:val="nil"/>
              <w:bottom w:val="nil"/>
              <w:right w:val="nil"/>
            </w:tcBorders>
            <w:shd w:val="clear" w:color="auto" w:fill="auto"/>
            <w:noWrap/>
            <w:vAlign w:val="center"/>
            <w:hideMark/>
          </w:tcPr>
          <w:p w14:paraId="291D4FE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648F6B7E"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3809" w:type="dxa"/>
            <w:gridSpan w:val="3"/>
            <w:tcBorders>
              <w:top w:val="nil"/>
              <w:left w:val="nil"/>
              <w:bottom w:val="nil"/>
              <w:right w:val="nil"/>
            </w:tcBorders>
            <w:shd w:val="clear" w:color="auto" w:fill="auto"/>
            <w:noWrap/>
            <w:vAlign w:val="center"/>
            <w:hideMark/>
          </w:tcPr>
          <w:p w14:paraId="6D1BB669"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Saucisson cuit ou à cuire</w:t>
            </w:r>
          </w:p>
        </w:tc>
        <w:tc>
          <w:tcPr>
            <w:tcW w:w="1296" w:type="dxa"/>
            <w:tcBorders>
              <w:top w:val="nil"/>
              <w:left w:val="nil"/>
              <w:bottom w:val="nil"/>
              <w:right w:val="nil"/>
            </w:tcBorders>
            <w:shd w:val="clear" w:color="auto" w:fill="auto"/>
            <w:noWrap/>
            <w:vAlign w:val="center"/>
            <w:hideMark/>
          </w:tcPr>
          <w:p w14:paraId="5B31BABA"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610" w:type="dxa"/>
            <w:tcBorders>
              <w:top w:val="nil"/>
              <w:left w:val="nil"/>
              <w:bottom w:val="nil"/>
              <w:right w:val="nil"/>
            </w:tcBorders>
            <w:shd w:val="clear" w:color="auto" w:fill="auto"/>
            <w:noWrap/>
            <w:vAlign w:val="center"/>
            <w:hideMark/>
          </w:tcPr>
          <w:p w14:paraId="1DD550A8"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40B79F4F" w14:textId="77777777" w:rsidTr="007203A1">
        <w:trPr>
          <w:trHeight w:val="130"/>
        </w:trPr>
        <w:tc>
          <w:tcPr>
            <w:tcW w:w="1216" w:type="dxa"/>
            <w:tcBorders>
              <w:top w:val="nil"/>
              <w:left w:val="nil"/>
              <w:bottom w:val="nil"/>
              <w:right w:val="nil"/>
            </w:tcBorders>
            <w:shd w:val="clear" w:color="auto" w:fill="auto"/>
            <w:noWrap/>
            <w:vAlign w:val="center"/>
            <w:hideMark/>
          </w:tcPr>
          <w:p w14:paraId="32913BAA"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08AAAAD9"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16690241"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Saucisse à pâte fine</w:t>
            </w:r>
          </w:p>
        </w:tc>
        <w:tc>
          <w:tcPr>
            <w:tcW w:w="1296" w:type="dxa"/>
            <w:tcBorders>
              <w:top w:val="nil"/>
              <w:left w:val="nil"/>
              <w:bottom w:val="nil"/>
              <w:right w:val="nil"/>
            </w:tcBorders>
            <w:shd w:val="clear" w:color="auto" w:fill="auto"/>
            <w:noWrap/>
            <w:vAlign w:val="center"/>
            <w:hideMark/>
          </w:tcPr>
          <w:p w14:paraId="55882CA9"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6426404F"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2A7E0CA3"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5E88834A" w14:textId="77777777" w:rsidTr="007203A1">
        <w:trPr>
          <w:trHeight w:val="130"/>
        </w:trPr>
        <w:tc>
          <w:tcPr>
            <w:tcW w:w="1216" w:type="dxa"/>
            <w:tcBorders>
              <w:top w:val="nil"/>
              <w:left w:val="nil"/>
              <w:bottom w:val="nil"/>
              <w:right w:val="nil"/>
            </w:tcBorders>
            <w:shd w:val="clear" w:color="auto" w:fill="auto"/>
            <w:noWrap/>
            <w:vAlign w:val="center"/>
            <w:hideMark/>
          </w:tcPr>
          <w:p w14:paraId="5F67683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1D163A56"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78C8B0BB"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Saucisse à gros hachage</w:t>
            </w:r>
          </w:p>
        </w:tc>
        <w:tc>
          <w:tcPr>
            <w:tcW w:w="1296" w:type="dxa"/>
            <w:tcBorders>
              <w:top w:val="nil"/>
              <w:left w:val="nil"/>
              <w:bottom w:val="nil"/>
              <w:right w:val="nil"/>
            </w:tcBorders>
            <w:shd w:val="clear" w:color="auto" w:fill="auto"/>
            <w:noWrap/>
            <w:vAlign w:val="center"/>
            <w:hideMark/>
          </w:tcPr>
          <w:p w14:paraId="4630FEAD"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60A71FB7"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0678ACC4"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4FA4DE95" w14:textId="77777777" w:rsidTr="007203A1">
        <w:trPr>
          <w:trHeight w:val="130"/>
        </w:trPr>
        <w:tc>
          <w:tcPr>
            <w:tcW w:w="1216" w:type="dxa"/>
            <w:tcBorders>
              <w:top w:val="nil"/>
              <w:left w:val="nil"/>
              <w:bottom w:val="nil"/>
              <w:right w:val="nil"/>
            </w:tcBorders>
            <w:shd w:val="clear" w:color="auto" w:fill="auto"/>
            <w:noWrap/>
            <w:vAlign w:val="center"/>
            <w:hideMark/>
          </w:tcPr>
          <w:p w14:paraId="36218E8B"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40662A1C"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A6A562E"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4C78ECAA"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61C1A50"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0F2A3FC3"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Chipolata</w:t>
            </w:r>
          </w:p>
        </w:tc>
        <w:tc>
          <w:tcPr>
            <w:tcW w:w="1610" w:type="dxa"/>
            <w:tcBorders>
              <w:top w:val="nil"/>
              <w:left w:val="nil"/>
              <w:bottom w:val="nil"/>
              <w:right w:val="nil"/>
            </w:tcBorders>
            <w:shd w:val="clear" w:color="auto" w:fill="auto"/>
            <w:noWrap/>
            <w:vAlign w:val="center"/>
            <w:hideMark/>
          </w:tcPr>
          <w:p w14:paraId="62DCE75E"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66C0521D" w14:textId="77777777" w:rsidTr="007203A1">
        <w:trPr>
          <w:trHeight w:val="130"/>
        </w:trPr>
        <w:tc>
          <w:tcPr>
            <w:tcW w:w="1216" w:type="dxa"/>
            <w:tcBorders>
              <w:top w:val="nil"/>
              <w:left w:val="nil"/>
              <w:bottom w:val="nil"/>
              <w:right w:val="nil"/>
            </w:tcBorders>
            <w:shd w:val="clear" w:color="auto" w:fill="auto"/>
            <w:noWrap/>
            <w:vAlign w:val="center"/>
            <w:hideMark/>
          </w:tcPr>
          <w:p w14:paraId="02FBE761"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14E82146"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8513447"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4E4F5AF6"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55618108"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189FFECE"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Merguez</w:t>
            </w:r>
          </w:p>
        </w:tc>
        <w:tc>
          <w:tcPr>
            <w:tcW w:w="1610" w:type="dxa"/>
            <w:tcBorders>
              <w:top w:val="nil"/>
              <w:left w:val="nil"/>
              <w:bottom w:val="nil"/>
              <w:right w:val="nil"/>
            </w:tcBorders>
            <w:shd w:val="clear" w:color="auto" w:fill="auto"/>
            <w:noWrap/>
            <w:vAlign w:val="center"/>
            <w:hideMark/>
          </w:tcPr>
          <w:p w14:paraId="4CFED1B8"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2177CA63" w14:textId="77777777" w:rsidTr="007203A1">
        <w:trPr>
          <w:trHeight w:val="130"/>
        </w:trPr>
        <w:tc>
          <w:tcPr>
            <w:tcW w:w="1216" w:type="dxa"/>
            <w:tcBorders>
              <w:top w:val="nil"/>
              <w:left w:val="nil"/>
              <w:bottom w:val="nil"/>
              <w:right w:val="nil"/>
            </w:tcBorders>
            <w:shd w:val="clear" w:color="auto" w:fill="auto"/>
            <w:noWrap/>
            <w:vAlign w:val="center"/>
            <w:hideMark/>
          </w:tcPr>
          <w:p w14:paraId="7B1B0D4E"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4</w:t>
            </w:r>
          </w:p>
        </w:tc>
        <w:tc>
          <w:tcPr>
            <w:tcW w:w="1000" w:type="dxa"/>
            <w:tcBorders>
              <w:top w:val="nil"/>
              <w:left w:val="nil"/>
              <w:bottom w:val="nil"/>
              <w:right w:val="nil"/>
            </w:tcBorders>
            <w:shd w:val="clear" w:color="auto" w:fill="auto"/>
            <w:noWrap/>
            <w:vAlign w:val="bottom"/>
            <w:hideMark/>
          </w:tcPr>
          <w:p w14:paraId="57DA6351"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70210F89"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bottom"/>
            <w:hideMark/>
          </w:tcPr>
          <w:p w14:paraId="3F5DF74D"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bottom"/>
            <w:hideMark/>
          </w:tcPr>
          <w:p w14:paraId="12E51A9E" w14:textId="77777777" w:rsidR="007203A1" w:rsidRPr="007203A1" w:rsidRDefault="007203A1" w:rsidP="007203A1">
            <w:pPr>
              <w:spacing w:after="0" w:line="240" w:lineRule="auto"/>
              <w:jc w:val="left"/>
              <w:rPr>
                <w:rFonts w:eastAsia="Times New Roman" w:cs="Arial"/>
                <w:sz w:val="20"/>
                <w:szCs w:val="20"/>
                <w:lang w:eastAsia="fr-FR"/>
              </w:rPr>
            </w:pPr>
          </w:p>
        </w:tc>
        <w:tc>
          <w:tcPr>
            <w:tcW w:w="1296" w:type="dxa"/>
            <w:tcBorders>
              <w:top w:val="nil"/>
              <w:left w:val="nil"/>
              <w:bottom w:val="nil"/>
              <w:right w:val="nil"/>
            </w:tcBorders>
            <w:shd w:val="clear" w:color="auto" w:fill="auto"/>
            <w:noWrap/>
            <w:vAlign w:val="center"/>
            <w:hideMark/>
          </w:tcPr>
          <w:p w14:paraId="7A3AEA79"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Autres</w:t>
            </w:r>
          </w:p>
        </w:tc>
        <w:tc>
          <w:tcPr>
            <w:tcW w:w="1610" w:type="dxa"/>
            <w:tcBorders>
              <w:top w:val="nil"/>
              <w:left w:val="nil"/>
              <w:bottom w:val="nil"/>
              <w:right w:val="nil"/>
            </w:tcBorders>
            <w:shd w:val="clear" w:color="auto" w:fill="auto"/>
            <w:noWrap/>
            <w:vAlign w:val="center"/>
            <w:hideMark/>
          </w:tcPr>
          <w:p w14:paraId="4142244F" w14:textId="77777777" w:rsidR="007203A1" w:rsidRPr="007203A1" w:rsidRDefault="007203A1" w:rsidP="007203A1">
            <w:pPr>
              <w:spacing w:after="0" w:line="240" w:lineRule="auto"/>
              <w:jc w:val="left"/>
              <w:rPr>
                <w:rFonts w:eastAsia="Times New Roman" w:cs="Arial"/>
                <w:color w:val="000000"/>
                <w:sz w:val="20"/>
                <w:szCs w:val="20"/>
                <w:lang w:eastAsia="fr-FR"/>
              </w:rPr>
            </w:pPr>
          </w:p>
        </w:tc>
      </w:tr>
      <w:tr w:rsidR="007203A1" w:rsidRPr="007203A1" w14:paraId="30C6B9B4" w14:textId="77777777" w:rsidTr="007203A1">
        <w:trPr>
          <w:trHeight w:val="130"/>
        </w:trPr>
        <w:tc>
          <w:tcPr>
            <w:tcW w:w="1216" w:type="dxa"/>
            <w:tcBorders>
              <w:top w:val="nil"/>
              <w:left w:val="nil"/>
              <w:bottom w:val="nil"/>
              <w:right w:val="nil"/>
            </w:tcBorders>
            <w:shd w:val="clear" w:color="auto" w:fill="auto"/>
            <w:noWrap/>
            <w:vAlign w:val="center"/>
            <w:hideMark/>
          </w:tcPr>
          <w:p w14:paraId="0B9BE9B9"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776202B2"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3809" w:type="dxa"/>
            <w:gridSpan w:val="3"/>
            <w:tcBorders>
              <w:top w:val="nil"/>
              <w:left w:val="nil"/>
              <w:bottom w:val="nil"/>
              <w:right w:val="nil"/>
            </w:tcBorders>
            <w:shd w:val="clear" w:color="auto" w:fill="auto"/>
            <w:noWrap/>
            <w:vAlign w:val="center"/>
            <w:hideMark/>
          </w:tcPr>
          <w:p w14:paraId="060E521D"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Charcuterie à base de volaille</w:t>
            </w:r>
          </w:p>
        </w:tc>
        <w:tc>
          <w:tcPr>
            <w:tcW w:w="1296" w:type="dxa"/>
            <w:tcBorders>
              <w:top w:val="nil"/>
              <w:left w:val="nil"/>
              <w:bottom w:val="nil"/>
              <w:right w:val="nil"/>
            </w:tcBorders>
            <w:shd w:val="clear" w:color="auto" w:fill="auto"/>
            <w:noWrap/>
            <w:vAlign w:val="center"/>
            <w:hideMark/>
          </w:tcPr>
          <w:p w14:paraId="6E70E84A"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610" w:type="dxa"/>
            <w:tcBorders>
              <w:top w:val="nil"/>
              <w:left w:val="nil"/>
              <w:bottom w:val="nil"/>
              <w:right w:val="nil"/>
            </w:tcBorders>
            <w:shd w:val="clear" w:color="auto" w:fill="auto"/>
            <w:noWrap/>
            <w:vAlign w:val="center"/>
            <w:hideMark/>
          </w:tcPr>
          <w:p w14:paraId="7C8C6334"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53923915" w14:textId="77777777" w:rsidTr="007203A1">
        <w:trPr>
          <w:trHeight w:val="130"/>
        </w:trPr>
        <w:tc>
          <w:tcPr>
            <w:tcW w:w="1216" w:type="dxa"/>
            <w:tcBorders>
              <w:top w:val="nil"/>
              <w:left w:val="nil"/>
              <w:bottom w:val="nil"/>
              <w:right w:val="nil"/>
            </w:tcBorders>
            <w:shd w:val="clear" w:color="auto" w:fill="auto"/>
            <w:noWrap/>
            <w:vAlign w:val="center"/>
            <w:hideMark/>
          </w:tcPr>
          <w:p w14:paraId="52CEF2F3"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3</w:t>
            </w:r>
          </w:p>
        </w:tc>
        <w:tc>
          <w:tcPr>
            <w:tcW w:w="1000" w:type="dxa"/>
            <w:tcBorders>
              <w:top w:val="nil"/>
              <w:left w:val="nil"/>
              <w:bottom w:val="nil"/>
              <w:right w:val="nil"/>
            </w:tcBorders>
            <w:shd w:val="clear" w:color="auto" w:fill="auto"/>
            <w:noWrap/>
            <w:vAlign w:val="bottom"/>
            <w:hideMark/>
          </w:tcPr>
          <w:p w14:paraId="684B35D5"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285D1940"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center"/>
            <w:hideMark/>
          </w:tcPr>
          <w:p w14:paraId="169E832B"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Jambon</w:t>
            </w:r>
          </w:p>
        </w:tc>
        <w:tc>
          <w:tcPr>
            <w:tcW w:w="1296" w:type="dxa"/>
            <w:tcBorders>
              <w:top w:val="nil"/>
              <w:left w:val="nil"/>
              <w:bottom w:val="nil"/>
              <w:right w:val="nil"/>
            </w:tcBorders>
            <w:shd w:val="clear" w:color="auto" w:fill="auto"/>
            <w:noWrap/>
            <w:vAlign w:val="center"/>
            <w:hideMark/>
          </w:tcPr>
          <w:p w14:paraId="5A1AD712"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52B9AE32"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385C9A24"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366FCFC1" w14:textId="77777777" w:rsidTr="007203A1">
        <w:trPr>
          <w:trHeight w:val="130"/>
        </w:trPr>
        <w:tc>
          <w:tcPr>
            <w:tcW w:w="1216" w:type="dxa"/>
            <w:tcBorders>
              <w:top w:val="nil"/>
              <w:left w:val="nil"/>
              <w:bottom w:val="nil"/>
              <w:right w:val="nil"/>
            </w:tcBorders>
            <w:shd w:val="clear" w:color="auto" w:fill="auto"/>
            <w:noWrap/>
            <w:vAlign w:val="center"/>
            <w:hideMark/>
          </w:tcPr>
          <w:p w14:paraId="2BA4CAF3"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3</w:t>
            </w:r>
          </w:p>
        </w:tc>
        <w:tc>
          <w:tcPr>
            <w:tcW w:w="1000" w:type="dxa"/>
            <w:tcBorders>
              <w:top w:val="nil"/>
              <w:left w:val="nil"/>
              <w:bottom w:val="nil"/>
              <w:right w:val="nil"/>
            </w:tcBorders>
            <w:shd w:val="clear" w:color="auto" w:fill="auto"/>
            <w:noWrap/>
            <w:vAlign w:val="bottom"/>
            <w:hideMark/>
          </w:tcPr>
          <w:p w14:paraId="6C0A8A77"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912" w:type="dxa"/>
            <w:tcBorders>
              <w:top w:val="nil"/>
              <w:left w:val="nil"/>
              <w:bottom w:val="nil"/>
              <w:right w:val="nil"/>
            </w:tcBorders>
            <w:shd w:val="clear" w:color="auto" w:fill="auto"/>
            <w:noWrap/>
            <w:vAlign w:val="bottom"/>
            <w:hideMark/>
          </w:tcPr>
          <w:p w14:paraId="6B6EEE4A" w14:textId="77777777" w:rsidR="007203A1" w:rsidRPr="007203A1" w:rsidRDefault="007203A1" w:rsidP="007203A1">
            <w:pPr>
              <w:spacing w:after="0" w:line="240" w:lineRule="auto"/>
              <w:jc w:val="left"/>
              <w:rPr>
                <w:rFonts w:eastAsia="Times New Roman" w:cs="Arial"/>
                <w:sz w:val="20"/>
                <w:szCs w:val="20"/>
                <w:lang w:eastAsia="fr-FR"/>
              </w:rPr>
            </w:pPr>
          </w:p>
        </w:tc>
        <w:tc>
          <w:tcPr>
            <w:tcW w:w="1601" w:type="dxa"/>
            <w:tcBorders>
              <w:top w:val="nil"/>
              <w:left w:val="nil"/>
              <w:bottom w:val="nil"/>
              <w:right w:val="nil"/>
            </w:tcBorders>
            <w:shd w:val="clear" w:color="auto" w:fill="auto"/>
            <w:noWrap/>
            <w:vAlign w:val="center"/>
            <w:hideMark/>
          </w:tcPr>
          <w:p w14:paraId="19B87EDA"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Saucisse</w:t>
            </w:r>
          </w:p>
        </w:tc>
        <w:tc>
          <w:tcPr>
            <w:tcW w:w="1296" w:type="dxa"/>
            <w:tcBorders>
              <w:top w:val="nil"/>
              <w:left w:val="nil"/>
              <w:bottom w:val="nil"/>
              <w:right w:val="nil"/>
            </w:tcBorders>
            <w:shd w:val="clear" w:color="auto" w:fill="auto"/>
            <w:noWrap/>
            <w:vAlign w:val="center"/>
            <w:hideMark/>
          </w:tcPr>
          <w:p w14:paraId="55E72F4F"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210ED9CB"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51C61065" w14:textId="77777777" w:rsidR="007203A1" w:rsidRPr="007203A1" w:rsidRDefault="007203A1" w:rsidP="007203A1">
            <w:pPr>
              <w:spacing w:after="0" w:line="240" w:lineRule="auto"/>
              <w:jc w:val="left"/>
              <w:rPr>
                <w:rFonts w:eastAsia="Times New Roman" w:cs="Arial"/>
                <w:sz w:val="20"/>
                <w:szCs w:val="20"/>
                <w:lang w:eastAsia="fr-FR"/>
              </w:rPr>
            </w:pPr>
          </w:p>
        </w:tc>
      </w:tr>
      <w:tr w:rsidR="007203A1" w:rsidRPr="007203A1" w14:paraId="78DBF841" w14:textId="77777777" w:rsidTr="007203A1">
        <w:trPr>
          <w:trHeight w:val="130"/>
        </w:trPr>
        <w:tc>
          <w:tcPr>
            <w:tcW w:w="1216" w:type="dxa"/>
            <w:tcBorders>
              <w:top w:val="nil"/>
              <w:left w:val="nil"/>
              <w:bottom w:val="nil"/>
              <w:right w:val="nil"/>
            </w:tcBorders>
            <w:shd w:val="clear" w:color="auto" w:fill="auto"/>
            <w:noWrap/>
            <w:vAlign w:val="center"/>
            <w:hideMark/>
          </w:tcPr>
          <w:p w14:paraId="7A81E984" w14:textId="77777777" w:rsidR="007203A1" w:rsidRPr="007203A1" w:rsidRDefault="007203A1" w:rsidP="007203A1">
            <w:pPr>
              <w:spacing w:after="0" w:line="240" w:lineRule="auto"/>
              <w:jc w:val="right"/>
              <w:rPr>
                <w:rFonts w:eastAsia="Times New Roman" w:cs="Arial"/>
                <w:color w:val="000000"/>
                <w:sz w:val="20"/>
                <w:szCs w:val="20"/>
                <w:lang w:eastAsia="fr-FR"/>
              </w:rPr>
            </w:pPr>
            <w:r w:rsidRPr="007203A1">
              <w:rPr>
                <w:rFonts w:eastAsia="Times New Roman" w:cs="Arial"/>
                <w:color w:val="000000"/>
                <w:sz w:val="20"/>
                <w:szCs w:val="20"/>
                <w:lang w:eastAsia="fr-FR"/>
              </w:rPr>
              <w:t>2</w:t>
            </w:r>
          </w:p>
        </w:tc>
        <w:tc>
          <w:tcPr>
            <w:tcW w:w="1000" w:type="dxa"/>
            <w:tcBorders>
              <w:top w:val="nil"/>
              <w:left w:val="nil"/>
              <w:bottom w:val="nil"/>
              <w:right w:val="nil"/>
            </w:tcBorders>
            <w:shd w:val="clear" w:color="auto" w:fill="auto"/>
            <w:noWrap/>
            <w:vAlign w:val="bottom"/>
            <w:hideMark/>
          </w:tcPr>
          <w:p w14:paraId="64E854F4" w14:textId="77777777" w:rsidR="007203A1" w:rsidRPr="007203A1" w:rsidRDefault="007203A1" w:rsidP="007203A1">
            <w:pPr>
              <w:spacing w:after="0" w:line="240" w:lineRule="auto"/>
              <w:jc w:val="right"/>
              <w:rPr>
                <w:rFonts w:eastAsia="Times New Roman" w:cs="Arial"/>
                <w:color w:val="000000"/>
                <w:sz w:val="20"/>
                <w:szCs w:val="20"/>
                <w:lang w:eastAsia="fr-FR"/>
              </w:rPr>
            </w:pPr>
          </w:p>
        </w:tc>
        <w:tc>
          <w:tcPr>
            <w:tcW w:w="2513" w:type="dxa"/>
            <w:gridSpan w:val="2"/>
            <w:tcBorders>
              <w:top w:val="nil"/>
              <w:left w:val="nil"/>
              <w:bottom w:val="nil"/>
              <w:right w:val="nil"/>
            </w:tcBorders>
            <w:shd w:val="clear" w:color="auto" w:fill="auto"/>
            <w:noWrap/>
            <w:vAlign w:val="center"/>
            <w:hideMark/>
          </w:tcPr>
          <w:p w14:paraId="400FF2FA" w14:textId="77777777" w:rsidR="007203A1" w:rsidRPr="007203A1" w:rsidRDefault="007203A1" w:rsidP="007203A1">
            <w:pPr>
              <w:spacing w:after="0" w:line="240" w:lineRule="auto"/>
              <w:jc w:val="left"/>
              <w:rPr>
                <w:rFonts w:eastAsia="Times New Roman" w:cs="Arial"/>
                <w:color w:val="000000"/>
                <w:sz w:val="20"/>
                <w:szCs w:val="20"/>
                <w:lang w:eastAsia="fr-FR"/>
              </w:rPr>
            </w:pPr>
            <w:r w:rsidRPr="007203A1">
              <w:rPr>
                <w:rFonts w:eastAsia="Times New Roman" w:cs="Arial"/>
                <w:color w:val="000000"/>
                <w:sz w:val="20"/>
                <w:szCs w:val="20"/>
                <w:lang w:eastAsia="fr-FR"/>
              </w:rPr>
              <w:t>Autres charcuteries</w:t>
            </w:r>
          </w:p>
        </w:tc>
        <w:tc>
          <w:tcPr>
            <w:tcW w:w="1296" w:type="dxa"/>
            <w:tcBorders>
              <w:top w:val="nil"/>
              <w:left w:val="nil"/>
              <w:bottom w:val="nil"/>
              <w:right w:val="nil"/>
            </w:tcBorders>
            <w:shd w:val="clear" w:color="auto" w:fill="auto"/>
            <w:noWrap/>
            <w:vAlign w:val="center"/>
            <w:hideMark/>
          </w:tcPr>
          <w:p w14:paraId="3EE92E99" w14:textId="77777777" w:rsidR="007203A1" w:rsidRPr="007203A1" w:rsidRDefault="007203A1" w:rsidP="007203A1">
            <w:pPr>
              <w:spacing w:after="0" w:line="240" w:lineRule="auto"/>
              <w:jc w:val="left"/>
              <w:rPr>
                <w:rFonts w:eastAsia="Times New Roman" w:cs="Arial"/>
                <w:color w:val="000000"/>
                <w:sz w:val="20"/>
                <w:szCs w:val="20"/>
                <w:lang w:eastAsia="fr-FR"/>
              </w:rPr>
            </w:pPr>
          </w:p>
        </w:tc>
        <w:tc>
          <w:tcPr>
            <w:tcW w:w="1296" w:type="dxa"/>
            <w:tcBorders>
              <w:top w:val="nil"/>
              <w:left w:val="nil"/>
              <w:bottom w:val="nil"/>
              <w:right w:val="nil"/>
            </w:tcBorders>
            <w:shd w:val="clear" w:color="auto" w:fill="auto"/>
            <w:noWrap/>
            <w:vAlign w:val="center"/>
            <w:hideMark/>
          </w:tcPr>
          <w:p w14:paraId="12AD6BE4" w14:textId="77777777" w:rsidR="007203A1" w:rsidRPr="007203A1" w:rsidRDefault="007203A1" w:rsidP="007203A1">
            <w:pPr>
              <w:spacing w:after="0" w:line="240" w:lineRule="auto"/>
              <w:jc w:val="left"/>
              <w:rPr>
                <w:rFonts w:eastAsia="Times New Roman" w:cs="Arial"/>
                <w:sz w:val="20"/>
                <w:szCs w:val="20"/>
                <w:lang w:eastAsia="fr-FR"/>
              </w:rPr>
            </w:pPr>
          </w:p>
        </w:tc>
        <w:tc>
          <w:tcPr>
            <w:tcW w:w="1610" w:type="dxa"/>
            <w:tcBorders>
              <w:top w:val="nil"/>
              <w:left w:val="nil"/>
              <w:bottom w:val="nil"/>
              <w:right w:val="nil"/>
            </w:tcBorders>
            <w:shd w:val="clear" w:color="auto" w:fill="auto"/>
            <w:noWrap/>
            <w:vAlign w:val="center"/>
            <w:hideMark/>
          </w:tcPr>
          <w:p w14:paraId="2210C82C" w14:textId="77777777" w:rsidR="007203A1" w:rsidRPr="007203A1" w:rsidRDefault="007203A1" w:rsidP="007203A1">
            <w:pPr>
              <w:spacing w:after="0" w:line="240" w:lineRule="auto"/>
              <w:jc w:val="left"/>
              <w:rPr>
                <w:rFonts w:eastAsia="Times New Roman" w:cs="Arial"/>
                <w:sz w:val="20"/>
                <w:szCs w:val="20"/>
                <w:lang w:eastAsia="fr-FR"/>
              </w:rPr>
            </w:pPr>
          </w:p>
        </w:tc>
      </w:tr>
    </w:tbl>
    <w:p w14:paraId="3463CDCC" w14:textId="77777777" w:rsidR="00AF09B6" w:rsidRDefault="00AF09B6">
      <w:pPr>
        <w:jc w:val="left"/>
        <w:rPr>
          <w:rFonts w:cs="Arial"/>
        </w:rPr>
      </w:pPr>
    </w:p>
    <w:p w14:paraId="02338709" w14:textId="77777777" w:rsidR="00AF09B6" w:rsidRDefault="00AF09B6">
      <w:pPr>
        <w:jc w:val="left"/>
        <w:rPr>
          <w:rFonts w:cs="Arial"/>
        </w:rPr>
      </w:pPr>
    </w:p>
    <w:p w14:paraId="054DF37E" w14:textId="77777777" w:rsidR="007203A1" w:rsidRDefault="007203A1">
      <w:pPr>
        <w:jc w:val="left"/>
        <w:rPr>
          <w:rFonts w:cs="Arial"/>
        </w:rPr>
      </w:pPr>
    </w:p>
    <w:p w14:paraId="2A4DE928" w14:textId="77777777" w:rsidR="007203A1" w:rsidRDefault="007203A1">
      <w:pPr>
        <w:jc w:val="left"/>
        <w:rPr>
          <w:rFonts w:cs="Arial"/>
        </w:rPr>
      </w:pPr>
    </w:p>
    <w:p w14:paraId="4BAE0B4D" w14:textId="77777777" w:rsidR="007203A1" w:rsidRDefault="007203A1">
      <w:pPr>
        <w:jc w:val="left"/>
        <w:rPr>
          <w:rFonts w:cs="Arial"/>
        </w:rPr>
      </w:pPr>
    </w:p>
    <w:p w14:paraId="321AA4BE" w14:textId="77777777" w:rsidR="007203A1" w:rsidRDefault="007203A1">
      <w:pPr>
        <w:jc w:val="left"/>
        <w:rPr>
          <w:rFonts w:cs="Arial"/>
        </w:rPr>
      </w:pPr>
    </w:p>
    <w:p w14:paraId="30B3A1A9" w14:textId="77777777" w:rsidR="007203A1" w:rsidRDefault="007203A1">
      <w:pPr>
        <w:jc w:val="left"/>
        <w:rPr>
          <w:rFonts w:cs="Arial"/>
        </w:rPr>
      </w:pPr>
    </w:p>
    <w:p w14:paraId="1A01169F" w14:textId="77777777" w:rsidR="007203A1" w:rsidRDefault="007203A1">
      <w:pPr>
        <w:jc w:val="left"/>
        <w:rPr>
          <w:rFonts w:cs="Arial"/>
        </w:rPr>
      </w:pPr>
    </w:p>
    <w:p w14:paraId="19F7D3F4" w14:textId="764D995A" w:rsidR="007203A1" w:rsidRDefault="007203A1">
      <w:pPr>
        <w:jc w:val="left"/>
        <w:rPr>
          <w:rFonts w:cs="Arial"/>
        </w:rPr>
        <w:sectPr w:rsidR="007203A1" w:rsidSect="00B73F4D">
          <w:pgSz w:w="11906" w:h="16838"/>
          <w:pgMar w:top="1417" w:right="1133" w:bottom="1417" w:left="1417" w:header="708" w:footer="708" w:gutter="0"/>
          <w:pgNumType w:start="0"/>
          <w:cols w:space="708"/>
          <w:docGrid w:linePitch="360"/>
        </w:sectPr>
      </w:pPr>
    </w:p>
    <w:p w14:paraId="0742AF49" w14:textId="5B3D9C19" w:rsidR="009B7F6A" w:rsidRPr="00233D63" w:rsidRDefault="0096466D" w:rsidP="009B7F6A">
      <w:pPr>
        <w:rPr>
          <w:rFonts w:cs="Arial"/>
        </w:rPr>
      </w:pPr>
      <w:r w:rsidRPr="00F025C6">
        <w:rPr>
          <w:rFonts w:cs="Arial"/>
          <w:b/>
          <w:i/>
        </w:rPr>
        <w:lastRenderedPageBreak/>
        <w:t xml:space="preserve">Annexe </w:t>
      </w:r>
      <w:r>
        <w:rPr>
          <w:rFonts w:cs="Arial"/>
          <w:b/>
          <w:i/>
        </w:rPr>
        <w:t>5</w:t>
      </w:r>
      <w:r w:rsidRPr="00F025C6">
        <w:rPr>
          <w:rFonts w:cs="Arial"/>
          <w:b/>
          <w:i/>
        </w:rPr>
        <w:t xml:space="preserve"> : </w:t>
      </w:r>
      <w:r w:rsidR="00907A56">
        <w:rPr>
          <w:rFonts w:cs="Arial"/>
          <w:b/>
          <w:i/>
        </w:rPr>
        <w:t>Volume d</w:t>
      </w:r>
      <w:r w:rsidR="00431959">
        <w:rPr>
          <w:rFonts w:cs="Arial"/>
          <w:b/>
          <w:i/>
        </w:rPr>
        <w:t xml:space="preserve">isponible </w:t>
      </w:r>
      <w:r w:rsidR="002F3593">
        <w:rPr>
          <w:rFonts w:cs="Arial"/>
          <w:b/>
          <w:i/>
        </w:rPr>
        <w:t>à la consommation issu de l’a</w:t>
      </w:r>
      <w:r w:rsidR="00431959">
        <w:rPr>
          <w:rFonts w:cs="Arial"/>
          <w:b/>
          <w:i/>
        </w:rPr>
        <w:t xml:space="preserve">ppariement </w:t>
      </w:r>
      <w:r w:rsidR="002F3593">
        <w:rPr>
          <w:rFonts w:cs="Arial"/>
          <w:b/>
          <w:i/>
        </w:rPr>
        <w:t xml:space="preserve">des </w:t>
      </w:r>
      <w:r w:rsidR="00431959">
        <w:rPr>
          <w:rFonts w:cs="Arial"/>
          <w:b/>
          <w:i/>
        </w:rPr>
        <w:t xml:space="preserve">données Prodcom </w:t>
      </w:r>
      <w:r w:rsidR="00DD4E9B">
        <w:rPr>
          <w:rFonts w:cs="Arial"/>
          <w:b/>
          <w:i/>
        </w:rPr>
        <w:t xml:space="preserve">de l’activité 10.11.Z </w:t>
      </w:r>
      <w:r w:rsidR="002F3593">
        <w:rPr>
          <w:rFonts w:cs="Arial"/>
          <w:b/>
          <w:i/>
        </w:rPr>
        <w:t xml:space="preserve">avec les </w:t>
      </w:r>
      <w:r w:rsidR="00431959">
        <w:rPr>
          <w:rFonts w:cs="Arial"/>
          <w:b/>
          <w:i/>
        </w:rPr>
        <w:t>données douanières</w:t>
      </w:r>
      <w:r w:rsidR="00DD4E9B">
        <w:rPr>
          <w:rFonts w:cs="Arial"/>
          <w:b/>
          <w:i/>
        </w:rPr>
        <w:t xml:space="preserve"> </w:t>
      </w:r>
      <w:r w:rsidR="00FB018B">
        <w:rPr>
          <w:rFonts w:cs="Arial"/>
          <w:b/>
          <w:i/>
        </w:rPr>
        <w:t xml:space="preserve">a/ </w:t>
      </w:r>
      <w:r w:rsidR="00907A56">
        <w:rPr>
          <w:rFonts w:cs="Arial"/>
          <w:b/>
          <w:i/>
        </w:rPr>
        <w:t xml:space="preserve">Viande de porc </w:t>
      </w:r>
      <w:r w:rsidR="00DC5F2D">
        <w:rPr>
          <w:rFonts w:cs="Arial"/>
          <w:b/>
          <w:i/>
        </w:rPr>
        <w:t>b</w:t>
      </w:r>
      <w:r w:rsidR="00907A56">
        <w:rPr>
          <w:rFonts w:cs="Arial"/>
          <w:b/>
          <w:i/>
        </w:rPr>
        <w:t xml:space="preserve">/ Graisses </w:t>
      </w:r>
      <w:r w:rsidR="009B7F6A" w:rsidRPr="00CE1445">
        <w:rPr>
          <w:rFonts w:cs="Arial"/>
          <w:i/>
        </w:rPr>
        <w:t>(</w:t>
      </w:r>
      <w:r w:rsidR="009B7F6A">
        <w:rPr>
          <w:rFonts w:cs="Arial"/>
          <w:i/>
        </w:rPr>
        <w:t>Sources : PRODCOM, Eurostat</w:t>
      </w:r>
      <w:r w:rsidR="009B7F6A" w:rsidRPr="00CE1445">
        <w:rPr>
          <w:rFonts w:cs="Arial"/>
          <w:i/>
        </w:rPr>
        <w:t>)</w:t>
      </w:r>
    </w:p>
    <w:p w14:paraId="0065209B" w14:textId="739BFFD6" w:rsidR="00DC5F2D" w:rsidRPr="005A2C14" w:rsidRDefault="00E710C0" w:rsidP="005B0175">
      <w:pPr>
        <w:rPr>
          <w:rFonts w:cs="Arial"/>
          <w:b/>
          <w:i/>
        </w:rPr>
      </w:pPr>
      <w:r>
        <w:rPr>
          <w:rFonts w:cs="Arial"/>
          <w:b/>
          <w:i/>
        </w:rPr>
        <w:t xml:space="preserve">Annexe 5 </w:t>
      </w:r>
      <w:r w:rsidR="00A62922" w:rsidRPr="005A2C14">
        <w:rPr>
          <w:rFonts w:cs="Arial"/>
          <w:b/>
          <w:i/>
        </w:rPr>
        <w:t xml:space="preserve">a/ </w:t>
      </w:r>
      <w:r w:rsidR="00DC5F2D" w:rsidRPr="005A2C14">
        <w:rPr>
          <w:rFonts w:cs="Arial"/>
          <w:b/>
          <w:i/>
        </w:rPr>
        <w:t>Viande de porc</w:t>
      </w:r>
    </w:p>
    <w:tbl>
      <w:tblPr>
        <w:tblW w:w="14596" w:type="dxa"/>
        <w:tblCellMar>
          <w:left w:w="70" w:type="dxa"/>
          <w:right w:w="70" w:type="dxa"/>
        </w:tblCellMar>
        <w:tblLook w:val="04A0" w:firstRow="1" w:lastRow="0" w:firstColumn="1" w:lastColumn="0" w:noHBand="0" w:noVBand="1"/>
      </w:tblPr>
      <w:tblGrid>
        <w:gridCol w:w="1413"/>
        <w:gridCol w:w="1276"/>
        <w:gridCol w:w="3402"/>
        <w:gridCol w:w="1275"/>
        <w:gridCol w:w="284"/>
        <w:gridCol w:w="1417"/>
        <w:gridCol w:w="1843"/>
        <w:gridCol w:w="1418"/>
        <w:gridCol w:w="1275"/>
        <w:gridCol w:w="993"/>
      </w:tblGrid>
      <w:tr w:rsidR="00410736" w:rsidRPr="00DC5F2D" w14:paraId="03E76E5E" w14:textId="77777777" w:rsidTr="004D0324">
        <w:trPr>
          <w:trHeight w:val="130"/>
        </w:trPr>
        <w:tc>
          <w:tcPr>
            <w:tcW w:w="1413"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2A085B1" w14:textId="77777777" w:rsidR="00DC5F2D" w:rsidRPr="00DC5F2D" w:rsidRDefault="00DC5F2D" w:rsidP="00DC5F2D">
            <w:pPr>
              <w:spacing w:after="0" w:line="240" w:lineRule="auto"/>
              <w:jc w:val="left"/>
              <w:rPr>
                <w:rFonts w:eastAsia="Times New Roman" w:cs="Arial"/>
                <w:sz w:val="20"/>
                <w:szCs w:val="20"/>
                <w:lang w:eastAsia="fr-FR"/>
              </w:rPr>
            </w:pPr>
            <w:r w:rsidRPr="00DC5F2D">
              <w:rPr>
                <w:rFonts w:eastAsia="Times New Roman" w:cs="Arial"/>
                <w:sz w:val="20"/>
                <w:szCs w:val="20"/>
                <w:lang w:eastAsia="fr-FR"/>
              </w:rPr>
              <w:t>Code PRODCOM</w:t>
            </w:r>
          </w:p>
        </w:tc>
        <w:tc>
          <w:tcPr>
            <w:tcW w:w="1276" w:type="dxa"/>
            <w:tcBorders>
              <w:top w:val="single" w:sz="4" w:space="0" w:color="auto"/>
              <w:left w:val="nil"/>
              <w:bottom w:val="single" w:sz="4" w:space="0" w:color="auto"/>
              <w:right w:val="single" w:sz="4" w:space="0" w:color="auto"/>
            </w:tcBorders>
            <w:shd w:val="clear" w:color="000000" w:fill="A6A6A6"/>
            <w:noWrap/>
            <w:vAlign w:val="center"/>
            <w:hideMark/>
          </w:tcPr>
          <w:p w14:paraId="2335B7AA" w14:textId="77777777" w:rsidR="00DC5F2D" w:rsidRPr="00DC5F2D" w:rsidRDefault="00DC5F2D" w:rsidP="00DC5F2D">
            <w:pPr>
              <w:spacing w:after="0" w:line="240" w:lineRule="auto"/>
              <w:jc w:val="left"/>
              <w:rPr>
                <w:rFonts w:eastAsia="Times New Roman" w:cs="Arial"/>
                <w:color w:val="000000"/>
                <w:sz w:val="24"/>
                <w:szCs w:val="24"/>
                <w:lang w:eastAsia="fr-FR"/>
              </w:rPr>
            </w:pPr>
            <w:r w:rsidRPr="00DC5F2D">
              <w:rPr>
                <w:rFonts w:eastAsia="Times New Roman" w:cs="Arial"/>
                <w:color w:val="000000"/>
                <w:sz w:val="24"/>
                <w:szCs w:val="24"/>
                <w:lang w:eastAsia="fr-FR"/>
              </w:rPr>
              <w:t>NC</w:t>
            </w:r>
          </w:p>
        </w:tc>
        <w:tc>
          <w:tcPr>
            <w:tcW w:w="3402" w:type="dxa"/>
            <w:tcBorders>
              <w:top w:val="single" w:sz="4" w:space="0" w:color="auto"/>
              <w:left w:val="nil"/>
              <w:bottom w:val="single" w:sz="4" w:space="0" w:color="auto"/>
              <w:right w:val="single" w:sz="4" w:space="0" w:color="auto"/>
            </w:tcBorders>
            <w:shd w:val="clear" w:color="000000" w:fill="A6A6A6"/>
            <w:vAlign w:val="center"/>
            <w:hideMark/>
          </w:tcPr>
          <w:p w14:paraId="5ED3A6E2" w14:textId="77777777" w:rsidR="00DC5F2D" w:rsidRPr="00DC5F2D" w:rsidRDefault="00DC5F2D" w:rsidP="00DC5F2D">
            <w:pPr>
              <w:spacing w:after="0" w:line="240" w:lineRule="auto"/>
              <w:jc w:val="left"/>
              <w:rPr>
                <w:rFonts w:eastAsia="Times New Roman" w:cs="Arial"/>
                <w:sz w:val="20"/>
                <w:szCs w:val="20"/>
                <w:lang w:eastAsia="fr-FR"/>
              </w:rPr>
            </w:pPr>
            <w:r w:rsidRPr="00DC5F2D">
              <w:rPr>
                <w:rFonts w:eastAsia="Times New Roman" w:cs="Arial"/>
                <w:sz w:val="20"/>
                <w:szCs w:val="20"/>
                <w:lang w:eastAsia="fr-FR"/>
              </w:rPr>
              <w:t>Produits</w:t>
            </w:r>
          </w:p>
        </w:tc>
        <w:tc>
          <w:tcPr>
            <w:tcW w:w="1275" w:type="dxa"/>
            <w:tcBorders>
              <w:top w:val="single" w:sz="4" w:space="0" w:color="auto"/>
              <w:left w:val="nil"/>
              <w:bottom w:val="single" w:sz="4" w:space="0" w:color="auto"/>
              <w:right w:val="single" w:sz="4" w:space="0" w:color="auto"/>
            </w:tcBorders>
            <w:shd w:val="clear" w:color="000000" w:fill="A6A6A6"/>
            <w:vAlign w:val="center"/>
            <w:hideMark/>
          </w:tcPr>
          <w:p w14:paraId="78B619CB"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Production </w:t>
            </w:r>
          </w:p>
        </w:tc>
        <w:tc>
          <w:tcPr>
            <w:tcW w:w="284" w:type="dxa"/>
            <w:tcBorders>
              <w:top w:val="nil"/>
              <w:left w:val="nil"/>
              <w:bottom w:val="nil"/>
              <w:right w:val="nil"/>
            </w:tcBorders>
            <w:shd w:val="clear" w:color="auto" w:fill="auto"/>
            <w:vAlign w:val="center"/>
            <w:hideMark/>
          </w:tcPr>
          <w:p w14:paraId="7D087DF3" w14:textId="77777777" w:rsidR="00DC5F2D" w:rsidRPr="00DC5F2D" w:rsidRDefault="00DC5F2D" w:rsidP="00DC5F2D">
            <w:pPr>
              <w:spacing w:after="0" w:line="240" w:lineRule="auto"/>
              <w:jc w:val="center"/>
              <w:rPr>
                <w:rFonts w:eastAsia="Times New Roman" w:cs="Arial"/>
                <w:sz w:val="20"/>
                <w:szCs w:val="20"/>
                <w:lang w:eastAsia="fr-FR"/>
              </w:rPr>
            </w:pPr>
          </w:p>
        </w:tc>
        <w:tc>
          <w:tcPr>
            <w:tcW w:w="1417"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9D4C132"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Nomenclature comb (N.C.)</w:t>
            </w:r>
          </w:p>
        </w:tc>
        <w:tc>
          <w:tcPr>
            <w:tcW w:w="1843" w:type="dxa"/>
            <w:tcBorders>
              <w:top w:val="single" w:sz="4" w:space="0" w:color="auto"/>
              <w:left w:val="nil"/>
              <w:bottom w:val="single" w:sz="4" w:space="0" w:color="auto"/>
              <w:right w:val="single" w:sz="4" w:space="0" w:color="auto"/>
            </w:tcBorders>
            <w:shd w:val="clear" w:color="000000" w:fill="A6A6A6"/>
            <w:vAlign w:val="center"/>
            <w:hideMark/>
          </w:tcPr>
          <w:p w14:paraId="020486FD" w14:textId="77777777" w:rsidR="00DC5F2D" w:rsidRPr="00DC5F2D" w:rsidRDefault="00DC5F2D" w:rsidP="00DC5F2D">
            <w:pPr>
              <w:spacing w:after="0" w:line="240" w:lineRule="auto"/>
              <w:jc w:val="left"/>
              <w:rPr>
                <w:rFonts w:eastAsia="Times New Roman" w:cs="Arial"/>
                <w:sz w:val="20"/>
                <w:szCs w:val="20"/>
                <w:lang w:eastAsia="fr-FR"/>
              </w:rPr>
            </w:pPr>
            <w:r w:rsidRPr="00DC5F2D">
              <w:rPr>
                <w:rFonts w:eastAsia="Times New Roman" w:cs="Arial"/>
                <w:sz w:val="20"/>
                <w:szCs w:val="20"/>
                <w:lang w:eastAsia="fr-FR"/>
              </w:rPr>
              <w:t xml:space="preserve">Libellé </w:t>
            </w:r>
          </w:p>
        </w:tc>
        <w:tc>
          <w:tcPr>
            <w:tcW w:w="1418" w:type="dxa"/>
            <w:tcBorders>
              <w:top w:val="single" w:sz="4" w:space="0" w:color="auto"/>
              <w:left w:val="nil"/>
              <w:bottom w:val="single" w:sz="4" w:space="0" w:color="auto"/>
              <w:right w:val="single" w:sz="4" w:space="0" w:color="auto"/>
            </w:tcBorders>
            <w:shd w:val="clear" w:color="000000" w:fill="A6A6A6"/>
            <w:vAlign w:val="center"/>
            <w:hideMark/>
          </w:tcPr>
          <w:p w14:paraId="02BB5A00"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Exportation </w:t>
            </w:r>
          </w:p>
        </w:tc>
        <w:tc>
          <w:tcPr>
            <w:tcW w:w="1275" w:type="dxa"/>
            <w:tcBorders>
              <w:top w:val="single" w:sz="4" w:space="0" w:color="auto"/>
              <w:left w:val="nil"/>
              <w:bottom w:val="single" w:sz="4" w:space="0" w:color="auto"/>
              <w:right w:val="single" w:sz="4" w:space="0" w:color="auto"/>
            </w:tcBorders>
            <w:shd w:val="clear" w:color="000000" w:fill="A6A6A6"/>
            <w:vAlign w:val="center"/>
            <w:hideMark/>
          </w:tcPr>
          <w:p w14:paraId="68786D6B"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Importation </w:t>
            </w:r>
          </w:p>
        </w:tc>
        <w:tc>
          <w:tcPr>
            <w:tcW w:w="993" w:type="dxa"/>
            <w:tcBorders>
              <w:top w:val="single" w:sz="4" w:space="0" w:color="auto"/>
              <w:left w:val="nil"/>
              <w:bottom w:val="single" w:sz="4" w:space="0" w:color="auto"/>
              <w:right w:val="single" w:sz="4" w:space="0" w:color="auto"/>
            </w:tcBorders>
            <w:shd w:val="clear" w:color="000000" w:fill="A6A6A6"/>
            <w:vAlign w:val="center"/>
            <w:hideMark/>
          </w:tcPr>
          <w:p w14:paraId="6F0A9448"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Solde net </w:t>
            </w:r>
          </w:p>
        </w:tc>
      </w:tr>
      <w:tr w:rsidR="00410736" w:rsidRPr="00DC5F2D" w14:paraId="4B288540" w14:textId="77777777" w:rsidTr="004D0324">
        <w:trPr>
          <w:trHeight w:val="130"/>
        </w:trPr>
        <w:tc>
          <w:tcPr>
            <w:tcW w:w="1413" w:type="dxa"/>
            <w:tcBorders>
              <w:top w:val="nil"/>
              <w:left w:val="single" w:sz="4" w:space="0" w:color="auto"/>
              <w:bottom w:val="single" w:sz="4" w:space="0" w:color="auto"/>
              <w:right w:val="single" w:sz="4" w:space="0" w:color="auto"/>
            </w:tcBorders>
            <w:shd w:val="clear" w:color="000000" w:fill="A6A6A6"/>
            <w:vAlign w:val="center"/>
            <w:hideMark/>
          </w:tcPr>
          <w:p w14:paraId="6081C850" w14:textId="77777777" w:rsidR="00DC5F2D" w:rsidRPr="00DC5F2D" w:rsidRDefault="00DC5F2D" w:rsidP="00DC5F2D">
            <w:pPr>
              <w:spacing w:after="0" w:line="240" w:lineRule="auto"/>
              <w:jc w:val="left"/>
              <w:rPr>
                <w:rFonts w:eastAsia="Times New Roman" w:cs="Arial"/>
                <w:b/>
                <w:bCs/>
                <w:sz w:val="20"/>
                <w:szCs w:val="20"/>
                <w:lang w:eastAsia="fr-FR"/>
              </w:rPr>
            </w:pPr>
            <w:r w:rsidRPr="00DC5F2D">
              <w:rPr>
                <w:rFonts w:eastAsia="Times New Roman" w:cs="Arial"/>
                <w:b/>
                <w:bCs/>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6DEE9FCB" w14:textId="77777777" w:rsidR="00DC5F2D" w:rsidRPr="00DC5F2D" w:rsidRDefault="00DC5F2D" w:rsidP="00DC5F2D">
            <w:pPr>
              <w:spacing w:after="0" w:line="240" w:lineRule="auto"/>
              <w:jc w:val="left"/>
              <w:rPr>
                <w:rFonts w:eastAsia="Times New Roman" w:cs="Arial"/>
                <w:b/>
                <w:bCs/>
                <w:color w:val="000000"/>
                <w:sz w:val="24"/>
                <w:szCs w:val="24"/>
                <w:lang w:eastAsia="fr-FR"/>
              </w:rPr>
            </w:pPr>
            <w:r w:rsidRPr="00DC5F2D">
              <w:rPr>
                <w:rFonts w:eastAsia="Times New Roman" w:cs="Arial"/>
                <w:b/>
                <w:bCs/>
                <w:color w:val="000000"/>
                <w:sz w:val="24"/>
                <w:szCs w:val="24"/>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76751CD0" w14:textId="77777777" w:rsidR="00DC5F2D" w:rsidRPr="00DC5F2D" w:rsidRDefault="00DC5F2D" w:rsidP="00DC5F2D">
            <w:pPr>
              <w:spacing w:after="0" w:line="240" w:lineRule="auto"/>
              <w:jc w:val="left"/>
              <w:rPr>
                <w:rFonts w:eastAsia="Times New Roman" w:cs="Arial"/>
                <w:b/>
                <w:bCs/>
                <w:sz w:val="20"/>
                <w:szCs w:val="20"/>
                <w:lang w:eastAsia="fr-FR"/>
              </w:rPr>
            </w:pPr>
            <w:r w:rsidRPr="00DC5F2D">
              <w:rPr>
                <w:rFonts w:eastAsia="Times New Roman" w:cs="Arial"/>
                <w:b/>
                <w:bCs/>
                <w:sz w:val="20"/>
                <w:szCs w:val="20"/>
                <w:lang w:eastAsia="fr-FR"/>
              </w:rPr>
              <w:t>TOTAL Porc Frais</w:t>
            </w:r>
          </w:p>
        </w:tc>
        <w:tc>
          <w:tcPr>
            <w:tcW w:w="1275" w:type="dxa"/>
            <w:tcBorders>
              <w:top w:val="nil"/>
              <w:left w:val="nil"/>
              <w:bottom w:val="single" w:sz="4" w:space="0" w:color="auto"/>
              <w:right w:val="single" w:sz="4" w:space="0" w:color="auto"/>
            </w:tcBorders>
            <w:shd w:val="clear" w:color="000000" w:fill="A6A6A6"/>
            <w:vAlign w:val="center"/>
            <w:hideMark/>
          </w:tcPr>
          <w:p w14:paraId="05DF5153" w14:textId="34153A23" w:rsidR="00DC5F2D" w:rsidRPr="00DC5F2D" w:rsidRDefault="00DC5F2D" w:rsidP="00DC5F2D">
            <w:pPr>
              <w:spacing w:after="0" w:line="240" w:lineRule="auto"/>
              <w:jc w:val="right"/>
              <w:rPr>
                <w:rFonts w:eastAsia="Times New Roman" w:cs="Arial"/>
                <w:b/>
                <w:bCs/>
                <w:sz w:val="20"/>
                <w:szCs w:val="20"/>
                <w:lang w:eastAsia="fr-FR"/>
              </w:rPr>
            </w:pPr>
            <w:r w:rsidRPr="00DC5F2D">
              <w:rPr>
                <w:rFonts w:eastAsia="Times New Roman" w:cs="Arial"/>
                <w:b/>
                <w:bCs/>
                <w:sz w:val="20"/>
                <w:szCs w:val="20"/>
                <w:lang w:eastAsia="fr-FR"/>
              </w:rPr>
              <w:t xml:space="preserve">1 932   </w:t>
            </w:r>
          </w:p>
        </w:tc>
        <w:tc>
          <w:tcPr>
            <w:tcW w:w="284" w:type="dxa"/>
            <w:tcBorders>
              <w:top w:val="nil"/>
              <w:left w:val="nil"/>
              <w:bottom w:val="nil"/>
              <w:right w:val="nil"/>
            </w:tcBorders>
            <w:shd w:val="clear" w:color="auto" w:fill="auto"/>
            <w:vAlign w:val="center"/>
            <w:hideMark/>
          </w:tcPr>
          <w:p w14:paraId="633F9712" w14:textId="77777777" w:rsidR="00DC5F2D" w:rsidRPr="00DC5F2D" w:rsidRDefault="00DC5F2D" w:rsidP="00DC5F2D">
            <w:pPr>
              <w:spacing w:after="0" w:line="240" w:lineRule="auto"/>
              <w:jc w:val="right"/>
              <w:rPr>
                <w:rFonts w:eastAsia="Times New Roman" w:cs="Arial"/>
                <w:b/>
                <w:bCs/>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noWrap/>
            <w:vAlign w:val="center"/>
            <w:hideMark/>
          </w:tcPr>
          <w:p w14:paraId="1993770A" w14:textId="77777777" w:rsidR="00DC5F2D" w:rsidRPr="00DC5F2D" w:rsidRDefault="00DC5F2D" w:rsidP="00DC5F2D">
            <w:pPr>
              <w:spacing w:after="0" w:line="240" w:lineRule="auto"/>
              <w:jc w:val="center"/>
              <w:rPr>
                <w:rFonts w:eastAsia="Times New Roman" w:cs="Arial"/>
                <w:b/>
                <w:bCs/>
                <w:color w:val="000000"/>
                <w:sz w:val="20"/>
                <w:szCs w:val="20"/>
                <w:lang w:eastAsia="fr-FR"/>
              </w:rPr>
            </w:pPr>
            <w:r w:rsidRPr="00DC5F2D">
              <w:rPr>
                <w:rFonts w:eastAsia="Times New Roman" w:cs="Arial"/>
                <w:b/>
                <w:bCs/>
                <w:color w:val="000000"/>
                <w:sz w:val="20"/>
                <w:szCs w:val="20"/>
                <w:lang w:eastAsia="fr-FR"/>
              </w:rPr>
              <w:t> </w:t>
            </w:r>
          </w:p>
        </w:tc>
        <w:tc>
          <w:tcPr>
            <w:tcW w:w="1843" w:type="dxa"/>
            <w:tcBorders>
              <w:top w:val="nil"/>
              <w:left w:val="nil"/>
              <w:bottom w:val="single" w:sz="4" w:space="0" w:color="auto"/>
              <w:right w:val="single" w:sz="4" w:space="0" w:color="auto"/>
            </w:tcBorders>
            <w:shd w:val="clear" w:color="000000" w:fill="A6A6A6"/>
            <w:vAlign w:val="center"/>
            <w:hideMark/>
          </w:tcPr>
          <w:p w14:paraId="494A8AE1" w14:textId="77777777" w:rsidR="00DC5F2D" w:rsidRPr="00DC5F2D" w:rsidRDefault="00DC5F2D" w:rsidP="00DC5F2D">
            <w:pPr>
              <w:spacing w:after="0" w:line="240" w:lineRule="auto"/>
              <w:jc w:val="left"/>
              <w:rPr>
                <w:rFonts w:eastAsia="Times New Roman" w:cs="Arial"/>
                <w:b/>
                <w:bCs/>
                <w:sz w:val="20"/>
                <w:szCs w:val="20"/>
                <w:lang w:eastAsia="fr-FR"/>
              </w:rPr>
            </w:pPr>
            <w:r w:rsidRPr="00DC5F2D">
              <w:rPr>
                <w:rFonts w:eastAsia="Times New Roman" w:cs="Arial"/>
                <w:b/>
                <w:bCs/>
                <w:sz w:val="20"/>
                <w:szCs w:val="20"/>
                <w:lang w:eastAsia="fr-FR"/>
              </w:rPr>
              <w:t> </w:t>
            </w:r>
          </w:p>
        </w:tc>
        <w:tc>
          <w:tcPr>
            <w:tcW w:w="1418" w:type="dxa"/>
            <w:tcBorders>
              <w:top w:val="nil"/>
              <w:left w:val="nil"/>
              <w:bottom w:val="single" w:sz="4" w:space="0" w:color="auto"/>
              <w:right w:val="single" w:sz="4" w:space="0" w:color="auto"/>
            </w:tcBorders>
            <w:shd w:val="clear" w:color="000000" w:fill="A6A6A6"/>
            <w:vAlign w:val="center"/>
            <w:hideMark/>
          </w:tcPr>
          <w:p w14:paraId="4BBEC82F" w14:textId="178FDCA9" w:rsidR="00DC5F2D" w:rsidRPr="00DC5F2D" w:rsidRDefault="00DC5F2D" w:rsidP="00DC5F2D">
            <w:pPr>
              <w:spacing w:after="0" w:line="240" w:lineRule="auto"/>
              <w:jc w:val="right"/>
              <w:rPr>
                <w:rFonts w:eastAsia="Times New Roman" w:cs="Arial"/>
                <w:b/>
                <w:bCs/>
                <w:sz w:val="20"/>
                <w:szCs w:val="20"/>
                <w:lang w:eastAsia="fr-FR"/>
              </w:rPr>
            </w:pPr>
            <w:r w:rsidRPr="00DC5F2D">
              <w:rPr>
                <w:rFonts w:eastAsia="Times New Roman" w:cs="Arial"/>
                <w:b/>
                <w:bCs/>
                <w:sz w:val="20"/>
                <w:szCs w:val="20"/>
                <w:lang w:eastAsia="fr-FR"/>
              </w:rPr>
              <w:t xml:space="preserve">416   </w:t>
            </w:r>
          </w:p>
        </w:tc>
        <w:tc>
          <w:tcPr>
            <w:tcW w:w="1275" w:type="dxa"/>
            <w:tcBorders>
              <w:top w:val="nil"/>
              <w:left w:val="nil"/>
              <w:bottom w:val="single" w:sz="4" w:space="0" w:color="auto"/>
              <w:right w:val="single" w:sz="4" w:space="0" w:color="auto"/>
            </w:tcBorders>
            <w:shd w:val="clear" w:color="000000" w:fill="A6A6A6"/>
            <w:vAlign w:val="center"/>
            <w:hideMark/>
          </w:tcPr>
          <w:p w14:paraId="711282DF" w14:textId="03BC2DAE" w:rsidR="00DC5F2D" w:rsidRPr="00DC5F2D" w:rsidRDefault="00DC5F2D" w:rsidP="00DC5F2D">
            <w:pPr>
              <w:spacing w:after="0" w:line="240" w:lineRule="auto"/>
              <w:jc w:val="right"/>
              <w:rPr>
                <w:rFonts w:eastAsia="Times New Roman" w:cs="Arial"/>
                <w:b/>
                <w:bCs/>
                <w:sz w:val="20"/>
                <w:szCs w:val="20"/>
                <w:lang w:eastAsia="fr-FR"/>
              </w:rPr>
            </w:pPr>
            <w:r w:rsidRPr="00DC5F2D">
              <w:rPr>
                <w:rFonts w:eastAsia="Times New Roman" w:cs="Arial"/>
                <w:b/>
                <w:bCs/>
                <w:sz w:val="20"/>
                <w:szCs w:val="20"/>
                <w:lang w:eastAsia="fr-FR"/>
              </w:rPr>
              <w:t xml:space="preserve">303   </w:t>
            </w:r>
          </w:p>
        </w:tc>
        <w:tc>
          <w:tcPr>
            <w:tcW w:w="993" w:type="dxa"/>
            <w:tcBorders>
              <w:top w:val="nil"/>
              <w:left w:val="nil"/>
              <w:bottom w:val="single" w:sz="4" w:space="0" w:color="auto"/>
              <w:right w:val="single" w:sz="4" w:space="0" w:color="auto"/>
            </w:tcBorders>
            <w:shd w:val="clear" w:color="000000" w:fill="A6A6A6"/>
            <w:vAlign w:val="center"/>
            <w:hideMark/>
          </w:tcPr>
          <w:p w14:paraId="6E339002" w14:textId="3AAD3BF1" w:rsidR="00DC5F2D" w:rsidRPr="00DC5F2D" w:rsidRDefault="00DC5F2D" w:rsidP="00DC5F2D">
            <w:pPr>
              <w:spacing w:after="0" w:line="240" w:lineRule="auto"/>
              <w:jc w:val="right"/>
              <w:rPr>
                <w:rFonts w:eastAsia="Times New Roman" w:cs="Arial"/>
                <w:b/>
                <w:bCs/>
                <w:sz w:val="20"/>
                <w:szCs w:val="20"/>
                <w:lang w:eastAsia="fr-FR"/>
              </w:rPr>
            </w:pPr>
            <w:r w:rsidRPr="00DC5F2D">
              <w:rPr>
                <w:rFonts w:eastAsia="Times New Roman" w:cs="Arial"/>
                <w:b/>
                <w:bCs/>
                <w:sz w:val="20"/>
                <w:szCs w:val="20"/>
                <w:lang w:eastAsia="fr-FR"/>
              </w:rPr>
              <w:t xml:space="preserve">1 819   </w:t>
            </w:r>
          </w:p>
        </w:tc>
      </w:tr>
      <w:tr w:rsidR="00410736" w:rsidRPr="00DC5F2D" w14:paraId="617D4AA4" w14:textId="77777777" w:rsidTr="004D0324">
        <w:trPr>
          <w:trHeight w:val="130"/>
        </w:trPr>
        <w:tc>
          <w:tcPr>
            <w:tcW w:w="1413" w:type="dxa"/>
            <w:tcBorders>
              <w:top w:val="nil"/>
              <w:left w:val="single" w:sz="4" w:space="0" w:color="auto"/>
              <w:bottom w:val="single" w:sz="4" w:space="0" w:color="auto"/>
              <w:right w:val="single" w:sz="4" w:space="0" w:color="auto"/>
            </w:tcBorders>
            <w:shd w:val="clear" w:color="000000" w:fill="A6A6A6"/>
            <w:noWrap/>
            <w:vAlign w:val="center"/>
            <w:hideMark/>
          </w:tcPr>
          <w:p w14:paraId="6C8CD113"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713DA429" w14:textId="77777777" w:rsidR="00DC5F2D" w:rsidRPr="00DC5F2D" w:rsidRDefault="00DC5F2D" w:rsidP="00DC5F2D">
            <w:pPr>
              <w:spacing w:after="0" w:line="240" w:lineRule="auto"/>
              <w:jc w:val="left"/>
              <w:rPr>
                <w:rFonts w:eastAsia="Times New Roman" w:cs="Arial"/>
                <w:color w:val="000000"/>
                <w:sz w:val="24"/>
                <w:szCs w:val="24"/>
                <w:lang w:eastAsia="fr-FR"/>
              </w:rPr>
            </w:pPr>
            <w:r w:rsidRPr="00DC5F2D">
              <w:rPr>
                <w:rFonts w:eastAsia="Times New Roman" w:cs="Arial"/>
                <w:color w:val="000000"/>
                <w:sz w:val="24"/>
                <w:szCs w:val="24"/>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64CFA63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Fraîches ou réfrigérées</w:t>
            </w:r>
          </w:p>
        </w:tc>
        <w:tc>
          <w:tcPr>
            <w:tcW w:w="1275" w:type="dxa"/>
            <w:tcBorders>
              <w:top w:val="nil"/>
              <w:left w:val="nil"/>
              <w:bottom w:val="single" w:sz="4" w:space="0" w:color="auto"/>
              <w:right w:val="single" w:sz="4" w:space="0" w:color="auto"/>
            </w:tcBorders>
            <w:shd w:val="clear" w:color="000000" w:fill="A6A6A6"/>
            <w:noWrap/>
            <w:vAlign w:val="center"/>
            <w:hideMark/>
          </w:tcPr>
          <w:p w14:paraId="0D28666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1664</w:t>
            </w:r>
          </w:p>
        </w:tc>
        <w:tc>
          <w:tcPr>
            <w:tcW w:w="284" w:type="dxa"/>
            <w:tcBorders>
              <w:top w:val="nil"/>
              <w:left w:val="nil"/>
              <w:bottom w:val="nil"/>
              <w:right w:val="nil"/>
            </w:tcBorders>
            <w:shd w:val="clear" w:color="auto" w:fill="auto"/>
            <w:vAlign w:val="center"/>
            <w:hideMark/>
          </w:tcPr>
          <w:p w14:paraId="61EDF9ED"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vAlign w:val="center"/>
            <w:hideMark/>
          </w:tcPr>
          <w:p w14:paraId="0199D7E3"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843" w:type="dxa"/>
            <w:tcBorders>
              <w:top w:val="nil"/>
              <w:left w:val="nil"/>
              <w:bottom w:val="single" w:sz="4" w:space="0" w:color="auto"/>
              <w:right w:val="single" w:sz="4" w:space="0" w:color="auto"/>
            </w:tcBorders>
            <w:shd w:val="clear" w:color="000000" w:fill="A6A6A6"/>
            <w:vAlign w:val="center"/>
            <w:hideMark/>
          </w:tcPr>
          <w:p w14:paraId="05FBCA54"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418" w:type="dxa"/>
            <w:tcBorders>
              <w:top w:val="nil"/>
              <w:left w:val="nil"/>
              <w:bottom w:val="single" w:sz="4" w:space="0" w:color="auto"/>
              <w:right w:val="single" w:sz="4" w:space="0" w:color="auto"/>
            </w:tcBorders>
            <w:shd w:val="clear" w:color="000000" w:fill="A6A6A6"/>
            <w:noWrap/>
            <w:vAlign w:val="center"/>
            <w:hideMark/>
          </w:tcPr>
          <w:p w14:paraId="278DA819"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277</w:t>
            </w:r>
          </w:p>
        </w:tc>
        <w:tc>
          <w:tcPr>
            <w:tcW w:w="1275" w:type="dxa"/>
            <w:tcBorders>
              <w:top w:val="nil"/>
              <w:left w:val="nil"/>
              <w:bottom w:val="single" w:sz="4" w:space="0" w:color="auto"/>
              <w:right w:val="single" w:sz="4" w:space="0" w:color="auto"/>
            </w:tcBorders>
            <w:shd w:val="clear" w:color="000000" w:fill="A6A6A6"/>
            <w:noWrap/>
            <w:vAlign w:val="center"/>
            <w:hideMark/>
          </w:tcPr>
          <w:p w14:paraId="0076932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240</w:t>
            </w:r>
          </w:p>
        </w:tc>
        <w:tc>
          <w:tcPr>
            <w:tcW w:w="993" w:type="dxa"/>
            <w:tcBorders>
              <w:top w:val="nil"/>
              <w:left w:val="nil"/>
              <w:bottom w:val="single" w:sz="4" w:space="0" w:color="auto"/>
              <w:right w:val="single" w:sz="4" w:space="0" w:color="auto"/>
            </w:tcBorders>
            <w:shd w:val="clear" w:color="000000" w:fill="A6A6A6"/>
            <w:noWrap/>
            <w:vAlign w:val="center"/>
            <w:hideMark/>
          </w:tcPr>
          <w:p w14:paraId="5FF8A921"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1627</w:t>
            </w:r>
          </w:p>
        </w:tc>
      </w:tr>
      <w:tr w:rsidR="004D0324" w:rsidRPr="00DC5F2D" w14:paraId="39A2219A"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EA555A3"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10.11.12.30</w:t>
            </w:r>
          </w:p>
        </w:tc>
        <w:tc>
          <w:tcPr>
            <w:tcW w:w="1276" w:type="dxa"/>
            <w:tcBorders>
              <w:top w:val="nil"/>
              <w:left w:val="nil"/>
              <w:bottom w:val="single" w:sz="4" w:space="0" w:color="auto"/>
              <w:right w:val="single" w:sz="4" w:space="0" w:color="auto"/>
            </w:tcBorders>
            <w:shd w:val="clear" w:color="auto" w:fill="auto"/>
            <w:noWrap/>
            <w:vAlign w:val="center"/>
            <w:hideMark/>
          </w:tcPr>
          <w:p w14:paraId="47D322CF"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0203.11</w:t>
            </w:r>
          </w:p>
        </w:tc>
        <w:tc>
          <w:tcPr>
            <w:tcW w:w="3402" w:type="dxa"/>
            <w:tcBorders>
              <w:top w:val="nil"/>
              <w:left w:val="nil"/>
              <w:bottom w:val="single" w:sz="4" w:space="0" w:color="auto"/>
              <w:right w:val="single" w:sz="4" w:space="0" w:color="auto"/>
            </w:tcBorders>
            <w:shd w:val="clear" w:color="auto" w:fill="auto"/>
            <w:vAlign w:val="center"/>
            <w:hideMark/>
          </w:tcPr>
          <w:p w14:paraId="09EB3BD0"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Viandes porcines, fraîches ou réfrigérées, en carcasses ou demi-carcasses, y compris les viandes fraîches emballées avec du sel pour conservation temporaire</w:t>
            </w:r>
          </w:p>
        </w:tc>
        <w:tc>
          <w:tcPr>
            <w:tcW w:w="1275" w:type="dxa"/>
            <w:tcBorders>
              <w:top w:val="nil"/>
              <w:left w:val="nil"/>
              <w:bottom w:val="single" w:sz="4" w:space="0" w:color="auto"/>
              <w:right w:val="single" w:sz="4" w:space="0" w:color="auto"/>
            </w:tcBorders>
            <w:shd w:val="clear" w:color="auto" w:fill="auto"/>
            <w:noWrap/>
            <w:vAlign w:val="center"/>
            <w:hideMark/>
          </w:tcPr>
          <w:p w14:paraId="20626186"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303</w:t>
            </w:r>
          </w:p>
        </w:tc>
        <w:tc>
          <w:tcPr>
            <w:tcW w:w="284" w:type="dxa"/>
            <w:tcBorders>
              <w:top w:val="nil"/>
              <w:left w:val="nil"/>
              <w:bottom w:val="nil"/>
              <w:right w:val="nil"/>
            </w:tcBorders>
            <w:shd w:val="clear" w:color="auto" w:fill="auto"/>
            <w:vAlign w:val="center"/>
            <w:hideMark/>
          </w:tcPr>
          <w:p w14:paraId="794405AD"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419AC04C"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02031110</w:t>
            </w:r>
          </w:p>
        </w:tc>
        <w:tc>
          <w:tcPr>
            <w:tcW w:w="1843" w:type="dxa"/>
            <w:tcBorders>
              <w:top w:val="nil"/>
              <w:left w:val="nil"/>
              <w:bottom w:val="single" w:sz="4" w:space="0" w:color="auto"/>
              <w:right w:val="single" w:sz="4" w:space="0" w:color="auto"/>
            </w:tcBorders>
            <w:shd w:val="clear" w:color="auto" w:fill="auto"/>
            <w:vAlign w:val="center"/>
            <w:hideMark/>
          </w:tcPr>
          <w:p w14:paraId="68D0069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Carcasse, demi carcasse fraîche ou réfrigérée</w:t>
            </w:r>
          </w:p>
        </w:tc>
        <w:tc>
          <w:tcPr>
            <w:tcW w:w="1418" w:type="dxa"/>
            <w:tcBorders>
              <w:top w:val="nil"/>
              <w:left w:val="nil"/>
              <w:bottom w:val="single" w:sz="4" w:space="0" w:color="auto"/>
              <w:right w:val="single" w:sz="4" w:space="0" w:color="auto"/>
            </w:tcBorders>
            <w:shd w:val="clear" w:color="auto" w:fill="auto"/>
            <w:noWrap/>
            <w:vAlign w:val="center"/>
            <w:hideMark/>
          </w:tcPr>
          <w:p w14:paraId="0F99A6AD"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82</w:t>
            </w:r>
          </w:p>
        </w:tc>
        <w:tc>
          <w:tcPr>
            <w:tcW w:w="1275" w:type="dxa"/>
            <w:tcBorders>
              <w:top w:val="nil"/>
              <w:left w:val="nil"/>
              <w:bottom w:val="single" w:sz="4" w:space="0" w:color="auto"/>
              <w:right w:val="single" w:sz="4" w:space="0" w:color="auto"/>
            </w:tcBorders>
            <w:shd w:val="clear" w:color="auto" w:fill="auto"/>
            <w:noWrap/>
            <w:vAlign w:val="center"/>
            <w:hideMark/>
          </w:tcPr>
          <w:p w14:paraId="149BE9D5"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993" w:type="dxa"/>
            <w:tcBorders>
              <w:top w:val="nil"/>
              <w:left w:val="nil"/>
              <w:bottom w:val="single" w:sz="4" w:space="0" w:color="auto"/>
              <w:right w:val="single" w:sz="4" w:space="0" w:color="auto"/>
            </w:tcBorders>
            <w:shd w:val="clear" w:color="auto" w:fill="auto"/>
            <w:noWrap/>
            <w:vAlign w:val="center"/>
            <w:hideMark/>
          </w:tcPr>
          <w:p w14:paraId="3C663F96"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 xml:space="preserve">          223   </w:t>
            </w:r>
          </w:p>
        </w:tc>
      </w:tr>
      <w:tr w:rsidR="004D0324" w:rsidRPr="00DC5F2D" w14:paraId="5EAE33A0"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BEFEF0F"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10.11.12.50</w:t>
            </w:r>
          </w:p>
        </w:tc>
        <w:tc>
          <w:tcPr>
            <w:tcW w:w="1276" w:type="dxa"/>
            <w:tcBorders>
              <w:top w:val="nil"/>
              <w:left w:val="nil"/>
              <w:bottom w:val="single" w:sz="4" w:space="0" w:color="auto"/>
              <w:right w:val="single" w:sz="4" w:space="0" w:color="auto"/>
            </w:tcBorders>
            <w:shd w:val="clear" w:color="auto" w:fill="auto"/>
            <w:noWrap/>
            <w:vAlign w:val="center"/>
            <w:hideMark/>
          </w:tcPr>
          <w:p w14:paraId="5EB2CB51"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0203.12</w:t>
            </w:r>
          </w:p>
        </w:tc>
        <w:tc>
          <w:tcPr>
            <w:tcW w:w="3402" w:type="dxa"/>
            <w:tcBorders>
              <w:top w:val="nil"/>
              <w:left w:val="nil"/>
              <w:bottom w:val="single" w:sz="4" w:space="0" w:color="auto"/>
              <w:right w:val="single" w:sz="4" w:space="0" w:color="auto"/>
            </w:tcBorders>
            <w:shd w:val="clear" w:color="auto" w:fill="auto"/>
            <w:vAlign w:val="center"/>
            <w:hideMark/>
          </w:tcPr>
          <w:p w14:paraId="0C2EDD7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Jambons, épaules de porcs et leurs morceaux non désossés, frais ou réfrigérés</w:t>
            </w:r>
          </w:p>
        </w:tc>
        <w:tc>
          <w:tcPr>
            <w:tcW w:w="127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CF2B515" w14:textId="77777777" w:rsidR="00DC5F2D" w:rsidRPr="00DC5F2D" w:rsidRDefault="00DC5F2D" w:rsidP="00DC5F2D">
            <w:pPr>
              <w:spacing w:after="0" w:line="240" w:lineRule="auto"/>
              <w:jc w:val="right"/>
              <w:rPr>
                <w:rFonts w:eastAsia="Times New Roman" w:cs="Arial"/>
                <w:sz w:val="20"/>
                <w:szCs w:val="20"/>
                <w:lang w:eastAsia="fr-FR"/>
              </w:rPr>
            </w:pPr>
            <w:r w:rsidRPr="00DC5F2D">
              <w:rPr>
                <w:rFonts w:eastAsia="Times New Roman" w:cs="Arial"/>
                <w:sz w:val="20"/>
                <w:szCs w:val="20"/>
                <w:lang w:eastAsia="fr-FR"/>
              </w:rPr>
              <w:t>604</w:t>
            </w:r>
          </w:p>
        </w:tc>
        <w:tc>
          <w:tcPr>
            <w:tcW w:w="284" w:type="dxa"/>
            <w:tcBorders>
              <w:top w:val="nil"/>
              <w:left w:val="nil"/>
              <w:bottom w:val="nil"/>
              <w:right w:val="nil"/>
            </w:tcBorders>
            <w:shd w:val="clear" w:color="auto" w:fill="auto"/>
            <w:vAlign w:val="center"/>
            <w:hideMark/>
          </w:tcPr>
          <w:p w14:paraId="0619CFD5" w14:textId="77777777" w:rsidR="00DC5F2D" w:rsidRPr="00DC5F2D" w:rsidRDefault="00DC5F2D" w:rsidP="00DC5F2D">
            <w:pPr>
              <w:spacing w:after="0" w:line="240" w:lineRule="auto"/>
              <w:jc w:val="right"/>
              <w:rPr>
                <w:rFonts w:eastAsia="Times New Roman" w:cs="Arial"/>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2746D2C1"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02031211</w:t>
            </w:r>
          </w:p>
        </w:tc>
        <w:tc>
          <w:tcPr>
            <w:tcW w:w="1843" w:type="dxa"/>
            <w:tcBorders>
              <w:top w:val="nil"/>
              <w:left w:val="nil"/>
              <w:bottom w:val="single" w:sz="4" w:space="0" w:color="auto"/>
              <w:right w:val="single" w:sz="4" w:space="0" w:color="auto"/>
            </w:tcBorders>
            <w:shd w:val="clear" w:color="auto" w:fill="auto"/>
            <w:noWrap/>
            <w:vAlign w:val="center"/>
            <w:hideMark/>
          </w:tcPr>
          <w:p w14:paraId="63100EA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Jambons FR</w:t>
            </w:r>
          </w:p>
        </w:tc>
        <w:tc>
          <w:tcPr>
            <w:tcW w:w="1418" w:type="dxa"/>
            <w:tcBorders>
              <w:top w:val="nil"/>
              <w:left w:val="nil"/>
              <w:bottom w:val="single" w:sz="4" w:space="0" w:color="auto"/>
              <w:right w:val="single" w:sz="4" w:space="0" w:color="auto"/>
            </w:tcBorders>
            <w:shd w:val="clear" w:color="auto" w:fill="auto"/>
            <w:noWrap/>
            <w:vAlign w:val="center"/>
            <w:hideMark/>
          </w:tcPr>
          <w:p w14:paraId="7A0FF782"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34</w:t>
            </w:r>
          </w:p>
        </w:tc>
        <w:tc>
          <w:tcPr>
            <w:tcW w:w="1275" w:type="dxa"/>
            <w:tcBorders>
              <w:top w:val="nil"/>
              <w:left w:val="nil"/>
              <w:bottom w:val="single" w:sz="4" w:space="0" w:color="auto"/>
              <w:right w:val="single" w:sz="4" w:space="0" w:color="auto"/>
            </w:tcBorders>
            <w:shd w:val="clear" w:color="auto" w:fill="auto"/>
            <w:noWrap/>
            <w:vAlign w:val="center"/>
            <w:hideMark/>
          </w:tcPr>
          <w:p w14:paraId="51972F4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34</w:t>
            </w:r>
          </w:p>
        </w:tc>
        <w:tc>
          <w:tcPr>
            <w:tcW w:w="9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FFED7E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577</w:t>
            </w:r>
          </w:p>
        </w:tc>
      </w:tr>
      <w:tr w:rsidR="004D0324" w:rsidRPr="00DC5F2D" w14:paraId="77E10560"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BFF787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72BE147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01234CB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42436A64"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2F554A9C"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761BFE29"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02031219</w:t>
            </w:r>
          </w:p>
        </w:tc>
        <w:tc>
          <w:tcPr>
            <w:tcW w:w="1843" w:type="dxa"/>
            <w:tcBorders>
              <w:top w:val="nil"/>
              <w:left w:val="nil"/>
              <w:bottom w:val="single" w:sz="4" w:space="0" w:color="auto"/>
              <w:right w:val="single" w:sz="4" w:space="0" w:color="auto"/>
            </w:tcBorders>
            <w:shd w:val="clear" w:color="auto" w:fill="auto"/>
            <w:noWrap/>
            <w:vAlign w:val="center"/>
            <w:hideMark/>
          </w:tcPr>
          <w:p w14:paraId="2AF273A4"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Epaules FR</w:t>
            </w:r>
          </w:p>
        </w:tc>
        <w:tc>
          <w:tcPr>
            <w:tcW w:w="1418" w:type="dxa"/>
            <w:tcBorders>
              <w:top w:val="nil"/>
              <w:left w:val="nil"/>
              <w:bottom w:val="single" w:sz="4" w:space="0" w:color="auto"/>
              <w:right w:val="single" w:sz="4" w:space="0" w:color="auto"/>
            </w:tcBorders>
            <w:shd w:val="clear" w:color="auto" w:fill="auto"/>
            <w:noWrap/>
            <w:vAlign w:val="center"/>
            <w:hideMark/>
          </w:tcPr>
          <w:p w14:paraId="324B2116"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38</w:t>
            </w:r>
          </w:p>
        </w:tc>
        <w:tc>
          <w:tcPr>
            <w:tcW w:w="1275" w:type="dxa"/>
            <w:tcBorders>
              <w:top w:val="nil"/>
              <w:left w:val="nil"/>
              <w:bottom w:val="single" w:sz="4" w:space="0" w:color="auto"/>
              <w:right w:val="single" w:sz="4" w:space="0" w:color="auto"/>
            </w:tcBorders>
            <w:shd w:val="clear" w:color="auto" w:fill="auto"/>
            <w:noWrap/>
            <w:vAlign w:val="center"/>
            <w:hideMark/>
          </w:tcPr>
          <w:p w14:paraId="07411FEA"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11</w:t>
            </w:r>
          </w:p>
        </w:tc>
        <w:tc>
          <w:tcPr>
            <w:tcW w:w="993" w:type="dxa"/>
            <w:vMerge/>
            <w:tcBorders>
              <w:top w:val="nil"/>
              <w:left w:val="single" w:sz="4" w:space="0" w:color="auto"/>
              <w:bottom w:val="single" w:sz="4" w:space="0" w:color="auto"/>
              <w:right w:val="single" w:sz="4" w:space="0" w:color="auto"/>
            </w:tcBorders>
            <w:vAlign w:val="center"/>
            <w:hideMark/>
          </w:tcPr>
          <w:p w14:paraId="6871FC18"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1607BF5E"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0E9819DB"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10.11.12.90</w:t>
            </w:r>
          </w:p>
        </w:tc>
        <w:tc>
          <w:tcPr>
            <w:tcW w:w="1276" w:type="dxa"/>
            <w:tcBorders>
              <w:top w:val="nil"/>
              <w:left w:val="nil"/>
              <w:bottom w:val="single" w:sz="4" w:space="0" w:color="auto"/>
              <w:right w:val="single" w:sz="4" w:space="0" w:color="auto"/>
            </w:tcBorders>
            <w:shd w:val="clear" w:color="auto" w:fill="auto"/>
            <w:noWrap/>
            <w:vAlign w:val="center"/>
            <w:hideMark/>
          </w:tcPr>
          <w:p w14:paraId="7C24A24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0203.19</w:t>
            </w:r>
          </w:p>
        </w:tc>
        <w:tc>
          <w:tcPr>
            <w:tcW w:w="3402" w:type="dxa"/>
            <w:tcBorders>
              <w:top w:val="nil"/>
              <w:left w:val="nil"/>
              <w:bottom w:val="single" w:sz="4" w:space="0" w:color="auto"/>
              <w:right w:val="single" w:sz="4" w:space="0" w:color="auto"/>
            </w:tcBorders>
            <w:shd w:val="clear" w:color="auto" w:fill="auto"/>
            <w:vAlign w:val="center"/>
            <w:hideMark/>
          </w:tcPr>
          <w:p w14:paraId="24724EB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xml:space="preserve">▪ Autres viandes porcines, fraîches ou réfrigérées </w:t>
            </w:r>
          </w:p>
        </w:tc>
        <w:tc>
          <w:tcPr>
            <w:tcW w:w="127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42A2EA" w14:textId="77777777" w:rsidR="00DC5F2D" w:rsidRPr="00DC5F2D" w:rsidRDefault="00DC5F2D" w:rsidP="00DC5F2D">
            <w:pPr>
              <w:spacing w:after="0" w:line="240" w:lineRule="auto"/>
              <w:jc w:val="right"/>
              <w:rPr>
                <w:rFonts w:eastAsia="Times New Roman" w:cs="Arial"/>
                <w:sz w:val="20"/>
                <w:szCs w:val="20"/>
                <w:lang w:eastAsia="fr-FR"/>
              </w:rPr>
            </w:pPr>
            <w:r w:rsidRPr="00DC5F2D">
              <w:rPr>
                <w:rFonts w:eastAsia="Times New Roman" w:cs="Arial"/>
                <w:sz w:val="20"/>
                <w:szCs w:val="20"/>
                <w:lang w:eastAsia="fr-FR"/>
              </w:rPr>
              <w:t>756</w:t>
            </w:r>
          </w:p>
        </w:tc>
        <w:tc>
          <w:tcPr>
            <w:tcW w:w="284" w:type="dxa"/>
            <w:tcBorders>
              <w:top w:val="nil"/>
              <w:left w:val="nil"/>
              <w:bottom w:val="nil"/>
              <w:right w:val="nil"/>
            </w:tcBorders>
            <w:shd w:val="clear" w:color="auto" w:fill="auto"/>
            <w:vAlign w:val="center"/>
            <w:hideMark/>
          </w:tcPr>
          <w:p w14:paraId="2770BC15" w14:textId="77777777" w:rsidR="00DC5F2D" w:rsidRPr="00DC5F2D" w:rsidRDefault="00DC5F2D" w:rsidP="00DC5F2D">
            <w:pPr>
              <w:spacing w:after="0" w:line="240" w:lineRule="auto"/>
              <w:jc w:val="right"/>
              <w:rPr>
                <w:rFonts w:eastAsia="Times New Roman" w:cs="Arial"/>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2AEC39A3"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2031911</w:t>
            </w:r>
          </w:p>
        </w:tc>
        <w:tc>
          <w:tcPr>
            <w:tcW w:w="1843" w:type="dxa"/>
            <w:tcBorders>
              <w:top w:val="nil"/>
              <w:left w:val="nil"/>
              <w:bottom w:val="single" w:sz="4" w:space="0" w:color="auto"/>
              <w:right w:val="single" w:sz="4" w:space="0" w:color="auto"/>
            </w:tcBorders>
            <w:shd w:val="clear" w:color="auto" w:fill="auto"/>
            <w:noWrap/>
            <w:vAlign w:val="center"/>
            <w:hideMark/>
          </w:tcPr>
          <w:p w14:paraId="436BEB0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Parties avant FR</w:t>
            </w:r>
          </w:p>
        </w:tc>
        <w:tc>
          <w:tcPr>
            <w:tcW w:w="1418" w:type="dxa"/>
            <w:tcBorders>
              <w:top w:val="nil"/>
              <w:left w:val="nil"/>
              <w:bottom w:val="single" w:sz="4" w:space="0" w:color="auto"/>
              <w:right w:val="single" w:sz="4" w:space="0" w:color="auto"/>
            </w:tcBorders>
            <w:shd w:val="clear" w:color="auto" w:fill="auto"/>
            <w:noWrap/>
            <w:vAlign w:val="center"/>
            <w:hideMark/>
          </w:tcPr>
          <w:p w14:paraId="1E24F41E"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7</w:t>
            </w:r>
          </w:p>
        </w:tc>
        <w:tc>
          <w:tcPr>
            <w:tcW w:w="1275" w:type="dxa"/>
            <w:tcBorders>
              <w:top w:val="nil"/>
              <w:left w:val="nil"/>
              <w:bottom w:val="single" w:sz="4" w:space="0" w:color="auto"/>
              <w:right w:val="single" w:sz="4" w:space="0" w:color="auto"/>
            </w:tcBorders>
            <w:shd w:val="clear" w:color="auto" w:fill="auto"/>
            <w:noWrap/>
            <w:vAlign w:val="center"/>
            <w:hideMark/>
          </w:tcPr>
          <w:p w14:paraId="0AB5E4B0"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11</w:t>
            </w:r>
          </w:p>
        </w:tc>
        <w:tc>
          <w:tcPr>
            <w:tcW w:w="993" w:type="dxa"/>
            <w:vMerge w:val="restart"/>
            <w:tcBorders>
              <w:top w:val="nil"/>
              <w:left w:val="single" w:sz="4" w:space="0" w:color="auto"/>
              <w:bottom w:val="nil"/>
              <w:right w:val="single" w:sz="4" w:space="0" w:color="auto"/>
            </w:tcBorders>
            <w:shd w:val="clear" w:color="auto" w:fill="auto"/>
            <w:noWrap/>
            <w:vAlign w:val="center"/>
            <w:hideMark/>
          </w:tcPr>
          <w:p w14:paraId="7F12F9D8"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827</w:t>
            </w:r>
          </w:p>
        </w:tc>
      </w:tr>
      <w:tr w:rsidR="004D0324" w:rsidRPr="00DC5F2D" w14:paraId="7BA46379"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42454234"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7609A28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6AADD70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2A1E5533"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68B74776"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5A3D7413"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02031913</w:t>
            </w:r>
          </w:p>
        </w:tc>
        <w:tc>
          <w:tcPr>
            <w:tcW w:w="1843" w:type="dxa"/>
            <w:tcBorders>
              <w:top w:val="nil"/>
              <w:left w:val="nil"/>
              <w:bottom w:val="single" w:sz="4" w:space="0" w:color="auto"/>
              <w:right w:val="single" w:sz="4" w:space="0" w:color="auto"/>
            </w:tcBorders>
            <w:shd w:val="clear" w:color="auto" w:fill="auto"/>
            <w:noWrap/>
            <w:vAlign w:val="center"/>
            <w:hideMark/>
          </w:tcPr>
          <w:p w14:paraId="029AE090"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Longes FR</w:t>
            </w:r>
          </w:p>
        </w:tc>
        <w:tc>
          <w:tcPr>
            <w:tcW w:w="1418" w:type="dxa"/>
            <w:tcBorders>
              <w:top w:val="nil"/>
              <w:left w:val="nil"/>
              <w:bottom w:val="single" w:sz="4" w:space="0" w:color="auto"/>
              <w:right w:val="single" w:sz="4" w:space="0" w:color="auto"/>
            </w:tcBorders>
            <w:shd w:val="clear" w:color="auto" w:fill="auto"/>
            <w:noWrap/>
            <w:vAlign w:val="center"/>
            <w:hideMark/>
          </w:tcPr>
          <w:p w14:paraId="0AA597C2"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44</w:t>
            </w:r>
          </w:p>
        </w:tc>
        <w:tc>
          <w:tcPr>
            <w:tcW w:w="1275" w:type="dxa"/>
            <w:tcBorders>
              <w:top w:val="nil"/>
              <w:left w:val="nil"/>
              <w:bottom w:val="single" w:sz="4" w:space="0" w:color="auto"/>
              <w:right w:val="single" w:sz="4" w:space="0" w:color="auto"/>
            </w:tcBorders>
            <w:shd w:val="clear" w:color="auto" w:fill="auto"/>
            <w:noWrap/>
            <w:vAlign w:val="center"/>
            <w:hideMark/>
          </w:tcPr>
          <w:p w14:paraId="0DBB9DB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7</w:t>
            </w:r>
          </w:p>
        </w:tc>
        <w:tc>
          <w:tcPr>
            <w:tcW w:w="993" w:type="dxa"/>
            <w:vMerge/>
            <w:tcBorders>
              <w:top w:val="nil"/>
              <w:left w:val="single" w:sz="4" w:space="0" w:color="auto"/>
              <w:bottom w:val="nil"/>
              <w:right w:val="single" w:sz="4" w:space="0" w:color="auto"/>
            </w:tcBorders>
            <w:vAlign w:val="center"/>
            <w:hideMark/>
          </w:tcPr>
          <w:p w14:paraId="719EFEDD"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2278056A"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6C8912D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61A59681"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288BB43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128CBA22"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3BCD6745"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51FF8F64"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02031915</w:t>
            </w:r>
          </w:p>
        </w:tc>
        <w:tc>
          <w:tcPr>
            <w:tcW w:w="1843" w:type="dxa"/>
            <w:tcBorders>
              <w:top w:val="nil"/>
              <w:left w:val="nil"/>
              <w:bottom w:val="single" w:sz="4" w:space="0" w:color="auto"/>
              <w:right w:val="single" w:sz="4" w:space="0" w:color="auto"/>
            </w:tcBorders>
            <w:shd w:val="clear" w:color="auto" w:fill="auto"/>
            <w:noWrap/>
            <w:vAlign w:val="center"/>
            <w:hideMark/>
          </w:tcPr>
          <w:p w14:paraId="542CDA8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Poitrines FR</w:t>
            </w:r>
          </w:p>
        </w:tc>
        <w:tc>
          <w:tcPr>
            <w:tcW w:w="1418" w:type="dxa"/>
            <w:tcBorders>
              <w:top w:val="nil"/>
              <w:left w:val="nil"/>
              <w:bottom w:val="single" w:sz="4" w:space="0" w:color="auto"/>
              <w:right w:val="single" w:sz="4" w:space="0" w:color="auto"/>
            </w:tcBorders>
            <w:shd w:val="clear" w:color="auto" w:fill="auto"/>
            <w:noWrap/>
            <w:vAlign w:val="center"/>
            <w:hideMark/>
          </w:tcPr>
          <w:p w14:paraId="57C92A4A"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22</w:t>
            </w:r>
          </w:p>
        </w:tc>
        <w:tc>
          <w:tcPr>
            <w:tcW w:w="1275" w:type="dxa"/>
            <w:tcBorders>
              <w:top w:val="nil"/>
              <w:left w:val="nil"/>
              <w:bottom w:val="single" w:sz="4" w:space="0" w:color="auto"/>
              <w:right w:val="single" w:sz="4" w:space="0" w:color="auto"/>
            </w:tcBorders>
            <w:shd w:val="clear" w:color="auto" w:fill="auto"/>
            <w:noWrap/>
            <w:vAlign w:val="center"/>
            <w:hideMark/>
          </w:tcPr>
          <w:p w14:paraId="5B683545"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20</w:t>
            </w:r>
          </w:p>
        </w:tc>
        <w:tc>
          <w:tcPr>
            <w:tcW w:w="993" w:type="dxa"/>
            <w:vMerge/>
            <w:tcBorders>
              <w:top w:val="nil"/>
              <w:left w:val="single" w:sz="4" w:space="0" w:color="auto"/>
              <w:bottom w:val="nil"/>
              <w:right w:val="single" w:sz="4" w:space="0" w:color="auto"/>
            </w:tcBorders>
            <w:vAlign w:val="center"/>
            <w:hideMark/>
          </w:tcPr>
          <w:p w14:paraId="47D0707B"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1121D917"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7174681B"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19CAC14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1265A92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6117B16F"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64FECEDB"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1E52981A"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02031955</w:t>
            </w:r>
          </w:p>
        </w:tc>
        <w:tc>
          <w:tcPr>
            <w:tcW w:w="1843" w:type="dxa"/>
            <w:tcBorders>
              <w:top w:val="nil"/>
              <w:left w:val="nil"/>
              <w:bottom w:val="single" w:sz="4" w:space="0" w:color="auto"/>
              <w:right w:val="single" w:sz="4" w:space="0" w:color="auto"/>
            </w:tcBorders>
            <w:shd w:val="clear" w:color="auto" w:fill="auto"/>
            <w:noWrap/>
            <w:vAlign w:val="center"/>
            <w:hideMark/>
          </w:tcPr>
          <w:p w14:paraId="61A1F08A"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Désossées FR</w:t>
            </w:r>
          </w:p>
        </w:tc>
        <w:tc>
          <w:tcPr>
            <w:tcW w:w="1418" w:type="dxa"/>
            <w:tcBorders>
              <w:top w:val="nil"/>
              <w:left w:val="nil"/>
              <w:bottom w:val="single" w:sz="4" w:space="0" w:color="auto"/>
              <w:right w:val="single" w:sz="4" w:space="0" w:color="auto"/>
            </w:tcBorders>
            <w:shd w:val="clear" w:color="auto" w:fill="auto"/>
            <w:noWrap/>
            <w:vAlign w:val="center"/>
            <w:hideMark/>
          </w:tcPr>
          <w:p w14:paraId="1C95C8D5"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31</w:t>
            </w:r>
          </w:p>
        </w:tc>
        <w:tc>
          <w:tcPr>
            <w:tcW w:w="1275" w:type="dxa"/>
            <w:tcBorders>
              <w:top w:val="nil"/>
              <w:left w:val="nil"/>
              <w:bottom w:val="single" w:sz="4" w:space="0" w:color="auto"/>
              <w:right w:val="single" w:sz="4" w:space="0" w:color="auto"/>
            </w:tcBorders>
            <w:shd w:val="clear" w:color="auto" w:fill="auto"/>
            <w:noWrap/>
            <w:vAlign w:val="center"/>
            <w:hideMark/>
          </w:tcPr>
          <w:p w14:paraId="39466008"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150</w:t>
            </w:r>
          </w:p>
        </w:tc>
        <w:tc>
          <w:tcPr>
            <w:tcW w:w="993" w:type="dxa"/>
            <w:vMerge/>
            <w:tcBorders>
              <w:top w:val="nil"/>
              <w:left w:val="single" w:sz="4" w:space="0" w:color="auto"/>
              <w:bottom w:val="nil"/>
              <w:right w:val="single" w:sz="4" w:space="0" w:color="auto"/>
            </w:tcBorders>
            <w:vAlign w:val="center"/>
            <w:hideMark/>
          </w:tcPr>
          <w:p w14:paraId="5BDEE5C7"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15DE8823"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A91FA01"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2D30F07A"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49863251"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auto"/>
              <w:right w:val="single" w:sz="4" w:space="0" w:color="auto"/>
            </w:tcBorders>
            <w:vAlign w:val="center"/>
            <w:hideMark/>
          </w:tcPr>
          <w:p w14:paraId="3C451788" w14:textId="77777777" w:rsidR="00DC5F2D" w:rsidRPr="00DC5F2D" w:rsidRDefault="00DC5F2D" w:rsidP="00DC5F2D">
            <w:pPr>
              <w:spacing w:after="0" w:line="240" w:lineRule="auto"/>
              <w:jc w:val="left"/>
              <w:rPr>
                <w:rFonts w:eastAsia="Times New Roman" w:cs="Arial"/>
                <w:sz w:val="20"/>
                <w:szCs w:val="20"/>
                <w:lang w:eastAsia="fr-FR"/>
              </w:rPr>
            </w:pPr>
          </w:p>
        </w:tc>
        <w:tc>
          <w:tcPr>
            <w:tcW w:w="284" w:type="dxa"/>
            <w:tcBorders>
              <w:top w:val="nil"/>
              <w:left w:val="nil"/>
              <w:bottom w:val="nil"/>
              <w:right w:val="nil"/>
            </w:tcBorders>
            <w:shd w:val="clear" w:color="auto" w:fill="auto"/>
            <w:vAlign w:val="center"/>
            <w:hideMark/>
          </w:tcPr>
          <w:p w14:paraId="41A48889"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6016B839"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 xml:space="preserve">   02031959</w:t>
            </w:r>
          </w:p>
        </w:tc>
        <w:tc>
          <w:tcPr>
            <w:tcW w:w="1843" w:type="dxa"/>
            <w:tcBorders>
              <w:top w:val="nil"/>
              <w:left w:val="nil"/>
              <w:bottom w:val="single" w:sz="4" w:space="0" w:color="auto"/>
              <w:right w:val="single" w:sz="4" w:space="0" w:color="auto"/>
            </w:tcBorders>
            <w:shd w:val="clear" w:color="auto" w:fill="auto"/>
            <w:noWrap/>
            <w:vAlign w:val="center"/>
            <w:hideMark/>
          </w:tcPr>
          <w:p w14:paraId="62A6555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Autre nd FR</w:t>
            </w:r>
          </w:p>
        </w:tc>
        <w:tc>
          <w:tcPr>
            <w:tcW w:w="1418" w:type="dxa"/>
            <w:tcBorders>
              <w:top w:val="nil"/>
              <w:left w:val="nil"/>
              <w:bottom w:val="single" w:sz="4" w:space="0" w:color="auto"/>
              <w:right w:val="single" w:sz="4" w:space="0" w:color="auto"/>
            </w:tcBorders>
            <w:shd w:val="clear" w:color="auto" w:fill="auto"/>
            <w:noWrap/>
            <w:vAlign w:val="center"/>
            <w:hideMark/>
          </w:tcPr>
          <w:p w14:paraId="22250DBA"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20</w:t>
            </w:r>
          </w:p>
        </w:tc>
        <w:tc>
          <w:tcPr>
            <w:tcW w:w="1275" w:type="dxa"/>
            <w:tcBorders>
              <w:top w:val="nil"/>
              <w:left w:val="nil"/>
              <w:bottom w:val="single" w:sz="4" w:space="0" w:color="auto"/>
              <w:right w:val="single" w:sz="4" w:space="0" w:color="auto"/>
            </w:tcBorders>
            <w:shd w:val="clear" w:color="auto" w:fill="auto"/>
            <w:noWrap/>
            <w:vAlign w:val="center"/>
            <w:hideMark/>
          </w:tcPr>
          <w:p w14:paraId="028C5C9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7</w:t>
            </w:r>
          </w:p>
        </w:tc>
        <w:tc>
          <w:tcPr>
            <w:tcW w:w="993" w:type="dxa"/>
            <w:vMerge/>
            <w:tcBorders>
              <w:top w:val="nil"/>
              <w:left w:val="single" w:sz="4" w:space="0" w:color="auto"/>
              <w:bottom w:val="nil"/>
              <w:right w:val="single" w:sz="4" w:space="0" w:color="auto"/>
            </w:tcBorders>
            <w:vAlign w:val="center"/>
            <w:hideMark/>
          </w:tcPr>
          <w:p w14:paraId="5DC97D73"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10736" w:rsidRPr="00DC5F2D" w14:paraId="5679CE5D" w14:textId="77777777" w:rsidTr="004D0324">
        <w:trPr>
          <w:trHeight w:val="130"/>
        </w:trPr>
        <w:tc>
          <w:tcPr>
            <w:tcW w:w="1413" w:type="dxa"/>
            <w:tcBorders>
              <w:top w:val="nil"/>
              <w:left w:val="single" w:sz="4" w:space="0" w:color="auto"/>
              <w:bottom w:val="single" w:sz="4" w:space="0" w:color="auto"/>
              <w:right w:val="single" w:sz="4" w:space="0" w:color="auto"/>
            </w:tcBorders>
            <w:shd w:val="clear" w:color="000000" w:fill="A6A6A6"/>
            <w:noWrap/>
            <w:vAlign w:val="center"/>
            <w:hideMark/>
          </w:tcPr>
          <w:p w14:paraId="15196BA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0B439D5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3BF7EADF"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Congelées</w:t>
            </w:r>
          </w:p>
        </w:tc>
        <w:tc>
          <w:tcPr>
            <w:tcW w:w="1275" w:type="dxa"/>
            <w:tcBorders>
              <w:top w:val="nil"/>
              <w:left w:val="nil"/>
              <w:bottom w:val="single" w:sz="4" w:space="0" w:color="auto"/>
              <w:right w:val="single" w:sz="4" w:space="0" w:color="auto"/>
            </w:tcBorders>
            <w:shd w:val="clear" w:color="000000" w:fill="A6A6A6"/>
            <w:noWrap/>
            <w:vAlign w:val="center"/>
            <w:hideMark/>
          </w:tcPr>
          <w:p w14:paraId="30FA45CE"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268</w:t>
            </w:r>
          </w:p>
        </w:tc>
        <w:tc>
          <w:tcPr>
            <w:tcW w:w="284" w:type="dxa"/>
            <w:tcBorders>
              <w:top w:val="nil"/>
              <w:left w:val="nil"/>
              <w:bottom w:val="nil"/>
              <w:right w:val="nil"/>
            </w:tcBorders>
            <w:shd w:val="clear" w:color="auto" w:fill="auto"/>
            <w:vAlign w:val="center"/>
            <w:hideMark/>
          </w:tcPr>
          <w:p w14:paraId="0C54ACAE"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vAlign w:val="center"/>
            <w:hideMark/>
          </w:tcPr>
          <w:p w14:paraId="27715592"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843" w:type="dxa"/>
            <w:tcBorders>
              <w:top w:val="nil"/>
              <w:left w:val="nil"/>
              <w:bottom w:val="single" w:sz="4" w:space="0" w:color="auto"/>
              <w:right w:val="single" w:sz="4" w:space="0" w:color="auto"/>
            </w:tcBorders>
            <w:shd w:val="clear" w:color="000000" w:fill="A6A6A6"/>
            <w:vAlign w:val="center"/>
            <w:hideMark/>
          </w:tcPr>
          <w:p w14:paraId="41EC8B05"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418" w:type="dxa"/>
            <w:tcBorders>
              <w:top w:val="nil"/>
              <w:left w:val="nil"/>
              <w:bottom w:val="single" w:sz="4" w:space="0" w:color="auto"/>
              <w:right w:val="single" w:sz="4" w:space="0" w:color="auto"/>
            </w:tcBorders>
            <w:shd w:val="clear" w:color="000000" w:fill="A6A6A6"/>
            <w:noWrap/>
            <w:vAlign w:val="center"/>
            <w:hideMark/>
          </w:tcPr>
          <w:p w14:paraId="2A9E1583"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139</w:t>
            </w:r>
          </w:p>
        </w:tc>
        <w:tc>
          <w:tcPr>
            <w:tcW w:w="1275" w:type="dxa"/>
            <w:tcBorders>
              <w:top w:val="nil"/>
              <w:left w:val="nil"/>
              <w:bottom w:val="single" w:sz="4" w:space="0" w:color="auto"/>
              <w:right w:val="single" w:sz="4" w:space="0" w:color="auto"/>
            </w:tcBorders>
            <w:shd w:val="clear" w:color="000000" w:fill="A6A6A6"/>
            <w:noWrap/>
            <w:vAlign w:val="center"/>
            <w:hideMark/>
          </w:tcPr>
          <w:p w14:paraId="0DABFC23"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63</w:t>
            </w:r>
          </w:p>
        </w:tc>
        <w:tc>
          <w:tcPr>
            <w:tcW w:w="993" w:type="dxa"/>
            <w:tcBorders>
              <w:top w:val="single" w:sz="4" w:space="0" w:color="auto"/>
              <w:left w:val="nil"/>
              <w:bottom w:val="single" w:sz="4" w:space="0" w:color="auto"/>
              <w:right w:val="single" w:sz="4" w:space="0" w:color="auto"/>
            </w:tcBorders>
            <w:shd w:val="clear" w:color="000000" w:fill="A6A6A6"/>
            <w:noWrap/>
            <w:vAlign w:val="center"/>
            <w:hideMark/>
          </w:tcPr>
          <w:p w14:paraId="19F49160"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192</w:t>
            </w:r>
          </w:p>
        </w:tc>
      </w:tr>
      <w:tr w:rsidR="004D0324" w:rsidRPr="00DC5F2D" w14:paraId="3B3C3BEC"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19EEB25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10.11.32.30</w:t>
            </w:r>
          </w:p>
        </w:tc>
        <w:tc>
          <w:tcPr>
            <w:tcW w:w="1276" w:type="dxa"/>
            <w:tcBorders>
              <w:top w:val="nil"/>
              <w:left w:val="nil"/>
              <w:bottom w:val="single" w:sz="4" w:space="0" w:color="auto"/>
              <w:right w:val="single" w:sz="4" w:space="0" w:color="auto"/>
            </w:tcBorders>
            <w:shd w:val="clear" w:color="auto" w:fill="auto"/>
            <w:noWrap/>
            <w:vAlign w:val="center"/>
            <w:hideMark/>
          </w:tcPr>
          <w:p w14:paraId="753D2E7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0203.21</w:t>
            </w:r>
          </w:p>
        </w:tc>
        <w:tc>
          <w:tcPr>
            <w:tcW w:w="3402" w:type="dxa"/>
            <w:tcBorders>
              <w:top w:val="nil"/>
              <w:left w:val="nil"/>
              <w:bottom w:val="single" w:sz="4" w:space="0" w:color="auto"/>
              <w:right w:val="single" w:sz="4" w:space="0" w:color="auto"/>
            </w:tcBorders>
            <w:shd w:val="clear" w:color="auto" w:fill="auto"/>
            <w:vAlign w:val="center"/>
            <w:hideMark/>
          </w:tcPr>
          <w:p w14:paraId="472C6A2A"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Viandes porcines, congelées ou surgelées, en carcasses ou demi-carcasses</w:t>
            </w:r>
          </w:p>
        </w:tc>
        <w:tc>
          <w:tcPr>
            <w:tcW w:w="1275" w:type="dxa"/>
            <w:tcBorders>
              <w:top w:val="nil"/>
              <w:left w:val="nil"/>
              <w:bottom w:val="single" w:sz="4" w:space="0" w:color="auto"/>
              <w:right w:val="single" w:sz="4" w:space="0" w:color="auto"/>
            </w:tcBorders>
            <w:shd w:val="clear" w:color="auto" w:fill="auto"/>
            <w:noWrap/>
            <w:vAlign w:val="center"/>
            <w:hideMark/>
          </w:tcPr>
          <w:p w14:paraId="0DF1AC7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284" w:type="dxa"/>
            <w:tcBorders>
              <w:top w:val="nil"/>
              <w:left w:val="nil"/>
              <w:bottom w:val="nil"/>
              <w:right w:val="nil"/>
            </w:tcBorders>
            <w:shd w:val="clear" w:color="auto" w:fill="auto"/>
            <w:vAlign w:val="center"/>
            <w:hideMark/>
          </w:tcPr>
          <w:p w14:paraId="0B733272"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5D62FCA1"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02032110 </w:t>
            </w:r>
          </w:p>
        </w:tc>
        <w:tc>
          <w:tcPr>
            <w:tcW w:w="1843" w:type="dxa"/>
            <w:tcBorders>
              <w:top w:val="nil"/>
              <w:left w:val="nil"/>
              <w:bottom w:val="single" w:sz="4" w:space="0" w:color="auto"/>
              <w:right w:val="single" w:sz="4" w:space="0" w:color="auto"/>
            </w:tcBorders>
            <w:shd w:val="clear" w:color="auto" w:fill="auto"/>
            <w:vAlign w:val="center"/>
            <w:hideMark/>
          </w:tcPr>
          <w:p w14:paraId="398295B0"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xml:space="preserve">Carcasse, demi carcasse congelée </w:t>
            </w:r>
          </w:p>
        </w:tc>
        <w:tc>
          <w:tcPr>
            <w:tcW w:w="1418" w:type="dxa"/>
            <w:tcBorders>
              <w:top w:val="nil"/>
              <w:left w:val="nil"/>
              <w:bottom w:val="single" w:sz="4" w:space="0" w:color="auto"/>
              <w:right w:val="single" w:sz="4" w:space="0" w:color="auto"/>
            </w:tcBorders>
            <w:shd w:val="clear" w:color="auto" w:fill="auto"/>
            <w:noWrap/>
            <w:vAlign w:val="center"/>
            <w:hideMark/>
          </w:tcPr>
          <w:p w14:paraId="61B55BAD"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0</w:t>
            </w:r>
          </w:p>
        </w:tc>
        <w:tc>
          <w:tcPr>
            <w:tcW w:w="1275" w:type="dxa"/>
            <w:tcBorders>
              <w:top w:val="nil"/>
              <w:left w:val="nil"/>
              <w:bottom w:val="single" w:sz="4" w:space="0" w:color="auto"/>
              <w:right w:val="single" w:sz="4" w:space="0" w:color="auto"/>
            </w:tcBorders>
            <w:shd w:val="clear" w:color="auto" w:fill="auto"/>
            <w:noWrap/>
            <w:vAlign w:val="center"/>
            <w:hideMark/>
          </w:tcPr>
          <w:p w14:paraId="058AD46B"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w:t>
            </w:r>
          </w:p>
        </w:tc>
        <w:tc>
          <w:tcPr>
            <w:tcW w:w="993" w:type="dxa"/>
            <w:tcBorders>
              <w:top w:val="nil"/>
              <w:left w:val="nil"/>
              <w:bottom w:val="single" w:sz="4" w:space="0" w:color="auto"/>
              <w:right w:val="single" w:sz="4" w:space="0" w:color="auto"/>
            </w:tcBorders>
            <w:shd w:val="clear" w:color="auto" w:fill="auto"/>
            <w:noWrap/>
            <w:vAlign w:val="center"/>
            <w:hideMark/>
          </w:tcPr>
          <w:p w14:paraId="3A03B4C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 xml:space="preserve">              2   </w:t>
            </w:r>
          </w:p>
        </w:tc>
      </w:tr>
      <w:tr w:rsidR="004D0324" w:rsidRPr="00DC5F2D" w14:paraId="66B4C031" w14:textId="77777777" w:rsidTr="004D0324">
        <w:trPr>
          <w:trHeight w:val="130"/>
        </w:trPr>
        <w:tc>
          <w:tcPr>
            <w:tcW w:w="1413" w:type="dxa"/>
            <w:vMerge w:val="restart"/>
            <w:tcBorders>
              <w:top w:val="nil"/>
              <w:left w:val="single" w:sz="4" w:space="0" w:color="auto"/>
              <w:bottom w:val="single" w:sz="4" w:space="0" w:color="000000"/>
              <w:right w:val="single" w:sz="4" w:space="0" w:color="auto"/>
            </w:tcBorders>
            <w:shd w:val="clear" w:color="auto" w:fill="auto"/>
            <w:vAlign w:val="center"/>
            <w:hideMark/>
          </w:tcPr>
          <w:p w14:paraId="10D39498"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p.10.11.32.50 = 0203[.22(.11 + .19 + .90)]</w:t>
            </w:r>
          </w:p>
        </w:tc>
        <w:tc>
          <w:tcPr>
            <w:tcW w:w="1276" w:type="dxa"/>
            <w:tcBorders>
              <w:top w:val="nil"/>
              <w:left w:val="nil"/>
              <w:bottom w:val="single" w:sz="4" w:space="0" w:color="auto"/>
              <w:right w:val="single" w:sz="4" w:space="0" w:color="auto"/>
            </w:tcBorders>
            <w:shd w:val="clear" w:color="auto" w:fill="auto"/>
            <w:noWrap/>
            <w:vAlign w:val="center"/>
            <w:hideMark/>
          </w:tcPr>
          <w:p w14:paraId="1FF8461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0203.22</w:t>
            </w:r>
          </w:p>
        </w:tc>
        <w:tc>
          <w:tcPr>
            <w:tcW w:w="3402" w:type="dxa"/>
            <w:tcBorders>
              <w:top w:val="nil"/>
              <w:left w:val="nil"/>
              <w:bottom w:val="single" w:sz="4" w:space="0" w:color="auto"/>
              <w:right w:val="single" w:sz="4" w:space="0" w:color="auto"/>
            </w:tcBorders>
            <w:shd w:val="clear" w:color="auto" w:fill="auto"/>
            <w:vAlign w:val="center"/>
            <w:hideMark/>
          </w:tcPr>
          <w:p w14:paraId="12A69789" w14:textId="7B50BCE3"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xml:space="preserve">Jambons, épaules de porc et leurs morceaux non désossés, congelés </w:t>
            </w:r>
          </w:p>
        </w:tc>
        <w:tc>
          <w:tcPr>
            <w:tcW w:w="127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C1023C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63</w:t>
            </w:r>
          </w:p>
        </w:tc>
        <w:tc>
          <w:tcPr>
            <w:tcW w:w="284" w:type="dxa"/>
            <w:tcBorders>
              <w:top w:val="nil"/>
              <w:left w:val="nil"/>
              <w:bottom w:val="nil"/>
              <w:right w:val="nil"/>
            </w:tcBorders>
            <w:shd w:val="clear" w:color="auto" w:fill="auto"/>
            <w:vAlign w:val="center"/>
            <w:hideMark/>
          </w:tcPr>
          <w:p w14:paraId="323A8927"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0AAC658D"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02032211</w:t>
            </w:r>
          </w:p>
        </w:tc>
        <w:tc>
          <w:tcPr>
            <w:tcW w:w="1843" w:type="dxa"/>
            <w:tcBorders>
              <w:top w:val="nil"/>
              <w:left w:val="nil"/>
              <w:bottom w:val="single" w:sz="4" w:space="0" w:color="auto"/>
              <w:right w:val="single" w:sz="4" w:space="0" w:color="auto"/>
            </w:tcBorders>
            <w:shd w:val="clear" w:color="auto" w:fill="auto"/>
            <w:noWrap/>
            <w:vAlign w:val="center"/>
            <w:hideMark/>
          </w:tcPr>
          <w:p w14:paraId="12C09789"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Jambons C</w:t>
            </w:r>
          </w:p>
        </w:tc>
        <w:tc>
          <w:tcPr>
            <w:tcW w:w="1418" w:type="dxa"/>
            <w:tcBorders>
              <w:top w:val="nil"/>
              <w:left w:val="nil"/>
              <w:bottom w:val="single" w:sz="4" w:space="0" w:color="auto"/>
              <w:right w:val="single" w:sz="4" w:space="0" w:color="auto"/>
            </w:tcBorders>
            <w:shd w:val="clear" w:color="auto" w:fill="auto"/>
            <w:noWrap/>
            <w:vAlign w:val="center"/>
            <w:hideMark/>
          </w:tcPr>
          <w:p w14:paraId="018216EC"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1275" w:type="dxa"/>
            <w:tcBorders>
              <w:top w:val="nil"/>
              <w:left w:val="nil"/>
              <w:bottom w:val="single" w:sz="4" w:space="0" w:color="auto"/>
              <w:right w:val="single" w:sz="4" w:space="0" w:color="auto"/>
            </w:tcBorders>
            <w:shd w:val="clear" w:color="auto" w:fill="auto"/>
            <w:noWrap/>
            <w:vAlign w:val="center"/>
            <w:hideMark/>
          </w:tcPr>
          <w:p w14:paraId="76B61F64"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99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3DF405B"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57</w:t>
            </w:r>
          </w:p>
        </w:tc>
      </w:tr>
      <w:tr w:rsidR="004D0324" w:rsidRPr="00DC5F2D" w14:paraId="789E525D"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3F3E0F89"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4AE6DEA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15F86504"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754814B4"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694F3DD1"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noWrap/>
            <w:vAlign w:val="center"/>
            <w:hideMark/>
          </w:tcPr>
          <w:p w14:paraId="200361A8" w14:textId="77777777" w:rsidR="00DC5F2D" w:rsidRPr="00DC5F2D" w:rsidRDefault="00DC5F2D" w:rsidP="00DC5F2D">
            <w:pPr>
              <w:spacing w:after="0" w:line="240" w:lineRule="auto"/>
              <w:jc w:val="center"/>
              <w:rPr>
                <w:rFonts w:eastAsia="Times New Roman" w:cs="Arial"/>
                <w:sz w:val="20"/>
                <w:szCs w:val="20"/>
                <w:lang w:eastAsia="fr-FR"/>
              </w:rPr>
            </w:pPr>
            <w:r w:rsidRPr="00DC5F2D">
              <w:rPr>
                <w:rFonts w:eastAsia="Times New Roman" w:cs="Arial"/>
                <w:sz w:val="20"/>
                <w:szCs w:val="20"/>
                <w:lang w:eastAsia="fr-FR"/>
              </w:rPr>
              <w:t>02032219</w:t>
            </w:r>
          </w:p>
        </w:tc>
        <w:tc>
          <w:tcPr>
            <w:tcW w:w="1843" w:type="dxa"/>
            <w:tcBorders>
              <w:top w:val="nil"/>
              <w:left w:val="nil"/>
              <w:bottom w:val="single" w:sz="4" w:space="0" w:color="auto"/>
              <w:right w:val="single" w:sz="4" w:space="0" w:color="auto"/>
            </w:tcBorders>
            <w:shd w:val="clear" w:color="auto" w:fill="auto"/>
            <w:noWrap/>
            <w:vAlign w:val="center"/>
            <w:hideMark/>
          </w:tcPr>
          <w:p w14:paraId="3CC61EA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Epaules C</w:t>
            </w:r>
          </w:p>
        </w:tc>
        <w:tc>
          <w:tcPr>
            <w:tcW w:w="1418" w:type="dxa"/>
            <w:tcBorders>
              <w:top w:val="nil"/>
              <w:left w:val="nil"/>
              <w:bottom w:val="single" w:sz="4" w:space="0" w:color="auto"/>
              <w:right w:val="single" w:sz="4" w:space="0" w:color="auto"/>
            </w:tcBorders>
            <w:shd w:val="clear" w:color="auto" w:fill="auto"/>
            <w:noWrap/>
            <w:vAlign w:val="center"/>
            <w:hideMark/>
          </w:tcPr>
          <w:p w14:paraId="1791F3F6"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8</w:t>
            </w:r>
          </w:p>
        </w:tc>
        <w:tc>
          <w:tcPr>
            <w:tcW w:w="1275" w:type="dxa"/>
            <w:tcBorders>
              <w:top w:val="nil"/>
              <w:left w:val="nil"/>
              <w:bottom w:val="single" w:sz="4" w:space="0" w:color="auto"/>
              <w:right w:val="single" w:sz="4" w:space="0" w:color="auto"/>
            </w:tcBorders>
            <w:shd w:val="clear" w:color="auto" w:fill="auto"/>
            <w:noWrap/>
            <w:vAlign w:val="center"/>
            <w:hideMark/>
          </w:tcPr>
          <w:p w14:paraId="5548E64E"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w:t>
            </w:r>
          </w:p>
        </w:tc>
        <w:tc>
          <w:tcPr>
            <w:tcW w:w="993" w:type="dxa"/>
            <w:vMerge/>
            <w:tcBorders>
              <w:top w:val="nil"/>
              <w:left w:val="single" w:sz="4" w:space="0" w:color="auto"/>
              <w:bottom w:val="single" w:sz="4" w:space="0" w:color="000000"/>
              <w:right w:val="single" w:sz="4" w:space="0" w:color="auto"/>
            </w:tcBorders>
            <w:vAlign w:val="center"/>
            <w:hideMark/>
          </w:tcPr>
          <w:p w14:paraId="68B8122E"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10736" w:rsidRPr="00DC5F2D" w14:paraId="2AD90591"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6CCAA9F3"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35E6CC55" w14:textId="77777777" w:rsidR="00DC5F2D" w:rsidRPr="00DC5F2D" w:rsidRDefault="00DC5F2D" w:rsidP="00DC5F2D">
            <w:pPr>
              <w:spacing w:after="0" w:line="240" w:lineRule="auto"/>
              <w:jc w:val="lef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7239B8DC"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 xml:space="preserve">Animaux non domestiques </w:t>
            </w:r>
          </w:p>
        </w:tc>
        <w:tc>
          <w:tcPr>
            <w:tcW w:w="1275" w:type="dxa"/>
            <w:tcBorders>
              <w:top w:val="nil"/>
              <w:left w:val="nil"/>
              <w:bottom w:val="single" w:sz="4" w:space="0" w:color="auto"/>
              <w:right w:val="single" w:sz="4" w:space="0" w:color="auto"/>
            </w:tcBorders>
            <w:shd w:val="clear" w:color="000000" w:fill="A6A6A6"/>
            <w:noWrap/>
            <w:vAlign w:val="center"/>
            <w:hideMark/>
          </w:tcPr>
          <w:p w14:paraId="2B75C3EA"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Négligeable</w:t>
            </w:r>
          </w:p>
        </w:tc>
        <w:tc>
          <w:tcPr>
            <w:tcW w:w="284" w:type="dxa"/>
            <w:tcBorders>
              <w:top w:val="nil"/>
              <w:left w:val="nil"/>
              <w:bottom w:val="nil"/>
              <w:right w:val="nil"/>
            </w:tcBorders>
            <w:shd w:val="clear" w:color="auto" w:fill="auto"/>
            <w:vAlign w:val="center"/>
            <w:hideMark/>
          </w:tcPr>
          <w:p w14:paraId="5FE9A260" w14:textId="77777777" w:rsidR="00DC5F2D" w:rsidRPr="00DC5F2D" w:rsidRDefault="00DC5F2D" w:rsidP="00DC5F2D">
            <w:pPr>
              <w:spacing w:after="0" w:line="240" w:lineRule="auto"/>
              <w:jc w:val="right"/>
              <w:rPr>
                <w:rFonts w:eastAsia="Times New Roman" w:cs="Arial"/>
                <w:i/>
                <w:iCs/>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noWrap/>
            <w:vAlign w:val="center"/>
            <w:hideMark/>
          </w:tcPr>
          <w:p w14:paraId="210729D3"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02032290</w:t>
            </w:r>
          </w:p>
        </w:tc>
        <w:tc>
          <w:tcPr>
            <w:tcW w:w="1843" w:type="dxa"/>
            <w:tcBorders>
              <w:top w:val="nil"/>
              <w:left w:val="nil"/>
              <w:bottom w:val="single" w:sz="4" w:space="0" w:color="auto"/>
              <w:right w:val="single" w:sz="4" w:space="0" w:color="auto"/>
            </w:tcBorders>
            <w:shd w:val="clear" w:color="000000" w:fill="A6A6A6"/>
            <w:vAlign w:val="center"/>
            <w:hideMark/>
          </w:tcPr>
          <w:p w14:paraId="2ADC3B2D"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1418" w:type="dxa"/>
            <w:tcBorders>
              <w:top w:val="nil"/>
              <w:left w:val="nil"/>
              <w:bottom w:val="single" w:sz="4" w:space="0" w:color="auto"/>
              <w:right w:val="single" w:sz="4" w:space="0" w:color="auto"/>
            </w:tcBorders>
            <w:shd w:val="clear" w:color="000000" w:fill="A6A6A6"/>
            <w:vAlign w:val="center"/>
            <w:hideMark/>
          </w:tcPr>
          <w:p w14:paraId="5DD6F7AD"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1275" w:type="dxa"/>
            <w:tcBorders>
              <w:top w:val="nil"/>
              <w:left w:val="nil"/>
              <w:bottom w:val="single" w:sz="4" w:space="0" w:color="auto"/>
              <w:right w:val="single" w:sz="4" w:space="0" w:color="auto"/>
            </w:tcBorders>
            <w:shd w:val="clear" w:color="000000" w:fill="A6A6A6"/>
            <w:vAlign w:val="center"/>
            <w:hideMark/>
          </w:tcPr>
          <w:p w14:paraId="1AE888E2"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993" w:type="dxa"/>
            <w:tcBorders>
              <w:top w:val="nil"/>
              <w:left w:val="nil"/>
              <w:bottom w:val="single" w:sz="4" w:space="0" w:color="auto"/>
              <w:right w:val="single" w:sz="4" w:space="0" w:color="auto"/>
            </w:tcBorders>
            <w:shd w:val="clear" w:color="000000" w:fill="A6A6A6"/>
            <w:vAlign w:val="center"/>
            <w:hideMark/>
          </w:tcPr>
          <w:p w14:paraId="65D80231"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r>
      <w:tr w:rsidR="004D0324" w:rsidRPr="00DC5F2D" w14:paraId="10BF8C62" w14:textId="77777777" w:rsidTr="004D0324">
        <w:trPr>
          <w:trHeight w:val="130"/>
        </w:trPr>
        <w:tc>
          <w:tcPr>
            <w:tcW w:w="1413" w:type="dxa"/>
            <w:vMerge w:val="restart"/>
            <w:tcBorders>
              <w:top w:val="nil"/>
              <w:left w:val="single" w:sz="4" w:space="0" w:color="auto"/>
              <w:bottom w:val="single" w:sz="4" w:space="0" w:color="000000"/>
              <w:right w:val="single" w:sz="4" w:space="0" w:color="auto"/>
            </w:tcBorders>
            <w:shd w:val="clear" w:color="auto" w:fill="auto"/>
            <w:vAlign w:val="center"/>
            <w:hideMark/>
          </w:tcPr>
          <w:p w14:paraId="62B75780"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p.10.11.32.90 = 0203[.29(.11 + .13 + .15 + .55 + .59 + .90)]</w:t>
            </w:r>
          </w:p>
        </w:tc>
        <w:tc>
          <w:tcPr>
            <w:tcW w:w="1276" w:type="dxa"/>
            <w:tcBorders>
              <w:top w:val="nil"/>
              <w:left w:val="nil"/>
              <w:bottom w:val="single" w:sz="4" w:space="0" w:color="auto"/>
              <w:right w:val="single" w:sz="4" w:space="0" w:color="auto"/>
            </w:tcBorders>
            <w:shd w:val="clear" w:color="auto" w:fill="auto"/>
            <w:noWrap/>
            <w:vAlign w:val="center"/>
            <w:hideMark/>
          </w:tcPr>
          <w:p w14:paraId="2EA4C2CF"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0203.29</w:t>
            </w:r>
          </w:p>
        </w:tc>
        <w:tc>
          <w:tcPr>
            <w:tcW w:w="3402" w:type="dxa"/>
            <w:tcBorders>
              <w:top w:val="nil"/>
              <w:left w:val="nil"/>
              <w:bottom w:val="single" w:sz="4" w:space="0" w:color="auto"/>
              <w:right w:val="single" w:sz="4" w:space="0" w:color="auto"/>
            </w:tcBorders>
            <w:shd w:val="clear" w:color="auto" w:fill="auto"/>
            <w:vAlign w:val="center"/>
            <w:hideMark/>
          </w:tcPr>
          <w:p w14:paraId="01D25BF7" w14:textId="28002E83"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xml:space="preserve">Autres viandes porcines, congelées </w:t>
            </w:r>
          </w:p>
        </w:tc>
        <w:tc>
          <w:tcPr>
            <w:tcW w:w="127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E1EC142"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203</w:t>
            </w:r>
          </w:p>
        </w:tc>
        <w:tc>
          <w:tcPr>
            <w:tcW w:w="284" w:type="dxa"/>
            <w:tcBorders>
              <w:top w:val="nil"/>
              <w:left w:val="nil"/>
              <w:bottom w:val="nil"/>
              <w:right w:val="nil"/>
            </w:tcBorders>
            <w:shd w:val="clear" w:color="auto" w:fill="auto"/>
            <w:vAlign w:val="center"/>
            <w:hideMark/>
          </w:tcPr>
          <w:p w14:paraId="7CE8F976" w14:textId="77777777" w:rsidR="00DC5F2D" w:rsidRPr="00DC5F2D" w:rsidRDefault="00DC5F2D" w:rsidP="00DC5F2D">
            <w:pPr>
              <w:spacing w:after="0" w:line="240" w:lineRule="auto"/>
              <w:jc w:val="righ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10B717C9"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02032959</w:t>
            </w:r>
          </w:p>
        </w:tc>
        <w:tc>
          <w:tcPr>
            <w:tcW w:w="1843" w:type="dxa"/>
            <w:tcBorders>
              <w:top w:val="nil"/>
              <w:left w:val="nil"/>
              <w:bottom w:val="single" w:sz="4" w:space="0" w:color="auto"/>
              <w:right w:val="single" w:sz="4" w:space="0" w:color="auto"/>
            </w:tcBorders>
            <w:shd w:val="clear" w:color="auto" w:fill="auto"/>
            <w:noWrap/>
            <w:vAlign w:val="center"/>
            <w:hideMark/>
          </w:tcPr>
          <w:p w14:paraId="5B182D7E"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Autre nd C</w:t>
            </w:r>
          </w:p>
        </w:tc>
        <w:tc>
          <w:tcPr>
            <w:tcW w:w="1418" w:type="dxa"/>
            <w:tcBorders>
              <w:top w:val="nil"/>
              <w:left w:val="nil"/>
              <w:bottom w:val="single" w:sz="4" w:space="0" w:color="auto"/>
              <w:right w:val="single" w:sz="4" w:space="0" w:color="auto"/>
            </w:tcBorders>
            <w:shd w:val="clear" w:color="auto" w:fill="auto"/>
            <w:noWrap/>
            <w:vAlign w:val="center"/>
            <w:hideMark/>
          </w:tcPr>
          <w:p w14:paraId="499632CF"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26</w:t>
            </w:r>
          </w:p>
        </w:tc>
        <w:tc>
          <w:tcPr>
            <w:tcW w:w="1275" w:type="dxa"/>
            <w:tcBorders>
              <w:top w:val="nil"/>
              <w:left w:val="nil"/>
              <w:bottom w:val="single" w:sz="4" w:space="0" w:color="auto"/>
              <w:right w:val="single" w:sz="4" w:space="0" w:color="auto"/>
            </w:tcBorders>
            <w:shd w:val="clear" w:color="auto" w:fill="auto"/>
            <w:noWrap/>
            <w:vAlign w:val="center"/>
            <w:hideMark/>
          </w:tcPr>
          <w:p w14:paraId="22280897"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10</w:t>
            </w:r>
          </w:p>
        </w:tc>
        <w:tc>
          <w:tcPr>
            <w:tcW w:w="99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4DE5714"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 xml:space="preserve">          134   </w:t>
            </w:r>
          </w:p>
        </w:tc>
      </w:tr>
      <w:tr w:rsidR="004D0324" w:rsidRPr="00DC5F2D" w14:paraId="55E8300E"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1F7957A8"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0D248986"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4DBC83B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5415D97F"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6545CB0E"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418BC3D5"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02032911</w:t>
            </w:r>
          </w:p>
        </w:tc>
        <w:tc>
          <w:tcPr>
            <w:tcW w:w="1843" w:type="dxa"/>
            <w:tcBorders>
              <w:top w:val="nil"/>
              <w:left w:val="nil"/>
              <w:bottom w:val="single" w:sz="4" w:space="0" w:color="auto"/>
              <w:right w:val="single" w:sz="4" w:space="0" w:color="auto"/>
            </w:tcBorders>
            <w:shd w:val="clear" w:color="auto" w:fill="auto"/>
            <w:noWrap/>
            <w:vAlign w:val="center"/>
            <w:hideMark/>
          </w:tcPr>
          <w:p w14:paraId="29E4A3D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Parties avant C</w:t>
            </w:r>
          </w:p>
        </w:tc>
        <w:tc>
          <w:tcPr>
            <w:tcW w:w="1418" w:type="dxa"/>
            <w:tcBorders>
              <w:top w:val="nil"/>
              <w:left w:val="nil"/>
              <w:bottom w:val="single" w:sz="4" w:space="0" w:color="auto"/>
              <w:right w:val="single" w:sz="4" w:space="0" w:color="auto"/>
            </w:tcBorders>
            <w:shd w:val="clear" w:color="auto" w:fill="auto"/>
            <w:noWrap/>
            <w:vAlign w:val="center"/>
            <w:hideMark/>
          </w:tcPr>
          <w:p w14:paraId="436F14D3"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7</w:t>
            </w:r>
          </w:p>
        </w:tc>
        <w:tc>
          <w:tcPr>
            <w:tcW w:w="1275" w:type="dxa"/>
            <w:tcBorders>
              <w:top w:val="nil"/>
              <w:left w:val="nil"/>
              <w:bottom w:val="single" w:sz="4" w:space="0" w:color="auto"/>
              <w:right w:val="single" w:sz="4" w:space="0" w:color="auto"/>
            </w:tcBorders>
            <w:shd w:val="clear" w:color="auto" w:fill="auto"/>
            <w:noWrap/>
            <w:vAlign w:val="center"/>
            <w:hideMark/>
          </w:tcPr>
          <w:p w14:paraId="177EBDB1"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w:t>
            </w:r>
          </w:p>
        </w:tc>
        <w:tc>
          <w:tcPr>
            <w:tcW w:w="993" w:type="dxa"/>
            <w:vMerge/>
            <w:tcBorders>
              <w:top w:val="nil"/>
              <w:left w:val="single" w:sz="4" w:space="0" w:color="auto"/>
              <w:bottom w:val="single" w:sz="4" w:space="0" w:color="000000"/>
              <w:right w:val="single" w:sz="4" w:space="0" w:color="auto"/>
            </w:tcBorders>
            <w:vAlign w:val="center"/>
            <w:hideMark/>
          </w:tcPr>
          <w:p w14:paraId="743FFD60"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44C71D3D"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47885D61"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5573395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406B960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7A682339"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081C2BE2"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3BCC3F6A"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02032955</w:t>
            </w:r>
          </w:p>
        </w:tc>
        <w:tc>
          <w:tcPr>
            <w:tcW w:w="1843" w:type="dxa"/>
            <w:tcBorders>
              <w:top w:val="nil"/>
              <w:left w:val="nil"/>
              <w:bottom w:val="single" w:sz="4" w:space="0" w:color="auto"/>
              <w:right w:val="single" w:sz="4" w:space="0" w:color="auto"/>
            </w:tcBorders>
            <w:shd w:val="clear" w:color="auto" w:fill="auto"/>
            <w:noWrap/>
            <w:vAlign w:val="center"/>
            <w:hideMark/>
          </w:tcPr>
          <w:p w14:paraId="25A995D5"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Désossées C</w:t>
            </w:r>
          </w:p>
        </w:tc>
        <w:tc>
          <w:tcPr>
            <w:tcW w:w="1418" w:type="dxa"/>
            <w:tcBorders>
              <w:top w:val="nil"/>
              <w:left w:val="nil"/>
              <w:bottom w:val="single" w:sz="4" w:space="0" w:color="auto"/>
              <w:right w:val="single" w:sz="4" w:space="0" w:color="auto"/>
            </w:tcBorders>
            <w:shd w:val="clear" w:color="auto" w:fill="auto"/>
            <w:noWrap/>
            <w:vAlign w:val="center"/>
            <w:hideMark/>
          </w:tcPr>
          <w:p w14:paraId="75E5DB6D"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37</w:t>
            </w:r>
          </w:p>
        </w:tc>
        <w:tc>
          <w:tcPr>
            <w:tcW w:w="1275" w:type="dxa"/>
            <w:tcBorders>
              <w:top w:val="nil"/>
              <w:left w:val="nil"/>
              <w:bottom w:val="single" w:sz="4" w:space="0" w:color="auto"/>
              <w:right w:val="single" w:sz="4" w:space="0" w:color="auto"/>
            </w:tcBorders>
            <w:shd w:val="clear" w:color="auto" w:fill="auto"/>
            <w:noWrap/>
            <w:vAlign w:val="center"/>
            <w:hideMark/>
          </w:tcPr>
          <w:p w14:paraId="0E1FD6A4"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42</w:t>
            </w:r>
          </w:p>
        </w:tc>
        <w:tc>
          <w:tcPr>
            <w:tcW w:w="993" w:type="dxa"/>
            <w:vMerge/>
            <w:tcBorders>
              <w:top w:val="nil"/>
              <w:left w:val="single" w:sz="4" w:space="0" w:color="auto"/>
              <w:bottom w:val="single" w:sz="4" w:space="0" w:color="000000"/>
              <w:right w:val="single" w:sz="4" w:space="0" w:color="auto"/>
            </w:tcBorders>
            <w:vAlign w:val="center"/>
            <w:hideMark/>
          </w:tcPr>
          <w:p w14:paraId="767A16BC"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6BF8B0B4"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25B97937"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576BF477"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638E6FFD"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6A6B394A"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2E81B9CE"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41C1D938"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02032915</w:t>
            </w:r>
          </w:p>
        </w:tc>
        <w:tc>
          <w:tcPr>
            <w:tcW w:w="1843" w:type="dxa"/>
            <w:tcBorders>
              <w:top w:val="nil"/>
              <w:left w:val="nil"/>
              <w:bottom w:val="single" w:sz="4" w:space="0" w:color="auto"/>
              <w:right w:val="single" w:sz="4" w:space="0" w:color="auto"/>
            </w:tcBorders>
            <w:shd w:val="clear" w:color="auto" w:fill="auto"/>
            <w:noWrap/>
            <w:vAlign w:val="center"/>
            <w:hideMark/>
          </w:tcPr>
          <w:p w14:paraId="44B71AD3"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Poitrines C</w:t>
            </w:r>
          </w:p>
        </w:tc>
        <w:tc>
          <w:tcPr>
            <w:tcW w:w="1418" w:type="dxa"/>
            <w:tcBorders>
              <w:top w:val="nil"/>
              <w:left w:val="nil"/>
              <w:bottom w:val="single" w:sz="4" w:space="0" w:color="auto"/>
              <w:right w:val="single" w:sz="4" w:space="0" w:color="auto"/>
            </w:tcBorders>
            <w:shd w:val="clear" w:color="auto" w:fill="auto"/>
            <w:noWrap/>
            <w:vAlign w:val="center"/>
            <w:hideMark/>
          </w:tcPr>
          <w:p w14:paraId="3F8CF68E"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42</w:t>
            </w:r>
          </w:p>
        </w:tc>
        <w:tc>
          <w:tcPr>
            <w:tcW w:w="1275" w:type="dxa"/>
            <w:tcBorders>
              <w:top w:val="nil"/>
              <w:left w:val="nil"/>
              <w:bottom w:val="single" w:sz="4" w:space="0" w:color="auto"/>
              <w:right w:val="single" w:sz="4" w:space="0" w:color="auto"/>
            </w:tcBorders>
            <w:shd w:val="clear" w:color="auto" w:fill="auto"/>
            <w:noWrap/>
            <w:vAlign w:val="center"/>
            <w:hideMark/>
          </w:tcPr>
          <w:p w14:paraId="1DDB80A0"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3</w:t>
            </w:r>
          </w:p>
        </w:tc>
        <w:tc>
          <w:tcPr>
            <w:tcW w:w="993" w:type="dxa"/>
            <w:vMerge/>
            <w:tcBorders>
              <w:top w:val="nil"/>
              <w:left w:val="single" w:sz="4" w:space="0" w:color="auto"/>
              <w:bottom w:val="single" w:sz="4" w:space="0" w:color="000000"/>
              <w:right w:val="single" w:sz="4" w:space="0" w:color="auto"/>
            </w:tcBorders>
            <w:vAlign w:val="center"/>
            <w:hideMark/>
          </w:tcPr>
          <w:p w14:paraId="08E24834"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D0324" w:rsidRPr="00DC5F2D" w14:paraId="0B18DB34" w14:textId="77777777" w:rsidTr="004D0324">
        <w:trPr>
          <w:trHeight w:val="130"/>
        </w:trPr>
        <w:tc>
          <w:tcPr>
            <w:tcW w:w="1413" w:type="dxa"/>
            <w:vMerge/>
            <w:tcBorders>
              <w:top w:val="nil"/>
              <w:left w:val="single" w:sz="4" w:space="0" w:color="auto"/>
              <w:bottom w:val="single" w:sz="4" w:space="0" w:color="000000"/>
              <w:right w:val="single" w:sz="4" w:space="0" w:color="auto"/>
            </w:tcBorders>
            <w:vAlign w:val="center"/>
            <w:hideMark/>
          </w:tcPr>
          <w:p w14:paraId="3E9FE3F9"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276" w:type="dxa"/>
            <w:tcBorders>
              <w:top w:val="nil"/>
              <w:left w:val="nil"/>
              <w:bottom w:val="single" w:sz="4" w:space="0" w:color="auto"/>
              <w:right w:val="single" w:sz="4" w:space="0" w:color="auto"/>
            </w:tcBorders>
            <w:shd w:val="clear" w:color="auto" w:fill="auto"/>
            <w:noWrap/>
            <w:vAlign w:val="center"/>
            <w:hideMark/>
          </w:tcPr>
          <w:p w14:paraId="16F9A798"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3402" w:type="dxa"/>
            <w:tcBorders>
              <w:top w:val="nil"/>
              <w:left w:val="nil"/>
              <w:bottom w:val="single" w:sz="4" w:space="0" w:color="auto"/>
              <w:right w:val="single" w:sz="4" w:space="0" w:color="auto"/>
            </w:tcBorders>
            <w:shd w:val="clear" w:color="auto" w:fill="auto"/>
            <w:vAlign w:val="center"/>
            <w:hideMark/>
          </w:tcPr>
          <w:p w14:paraId="029F276C"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275" w:type="dxa"/>
            <w:vMerge/>
            <w:tcBorders>
              <w:top w:val="nil"/>
              <w:left w:val="single" w:sz="4" w:space="0" w:color="auto"/>
              <w:bottom w:val="single" w:sz="4" w:space="0" w:color="000000"/>
              <w:right w:val="single" w:sz="4" w:space="0" w:color="auto"/>
            </w:tcBorders>
            <w:vAlign w:val="center"/>
            <w:hideMark/>
          </w:tcPr>
          <w:p w14:paraId="2EB80C5D"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284" w:type="dxa"/>
            <w:tcBorders>
              <w:top w:val="nil"/>
              <w:left w:val="nil"/>
              <w:bottom w:val="nil"/>
              <w:right w:val="nil"/>
            </w:tcBorders>
            <w:shd w:val="clear" w:color="auto" w:fill="auto"/>
            <w:vAlign w:val="center"/>
            <w:hideMark/>
          </w:tcPr>
          <w:p w14:paraId="65BF131E" w14:textId="77777777" w:rsidR="00DC5F2D" w:rsidRPr="00DC5F2D" w:rsidRDefault="00DC5F2D" w:rsidP="00DC5F2D">
            <w:pPr>
              <w:spacing w:after="0" w:line="240" w:lineRule="auto"/>
              <w:jc w:val="left"/>
              <w:rPr>
                <w:rFonts w:eastAsia="Times New Roman" w:cs="Arial"/>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auto" w:fill="auto"/>
            <w:vAlign w:val="center"/>
            <w:hideMark/>
          </w:tcPr>
          <w:p w14:paraId="6E4D53BE" w14:textId="77777777" w:rsidR="00DC5F2D" w:rsidRPr="00DC5F2D" w:rsidRDefault="00DC5F2D" w:rsidP="00DC5F2D">
            <w:pPr>
              <w:spacing w:after="0" w:line="240" w:lineRule="auto"/>
              <w:jc w:val="center"/>
              <w:rPr>
                <w:rFonts w:eastAsia="Times New Roman" w:cs="Arial"/>
                <w:color w:val="000000"/>
                <w:sz w:val="20"/>
                <w:szCs w:val="20"/>
                <w:lang w:eastAsia="fr-FR"/>
              </w:rPr>
            </w:pPr>
            <w:r w:rsidRPr="00DC5F2D">
              <w:rPr>
                <w:rFonts w:eastAsia="Times New Roman" w:cs="Arial"/>
                <w:color w:val="000000"/>
                <w:sz w:val="20"/>
                <w:szCs w:val="20"/>
                <w:lang w:eastAsia="fr-FR"/>
              </w:rPr>
              <w:t xml:space="preserve">   02032913</w:t>
            </w:r>
          </w:p>
        </w:tc>
        <w:tc>
          <w:tcPr>
            <w:tcW w:w="1843" w:type="dxa"/>
            <w:tcBorders>
              <w:top w:val="nil"/>
              <w:left w:val="nil"/>
              <w:bottom w:val="single" w:sz="4" w:space="0" w:color="auto"/>
              <w:right w:val="single" w:sz="4" w:space="0" w:color="auto"/>
            </w:tcBorders>
            <w:shd w:val="clear" w:color="auto" w:fill="auto"/>
            <w:noWrap/>
            <w:vAlign w:val="center"/>
            <w:hideMark/>
          </w:tcPr>
          <w:p w14:paraId="279284CE"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Longes C</w:t>
            </w:r>
          </w:p>
        </w:tc>
        <w:tc>
          <w:tcPr>
            <w:tcW w:w="1418" w:type="dxa"/>
            <w:tcBorders>
              <w:top w:val="nil"/>
              <w:left w:val="nil"/>
              <w:bottom w:val="single" w:sz="4" w:space="0" w:color="auto"/>
              <w:right w:val="single" w:sz="4" w:space="0" w:color="auto"/>
            </w:tcBorders>
            <w:shd w:val="clear" w:color="auto" w:fill="auto"/>
            <w:noWrap/>
            <w:vAlign w:val="center"/>
            <w:hideMark/>
          </w:tcPr>
          <w:p w14:paraId="3AFD9227"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18</w:t>
            </w:r>
          </w:p>
        </w:tc>
        <w:tc>
          <w:tcPr>
            <w:tcW w:w="1275" w:type="dxa"/>
            <w:tcBorders>
              <w:top w:val="nil"/>
              <w:left w:val="nil"/>
              <w:bottom w:val="single" w:sz="4" w:space="0" w:color="auto"/>
              <w:right w:val="single" w:sz="4" w:space="0" w:color="auto"/>
            </w:tcBorders>
            <w:shd w:val="clear" w:color="auto" w:fill="auto"/>
            <w:noWrap/>
            <w:vAlign w:val="center"/>
            <w:hideMark/>
          </w:tcPr>
          <w:p w14:paraId="2CDCA84D" w14:textId="77777777" w:rsidR="00DC5F2D" w:rsidRPr="00DC5F2D" w:rsidRDefault="00DC5F2D" w:rsidP="00DC5F2D">
            <w:pPr>
              <w:spacing w:after="0" w:line="240" w:lineRule="auto"/>
              <w:jc w:val="right"/>
              <w:rPr>
                <w:rFonts w:eastAsia="Times New Roman" w:cs="Arial"/>
                <w:color w:val="000000"/>
                <w:sz w:val="20"/>
                <w:szCs w:val="20"/>
                <w:lang w:eastAsia="fr-FR"/>
              </w:rPr>
            </w:pPr>
            <w:r w:rsidRPr="00DC5F2D">
              <w:rPr>
                <w:rFonts w:eastAsia="Times New Roman" w:cs="Arial"/>
                <w:color w:val="000000"/>
                <w:sz w:val="20"/>
                <w:szCs w:val="20"/>
                <w:lang w:eastAsia="fr-FR"/>
              </w:rPr>
              <w:t>2</w:t>
            </w:r>
          </w:p>
        </w:tc>
        <w:tc>
          <w:tcPr>
            <w:tcW w:w="993" w:type="dxa"/>
            <w:vMerge/>
            <w:tcBorders>
              <w:top w:val="nil"/>
              <w:left w:val="single" w:sz="4" w:space="0" w:color="auto"/>
              <w:bottom w:val="single" w:sz="4" w:space="0" w:color="000000"/>
              <w:right w:val="single" w:sz="4" w:space="0" w:color="auto"/>
            </w:tcBorders>
            <w:vAlign w:val="center"/>
            <w:hideMark/>
          </w:tcPr>
          <w:p w14:paraId="28316C6A" w14:textId="77777777" w:rsidR="00DC5F2D" w:rsidRPr="00DC5F2D" w:rsidRDefault="00DC5F2D" w:rsidP="00DC5F2D">
            <w:pPr>
              <w:spacing w:after="0" w:line="240" w:lineRule="auto"/>
              <w:jc w:val="left"/>
              <w:rPr>
                <w:rFonts w:eastAsia="Times New Roman" w:cs="Arial"/>
                <w:color w:val="000000"/>
                <w:sz w:val="20"/>
                <w:szCs w:val="20"/>
                <w:lang w:eastAsia="fr-FR"/>
              </w:rPr>
            </w:pPr>
          </w:p>
        </w:tc>
      </w:tr>
      <w:tr w:rsidR="00410736" w:rsidRPr="00DC5F2D" w14:paraId="37439FCC" w14:textId="77777777" w:rsidTr="004D0324">
        <w:trPr>
          <w:trHeight w:val="130"/>
        </w:trPr>
        <w:tc>
          <w:tcPr>
            <w:tcW w:w="1413" w:type="dxa"/>
            <w:tcBorders>
              <w:top w:val="nil"/>
              <w:left w:val="single" w:sz="4" w:space="0" w:color="auto"/>
              <w:bottom w:val="single" w:sz="4" w:space="0" w:color="auto"/>
              <w:right w:val="single" w:sz="4" w:space="0" w:color="auto"/>
            </w:tcBorders>
            <w:shd w:val="clear" w:color="auto" w:fill="auto"/>
            <w:noWrap/>
            <w:vAlign w:val="center"/>
            <w:hideMark/>
          </w:tcPr>
          <w:p w14:paraId="539E1250" w14:textId="77777777" w:rsidR="00DC5F2D" w:rsidRPr="00DC5F2D" w:rsidRDefault="00DC5F2D" w:rsidP="00DC5F2D">
            <w:pPr>
              <w:spacing w:after="0" w:line="240" w:lineRule="auto"/>
              <w:jc w:val="left"/>
              <w:rPr>
                <w:rFonts w:eastAsia="Times New Roman" w:cs="Arial"/>
                <w:i/>
                <w:iCs/>
                <w:sz w:val="20"/>
                <w:szCs w:val="20"/>
                <w:lang w:eastAsia="fr-FR"/>
              </w:rPr>
            </w:pPr>
            <w:r w:rsidRPr="00DC5F2D">
              <w:rPr>
                <w:rFonts w:eastAsia="Times New Roman" w:cs="Arial"/>
                <w:i/>
                <w:iCs/>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72315848" w14:textId="77777777" w:rsidR="00DC5F2D" w:rsidRPr="00DC5F2D" w:rsidRDefault="00DC5F2D" w:rsidP="00DC5F2D">
            <w:pPr>
              <w:spacing w:after="0" w:line="240" w:lineRule="auto"/>
              <w:jc w:val="lef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3402" w:type="dxa"/>
            <w:tcBorders>
              <w:top w:val="nil"/>
              <w:left w:val="nil"/>
              <w:bottom w:val="single" w:sz="4" w:space="0" w:color="auto"/>
              <w:right w:val="single" w:sz="4" w:space="0" w:color="auto"/>
            </w:tcBorders>
            <w:shd w:val="clear" w:color="000000" w:fill="A6A6A6"/>
            <w:vAlign w:val="center"/>
            <w:hideMark/>
          </w:tcPr>
          <w:p w14:paraId="6A14BE76"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 xml:space="preserve">Animaux non domestiques </w:t>
            </w:r>
          </w:p>
        </w:tc>
        <w:tc>
          <w:tcPr>
            <w:tcW w:w="1275" w:type="dxa"/>
            <w:tcBorders>
              <w:top w:val="nil"/>
              <w:left w:val="nil"/>
              <w:bottom w:val="single" w:sz="4" w:space="0" w:color="auto"/>
              <w:right w:val="single" w:sz="4" w:space="0" w:color="auto"/>
            </w:tcBorders>
            <w:shd w:val="clear" w:color="000000" w:fill="A6A6A6"/>
            <w:noWrap/>
            <w:vAlign w:val="center"/>
            <w:hideMark/>
          </w:tcPr>
          <w:p w14:paraId="38DB9BE5"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Négligeable</w:t>
            </w:r>
          </w:p>
        </w:tc>
        <w:tc>
          <w:tcPr>
            <w:tcW w:w="284" w:type="dxa"/>
            <w:tcBorders>
              <w:top w:val="nil"/>
              <w:left w:val="nil"/>
              <w:bottom w:val="nil"/>
              <w:right w:val="nil"/>
            </w:tcBorders>
            <w:shd w:val="clear" w:color="auto" w:fill="auto"/>
            <w:vAlign w:val="center"/>
            <w:hideMark/>
          </w:tcPr>
          <w:p w14:paraId="5BF870AA" w14:textId="77777777" w:rsidR="00DC5F2D" w:rsidRPr="00DC5F2D" w:rsidRDefault="00DC5F2D" w:rsidP="00DC5F2D">
            <w:pPr>
              <w:spacing w:after="0" w:line="240" w:lineRule="auto"/>
              <w:jc w:val="right"/>
              <w:rPr>
                <w:rFonts w:eastAsia="Times New Roman" w:cs="Arial"/>
                <w:i/>
                <w:iCs/>
                <w:color w:val="000000"/>
                <w:sz w:val="20"/>
                <w:szCs w:val="20"/>
                <w:lang w:eastAsia="fr-FR"/>
              </w:rPr>
            </w:pPr>
          </w:p>
        </w:tc>
        <w:tc>
          <w:tcPr>
            <w:tcW w:w="1417" w:type="dxa"/>
            <w:tcBorders>
              <w:top w:val="nil"/>
              <w:left w:val="single" w:sz="4" w:space="0" w:color="auto"/>
              <w:bottom w:val="single" w:sz="4" w:space="0" w:color="auto"/>
              <w:right w:val="single" w:sz="4" w:space="0" w:color="auto"/>
            </w:tcBorders>
            <w:shd w:val="clear" w:color="000000" w:fill="A6A6A6"/>
            <w:noWrap/>
            <w:vAlign w:val="center"/>
            <w:hideMark/>
          </w:tcPr>
          <w:p w14:paraId="650706BE" w14:textId="77777777" w:rsidR="00DC5F2D" w:rsidRPr="00DC5F2D" w:rsidRDefault="00DC5F2D" w:rsidP="00DC5F2D">
            <w:pPr>
              <w:spacing w:after="0" w:line="240" w:lineRule="auto"/>
              <w:jc w:val="center"/>
              <w:rPr>
                <w:rFonts w:eastAsia="Times New Roman" w:cs="Arial"/>
                <w:i/>
                <w:iCs/>
                <w:color w:val="000000"/>
                <w:sz w:val="20"/>
                <w:szCs w:val="20"/>
                <w:lang w:eastAsia="fr-FR"/>
              </w:rPr>
            </w:pPr>
            <w:r w:rsidRPr="00DC5F2D">
              <w:rPr>
                <w:rFonts w:eastAsia="Times New Roman" w:cs="Arial"/>
                <w:i/>
                <w:iCs/>
                <w:color w:val="000000"/>
                <w:sz w:val="20"/>
                <w:szCs w:val="20"/>
                <w:lang w:eastAsia="fr-FR"/>
              </w:rPr>
              <w:t>02032990</w:t>
            </w:r>
          </w:p>
        </w:tc>
        <w:tc>
          <w:tcPr>
            <w:tcW w:w="1843" w:type="dxa"/>
            <w:tcBorders>
              <w:top w:val="nil"/>
              <w:left w:val="nil"/>
              <w:bottom w:val="single" w:sz="4" w:space="0" w:color="auto"/>
              <w:right w:val="single" w:sz="4" w:space="0" w:color="auto"/>
            </w:tcBorders>
            <w:shd w:val="clear" w:color="000000" w:fill="A6A6A6"/>
            <w:noWrap/>
            <w:vAlign w:val="center"/>
            <w:hideMark/>
          </w:tcPr>
          <w:p w14:paraId="599A90D2" w14:textId="77777777" w:rsidR="00DC5F2D" w:rsidRPr="00DC5F2D" w:rsidRDefault="00DC5F2D" w:rsidP="00DC5F2D">
            <w:pPr>
              <w:spacing w:after="0" w:line="240" w:lineRule="auto"/>
              <w:jc w:val="left"/>
              <w:rPr>
                <w:rFonts w:eastAsia="Times New Roman" w:cs="Arial"/>
                <w:color w:val="000000"/>
                <w:sz w:val="20"/>
                <w:szCs w:val="20"/>
                <w:lang w:eastAsia="fr-FR"/>
              </w:rPr>
            </w:pPr>
            <w:r w:rsidRPr="00DC5F2D">
              <w:rPr>
                <w:rFonts w:eastAsia="Times New Roman" w:cs="Arial"/>
                <w:color w:val="000000"/>
                <w:sz w:val="20"/>
                <w:szCs w:val="20"/>
                <w:lang w:eastAsia="fr-FR"/>
              </w:rPr>
              <w:t> </w:t>
            </w:r>
          </w:p>
        </w:tc>
        <w:tc>
          <w:tcPr>
            <w:tcW w:w="1418" w:type="dxa"/>
            <w:tcBorders>
              <w:top w:val="nil"/>
              <w:left w:val="nil"/>
              <w:bottom w:val="single" w:sz="4" w:space="0" w:color="auto"/>
              <w:right w:val="single" w:sz="4" w:space="0" w:color="auto"/>
            </w:tcBorders>
            <w:shd w:val="clear" w:color="000000" w:fill="A6A6A6"/>
            <w:vAlign w:val="center"/>
            <w:hideMark/>
          </w:tcPr>
          <w:p w14:paraId="19B2B46A"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1275" w:type="dxa"/>
            <w:tcBorders>
              <w:top w:val="nil"/>
              <w:left w:val="nil"/>
              <w:bottom w:val="single" w:sz="4" w:space="0" w:color="auto"/>
              <w:right w:val="single" w:sz="4" w:space="0" w:color="auto"/>
            </w:tcBorders>
            <w:shd w:val="clear" w:color="000000" w:fill="A6A6A6"/>
            <w:vAlign w:val="center"/>
            <w:hideMark/>
          </w:tcPr>
          <w:p w14:paraId="77BFFE1A"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c>
          <w:tcPr>
            <w:tcW w:w="993" w:type="dxa"/>
            <w:tcBorders>
              <w:top w:val="nil"/>
              <w:left w:val="nil"/>
              <w:bottom w:val="single" w:sz="4" w:space="0" w:color="auto"/>
              <w:right w:val="single" w:sz="4" w:space="0" w:color="auto"/>
            </w:tcBorders>
            <w:shd w:val="clear" w:color="000000" w:fill="A6A6A6"/>
            <w:vAlign w:val="center"/>
            <w:hideMark/>
          </w:tcPr>
          <w:p w14:paraId="1B84231C" w14:textId="77777777" w:rsidR="00DC5F2D" w:rsidRPr="00DC5F2D" w:rsidRDefault="00DC5F2D" w:rsidP="00DC5F2D">
            <w:pPr>
              <w:spacing w:after="0" w:line="240" w:lineRule="auto"/>
              <w:jc w:val="right"/>
              <w:rPr>
                <w:rFonts w:eastAsia="Times New Roman" w:cs="Arial"/>
                <w:i/>
                <w:iCs/>
                <w:color w:val="000000"/>
                <w:sz w:val="20"/>
                <w:szCs w:val="20"/>
                <w:lang w:eastAsia="fr-FR"/>
              </w:rPr>
            </w:pPr>
            <w:r w:rsidRPr="00DC5F2D">
              <w:rPr>
                <w:rFonts w:eastAsia="Times New Roman" w:cs="Arial"/>
                <w:i/>
                <w:iCs/>
                <w:color w:val="000000"/>
                <w:sz w:val="20"/>
                <w:szCs w:val="20"/>
                <w:lang w:eastAsia="fr-FR"/>
              </w:rPr>
              <w:t> </w:t>
            </w:r>
          </w:p>
        </w:tc>
      </w:tr>
    </w:tbl>
    <w:p w14:paraId="0AC3709F" w14:textId="7B20F061" w:rsidR="00607015" w:rsidRPr="0025790A" w:rsidRDefault="00E710C0" w:rsidP="005B0175">
      <w:pPr>
        <w:rPr>
          <w:rFonts w:cs="Arial"/>
          <w:b/>
          <w:i/>
        </w:rPr>
      </w:pPr>
      <w:r>
        <w:rPr>
          <w:rFonts w:cs="Arial"/>
          <w:b/>
          <w:i/>
        </w:rPr>
        <w:lastRenderedPageBreak/>
        <w:t xml:space="preserve">Annexe 5 </w:t>
      </w:r>
      <w:r w:rsidR="000F0D85" w:rsidRPr="0025790A">
        <w:rPr>
          <w:rFonts w:cs="Arial"/>
          <w:b/>
          <w:i/>
        </w:rPr>
        <w:t>b</w:t>
      </w:r>
      <w:r w:rsidR="00FB018B" w:rsidRPr="0025790A">
        <w:rPr>
          <w:rFonts w:cs="Arial"/>
          <w:b/>
          <w:i/>
        </w:rPr>
        <w:t xml:space="preserve">/ </w:t>
      </w:r>
      <w:r w:rsidR="000F0D85" w:rsidRPr="0025790A">
        <w:rPr>
          <w:rFonts w:cs="Arial"/>
          <w:b/>
          <w:i/>
        </w:rPr>
        <w:t>Graisses</w:t>
      </w:r>
    </w:p>
    <w:tbl>
      <w:tblPr>
        <w:tblW w:w="14360" w:type="dxa"/>
        <w:tblCellMar>
          <w:left w:w="70" w:type="dxa"/>
          <w:right w:w="70" w:type="dxa"/>
        </w:tblCellMar>
        <w:tblLook w:val="04A0" w:firstRow="1" w:lastRow="0" w:firstColumn="1" w:lastColumn="0" w:noHBand="0" w:noVBand="1"/>
      </w:tblPr>
      <w:tblGrid>
        <w:gridCol w:w="1640"/>
        <w:gridCol w:w="2120"/>
        <w:gridCol w:w="2389"/>
        <w:gridCol w:w="1196"/>
        <w:gridCol w:w="219"/>
        <w:gridCol w:w="1480"/>
        <w:gridCol w:w="1476"/>
        <w:gridCol w:w="1300"/>
        <w:gridCol w:w="1340"/>
        <w:gridCol w:w="1200"/>
      </w:tblGrid>
      <w:tr w:rsidR="00FB018B" w:rsidRPr="00FB018B" w14:paraId="0B91C068" w14:textId="77777777" w:rsidTr="00FB018B">
        <w:trPr>
          <w:trHeight w:val="510"/>
        </w:trPr>
        <w:tc>
          <w:tcPr>
            <w:tcW w:w="164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284277E9" w14:textId="77777777" w:rsidR="00FB018B" w:rsidRPr="00FB018B" w:rsidRDefault="00FB018B" w:rsidP="00FB018B">
            <w:pPr>
              <w:spacing w:after="0" w:line="240" w:lineRule="auto"/>
              <w:jc w:val="left"/>
              <w:rPr>
                <w:rFonts w:eastAsia="Times New Roman" w:cs="Arial"/>
                <w:b/>
                <w:bCs/>
                <w:sz w:val="20"/>
                <w:szCs w:val="20"/>
                <w:lang w:eastAsia="fr-FR"/>
              </w:rPr>
            </w:pPr>
            <w:r w:rsidRPr="00FB018B">
              <w:rPr>
                <w:rFonts w:eastAsia="Times New Roman" w:cs="Arial"/>
                <w:b/>
                <w:bCs/>
                <w:sz w:val="20"/>
                <w:szCs w:val="20"/>
                <w:lang w:eastAsia="fr-FR"/>
              </w:rPr>
              <w:t>Code PRODCOM</w:t>
            </w:r>
          </w:p>
        </w:tc>
        <w:tc>
          <w:tcPr>
            <w:tcW w:w="2120" w:type="dxa"/>
            <w:tcBorders>
              <w:top w:val="single" w:sz="4" w:space="0" w:color="auto"/>
              <w:left w:val="nil"/>
              <w:bottom w:val="single" w:sz="4" w:space="0" w:color="auto"/>
              <w:right w:val="single" w:sz="4" w:space="0" w:color="auto"/>
            </w:tcBorders>
            <w:shd w:val="clear" w:color="000000" w:fill="A6A6A6"/>
            <w:noWrap/>
            <w:vAlign w:val="center"/>
            <w:hideMark/>
          </w:tcPr>
          <w:p w14:paraId="18FEE509" w14:textId="77777777" w:rsidR="00FB018B" w:rsidRPr="00FB018B" w:rsidRDefault="00FB018B" w:rsidP="00FB018B">
            <w:pPr>
              <w:spacing w:after="0" w:line="240" w:lineRule="auto"/>
              <w:jc w:val="left"/>
              <w:rPr>
                <w:rFonts w:eastAsia="Times New Roman" w:cs="Arial"/>
                <w:b/>
                <w:bCs/>
                <w:color w:val="000000"/>
                <w:sz w:val="20"/>
                <w:szCs w:val="20"/>
                <w:lang w:eastAsia="fr-FR"/>
              </w:rPr>
            </w:pPr>
            <w:r w:rsidRPr="00FB018B">
              <w:rPr>
                <w:rFonts w:eastAsia="Times New Roman" w:cs="Arial"/>
                <w:b/>
                <w:bCs/>
                <w:color w:val="000000"/>
                <w:sz w:val="20"/>
                <w:szCs w:val="20"/>
                <w:lang w:eastAsia="fr-FR"/>
              </w:rPr>
              <w:t>NC</w:t>
            </w:r>
          </w:p>
        </w:tc>
        <w:tc>
          <w:tcPr>
            <w:tcW w:w="2400" w:type="dxa"/>
            <w:tcBorders>
              <w:top w:val="single" w:sz="4" w:space="0" w:color="auto"/>
              <w:left w:val="nil"/>
              <w:bottom w:val="single" w:sz="4" w:space="0" w:color="auto"/>
              <w:right w:val="single" w:sz="4" w:space="0" w:color="auto"/>
            </w:tcBorders>
            <w:shd w:val="clear" w:color="000000" w:fill="A6A6A6"/>
            <w:vAlign w:val="center"/>
            <w:hideMark/>
          </w:tcPr>
          <w:p w14:paraId="05A55760" w14:textId="77777777" w:rsidR="00FB018B" w:rsidRPr="00FB018B" w:rsidRDefault="00FB018B" w:rsidP="00FB018B">
            <w:pPr>
              <w:spacing w:after="0" w:line="240" w:lineRule="auto"/>
              <w:jc w:val="left"/>
              <w:rPr>
                <w:rFonts w:eastAsia="Times New Roman" w:cs="Arial"/>
                <w:b/>
                <w:bCs/>
                <w:sz w:val="20"/>
                <w:szCs w:val="20"/>
                <w:lang w:eastAsia="fr-FR"/>
              </w:rPr>
            </w:pPr>
            <w:r w:rsidRPr="00FB018B">
              <w:rPr>
                <w:rFonts w:eastAsia="Times New Roman" w:cs="Arial"/>
                <w:b/>
                <w:bCs/>
                <w:sz w:val="20"/>
                <w:szCs w:val="20"/>
                <w:lang w:eastAsia="fr-FR"/>
              </w:rPr>
              <w:t>Produits</w:t>
            </w:r>
          </w:p>
        </w:tc>
        <w:tc>
          <w:tcPr>
            <w:tcW w:w="1180" w:type="dxa"/>
            <w:tcBorders>
              <w:top w:val="single" w:sz="4" w:space="0" w:color="auto"/>
              <w:left w:val="nil"/>
              <w:bottom w:val="single" w:sz="4" w:space="0" w:color="auto"/>
              <w:right w:val="single" w:sz="4" w:space="0" w:color="auto"/>
            </w:tcBorders>
            <w:shd w:val="clear" w:color="000000" w:fill="A6A6A6"/>
            <w:vAlign w:val="center"/>
            <w:hideMark/>
          </w:tcPr>
          <w:p w14:paraId="3315ADD5"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Production </w:t>
            </w:r>
          </w:p>
        </w:tc>
        <w:tc>
          <w:tcPr>
            <w:tcW w:w="220" w:type="dxa"/>
            <w:tcBorders>
              <w:top w:val="nil"/>
              <w:left w:val="nil"/>
              <w:bottom w:val="nil"/>
              <w:right w:val="nil"/>
            </w:tcBorders>
            <w:shd w:val="clear" w:color="auto" w:fill="auto"/>
            <w:vAlign w:val="center"/>
            <w:hideMark/>
          </w:tcPr>
          <w:p w14:paraId="61BA8172" w14:textId="77777777" w:rsidR="00FB018B" w:rsidRPr="00FB018B" w:rsidRDefault="00FB018B" w:rsidP="00FB018B">
            <w:pPr>
              <w:spacing w:after="0" w:line="240" w:lineRule="auto"/>
              <w:jc w:val="center"/>
              <w:rPr>
                <w:rFonts w:eastAsia="Times New Roman" w:cs="Arial"/>
                <w:b/>
                <w:bCs/>
                <w:sz w:val="20"/>
                <w:szCs w:val="20"/>
                <w:lang w:eastAsia="fr-FR"/>
              </w:rPr>
            </w:pPr>
          </w:p>
        </w:tc>
        <w:tc>
          <w:tcPr>
            <w:tcW w:w="148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B04CDAD" w14:textId="77777777" w:rsidR="00FB018B" w:rsidRPr="00FB018B" w:rsidRDefault="00FB018B" w:rsidP="00FB018B">
            <w:pPr>
              <w:spacing w:after="0" w:line="240" w:lineRule="auto"/>
              <w:jc w:val="center"/>
              <w:rPr>
                <w:rFonts w:eastAsia="Times New Roman" w:cs="Arial"/>
                <w:b/>
                <w:bCs/>
                <w:color w:val="000000"/>
                <w:sz w:val="20"/>
                <w:szCs w:val="20"/>
                <w:lang w:eastAsia="fr-FR"/>
              </w:rPr>
            </w:pPr>
            <w:r w:rsidRPr="00FB018B">
              <w:rPr>
                <w:rFonts w:eastAsia="Times New Roman" w:cs="Arial"/>
                <w:b/>
                <w:bCs/>
                <w:color w:val="000000"/>
                <w:sz w:val="20"/>
                <w:szCs w:val="20"/>
                <w:lang w:eastAsia="fr-FR"/>
              </w:rPr>
              <w:t>Nomenclature comb. (NC)</w:t>
            </w:r>
          </w:p>
        </w:tc>
        <w:tc>
          <w:tcPr>
            <w:tcW w:w="1480" w:type="dxa"/>
            <w:tcBorders>
              <w:top w:val="single" w:sz="4" w:space="0" w:color="auto"/>
              <w:left w:val="nil"/>
              <w:bottom w:val="single" w:sz="4" w:space="0" w:color="auto"/>
              <w:right w:val="single" w:sz="4" w:space="0" w:color="auto"/>
            </w:tcBorders>
            <w:shd w:val="clear" w:color="000000" w:fill="A6A6A6"/>
            <w:vAlign w:val="center"/>
            <w:hideMark/>
          </w:tcPr>
          <w:p w14:paraId="125348D5" w14:textId="77777777" w:rsidR="00FB018B" w:rsidRPr="00FB018B" w:rsidRDefault="00FB018B" w:rsidP="00FB018B">
            <w:pPr>
              <w:spacing w:after="0" w:line="240" w:lineRule="auto"/>
              <w:jc w:val="center"/>
              <w:rPr>
                <w:rFonts w:eastAsia="Times New Roman" w:cs="Arial"/>
                <w:b/>
                <w:bCs/>
                <w:color w:val="000000"/>
                <w:sz w:val="20"/>
                <w:szCs w:val="20"/>
                <w:lang w:eastAsia="fr-FR"/>
              </w:rPr>
            </w:pPr>
            <w:r w:rsidRPr="00FB018B">
              <w:rPr>
                <w:rFonts w:eastAsia="Times New Roman" w:cs="Arial"/>
                <w:b/>
                <w:bCs/>
                <w:color w:val="000000"/>
                <w:sz w:val="20"/>
                <w:szCs w:val="20"/>
                <w:lang w:eastAsia="fr-FR"/>
              </w:rPr>
              <w:t>Libellé (NC)</w:t>
            </w:r>
          </w:p>
        </w:tc>
        <w:tc>
          <w:tcPr>
            <w:tcW w:w="1300" w:type="dxa"/>
            <w:tcBorders>
              <w:top w:val="single" w:sz="4" w:space="0" w:color="auto"/>
              <w:left w:val="nil"/>
              <w:bottom w:val="single" w:sz="4" w:space="0" w:color="auto"/>
              <w:right w:val="single" w:sz="4" w:space="0" w:color="auto"/>
            </w:tcBorders>
            <w:shd w:val="clear" w:color="000000" w:fill="A6A6A6"/>
            <w:vAlign w:val="center"/>
            <w:hideMark/>
          </w:tcPr>
          <w:p w14:paraId="201DC4D5"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Exportation </w:t>
            </w:r>
          </w:p>
        </w:tc>
        <w:tc>
          <w:tcPr>
            <w:tcW w:w="1340" w:type="dxa"/>
            <w:tcBorders>
              <w:top w:val="single" w:sz="4" w:space="0" w:color="auto"/>
              <w:left w:val="nil"/>
              <w:bottom w:val="single" w:sz="4" w:space="0" w:color="auto"/>
              <w:right w:val="single" w:sz="4" w:space="0" w:color="auto"/>
            </w:tcBorders>
            <w:shd w:val="clear" w:color="000000" w:fill="A6A6A6"/>
            <w:vAlign w:val="center"/>
            <w:hideMark/>
          </w:tcPr>
          <w:p w14:paraId="3114F4B9"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Importation </w:t>
            </w:r>
          </w:p>
        </w:tc>
        <w:tc>
          <w:tcPr>
            <w:tcW w:w="1200" w:type="dxa"/>
            <w:tcBorders>
              <w:top w:val="single" w:sz="4" w:space="0" w:color="auto"/>
              <w:left w:val="nil"/>
              <w:bottom w:val="single" w:sz="4" w:space="0" w:color="auto"/>
              <w:right w:val="single" w:sz="4" w:space="0" w:color="auto"/>
            </w:tcBorders>
            <w:shd w:val="clear" w:color="000000" w:fill="A6A6A6"/>
            <w:vAlign w:val="center"/>
            <w:hideMark/>
          </w:tcPr>
          <w:p w14:paraId="0BFD32C7"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Solde net </w:t>
            </w:r>
          </w:p>
        </w:tc>
      </w:tr>
      <w:tr w:rsidR="00FB018B" w:rsidRPr="00FB018B" w14:paraId="36137F8F" w14:textId="77777777" w:rsidTr="00FB018B">
        <w:trPr>
          <w:trHeight w:val="285"/>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718F0D86"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2120" w:type="dxa"/>
            <w:tcBorders>
              <w:top w:val="nil"/>
              <w:left w:val="nil"/>
              <w:bottom w:val="single" w:sz="4" w:space="0" w:color="auto"/>
              <w:right w:val="single" w:sz="4" w:space="0" w:color="auto"/>
            </w:tcBorders>
            <w:shd w:val="clear" w:color="auto" w:fill="auto"/>
            <w:noWrap/>
            <w:vAlign w:val="center"/>
            <w:hideMark/>
          </w:tcPr>
          <w:p w14:paraId="1806D348"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2400" w:type="dxa"/>
            <w:tcBorders>
              <w:top w:val="nil"/>
              <w:left w:val="nil"/>
              <w:bottom w:val="single" w:sz="4" w:space="0" w:color="auto"/>
              <w:right w:val="single" w:sz="4" w:space="0" w:color="auto"/>
            </w:tcBorders>
            <w:shd w:val="clear" w:color="auto" w:fill="auto"/>
            <w:vAlign w:val="center"/>
            <w:hideMark/>
          </w:tcPr>
          <w:p w14:paraId="58E41F89" w14:textId="77777777" w:rsidR="00FB018B" w:rsidRPr="00FB018B" w:rsidRDefault="00FB018B" w:rsidP="00FB018B">
            <w:pPr>
              <w:spacing w:after="0" w:line="240" w:lineRule="auto"/>
              <w:jc w:val="left"/>
              <w:rPr>
                <w:rFonts w:eastAsia="Times New Roman" w:cs="Arial"/>
                <w:b/>
                <w:bCs/>
                <w:color w:val="000000"/>
                <w:sz w:val="20"/>
                <w:szCs w:val="20"/>
                <w:lang w:eastAsia="fr-FR"/>
              </w:rPr>
            </w:pPr>
            <w:r w:rsidRPr="00FB018B">
              <w:rPr>
                <w:rFonts w:eastAsia="Times New Roman" w:cs="Arial"/>
                <w:b/>
                <w:bCs/>
                <w:color w:val="000000"/>
                <w:sz w:val="20"/>
                <w:szCs w:val="20"/>
                <w:lang w:eastAsia="fr-FR"/>
              </w:rPr>
              <w:t>Graisses</w:t>
            </w:r>
          </w:p>
        </w:tc>
        <w:tc>
          <w:tcPr>
            <w:tcW w:w="1180" w:type="dxa"/>
            <w:tcBorders>
              <w:top w:val="nil"/>
              <w:left w:val="nil"/>
              <w:bottom w:val="single" w:sz="4" w:space="0" w:color="auto"/>
              <w:right w:val="single" w:sz="4" w:space="0" w:color="auto"/>
            </w:tcBorders>
            <w:shd w:val="clear" w:color="auto" w:fill="auto"/>
            <w:noWrap/>
            <w:vAlign w:val="center"/>
            <w:hideMark/>
          </w:tcPr>
          <w:p w14:paraId="429AB551" w14:textId="77777777" w:rsidR="00FB018B" w:rsidRPr="00FB018B" w:rsidRDefault="00FB018B" w:rsidP="00FB018B">
            <w:pPr>
              <w:spacing w:after="0" w:line="240" w:lineRule="auto"/>
              <w:jc w:val="center"/>
              <w:rPr>
                <w:rFonts w:eastAsia="Times New Roman" w:cs="Arial"/>
                <w:b/>
                <w:bCs/>
                <w:color w:val="000000"/>
                <w:sz w:val="20"/>
                <w:szCs w:val="20"/>
                <w:lang w:eastAsia="fr-FR"/>
              </w:rPr>
            </w:pPr>
            <w:r w:rsidRPr="00FB018B">
              <w:rPr>
                <w:rFonts w:eastAsia="Times New Roman" w:cs="Arial"/>
                <w:b/>
                <w:bCs/>
                <w:color w:val="000000"/>
                <w:sz w:val="20"/>
                <w:szCs w:val="20"/>
                <w:lang w:eastAsia="fr-FR"/>
              </w:rPr>
              <w:t xml:space="preserve">          177   </w:t>
            </w:r>
          </w:p>
        </w:tc>
        <w:tc>
          <w:tcPr>
            <w:tcW w:w="220" w:type="dxa"/>
            <w:tcBorders>
              <w:top w:val="nil"/>
              <w:left w:val="nil"/>
              <w:bottom w:val="nil"/>
              <w:right w:val="nil"/>
            </w:tcBorders>
            <w:shd w:val="clear" w:color="auto" w:fill="auto"/>
            <w:vAlign w:val="center"/>
            <w:hideMark/>
          </w:tcPr>
          <w:p w14:paraId="442AC981" w14:textId="77777777" w:rsidR="00FB018B" w:rsidRPr="00FB018B" w:rsidRDefault="00FB018B" w:rsidP="00FB018B">
            <w:pPr>
              <w:spacing w:after="0" w:line="240" w:lineRule="auto"/>
              <w:jc w:val="center"/>
              <w:rPr>
                <w:rFonts w:eastAsia="Times New Roman" w:cs="Arial"/>
                <w:b/>
                <w:bCs/>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388134FA"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480" w:type="dxa"/>
            <w:tcBorders>
              <w:top w:val="nil"/>
              <w:left w:val="nil"/>
              <w:bottom w:val="single" w:sz="4" w:space="0" w:color="auto"/>
              <w:right w:val="single" w:sz="4" w:space="0" w:color="auto"/>
            </w:tcBorders>
            <w:shd w:val="clear" w:color="auto" w:fill="auto"/>
            <w:vAlign w:val="center"/>
            <w:hideMark/>
          </w:tcPr>
          <w:p w14:paraId="4FDA2FDD"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300" w:type="dxa"/>
            <w:tcBorders>
              <w:top w:val="nil"/>
              <w:left w:val="nil"/>
              <w:bottom w:val="single" w:sz="4" w:space="0" w:color="auto"/>
              <w:right w:val="single" w:sz="4" w:space="0" w:color="auto"/>
            </w:tcBorders>
            <w:shd w:val="clear" w:color="auto" w:fill="auto"/>
            <w:vAlign w:val="center"/>
            <w:hideMark/>
          </w:tcPr>
          <w:p w14:paraId="006B1159" w14:textId="7C447017" w:rsidR="00FB018B" w:rsidRPr="00FB018B" w:rsidRDefault="00FB018B" w:rsidP="00A62922">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89</w:t>
            </w:r>
          </w:p>
        </w:tc>
        <w:tc>
          <w:tcPr>
            <w:tcW w:w="1340" w:type="dxa"/>
            <w:tcBorders>
              <w:top w:val="nil"/>
              <w:left w:val="nil"/>
              <w:bottom w:val="single" w:sz="4" w:space="0" w:color="auto"/>
              <w:right w:val="single" w:sz="4" w:space="0" w:color="auto"/>
            </w:tcBorders>
            <w:shd w:val="clear" w:color="auto" w:fill="auto"/>
            <w:vAlign w:val="center"/>
            <w:hideMark/>
          </w:tcPr>
          <w:p w14:paraId="26853191" w14:textId="77777777" w:rsidR="00FB018B" w:rsidRPr="00FB018B" w:rsidRDefault="00FB018B" w:rsidP="00FB018B">
            <w:pPr>
              <w:spacing w:after="0" w:line="240" w:lineRule="auto"/>
              <w:jc w:val="center"/>
              <w:rPr>
                <w:rFonts w:eastAsia="Times New Roman" w:cs="Arial"/>
                <w:b/>
                <w:bCs/>
                <w:sz w:val="20"/>
                <w:szCs w:val="20"/>
                <w:lang w:eastAsia="fr-FR"/>
              </w:rPr>
            </w:pPr>
            <w:r w:rsidRPr="00FB018B">
              <w:rPr>
                <w:rFonts w:eastAsia="Times New Roman" w:cs="Arial"/>
                <w:b/>
                <w:bCs/>
                <w:sz w:val="20"/>
                <w:szCs w:val="20"/>
                <w:lang w:eastAsia="fr-FR"/>
              </w:rPr>
              <w:t xml:space="preserve">              38   </w:t>
            </w:r>
          </w:p>
        </w:tc>
        <w:tc>
          <w:tcPr>
            <w:tcW w:w="1200" w:type="dxa"/>
            <w:tcBorders>
              <w:top w:val="nil"/>
              <w:left w:val="nil"/>
              <w:bottom w:val="single" w:sz="4" w:space="0" w:color="auto"/>
              <w:right w:val="single" w:sz="4" w:space="0" w:color="auto"/>
            </w:tcBorders>
            <w:shd w:val="clear" w:color="auto" w:fill="auto"/>
            <w:noWrap/>
            <w:vAlign w:val="center"/>
            <w:hideMark/>
          </w:tcPr>
          <w:p w14:paraId="5ECB3DEC" w14:textId="77777777" w:rsidR="00FB018B" w:rsidRPr="00FB018B" w:rsidRDefault="00FB018B" w:rsidP="00FB018B">
            <w:pPr>
              <w:spacing w:after="0" w:line="240" w:lineRule="auto"/>
              <w:jc w:val="center"/>
              <w:rPr>
                <w:rFonts w:eastAsia="Times New Roman" w:cs="Arial"/>
                <w:b/>
                <w:bCs/>
                <w:color w:val="000000"/>
                <w:sz w:val="20"/>
                <w:szCs w:val="20"/>
                <w:lang w:eastAsia="fr-FR"/>
              </w:rPr>
            </w:pPr>
            <w:r w:rsidRPr="00FB018B">
              <w:rPr>
                <w:rFonts w:eastAsia="Times New Roman" w:cs="Arial"/>
                <w:b/>
                <w:bCs/>
                <w:color w:val="000000"/>
                <w:sz w:val="20"/>
                <w:szCs w:val="20"/>
                <w:lang w:eastAsia="fr-FR"/>
              </w:rPr>
              <w:t xml:space="preserve">          126   </w:t>
            </w:r>
          </w:p>
        </w:tc>
      </w:tr>
      <w:tr w:rsidR="00FB018B" w:rsidRPr="00FB018B" w14:paraId="161B66CB" w14:textId="77777777" w:rsidTr="00FB018B">
        <w:trPr>
          <w:trHeight w:val="945"/>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251153A3"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p.10.11.50.40</w:t>
            </w:r>
          </w:p>
        </w:tc>
        <w:tc>
          <w:tcPr>
            <w:tcW w:w="2120" w:type="dxa"/>
            <w:tcBorders>
              <w:top w:val="nil"/>
              <w:left w:val="nil"/>
              <w:bottom w:val="single" w:sz="4" w:space="0" w:color="auto"/>
              <w:right w:val="single" w:sz="4" w:space="0" w:color="auto"/>
            </w:tcBorders>
            <w:shd w:val="clear" w:color="auto" w:fill="auto"/>
            <w:vAlign w:val="center"/>
            <w:hideMark/>
          </w:tcPr>
          <w:p w14:paraId="24C26105"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0209[.10(.11+ .19+.90)]</w:t>
            </w:r>
          </w:p>
        </w:tc>
        <w:tc>
          <w:tcPr>
            <w:tcW w:w="2400" w:type="dxa"/>
            <w:tcBorders>
              <w:top w:val="nil"/>
              <w:left w:val="nil"/>
              <w:bottom w:val="single" w:sz="4" w:space="0" w:color="auto"/>
              <w:right w:val="single" w:sz="4" w:space="0" w:color="auto"/>
            </w:tcBorders>
            <w:shd w:val="clear" w:color="auto" w:fill="auto"/>
            <w:vAlign w:val="center"/>
            <w:hideMark/>
          </w:tcPr>
          <w:p w14:paraId="5010B743"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Lard, graisses de porc non fondues, frais, réfrigérés, congelés, salés</w:t>
            </w:r>
          </w:p>
        </w:tc>
        <w:tc>
          <w:tcPr>
            <w:tcW w:w="11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C5352E4"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xml:space="preserve">            89   </w:t>
            </w:r>
          </w:p>
        </w:tc>
        <w:tc>
          <w:tcPr>
            <w:tcW w:w="220" w:type="dxa"/>
            <w:tcBorders>
              <w:top w:val="nil"/>
              <w:left w:val="nil"/>
              <w:bottom w:val="nil"/>
              <w:right w:val="nil"/>
            </w:tcBorders>
            <w:shd w:val="clear" w:color="auto" w:fill="auto"/>
            <w:vAlign w:val="center"/>
            <w:hideMark/>
          </w:tcPr>
          <w:p w14:paraId="139FCE98" w14:textId="77777777" w:rsidR="00FB018B" w:rsidRPr="00FB018B" w:rsidRDefault="00FB018B" w:rsidP="00FB018B">
            <w:pPr>
              <w:spacing w:after="0" w:line="240" w:lineRule="auto"/>
              <w:jc w:val="center"/>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74C567EB"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0209 10 11</w:t>
            </w:r>
          </w:p>
        </w:tc>
        <w:tc>
          <w:tcPr>
            <w:tcW w:w="1480" w:type="dxa"/>
            <w:tcBorders>
              <w:top w:val="nil"/>
              <w:left w:val="nil"/>
              <w:bottom w:val="single" w:sz="4" w:space="0" w:color="auto"/>
              <w:right w:val="single" w:sz="4" w:space="0" w:color="auto"/>
            </w:tcBorders>
            <w:shd w:val="clear" w:color="auto" w:fill="auto"/>
            <w:vAlign w:val="center"/>
            <w:hideMark/>
          </w:tcPr>
          <w:p w14:paraId="5430A63E"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Lard FR-SS</w:t>
            </w:r>
          </w:p>
        </w:tc>
        <w:tc>
          <w:tcPr>
            <w:tcW w:w="1300" w:type="dxa"/>
            <w:tcBorders>
              <w:top w:val="nil"/>
              <w:left w:val="nil"/>
              <w:bottom w:val="single" w:sz="4" w:space="0" w:color="auto"/>
              <w:right w:val="single" w:sz="4" w:space="0" w:color="auto"/>
            </w:tcBorders>
            <w:shd w:val="clear" w:color="auto" w:fill="auto"/>
            <w:noWrap/>
            <w:vAlign w:val="center"/>
            <w:hideMark/>
          </w:tcPr>
          <w:p w14:paraId="69668CBC"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19,1</w:t>
            </w:r>
          </w:p>
        </w:tc>
        <w:tc>
          <w:tcPr>
            <w:tcW w:w="1340" w:type="dxa"/>
            <w:tcBorders>
              <w:top w:val="nil"/>
              <w:left w:val="nil"/>
              <w:bottom w:val="single" w:sz="4" w:space="0" w:color="auto"/>
              <w:right w:val="single" w:sz="4" w:space="0" w:color="auto"/>
            </w:tcBorders>
            <w:shd w:val="clear" w:color="auto" w:fill="auto"/>
            <w:noWrap/>
            <w:vAlign w:val="center"/>
            <w:hideMark/>
          </w:tcPr>
          <w:p w14:paraId="1E31FDF0"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19,3</w:t>
            </w:r>
          </w:p>
        </w:tc>
        <w:tc>
          <w:tcPr>
            <w:tcW w:w="1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EE79A67"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xml:space="preserve">            89   </w:t>
            </w:r>
          </w:p>
        </w:tc>
      </w:tr>
      <w:tr w:rsidR="00FB018B" w:rsidRPr="00FB018B" w14:paraId="45DAF739" w14:textId="77777777" w:rsidTr="00FB018B">
        <w:trPr>
          <w:trHeight w:val="285"/>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34433983"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 </w:t>
            </w:r>
          </w:p>
        </w:tc>
        <w:tc>
          <w:tcPr>
            <w:tcW w:w="2120" w:type="dxa"/>
            <w:tcBorders>
              <w:top w:val="nil"/>
              <w:left w:val="nil"/>
              <w:bottom w:val="single" w:sz="4" w:space="0" w:color="auto"/>
              <w:right w:val="single" w:sz="4" w:space="0" w:color="auto"/>
            </w:tcBorders>
            <w:shd w:val="clear" w:color="auto" w:fill="auto"/>
            <w:vAlign w:val="center"/>
            <w:hideMark/>
          </w:tcPr>
          <w:p w14:paraId="1202202C"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 </w:t>
            </w:r>
          </w:p>
        </w:tc>
        <w:tc>
          <w:tcPr>
            <w:tcW w:w="2400" w:type="dxa"/>
            <w:tcBorders>
              <w:top w:val="nil"/>
              <w:left w:val="nil"/>
              <w:bottom w:val="single" w:sz="4" w:space="0" w:color="auto"/>
              <w:right w:val="single" w:sz="4" w:space="0" w:color="auto"/>
            </w:tcBorders>
            <w:shd w:val="clear" w:color="auto" w:fill="auto"/>
            <w:vAlign w:val="center"/>
            <w:hideMark/>
          </w:tcPr>
          <w:p w14:paraId="7698F9B2"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180" w:type="dxa"/>
            <w:vMerge/>
            <w:tcBorders>
              <w:top w:val="nil"/>
              <w:left w:val="single" w:sz="4" w:space="0" w:color="auto"/>
              <w:bottom w:val="single" w:sz="4" w:space="0" w:color="000000"/>
              <w:right w:val="single" w:sz="4" w:space="0" w:color="auto"/>
            </w:tcBorders>
            <w:vAlign w:val="center"/>
            <w:hideMark/>
          </w:tcPr>
          <w:p w14:paraId="65B006F7"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220" w:type="dxa"/>
            <w:tcBorders>
              <w:top w:val="nil"/>
              <w:left w:val="nil"/>
              <w:bottom w:val="nil"/>
              <w:right w:val="nil"/>
            </w:tcBorders>
            <w:shd w:val="clear" w:color="auto" w:fill="auto"/>
            <w:vAlign w:val="center"/>
            <w:hideMark/>
          </w:tcPr>
          <w:p w14:paraId="2D0821C0"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2C038B6F"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0209 10 19</w:t>
            </w:r>
          </w:p>
        </w:tc>
        <w:tc>
          <w:tcPr>
            <w:tcW w:w="1480" w:type="dxa"/>
            <w:tcBorders>
              <w:top w:val="nil"/>
              <w:left w:val="nil"/>
              <w:bottom w:val="single" w:sz="4" w:space="0" w:color="auto"/>
              <w:right w:val="single" w:sz="4" w:space="0" w:color="auto"/>
            </w:tcBorders>
            <w:shd w:val="clear" w:color="auto" w:fill="auto"/>
            <w:vAlign w:val="center"/>
            <w:hideMark/>
          </w:tcPr>
          <w:p w14:paraId="1F08DC25"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Lard SF</w:t>
            </w:r>
          </w:p>
        </w:tc>
        <w:tc>
          <w:tcPr>
            <w:tcW w:w="1300" w:type="dxa"/>
            <w:tcBorders>
              <w:top w:val="nil"/>
              <w:left w:val="nil"/>
              <w:bottom w:val="single" w:sz="4" w:space="0" w:color="auto"/>
              <w:right w:val="single" w:sz="4" w:space="0" w:color="auto"/>
            </w:tcBorders>
            <w:shd w:val="clear" w:color="auto" w:fill="auto"/>
            <w:noWrap/>
            <w:vAlign w:val="center"/>
            <w:hideMark/>
          </w:tcPr>
          <w:p w14:paraId="31F24179"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0,0</w:t>
            </w:r>
          </w:p>
        </w:tc>
        <w:tc>
          <w:tcPr>
            <w:tcW w:w="1340" w:type="dxa"/>
            <w:tcBorders>
              <w:top w:val="nil"/>
              <w:left w:val="nil"/>
              <w:bottom w:val="single" w:sz="4" w:space="0" w:color="auto"/>
              <w:right w:val="single" w:sz="4" w:space="0" w:color="auto"/>
            </w:tcBorders>
            <w:shd w:val="clear" w:color="auto" w:fill="auto"/>
            <w:noWrap/>
            <w:vAlign w:val="center"/>
            <w:hideMark/>
          </w:tcPr>
          <w:p w14:paraId="35C6841E"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0,1</w:t>
            </w:r>
          </w:p>
        </w:tc>
        <w:tc>
          <w:tcPr>
            <w:tcW w:w="1200" w:type="dxa"/>
            <w:vMerge/>
            <w:tcBorders>
              <w:top w:val="nil"/>
              <w:left w:val="single" w:sz="4" w:space="0" w:color="auto"/>
              <w:bottom w:val="single" w:sz="4" w:space="0" w:color="000000"/>
              <w:right w:val="single" w:sz="4" w:space="0" w:color="auto"/>
            </w:tcBorders>
            <w:vAlign w:val="center"/>
            <w:hideMark/>
          </w:tcPr>
          <w:p w14:paraId="1BC73F7A" w14:textId="77777777" w:rsidR="00FB018B" w:rsidRPr="00FB018B" w:rsidRDefault="00FB018B" w:rsidP="00FB018B">
            <w:pPr>
              <w:spacing w:after="0" w:line="240" w:lineRule="auto"/>
              <w:jc w:val="left"/>
              <w:rPr>
                <w:rFonts w:eastAsia="Times New Roman" w:cs="Arial"/>
                <w:color w:val="000000"/>
                <w:sz w:val="20"/>
                <w:szCs w:val="20"/>
                <w:lang w:eastAsia="fr-FR"/>
              </w:rPr>
            </w:pPr>
          </w:p>
        </w:tc>
      </w:tr>
      <w:tr w:rsidR="00FB018B" w:rsidRPr="00FB018B" w14:paraId="35156C73" w14:textId="77777777" w:rsidTr="00FB018B">
        <w:trPr>
          <w:trHeight w:val="285"/>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7C4B1F9E"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 </w:t>
            </w:r>
          </w:p>
        </w:tc>
        <w:tc>
          <w:tcPr>
            <w:tcW w:w="2120" w:type="dxa"/>
            <w:tcBorders>
              <w:top w:val="nil"/>
              <w:left w:val="nil"/>
              <w:bottom w:val="single" w:sz="4" w:space="0" w:color="auto"/>
              <w:right w:val="single" w:sz="4" w:space="0" w:color="auto"/>
            </w:tcBorders>
            <w:shd w:val="clear" w:color="auto" w:fill="auto"/>
            <w:vAlign w:val="center"/>
            <w:hideMark/>
          </w:tcPr>
          <w:p w14:paraId="6908EF66"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 </w:t>
            </w:r>
          </w:p>
        </w:tc>
        <w:tc>
          <w:tcPr>
            <w:tcW w:w="2400" w:type="dxa"/>
            <w:tcBorders>
              <w:top w:val="nil"/>
              <w:left w:val="nil"/>
              <w:bottom w:val="single" w:sz="4" w:space="0" w:color="auto"/>
              <w:right w:val="single" w:sz="4" w:space="0" w:color="auto"/>
            </w:tcBorders>
            <w:shd w:val="clear" w:color="auto" w:fill="auto"/>
            <w:vAlign w:val="center"/>
            <w:hideMark/>
          </w:tcPr>
          <w:p w14:paraId="16D517C4"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180" w:type="dxa"/>
            <w:vMerge/>
            <w:tcBorders>
              <w:top w:val="nil"/>
              <w:left w:val="single" w:sz="4" w:space="0" w:color="auto"/>
              <w:bottom w:val="single" w:sz="4" w:space="0" w:color="000000"/>
              <w:right w:val="single" w:sz="4" w:space="0" w:color="auto"/>
            </w:tcBorders>
            <w:vAlign w:val="center"/>
            <w:hideMark/>
          </w:tcPr>
          <w:p w14:paraId="07FD6969"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220" w:type="dxa"/>
            <w:tcBorders>
              <w:top w:val="nil"/>
              <w:left w:val="nil"/>
              <w:bottom w:val="nil"/>
              <w:right w:val="nil"/>
            </w:tcBorders>
            <w:shd w:val="clear" w:color="auto" w:fill="auto"/>
            <w:vAlign w:val="center"/>
            <w:hideMark/>
          </w:tcPr>
          <w:p w14:paraId="1FC1A542"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vAlign w:val="center"/>
            <w:hideMark/>
          </w:tcPr>
          <w:p w14:paraId="62ED8CB9"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0209 10 90</w:t>
            </w:r>
          </w:p>
        </w:tc>
        <w:tc>
          <w:tcPr>
            <w:tcW w:w="1480" w:type="dxa"/>
            <w:tcBorders>
              <w:top w:val="nil"/>
              <w:left w:val="nil"/>
              <w:bottom w:val="single" w:sz="4" w:space="0" w:color="auto"/>
              <w:right w:val="single" w:sz="4" w:space="0" w:color="auto"/>
            </w:tcBorders>
            <w:shd w:val="clear" w:color="auto" w:fill="auto"/>
            <w:vAlign w:val="center"/>
            <w:hideMark/>
          </w:tcPr>
          <w:p w14:paraId="4E3C7471"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Graisse de porc</w:t>
            </w:r>
          </w:p>
        </w:tc>
        <w:tc>
          <w:tcPr>
            <w:tcW w:w="1300" w:type="dxa"/>
            <w:tcBorders>
              <w:top w:val="nil"/>
              <w:left w:val="nil"/>
              <w:bottom w:val="nil"/>
              <w:right w:val="nil"/>
            </w:tcBorders>
            <w:shd w:val="clear" w:color="auto" w:fill="auto"/>
            <w:noWrap/>
            <w:vAlign w:val="center"/>
            <w:hideMark/>
          </w:tcPr>
          <w:p w14:paraId="004BE7B9"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2,0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14:paraId="7B05616C"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2,2</w:t>
            </w:r>
          </w:p>
        </w:tc>
        <w:tc>
          <w:tcPr>
            <w:tcW w:w="1200" w:type="dxa"/>
            <w:vMerge/>
            <w:tcBorders>
              <w:top w:val="nil"/>
              <w:left w:val="single" w:sz="4" w:space="0" w:color="auto"/>
              <w:bottom w:val="single" w:sz="4" w:space="0" w:color="000000"/>
              <w:right w:val="single" w:sz="4" w:space="0" w:color="auto"/>
            </w:tcBorders>
            <w:vAlign w:val="center"/>
            <w:hideMark/>
          </w:tcPr>
          <w:p w14:paraId="18775570" w14:textId="77777777" w:rsidR="00FB018B" w:rsidRPr="00FB018B" w:rsidRDefault="00FB018B" w:rsidP="00FB018B">
            <w:pPr>
              <w:spacing w:after="0" w:line="240" w:lineRule="auto"/>
              <w:jc w:val="left"/>
              <w:rPr>
                <w:rFonts w:eastAsia="Times New Roman" w:cs="Arial"/>
                <w:color w:val="000000"/>
                <w:sz w:val="20"/>
                <w:szCs w:val="20"/>
                <w:lang w:eastAsia="fr-FR"/>
              </w:rPr>
            </w:pPr>
          </w:p>
        </w:tc>
      </w:tr>
      <w:tr w:rsidR="00FB018B" w:rsidRPr="00FB018B" w14:paraId="5D639B94" w14:textId="77777777" w:rsidTr="00FB018B">
        <w:trPr>
          <w:trHeight w:val="585"/>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11EE4B8D"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p.10.11.50.60</w:t>
            </w:r>
          </w:p>
        </w:tc>
        <w:tc>
          <w:tcPr>
            <w:tcW w:w="2120" w:type="dxa"/>
            <w:tcBorders>
              <w:top w:val="nil"/>
              <w:left w:val="nil"/>
              <w:bottom w:val="single" w:sz="4" w:space="0" w:color="auto"/>
              <w:right w:val="single" w:sz="4" w:space="0" w:color="auto"/>
            </w:tcBorders>
            <w:shd w:val="clear" w:color="auto" w:fill="auto"/>
            <w:vAlign w:val="center"/>
            <w:hideMark/>
          </w:tcPr>
          <w:p w14:paraId="7DD5168B" w14:textId="77777777" w:rsidR="00FB018B" w:rsidRPr="00FB018B" w:rsidRDefault="00FB018B" w:rsidP="00FB018B">
            <w:pPr>
              <w:spacing w:after="0" w:line="240" w:lineRule="auto"/>
              <w:jc w:val="left"/>
              <w:rPr>
                <w:rFonts w:eastAsia="Times New Roman" w:cs="Arial"/>
                <w:sz w:val="20"/>
                <w:szCs w:val="20"/>
                <w:lang w:eastAsia="fr-FR"/>
              </w:rPr>
            </w:pPr>
            <w:r w:rsidRPr="00FB018B">
              <w:rPr>
                <w:rFonts w:eastAsia="Times New Roman" w:cs="Arial"/>
                <w:sz w:val="20"/>
                <w:szCs w:val="20"/>
                <w:lang w:eastAsia="fr-FR"/>
              </w:rPr>
              <w:t>1501[.1+.2]</w:t>
            </w:r>
          </w:p>
        </w:tc>
        <w:tc>
          <w:tcPr>
            <w:tcW w:w="2400" w:type="dxa"/>
            <w:tcBorders>
              <w:top w:val="nil"/>
              <w:left w:val="nil"/>
              <w:bottom w:val="single" w:sz="4" w:space="0" w:color="auto"/>
              <w:right w:val="single" w:sz="4" w:space="0" w:color="auto"/>
            </w:tcBorders>
            <w:shd w:val="clear" w:color="auto" w:fill="auto"/>
            <w:vAlign w:val="center"/>
            <w:hideMark/>
          </w:tcPr>
          <w:p w14:paraId="72CEC6C8"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xml:space="preserve">Saindoux, autres graisses de porc, fondues </w:t>
            </w:r>
          </w:p>
        </w:tc>
        <w:tc>
          <w:tcPr>
            <w:tcW w:w="118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1ACE344"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xml:space="preserve">            89   </w:t>
            </w:r>
          </w:p>
        </w:tc>
        <w:tc>
          <w:tcPr>
            <w:tcW w:w="220" w:type="dxa"/>
            <w:tcBorders>
              <w:top w:val="nil"/>
              <w:left w:val="nil"/>
              <w:bottom w:val="nil"/>
              <w:right w:val="nil"/>
            </w:tcBorders>
            <w:shd w:val="clear" w:color="auto" w:fill="auto"/>
            <w:vAlign w:val="center"/>
            <w:hideMark/>
          </w:tcPr>
          <w:p w14:paraId="60975DE0" w14:textId="77777777" w:rsidR="00FB018B" w:rsidRPr="00FB018B" w:rsidRDefault="00FB018B" w:rsidP="00FB018B">
            <w:pPr>
              <w:spacing w:after="0" w:line="240" w:lineRule="auto"/>
              <w:jc w:val="center"/>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noWrap/>
            <w:vAlign w:val="center"/>
            <w:hideMark/>
          </w:tcPr>
          <w:p w14:paraId="29F940BB"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150 110</w:t>
            </w:r>
          </w:p>
        </w:tc>
        <w:tc>
          <w:tcPr>
            <w:tcW w:w="1480" w:type="dxa"/>
            <w:tcBorders>
              <w:top w:val="nil"/>
              <w:left w:val="nil"/>
              <w:bottom w:val="single" w:sz="4" w:space="0" w:color="auto"/>
              <w:right w:val="single" w:sz="4" w:space="0" w:color="auto"/>
            </w:tcBorders>
            <w:shd w:val="clear" w:color="auto" w:fill="auto"/>
            <w:vAlign w:val="center"/>
            <w:hideMark/>
          </w:tcPr>
          <w:p w14:paraId="5A35150E"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xml:space="preserve">Saindoux fondu </w:t>
            </w:r>
          </w:p>
        </w:tc>
        <w:tc>
          <w:tcPr>
            <w:tcW w:w="1300" w:type="dxa"/>
            <w:tcBorders>
              <w:top w:val="single" w:sz="4" w:space="0" w:color="000000"/>
              <w:left w:val="nil"/>
              <w:bottom w:val="single" w:sz="4" w:space="0" w:color="000000"/>
              <w:right w:val="single" w:sz="4" w:space="0" w:color="000000"/>
            </w:tcBorders>
            <w:shd w:val="clear" w:color="auto" w:fill="auto"/>
            <w:vAlign w:val="center"/>
            <w:hideMark/>
          </w:tcPr>
          <w:p w14:paraId="4175B318"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55,6</w:t>
            </w:r>
          </w:p>
        </w:tc>
        <w:tc>
          <w:tcPr>
            <w:tcW w:w="1340" w:type="dxa"/>
            <w:tcBorders>
              <w:top w:val="nil"/>
              <w:left w:val="nil"/>
              <w:bottom w:val="single" w:sz="4" w:space="0" w:color="000000"/>
              <w:right w:val="nil"/>
            </w:tcBorders>
            <w:shd w:val="clear" w:color="auto" w:fill="auto"/>
            <w:vAlign w:val="center"/>
            <w:hideMark/>
          </w:tcPr>
          <w:p w14:paraId="5B6486F8"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4,6</w:t>
            </w:r>
          </w:p>
        </w:tc>
        <w:tc>
          <w:tcPr>
            <w:tcW w:w="120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A9ABD79"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 xml:space="preserve">            37   </w:t>
            </w:r>
          </w:p>
        </w:tc>
      </w:tr>
      <w:tr w:rsidR="00FB018B" w:rsidRPr="00FB018B" w14:paraId="693336CF" w14:textId="77777777" w:rsidTr="00FB018B">
        <w:trPr>
          <w:trHeight w:val="285"/>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515467B0"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2120" w:type="dxa"/>
            <w:tcBorders>
              <w:top w:val="nil"/>
              <w:left w:val="nil"/>
              <w:bottom w:val="single" w:sz="4" w:space="0" w:color="auto"/>
              <w:right w:val="single" w:sz="4" w:space="0" w:color="auto"/>
            </w:tcBorders>
            <w:shd w:val="clear" w:color="auto" w:fill="auto"/>
            <w:noWrap/>
            <w:vAlign w:val="center"/>
            <w:hideMark/>
          </w:tcPr>
          <w:p w14:paraId="2E1AAC7F"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2400" w:type="dxa"/>
            <w:tcBorders>
              <w:top w:val="nil"/>
              <w:left w:val="nil"/>
              <w:bottom w:val="single" w:sz="4" w:space="0" w:color="auto"/>
              <w:right w:val="single" w:sz="4" w:space="0" w:color="auto"/>
            </w:tcBorders>
            <w:shd w:val="clear" w:color="auto" w:fill="auto"/>
            <w:vAlign w:val="center"/>
            <w:hideMark/>
          </w:tcPr>
          <w:p w14:paraId="50584AA5"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w:t>
            </w:r>
          </w:p>
        </w:tc>
        <w:tc>
          <w:tcPr>
            <w:tcW w:w="1180" w:type="dxa"/>
            <w:vMerge/>
            <w:tcBorders>
              <w:top w:val="nil"/>
              <w:left w:val="single" w:sz="4" w:space="0" w:color="auto"/>
              <w:bottom w:val="single" w:sz="4" w:space="0" w:color="000000"/>
              <w:right w:val="single" w:sz="4" w:space="0" w:color="auto"/>
            </w:tcBorders>
            <w:vAlign w:val="center"/>
            <w:hideMark/>
          </w:tcPr>
          <w:p w14:paraId="663472DB"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220" w:type="dxa"/>
            <w:tcBorders>
              <w:top w:val="nil"/>
              <w:left w:val="nil"/>
              <w:bottom w:val="nil"/>
              <w:right w:val="nil"/>
            </w:tcBorders>
            <w:shd w:val="clear" w:color="auto" w:fill="auto"/>
            <w:vAlign w:val="center"/>
            <w:hideMark/>
          </w:tcPr>
          <w:p w14:paraId="05273060" w14:textId="77777777" w:rsidR="00FB018B" w:rsidRPr="00FB018B" w:rsidRDefault="00FB018B" w:rsidP="00FB018B">
            <w:pPr>
              <w:spacing w:after="0" w:line="240" w:lineRule="auto"/>
              <w:jc w:val="left"/>
              <w:rPr>
                <w:rFonts w:eastAsia="Times New Roman" w:cs="Arial"/>
                <w:color w:val="000000"/>
                <w:sz w:val="20"/>
                <w:szCs w:val="20"/>
                <w:lang w:eastAsia="fr-FR"/>
              </w:rPr>
            </w:pPr>
          </w:p>
        </w:tc>
        <w:tc>
          <w:tcPr>
            <w:tcW w:w="1480" w:type="dxa"/>
            <w:tcBorders>
              <w:top w:val="nil"/>
              <w:left w:val="single" w:sz="4" w:space="0" w:color="auto"/>
              <w:bottom w:val="single" w:sz="4" w:space="0" w:color="auto"/>
              <w:right w:val="single" w:sz="4" w:space="0" w:color="auto"/>
            </w:tcBorders>
            <w:shd w:val="clear" w:color="auto" w:fill="auto"/>
            <w:noWrap/>
            <w:vAlign w:val="center"/>
            <w:hideMark/>
          </w:tcPr>
          <w:p w14:paraId="4B778D2B"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150 120</w:t>
            </w:r>
          </w:p>
        </w:tc>
        <w:tc>
          <w:tcPr>
            <w:tcW w:w="1480" w:type="dxa"/>
            <w:tcBorders>
              <w:top w:val="nil"/>
              <w:left w:val="nil"/>
              <w:bottom w:val="single" w:sz="4" w:space="0" w:color="auto"/>
              <w:right w:val="single" w:sz="4" w:space="0" w:color="auto"/>
            </w:tcBorders>
            <w:shd w:val="clear" w:color="auto" w:fill="auto"/>
            <w:vAlign w:val="center"/>
            <w:hideMark/>
          </w:tcPr>
          <w:p w14:paraId="446F9099" w14:textId="77777777" w:rsidR="00FB018B" w:rsidRPr="00FB018B" w:rsidRDefault="00FB018B" w:rsidP="00FB018B">
            <w:pPr>
              <w:spacing w:after="0" w:line="240" w:lineRule="auto"/>
              <w:jc w:val="left"/>
              <w:rPr>
                <w:rFonts w:eastAsia="Times New Roman" w:cs="Arial"/>
                <w:color w:val="000000"/>
                <w:sz w:val="20"/>
                <w:szCs w:val="20"/>
                <w:lang w:eastAsia="fr-FR"/>
              </w:rPr>
            </w:pPr>
            <w:r w:rsidRPr="00FB018B">
              <w:rPr>
                <w:rFonts w:eastAsia="Times New Roman" w:cs="Arial"/>
                <w:color w:val="000000"/>
                <w:sz w:val="20"/>
                <w:szCs w:val="20"/>
                <w:lang w:eastAsia="fr-FR"/>
              </w:rPr>
              <w:t xml:space="preserve">Graisse de porc </w:t>
            </w:r>
          </w:p>
        </w:tc>
        <w:tc>
          <w:tcPr>
            <w:tcW w:w="1300" w:type="dxa"/>
            <w:tcBorders>
              <w:top w:val="nil"/>
              <w:left w:val="nil"/>
              <w:bottom w:val="single" w:sz="4" w:space="0" w:color="000000"/>
              <w:right w:val="single" w:sz="4" w:space="0" w:color="000000"/>
            </w:tcBorders>
            <w:shd w:val="clear" w:color="auto" w:fill="auto"/>
            <w:vAlign w:val="center"/>
            <w:hideMark/>
          </w:tcPr>
          <w:p w14:paraId="070B1F98"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12,1</w:t>
            </w:r>
          </w:p>
        </w:tc>
        <w:tc>
          <w:tcPr>
            <w:tcW w:w="1340" w:type="dxa"/>
            <w:tcBorders>
              <w:top w:val="nil"/>
              <w:left w:val="nil"/>
              <w:bottom w:val="single" w:sz="4" w:space="0" w:color="000000"/>
              <w:right w:val="nil"/>
            </w:tcBorders>
            <w:shd w:val="clear" w:color="auto" w:fill="auto"/>
            <w:vAlign w:val="center"/>
            <w:hideMark/>
          </w:tcPr>
          <w:p w14:paraId="50C7ADCF" w14:textId="77777777" w:rsidR="00FB018B" w:rsidRPr="00FB018B" w:rsidRDefault="00FB018B" w:rsidP="00FB018B">
            <w:pPr>
              <w:spacing w:after="0" w:line="240" w:lineRule="auto"/>
              <w:jc w:val="center"/>
              <w:rPr>
                <w:rFonts w:eastAsia="Times New Roman" w:cs="Arial"/>
                <w:color w:val="000000"/>
                <w:sz w:val="20"/>
                <w:szCs w:val="20"/>
                <w:lang w:eastAsia="fr-FR"/>
              </w:rPr>
            </w:pPr>
            <w:r w:rsidRPr="00FB018B">
              <w:rPr>
                <w:rFonts w:eastAsia="Times New Roman" w:cs="Arial"/>
                <w:color w:val="000000"/>
                <w:sz w:val="20"/>
                <w:szCs w:val="20"/>
                <w:lang w:eastAsia="fr-FR"/>
              </w:rPr>
              <w:t>11,7</w:t>
            </w:r>
          </w:p>
        </w:tc>
        <w:tc>
          <w:tcPr>
            <w:tcW w:w="1200" w:type="dxa"/>
            <w:vMerge/>
            <w:tcBorders>
              <w:top w:val="nil"/>
              <w:left w:val="single" w:sz="4" w:space="0" w:color="auto"/>
              <w:bottom w:val="single" w:sz="4" w:space="0" w:color="000000"/>
              <w:right w:val="single" w:sz="4" w:space="0" w:color="auto"/>
            </w:tcBorders>
            <w:vAlign w:val="center"/>
            <w:hideMark/>
          </w:tcPr>
          <w:p w14:paraId="1763C2C1" w14:textId="77777777" w:rsidR="00FB018B" w:rsidRPr="00FB018B" w:rsidRDefault="00FB018B" w:rsidP="00FB018B">
            <w:pPr>
              <w:spacing w:after="0" w:line="240" w:lineRule="auto"/>
              <w:jc w:val="left"/>
              <w:rPr>
                <w:rFonts w:eastAsia="Times New Roman" w:cs="Arial"/>
                <w:color w:val="000000"/>
                <w:sz w:val="20"/>
                <w:szCs w:val="20"/>
                <w:lang w:eastAsia="fr-FR"/>
              </w:rPr>
            </w:pPr>
          </w:p>
        </w:tc>
      </w:tr>
    </w:tbl>
    <w:p w14:paraId="3C8B73AE" w14:textId="1F3E8032" w:rsidR="006318BA" w:rsidRDefault="006318BA" w:rsidP="005B0175">
      <w:pPr>
        <w:rPr>
          <w:rFonts w:cs="Arial"/>
        </w:rPr>
      </w:pPr>
    </w:p>
    <w:p w14:paraId="3BC8C6EC" w14:textId="77777777" w:rsidR="006318BA" w:rsidRDefault="006318BA">
      <w:pPr>
        <w:jc w:val="left"/>
        <w:rPr>
          <w:rFonts w:cs="Arial"/>
        </w:rPr>
      </w:pPr>
      <w:r>
        <w:rPr>
          <w:rFonts w:cs="Arial"/>
        </w:rPr>
        <w:br w:type="page"/>
      </w:r>
    </w:p>
    <w:p w14:paraId="7B906A1E" w14:textId="23836EDF" w:rsidR="00A62922" w:rsidRPr="00233D63" w:rsidRDefault="00A62922" w:rsidP="009B7F6A">
      <w:pPr>
        <w:rPr>
          <w:rFonts w:cs="Arial"/>
        </w:rPr>
      </w:pPr>
      <w:r w:rsidRPr="00F025C6">
        <w:rPr>
          <w:rFonts w:cs="Arial"/>
          <w:b/>
          <w:i/>
        </w:rPr>
        <w:lastRenderedPageBreak/>
        <w:t xml:space="preserve">Annexe </w:t>
      </w:r>
      <w:r>
        <w:rPr>
          <w:rFonts w:cs="Arial"/>
          <w:b/>
          <w:i/>
        </w:rPr>
        <w:t>6</w:t>
      </w:r>
      <w:r w:rsidRPr="00F025C6">
        <w:rPr>
          <w:rFonts w:cs="Arial"/>
          <w:b/>
          <w:i/>
        </w:rPr>
        <w:t xml:space="preserve"> : </w:t>
      </w:r>
      <w:r>
        <w:rPr>
          <w:rFonts w:cs="Arial"/>
          <w:b/>
          <w:i/>
        </w:rPr>
        <w:t xml:space="preserve">Volume disponible </w:t>
      </w:r>
      <w:r w:rsidR="00D359ED">
        <w:rPr>
          <w:rFonts w:cs="Arial"/>
          <w:b/>
          <w:i/>
        </w:rPr>
        <w:t xml:space="preserve">(x1000t) </w:t>
      </w:r>
      <w:r>
        <w:rPr>
          <w:rFonts w:cs="Arial"/>
          <w:b/>
          <w:i/>
        </w:rPr>
        <w:t>à la consommation</w:t>
      </w:r>
      <w:r w:rsidR="00524C32">
        <w:rPr>
          <w:rFonts w:cs="Arial"/>
          <w:b/>
          <w:i/>
        </w:rPr>
        <w:t>,</w:t>
      </w:r>
      <w:r>
        <w:rPr>
          <w:rFonts w:cs="Arial"/>
          <w:b/>
          <w:i/>
        </w:rPr>
        <w:t xml:space="preserve"> issu de l’appariement des données Prodcom de l’activité 10.13.A avec les données douanières a/ Viande</w:t>
      </w:r>
      <w:r w:rsidR="0012404D">
        <w:rPr>
          <w:rFonts w:cs="Arial"/>
          <w:b/>
          <w:i/>
        </w:rPr>
        <w:t>s et Poitrines</w:t>
      </w:r>
      <w:r>
        <w:rPr>
          <w:rFonts w:cs="Arial"/>
          <w:b/>
          <w:i/>
        </w:rPr>
        <w:t xml:space="preserve"> SSF</w:t>
      </w:r>
      <w:r w:rsidR="00AB6C63">
        <w:rPr>
          <w:rFonts w:cs="Arial"/>
          <w:b/>
          <w:i/>
        </w:rPr>
        <w:t>,</w:t>
      </w:r>
      <w:r>
        <w:rPr>
          <w:rFonts w:cs="Arial"/>
          <w:b/>
          <w:i/>
        </w:rPr>
        <w:t xml:space="preserve"> </w:t>
      </w:r>
      <w:r w:rsidR="00AB6C63">
        <w:rPr>
          <w:rFonts w:cs="Arial"/>
          <w:b/>
          <w:i/>
        </w:rPr>
        <w:t>b/ Autres pièces cuites et pâtés autre que de foie, c</w:t>
      </w:r>
      <w:r>
        <w:rPr>
          <w:rFonts w:cs="Arial"/>
          <w:b/>
          <w:i/>
        </w:rPr>
        <w:t>/ Salaison cuite</w:t>
      </w:r>
      <w:r w:rsidR="006E1831">
        <w:rPr>
          <w:rFonts w:cs="Arial"/>
          <w:b/>
          <w:i/>
        </w:rPr>
        <w:t xml:space="preserve"> (jambons, épaule</w:t>
      </w:r>
      <w:r w:rsidR="00A153D6">
        <w:rPr>
          <w:rFonts w:cs="Arial"/>
          <w:b/>
          <w:i/>
        </w:rPr>
        <w:t>s)</w:t>
      </w:r>
      <w:r>
        <w:rPr>
          <w:rFonts w:cs="Arial"/>
          <w:b/>
          <w:i/>
        </w:rPr>
        <w:t xml:space="preserve"> </w:t>
      </w:r>
      <w:r w:rsidR="00285A49">
        <w:rPr>
          <w:rFonts w:cs="Arial"/>
          <w:b/>
          <w:i/>
        </w:rPr>
        <w:t>c</w:t>
      </w:r>
      <w:r>
        <w:rPr>
          <w:rFonts w:cs="Arial"/>
          <w:b/>
          <w:i/>
        </w:rPr>
        <w:t xml:space="preserve">/ </w:t>
      </w:r>
      <w:r w:rsidR="00285A49">
        <w:rPr>
          <w:rFonts w:cs="Arial"/>
          <w:b/>
          <w:i/>
        </w:rPr>
        <w:t xml:space="preserve">Saucisses et saucissons d/ </w:t>
      </w:r>
      <w:r w:rsidR="009601AD">
        <w:rPr>
          <w:rFonts w:cs="Arial"/>
          <w:b/>
          <w:i/>
        </w:rPr>
        <w:t>P</w:t>
      </w:r>
      <w:r w:rsidR="006B4F09">
        <w:rPr>
          <w:rFonts w:cs="Arial"/>
          <w:b/>
          <w:i/>
        </w:rPr>
        <w:t>âté et préparations diverses à base de foie</w:t>
      </w:r>
      <w:r>
        <w:rPr>
          <w:rFonts w:cs="Arial"/>
          <w:b/>
          <w:i/>
        </w:rPr>
        <w:t xml:space="preserve"> </w:t>
      </w:r>
      <w:r w:rsidRPr="00CE1445">
        <w:rPr>
          <w:rFonts w:cs="Arial"/>
          <w:i/>
        </w:rPr>
        <w:t>(</w:t>
      </w:r>
      <w:r w:rsidR="009B7F6A">
        <w:rPr>
          <w:rFonts w:cs="Arial"/>
          <w:i/>
        </w:rPr>
        <w:t>Sources : PRODCOM, Eurostat</w:t>
      </w:r>
      <w:r w:rsidRPr="00CE1445">
        <w:rPr>
          <w:rFonts w:cs="Arial"/>
          <w:i/>
        </w:rPr>
        <w:t>)</w:t>
      </w:r>
    </w:p>
    <w:p w14:paraId="49E5AD9B" w14:textId="2CC991C7" w:rsidR="00607015" w:rsidRDefault="00E710C0" w:rsidP="005B0175">
      <w:pPr>
        <w:rPr>
          <w:rFonts w:cs="Arial"/>
          <w:b/>
          <w:i/>
        </w:rPr>
      </w:pPr>
      <w:r>
        <w:rPr>
          <w:rFonts w:cs="Arial"/>
          <w:b/>
          <w:i/>
        </w:rPr>
        <w:t xml:space="preserve">Annexe 6 </w:t>
      </w:r>
      <w:r w:rsidR="00006A51" w:rsidRPr="0025790A">
        <w:rPr>
          <w:rFonts w:cs="Arial"/>
          <w:b/>
          <w:i/>
        </w:rPr>
        <w:t xml:space="preserve">a/ Viandes SSF </w:t>
      </w:r>
      <w:r w:rsidR="0012404D" w:rsidRPr="0025790A">
        <w:rPr>
          <w:rFonts w:cs="Arial"/>
          <w:b/>
          <w:i/>
        </w:rPr>
        <w:t>et Poitrines SSF</w:t>
      </w:r>
    </w:p>
    <w:tbl>
      <w:tblPr>
        <w:tblW w:w="14454" w:type="dxa"/>
        <w:tblLayout w:type="fixed"/>
        <w:tblCellMar>
          <w:left w:w="70" w:type="dxa"/>
          <w:right w:w="70" w:type="dxa"/>
        </w:tblCellMar>
        <w:tblLook w:val="04A0" w:firstRow="1" w:lastRow="0" w:firstColumn="1" w:lastColumn="0" w:noHBand="0" w:noVBand="1"/>
      </w:tblPr>
      <w:tblGrid>
        <w:gridCol w:w="1555"/>
        <w:gridCol w:w="992"/>
        <w:gridCol w:w="2835"/>
        <w:gridCol w:w="1383"/>
        <w:gridCol w:w="176"/>
        <w:gridCol w:w="2268"/>
        <w:gridCol w:w="1276"/>
        <w:gridCol w:w="1276"/>
        <w:gridCol w:w="1559"/>
        <w:gridCol w:w="1134"/>
      </w:tblGrid>
      <w:tr w:rsidR="00CC0EFC" w:rsidRPr="00542AC6" w14:paraId="6285346C" w14:textId="77777777" w:rsidTr="00A153D6">
        <w:trPr>
          <w:trHeight w:val="554"/>
        </w:trPr>
        <w:tc>
          <w:tcPr>
            <w:tcW w:w="1555"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793FCE43" w14:textId="77777777"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Code PRODCOM</w:t>
            </w:r>
          </w:p>
        </w:tc>
        <w:tc>
          <w:tcPr>
            <w:tcW w:w="992" w:type="dxa"/>
            <w:tcBorders>
              <w:top w:val="single" w:sz="4" w:space="0" w:color="auto"/>
              <w:left w:val="nil"/>
              <w:bottom w:val="single" w:sz="4" w:space="0" w:color="auto"/>
              <w:right w:val="single" w:sz="4" w:space="0" w:color="auto"/>
            </w:tcBorders>
            <w:shd w:val="clear" w:color="000000" w:fill="A6A6A6"/>
            <w:noWrap/>
            <w:vAlign w:val="center"/>
            <w:hideMark/>
          </w:tcPr>
          <w:p w14:paraId="1FD8C6B2"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NC</w:t>
            </w:r>
          </w:p>
        </w:tc>
        <w:tc>
          <w:tcPr>
            <w:tcW w:w="2835" w:type="dxa"/>
            <w:tcBorders>
              <w:top w:val="single" w:sz="4" w:space="0" w:color="auto"/>
              <w:left w:val="nil"/>
              <w:bottom w:val="single" w:sz="4" w:space="0" w:color="auto"/>
              <w:right w:val="single" w:sz="4" w:space="0" w:color="auto"/>
            </w:tcBorders>
            <w:shd w:val="clear" w:color="000000" w:fill="A6A6A6"/>
            <w:vAlign w:val="center"/>
            <w:hideMark/>
          </w:tcPr>
          <w:p w14:paraId="5A4B52EF" w14:textId="77777777"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Produits</w:t>
            </w:r>
          </w:p>
        </w:tc>
        <w:tc>
          <w:tcPr>
            <w:tcW w:w="1383" w:type="dxa"/>
            <w:tcBorders>
              <w:top w:val="single" w:sz="4" w:space="0" w:color="auto"/>
              <w:left w:val="nil"/>
              <w:bottom w:val="single" w:sz="4" w:space="0" w:color="auto"/>
              <w:right w:val="single" w:sz="4" w:space="0" w:color="auto"/>
            </w:tcBorders>
            <w:shd w:val="clear" w:color="000000" w:fill="A6A6A6"/>
            <w:vAlign w:val="center"/>
            <w:hideMark/>
          </w:tcPr>
          <w:p w14:paraId="16B9847A" w14:textId="45DFC71E" w:rsidR="00542AC6" w:rsidRPr="00542AC6" w:rsidRDefault="00542AC6" w:rsidP="00521002">
            <w:pPr>
              <w:spacing w:after="0" w:line="240" w:lineRule="auto"/>
              <w:jc w:val="center"/>
              <w:rPr>
                <w:rFonts w:eastAsia="Times New Roman" w:cs="Arial"/>
                <w:sz w:val="20"/>
                <w:szCs w:val="20"/>
                <w:lang w:eastAsia="fr-FR"/>
              </w:rPr>
            </w:pPr>
            <w:r w:rsidRPr="00542AC6">
              <w:rPr>
                <w:rFonts w:eastAsia="Times New Roman" w:cs="Arial"/>
                <w:sz w:val="20"/>
                <w:szCs w:val="20"/>
                <w:lang w:eastAsia="fr-FR"/>
              </w:rPr>
              <w:t>Production</w:t>
            </w:r>
          </w:p>
        </w:tc>
        <w:tc>
          <w:tcPr>
            <w:tcW w:w="176" w:type="dxa"/>
            <w:tcBorders>
              <w:top w:val="nil"/>
              <w:left w:val="nil"/>
              <w:bottom w:val="nil"/>
              <w:right w:val="nil"/>
            </w:tcBorders>
            <w:shd w:val="clear" w:color="auto" w:fill="auto"/>
            <w:vAlign w:val="center"/>
            <w:hideMark/>
          </w:tcPr>
          <w:p w14:paraId="661BF424" w14:textId="77777777" w:rsidR="00542AC6" w:rsidRPr="00542AC6" w:rsidRDefault="00542AC6" w:rsidP="00542AC6">
            <w:pPr>
              <w:spacing w:after="0" w:line="240" w:lineRule="auto"/>
              <w:jc w:val="center"/>
              <w:rPr>
                <w:rFonts w:eastAsia="Times New Roman" w:cs="Arial"/>
                <w:sz w:val="20"/>
                <w:szCs w:val="20"/>
                <w:lang w:eastAsia="fr-FR"/>
              </w:rPr>
            </w:pPr>
          </w:p>
        </w:tc>
        <w:tc>
          <w:tcPr>
            <w:tcW w:w="2268"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5971EF47" w14:textId="4F2DFAF6"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 </w:t>
            </w:r>
            <w:r w:rsidR="000D6DA6">
              <w:rPr>
                <w:rFonts w:eastAsia="Times New Roman" w:cs="Arial"/>
                <w:sz w:val="20"/>
                <w:szCs w:val="20"/>
                <w:lang w:eastAsia="fr-FR"/>
              </w:rPr>
              <w:t>Désignation</w:t>
            </w:r>
          </w:p>
        </w:tc>
        <w:tc>
          <w:tcPr>
            <w:tcW w:w="1276" w:type="dxa"/>
            <w:tcBorders>
              <w:top w:val="single" w:sz="4" w:space="0" w:color="auto"/>
              <w:left w:val="nil"/>
              <w:bottom w:val="single" w:sz="4" w:space="0" w:color="auto"/>
              <w:right w:val="single" w:sz="4" w:space="0" w:color="auto"/>
            </w:tcBorders>
            <w:shd w:val="clear" w:color="000000" w:fill="A6A6A6"/>
            <w:noWrap/>
            <w:vAlign w:val="center"/>
            <w:hideMark/>
          </w:tcPr>
          <w:p w14:paraId="02F56DB5" w14:textId="14FA0F18"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Nom</w:t>
            </w:r>
            <w:r w:rsidR="00A153D6">
              <w:rPr>
                <w:rFonts w:eastAsia="Times New Roman" w:cs="Arial"/>
                <w:color w:val="000000"/>
                <w:sz w:val="20"/>
                <w:szCs w:val="20"/>
                <w:lang w:eastAsia="fr-FR"/>
              </w:rPr>
              <w:t>.</w:t>
            </w:r>
            <w:r w:rsidRPr="00542AC6">
              <w:rPr>
                <w:rFonts w:eastAsia="Times New Roman" w:cs="Arial"/>
                <w:color w:val="000000"/>
                <w:sz w:val="20"/>
                <w:szCs w:val="20"/>
                <w:lang w:eastAsia="fr-FR"/>
              </w:rPr>
              <w:t xml:space="preserve"> </w:t>
            </w:r>
            <w:r w:rsidR="00A153D6">
              <w:rPr>
                <w:rFonts w:eastAsia="Times New Roman" w:cs="Arial"/>
                <w:color w:val="000000"/>
                <w:sz w:val="20"/>
                <w:szCs w:val="20"/>
                <w:lang w:eastAsia="fr-FR"/>
              </w:rPr>
              <w:t>C</w:t>
            </w:r>
            <w:r w:rsidRPr="00542AC6">
              <w:rPr>
                <w:rFonts w:eastAsia="Times New Roman" w:cs="Arial"/>
                <w:color w:val="000000"/>
                <w:sz w:val="20"/>
                <w:szCs w:val="20"/>
                <w:lang w:eastAsia="fr-FR"/>
              </w:rPr>
              <w:t>omb (NC)</w:t>
            </w:r>
          </w:p>
        </w:tc>
        <w:tc>
          <w:tcPr>
            <w:tcW w:w="1276" w:type="dxa"/>
            <w:tcBorders>
              <w:top w:val="single" w:sz="4" w:space="0" w:color="auto"/>
              <w:left w:val="nil"/>
              <w:bottom w:val="single" w:sz="4" w:space="0" w:color="auto"/>
              <w:right w:val="single" w:sz="4" w:space="0" w:color="auto"/>
            </w:tcBorders>
            <w:shd w:val="clear" w:color="000000" w:fill="A6A6A6"/>
            <w:vAlign w:val="center"/>
            <w:hideMark/>
          </w:tcPr>
          <w:p w14:paraId="1C7E7659" w14:textId="77777777" w:rsidR="00542AC6" w:rsidRPr="00542AC6" w:rsidRDefault="00542AC6" w:rsidP="00542AC6">
            <w:pPr>
              <w:spacing w:after="0" w:line="240" w:lineRule="auto"/>
              <w:jc w:val="center"/>
              <w:rPr>
                <w:rFonts w:eastAsia="Times New Roman" w:cs="Arial"/>
                <w:sz w:val="20"/>
                <w:szCs w:val="20"/>
                <w:lang w:eastAsia="fr-FR"/>
              </w:rPr>
            </w:pPr>
            <w:r w:rsidRPr="00542AC6">
              <w:rPr>
                <w:rFonts w:eastAsia="Times New Roman" w:cs="Arial"/>
                <w:sz w:val="20"/>
                <w:szCs w:val="20"/>
                <w:lang w:eastAsia="fr-FR"/>
              </w:rPr>
              <w:t xml:space="preserve">Exportation </w:t>
            </w:r>
          </w:p>
        </w:tc>
        <w:tc>
          <w:tcPr>
            <w:tcW w:w="1559" w:type="dxa"/>
            <w:tcBorders>
              <w:top w:val="single" w:sz="4" w:space="0" w:color="auto"/>
              <w:left w:val="nil"/>
              <w:bottom w:val="single" w:sz="4" w:space="0" w:color="auto"/>
              <w:right w:val="single" w:sz="4" w:space="0" w:color="auto"/>
            </w:tcBorders>
            <w:shd w:val="clear" w:color="000000" w:fill="A6A6A6"/>
            <w:vAlign w:val="center"/>
            <w:hideMark/>
          </w:tcPr>
          <w:p w14:paraId="3A8EF3A6" w14:textId="77777777" w:rsidR="00542AC6" w:rsidRPr="00542AC6" w:rsidRDefault="00542AC6" w:rsidP="00542AC6">
            <w:pPr>
              <w:spacing w:after="0" w:line="240" w:lineRule="auto"/>
              <w:jc w:val="center"/>
              <w:rPr>
                <w:rFonts w:eastAsia="Times New Roman" w:cs="Arial"/>
                <w:sz w:val="20"/>
                <w:szCs w:val="20"/>
                <w:lang w:eastAsia="fr-FR"/>
              </w:rPr>
            </w:pPr>
            <w:r w:rsidRPr="00542AC6">
              <w:rPr>
                <w:rFonts w:eastAsia="Times New Roman" w:cs="Arial"/>
                <w:sz w:val="20"/>
                <w:szCs w:val="20"/>
                <w:lang w:eastAsia="fr-FR"/>
              </w:rPr>
              <w:t xml:space="preserve">Importation </w:t>
            </w:r>
          </w:p>
        </w:tc>
        <w:tc>
          <w:tcPr>
            <w:tcW w:w="1134" w:type="dxa"/>
            <w:tcBorders>
              <w:top w:val="single" w:sz="4" w:space="0" w:color="auto"/>
              <w:left w:val="nil"/>
              <w:bottom w:val="single" w:sz="4" w:space="0" w:color="auto"/>
              <w:right w:val="single" w:sz="4" w:space="0" w:color="auto"/>
            </w:tcBorders>
            <w:shd w:val="clear" w:color="000000" w:fill="A6A6A6"/>
            <w:vAlign w:val="center"/>
            <w:hideMark/>
          </w:tcPr>
          <w:p w14:paraId="19260471" w14:textId="77777777" w:rsidR="00542AC6" w:rsidRPr="00542AC6" w:rsidRDefault="00542AC6" w:rsidP="00542AC6">
            <w:pPr>
              <w:spacing w:after="0" w:line="240" w:lineRule="auto"/>
              <w:jc w:val="center"/>
              <w:rPr>
                <w:rFonts w:eastAsia="Times New Roman" w:cs="Arial"/>
                <w:sz w:val="20"/>
                <w:szCs w:val="20"/>
                <w:lang w:eastAsia="fr-FR"/>
              </w:rPr>
            </w:pPr>
            <w:r w:rsidRPr="00542AC6">
              <w:rPr>
                <w:rFonts w:eastAsia="Times New Roman" w:cs="Arial"/>
                <w:sz w:val="20"/>
                <w:szCs w:val="20"/>
                <w:lang w:eastAsia="fr-FR"/>
              </w:rPr>
              <w:t xml:space="preserve">Solde net </w:t>
            </w:r>
          </w:p>
        </w:tc>
      </w:tr>
      <w:tr w:rsidR="00CC0EFC" w:rsidRPr="00542AC6" w14:paraId="7D2E2773" w14:textId="77777777" w:rsidTr="00A153D6">
        <w:trPr>
          <w:trHeight w:val="125"/>
        </w:trPr>
        <w:tc>
          <w:tcPr>
            <w:tcW w:w="1555" w:type="dxa"/>
            <w:tcBorders>
              <w:top w:val="nil"/>
              <w:left w:val="single" w:sz="4" w:space="0" w:color="auto"/>
              <w:bottom w:val="single" w:sz="4" w:space="0" w:color="auto"/>
              <w:right w:val="single" w:sz="4" w:space="0" w:color="auto"/>
            </w:tcBorders>
            <w:shd w:val="clear" w:color="000000" w:fill="A6A6A6"/>
            <w:noWrap/>
            <w:vAlign w:val="center"/>
            <w:hideMark/>
          </w:tcPr>
          <w:p w14:paraId="2B38F71E"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992" w:type="dxa"/>
            <w:tcBorders>
              <w:top w:val="nil"/>
              <w:left w:val="nil"/>
              <w:bottom w:val="single" w:sz="4" w:space="0" w:color="auto"/>
              <w:right w:val="single" w:sz="4" w:space="0" w:color="auto"/>
            </w:tcBorders>
            <w:shd w:val="clear" w:color="000000" w:fill="A6A6A6"/>
            <w:noWrap/>
            <w:vAlign w:val="center"/>
            <w:hideMark/>
          </w:tcPr>
          <w:p w14:paraId="436CF23F" w14:textId="1030563A"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000000" w:fill="A6A6A6"/>
            <w:vAlign w:val="center"/>
            <w:hideMark/>
          </w:tcPr>
          <w:p w14:paraId="45962524" w14:textId="4AB0ADED" w:rsidR="00542AC6" w:rsidRPr="00542AC6" w:rsidRDefault="00E828C6" w:rsidP="00542AC6">
            <w:pPr>
              <w:spacing w:after="0" w:line="240" w:lineRule="auto"/>
              <w:jc w:val="left"/>
              <w:rPr>
                <w:rFonts w:eastAsia="Times New Roman" w:cs="Arial"/>
                <w:color w:val="000000"/>
                <w:sz w:val="20"/>
                <w:szCs w:val="20"/>
                <w:lang w:eastAsia="fr-FR"/>
              </w:rPr>
            </w:pPr>
            <w:r>
              <w:rPr>
                <w:rFonts w:eastAsia="Times New Roman" w:cs="Arial"/>
                <w:color w:val="000000"/>
                <w:sz w:val="20"/>
                <w:szCs w:val="20"/>
                <w:lang w:eastAsia="fr-FR"/>
              </w:rPr>
              <w:t>Viande et poitrines SSF</w:t>
            </w:r>
            <w:r w:rsidR="00542AC6" w:rsidRPr="00542AC6">
              <w:rPr>
                <w:rFonts w:eastAsia="Times New Roman" w:cs="Arial"/>
                <w:color w:val="000000"/>
                <w:sz w:val="20"/>
                <w:szCs w:val="20"/>
                <w:lang w:eastAsia="fr-FR"/>
              </w:rPr>
              <w:t xml:space="preserve"> </w:t>
            </w:r>
          </w:p>
        </w:tc>
        <w:tc>
          <w:tcPr>
            <w:tcW w:w="1383" w:type="dxa"/>
            <w:tcBorders>
              <w:top w:val="nil"/>
              <w:left w:val="nil"/>
              <w:bottom w:val="single" w:sz="4" w:space="0" w:color="auto"/>
              <w:right w:val="single" w:sz="4" w:space="0" w:color="auto"/>
            </w:tcBorders>
            <w:shd w:val="clear" w:color="000000" w:fill="A6A6A6"/>
            <w:noWrap/>
            <w:vAlign w:val="center"/>
            <w:hideMark/>
          </w:tcPr>
          <w:p w14:paraId="2C1BB025" w14:textId="4D9502D2" w:rsidR="00542AC6" w:rsidRPr="00542AC6" w:rsidRDefault="00542AC6" w:rsidP="00521002">
            <w:pPr>
              <w:spacing w:after="0" w:line="240" w:lineRule="auto"/>
              <w:jc w:val="center"/>
              <w:rPr>
                <w:rFonts w:eastAsia="Times New Roman" w:cs="Arial"/>
                <w:b/>
                <w:bCs/>
                <w:color w:val="000000"/>
                <w:sz w:val="20"/>
                <w:szCs w:val="20"/>
                <w:lang w:eastAsia="fr-FR"/>
              </w:rPr>
            </w:pPr>
            <w:r w:rsidRPr="00542AC6">
              <w:rPr>
                <w:rFonts w:eastAsia="Times New Roman" w:cs="Arial"/>
                <w:b/>
                <w:bCs/>
                <w:color w:val="000000"/>
                <w:sz w:val="20"/>
                <w:szCs w:val="20"/>
                <w:lang w:eastAsia="fr-FR"/>
              </w:rPr>
              <w:t>1</w:t>
            </w:r>
            <w:r w:rsidR="0044419E">
              <w:rPr>
                <w:rFonts w:eastAsia="Times New Roman" w:cs="Arial"/>
                <w:b/>
                <w:bCs/>
                <w:color w:val="000000"/>
                <w:sz w:val="20"/>
                <w:szCs w:val="20"/>
                <w:lang w:eastAsia="fr-FR"/>
              </w:rPr>
              <w:t>71</w:t>
            </w:r>
          </w:p>
        </w:tc>
        <w:tc>
          <w:tcPr>
            <w:tcW w:w="176" w:type="dxa"/>
            <w:tcBorders>
              <w:top w:val="nil"/>
              <w:left w:val="nil"/>
              <w:bottom w:val="nil"/>
              <w:right w:val="nil"/>
            </w:tcBorders>
            <w:shd w:val="clear" w:color="auto" w:fill="auto"/>
            <w:vAlign w:val="center"/>
            <w:hideMark/>
          </w:tcPr>
          <w:p w14:paraId="3D413BA8" w14:textId="77777777" w:rsidR="00542AC6" w:rsidRPr="00542AC6" w:rsidRDefault="00542AC6" w:rsidP="00542AC6">
            <w:pPr>
              <w:spacing w:after="0" w:line="240" w:lineRule="auto"/>
              <w:jc w:val="center"/>
              <w:rPr>
                <w:rFonts w:eastAsia="Times New Roman" w:cs="Arial"/>
                <w:b/>
                <w:bCs/>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0A9A691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vAlign w:val="center"/>
            <w:hideMark/>
          </w:tcPr>
          <w:p w14:paraId="60BD33CC"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557900A9" w14:textId="4049066F" w:rsidR="00542AC6" w:rsidRPr="00542AC6" w:rsidRDefault="00542AC6" w:rsidP="00542AC6">
            <w:pPr>
              <w:spacing w:after="0" w:line="240" w:lineRule="auto"/>
              <w:jc w:val="center"/>
              <w:rPr>
                <w:rFonts w:eastAsia="Times New Roman" w:cs="Arial"/>
                <w:b/>
                <w:bCs/>
                <w:color w:val="000000"/>
                <w:sz w:val="20"/>
                <w:szCs w:val="20"/>
                <w:lang w:eastAsia="fr-FR"/>
              </w:rPr>
            </w:pPr>
            <w:r w:rsidRPr="00542AC6">
              <w:rPr>
                <w:rFonts w:eastAsia="Times New Roman" w:cs="Arial"/>
                <w:b/>
                <w:bCs/>
                <w:color w:val="000000"/>
                <w:sz w:val="20"/>
                <w:szCs w:val="20"/>
                <w:lang w:eastAsia="fr-FR"/>
              </w:rPr>
              <w:t>6</w:t>
            </w:r>
          </w:p>
        </w:tc>
        <w:tc>
          <w:tcPr>
            <w:tcW w:w="1559" w:type="dxa"/>
            <w:tcBorders>
              <w:top w:val="nil"/>
              <w:left w:val="nil"/>
              <w:bottom w:val="single" w:sz="4" w:space="0" w:color="auto"/>
              <w:right w:val="single" w:sz="4" w:space="0" w:color="auto"/>
            </w:tcBorders>
            <w:shd w:val="clear" w:color="000000" w:fill="A6A6A6"/>
            <w:noWrap/>
            <w:vAlign w:val="center"/>
            <w:hideMark/>
          </w:tcPr>
          <w:p w14:paraId="1E1B2E49" w14:textId="73FFD7B3" w:rsidR="00542AC6" w:rsidRPr="00542AC6" w:rsidRDefault="00542AC6" w:rsidP="00542AC6">
            <w:pPr>
              <w:spacing w:after="0" w:line="240" w:lineRule="auto"/>
              <w:jc w:val="center"/>
              <w:rPr>
                <w:rFonts w:eastAsia="Times New Roman" w:cs="Arial"/>
                <w:b/>
                <w:bCs/>
                <w:color w:val="000000"/>
                <w:sz w:val="20"/>
                <w:szCs w:val="20"/>
                <w:lang w:eastAsia="fr-FR"/>
              </w:rPr>
            </w:pPr>
            <w:r w:rsidRPr="00542AC6">
              <w:rPr>
                <w:rFonts w:eastAsia="Times New Roman" w:cs="Arial"/>
                <w:b/>
                <w:bCs/>
                <w:color w:val="000000"/>
                <w:sz w:val="20"/>
                <w:szCs w:val="20"/>
                <w:lang w:eastAsia="fr-FR"/>
              </w:rPr>
              <w:t>52</w:t>
            </w:r>
          </w:p>
        </w:tc>
        <w:tc>
          <w:tcPr>
            <w:tcW w:w="1134" w:type="dxa"/>
            <w:tcBorders>
              <w:top w:val="nil"/>
              <w:left w:val="nil"/>
              <w:bottom w:val="single" w:sz="4" w:space="0" w:color="auto"/>
              <w:right w:val="single" w:sz="4" w:space="0" w:color="auto"/>
            </w:tcBorders>
            <w:shd w:val="clear" w:color="000000" w:fill="A6A6A6"/>
            <w:noWrap/>
            <w:vAlign w:val="center"/>
            <w:hideMark/>
          </w:tcPr>
          <w:p w14:paraId="13CB66A9" w14:textId="2C805A92" w:rsidR="00542AC6" w:rsidRPr="00542AC6" w:rsidRDefault="00542AC6" w:rsidP="00542AC6">
            <w:pPr>
              <w:spacing w:after="0" w:line="240" w:lineRule="auto"/>
              <w:jc w:val="center"/>
              <w:rPr>
                <w:rFonts w:eastAsia="Times New Roman" w:cs="Arial"/>
                <w:b/>
                <w:bCs/>
                <w:color w:val="000000"/>
                <w:sz w:val="20"/>
                <w:szCs w:val="20"/>
                <w:lang w:eastAsia="fr-FR"/>
              </w:rPr>
            </w:pPr>
            <w:r w:rsidRPr="00542AC6">
              <w:rPr>
                <w:rFonts w:eastAsia="Times New Roman" w:cs="Arial"/>
                <w:b/>
                <w:bCs/>
                <w:color w:val="000000"/>
                <w:sz w:val="20"/>
                <w:szCs w:val="20"/>
                <w:lang w:eastAsia="fr-FR"/>
              </w:rPr>
              <w:t>214</w:t>
            </w:r>
          </w:p>
        </w:tc>
      </w:tr>
      <w:tr w:rsidR="008B1590" w:rsidRPr="00542AC6" w14:paraId="2BFA1D77" w14:textId="77777777" w:rsidTr="00A153D6">
        <w:trPr>
          <w:trHeight w:val="125"/>
        </w:trPr>
        <w:tc>
          <w:tcPr>
            <w:tcW w:w="5382" w:type="dxa"/>
            <w:gridSpan w:val="3"/>
            <w:tcBorders>
              <w:top w:val="single" w:sz="4" w:space="0" w:color="auto"/>
              <w:left w:val="single" w:sz="4" w:space="0" w:color="000000"/>
              <w:bottom w:val="single" w:sz="4" w:space="0" w:color="auto"/>
              <w:right w:val="single" w:sz="4" w:space="0" w:color="000000"/>
            </w:tcBorders>
            <w:shd w:val="clear" w:color="000000" w:fill="A6A6A6"/>
            <w:vAlign w:val="center"/>
            <w:hideMark/>
          </w:tcPr>
          <w:p w14:paraId="6EAC609C"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Viandes de porc salées, saumurées, séchées ou fumées</w:t>
            </w:r>
          </w:p>
        </w:tc>
        <w:tc>
          <w:tcPr>
            <w:tcW w:w="1383" w:type="dxa"/>
            <w:tcBorders>
              <w:top w:val="nil"/>
              <w:left w:val="nil"/>
              <w:bottom w:val="single" w:sz="4" w:space="0" w:color="auto"/>
              <w:right w:val="single" w:sz="4" w:space="0" w:color="auto"/>
            </w:tcBorders>
            <w:shd w:val="clear" w:color="000000" w:fill="A6A6A6"/>
            <w:noWrap/>
            <w:vAlign w:val="center"/>
            <w:hideMark/>
          </w:tcPr>
          <w:p w14:paraId="660327FF" w14:textId="3C9B1E66"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66</w:t>
            </w:r>
          </w:p>
        </w:tc>
        <w:tc>
          <w:tcPr>
            <w:tcW w:w="176" w:type="dxa"/>
            <w:tcBorders>
              <w:top w:val="nil"/>
              <w:left w:val="nil"/>
              <w:bottom w:val="nil"/>
              <w:right w:val="nil"/>
            </w:tcBorders>
            <w:shd w:val="clear" w:color="auto" w:fill="auto"/>
            <w:vAlign w:val="center"/>
            <w:hideMark/>
          </w:tcPr>
          <w:p w14:paraId="22224E0F"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191968EC"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vAlign w:val="center"/>
            <w:hideMark/>
          </w:tcPr>
          <w:p w14:paraId="7EDAE68B"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2ECB6745" w14:textId="0046D9B2"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w:t>
            </w:r>
          </w:p>
        </w:tc>
        <w:tc>
          <w:tcPr>
            <w:tcW w:w="1559" w:type="dxa"/>
            <w:tcBorders>
              <w:top w:val="nil"/>
              <w:left w:val="nil"/>
              <w:bottom w:val="single" w:sz="4" w:space="0" w:color="auto"/>
              <w:right w:val="single" w:sz="4" w:space="0" w:color="auto"/>
            </w:tcBorders>
            <w:shd w:val="clear" w:color="000000" w:fill="A6A6A6"/>
            <w:noWrap/>
            <w:vAlign w:val="center"/>
            <w:hideMark/>
          </w:tcPr>
          <w:p w14:paraId="4C4596CF" w14:textId="0E7A875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45</w:t>
            </w:r>
          </w:p>
        </w:tc>
        <w:tc>
          <w:tcPr>
            <w:tcW w:w="1134" w:type="dxa"/>
            <w:tcBorders>
              <w:top w:val="nil"/>
              <w:left w:val="nil"/>
              <w:bottom w:val="single" w:sz="4" w:space="0" w:color="auto"/>
              <w:right w:val="single" w:sz="4" w:space="0" w:color="auto"/>
            </w:tcBorders>
            <w:shd w:val="clear" w:color="000000" w:fill="A6A6A6"/>
            <w:noWrap/>
            <w:vAlign w:val="center"/>
            <w:hideMark/>
          </w:tcPr>
          <w:p w14:paraId="24B76DC0" w14:textId="5CC33F11"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109</w:t>
            </w:r>
          </w:p>
        </w:tc>
      </w:tr>
      <w:tr w:rsidR="008B1590" w:rsidRPr="00542AC6" w14:paraId="05086208" w14:textId="77777777" w:rsidTr="00A153D6">
        <w:trPr>
          <w:trHeight w:val="125"/>
        </w:trPr>
        <w:tc>
          <w:tcPr>
            <w:tcW w:w="1555" w:type="dxa"/>
            <w:vMerge w:val="restart"/>
            <w:tcBorders>
              <w:top w:val="nil"/>
              <w:left w:val="single" w:sz="4" w:space="0" w:color="auto"/>
              <w:bottom w:val="single" w:sz="4" w:space="0" w:color="000000"/>
              <w:right w:val="single" w:sz="4" w:space="0" w:color="auto"/>
            </w:tcBorders>
            <w:shd w:val="clear" w:color="auto" w:fill="auto"/>
            <w:vAlign w:val="center"/>
            <w:hideMark/>
          </w:tcPr>
          <w:p w14:paraId="35493958"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xml:space="preserve">10.13.11.20 = 0210[.11(.11 + .19 + .31 + .39 + .90)] </w:t>
            </w:r>
          </w:p>
        </w:tc>
        <w:tc>
          <w:tcPr>
            <w:tcW w:w="992" w:type="dxa"/>
            <w:tcBorders>
              <w:top w:val="nil"/>
              <w:left w:val="nil"/>
              <w:bottom w:val="single" w:sz="4" w:space="0" w:color="auto"/>
              <w:right w:val="single" w:sz="4" w:space="0" w:color="auto"/>
            </w:tcBorders>
            <w:shd w:val="clear" w:color="auto" w:fill="auto"/>
            <w:noWrap/>
            <w:vAlign w:val="center"/>
            <w:hideMark/>
          </w:tcPr>
          <w:p w14:paraId="5529BA03"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w:t>
            </w:r>
          </w:p>
        </w:tc>
        <w:tc>
          <w:tcPr>
            <w:tcW w:w="2835" w:type="dxa"/>
            <w:tcBorders>
              <w:top w:val="nil"/>
              <w:left w:val="nil"/>
              <w:bottom w:val="single" w:sz="4" w:space="0" w:color="auto"/>
              <w:right w:val="single" w:sz="4" w:space="0" w:color="auto"/>
            </w:tcBorders>
            <w:shd w:val="clear" w:color="auto" w:fill="auto"/>
            <w:vAlign w:val="center"/>
            <w:hideMark/>
          </w:tcPr>
          <w:p w14:paraId="3CD1E526"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Jambons avec os</w:t>
            </w:r>
          </w:p>
        </w:tc>
        <w:tc>
          <w:tcPr>
            <w:tcW w:w="1383" w:type="dxa"/>
            <w:vMerge w:val="restart"/>
            <w:tcBorders>
              <w:top w:val="nil"/>
              <w:left w:val="single" w:sz="4" w:space="0" w:color="auto"/>
              <w:bottom w:val="nil"/>
              <w:right w:val="single" w:sz="4" w:space="0" w:color="auto"/>
            </w:tcBorders>
            <w:shd w:val="clear" w:color="auto" w:fill="auto"/>
            <w:noWrap/>
            <w:vAlign w:val="center"/>
            <w:hideMark/>
          </w:tcPr>
          <w:p w14:paraId="5B50B766"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7</w:t>
            </w:r>
          </w:p>
        </w:tc>
        <w:tc>
          <w:tcPr>
            <w:tcW w:w="176" w:type="dxa"/>
            <w:tcBorders>
              <w:top w:val="nil"/>
              <w:left w:val="nil"/>
              <w:bottom w:val="nil"/>
              <w:right w:val="nil"/>
            </w:tcBorders>
            <w:shd w:val="clear" w:color="auto" w:fill="auto"/>
            <w:vAlign w:val="center"/>
            <w:hideMark/>
          </w:tcPr>
          <w:p w14:paraId="4298A0AB" w14:textId="77777777" w:rsidR="00542AC6" w:rsidRPr="00542AC6" w:rsidRDefault="00542AC6" w:rsidP="00542AC6">
            <w:pPr>
              <w:spacing w:after="0" w:line="240" w:lineRule="auto"/>
              <w:jc w:val="right"/>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4588713"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Jambons SS</w:t>
            </w:r>
          </w:p>
        </w:tc>
        <w:tc>
          <w:tcPr>
            <w:tcW w:w="1276" w:type="dxa"/>
            <w:tcBorders>
              <w:top w:val="nil"/>
              <w:left w:val="nil"/>
              <w:bottom w:val="single" w:sz="4" w:space="0" w:color="auto"/>
              <w:right w:val="single" w:sz="4" w:space="0" w:color="auto"/>
            </w:tcBorders>
            <w:shd w:val="clear" w:color="auto" w:fill="auto"/>
            <w:vAlign w:val="center"/>
            <w:hideMark/>
          </w:tcPr>
          <w:p w14:paraId="0342E4A2" w14:textId="084B413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02101111</w:t>
            </w:r>
          </w:p>
        </w:tc>
        <w:tc>
          <w:tcPr>
            <w:tcW w:w="1276" w:type="dxa"/>
            <w:tcBorders>
              <w:top w:val="nil"/>
              <w:left w:val="nil"/>
              <w:bottom w:val="single" w:sz="4" w:space="0" w:color="auto"/>
              <w:right w:val="single" w:sz="4" w:space="0" w:color="auto"/>
            </w:tcBorders>
            <w:shd w:val="clear" w:color="auto" w:fill="auto"/>
            <w:noWrap/>
            <w:vAlign w:val="center"/>
            <w:hideMark/>
          </w:tcPr>
          <w:p w14:paraId="3849D0BA" w14:textId="53CA05B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02D93A0E" w14:textId="3811FFE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0,4</w:t>
            </w:r>
          </w:p>
        </w:tc>
        <w:tc>
          <w:tcPr>
            <w:tcW w:w="1134" w:type="dxa"/>
            <w:vMerge w:val="restart"/>
            <w:tcBorders>
              <w:top w:val="nil"/>
              <w:left w:val="single" w:sz="4" w:space="0" w:color="auto"/>
              <w:bottom w:val="nil"/>
              <w:right w:val="single" w:sz="4" w:space="0" w:color="auto"/>
            </w:tcBorders>
            <w:shd w:val="clear" w:color="auto" w:fill="auto"/>
            <w:noWrap/>
            <w:vAlign w:val="center"/>
            <w:hideMark/>
          </w:tcPr>
          <w:p w14:paraId="6294E454" w14:textId="03F352B4"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13</w:t>
            </w:r>
          </w:p>
        </w:tc>
      </w:tr>
      <w:tr w:rsidR="008B1590" w:rsidRPr="00542AC6" w14:paraId="45104C07"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2DA58C86"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430CAC53" w14:textId="2968ABB0"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583BB61B"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vMerge/>
            <w:tcBorders>
              <w:top w:val="nil"/>
              <w:left w:val="single" w:sz="4" w:space="0" w:color="auto"/>
              <w:bottom w:val="nil"/>
              <w:right w:val="single" w:sz="4" w:space="0" w:color="auto"/>
            </w:tcBorders>
            <w:vAlign w:val="center"/>
            <w:hideMark/>
          </w:tcPr>
          <w:p w14:paraId="05C60E5E" w14:textId="77777777"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1A21D67C"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1F2E1E94"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Jambons SF</w:t>
            </w:r>
          </w:p>
        </w:tc>
        <w:tc>
          <w:tcPr>
            <w:tcW w:w="1276" w:type="dxa"/>
            <w:tcBorders>
              <w:top w:val="nil"/>
              <w:left w:val="nil"/>
              <w:bottom w:val="single" w:sz="4" w:space="0" w:color="auto"/>
              <w:right w:val="single" w:sz="4" w:space="0" w:color="auto"/>
            </w:tcBorders>
            <w:shd w:val="clear" w:color="auto" w:fill="auto"/>
            <w:vAlign w:val="center"/>
            <w:hideMark/>
          </w:tcPr>
          <w:p w14:paraId="4757CAD6" w14:textId="4A12744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02101131</w:t>
            </w:r>
          </w:p>
        </w:tc>
        <w:tc>
          <w:tcPr>
            <w:tcW w:w="1276" w:type="dxa"/>
            <w:tcBorders>
              <w:top w:val="nil"/>
              <w:left w:val="nil"/>
              <w:bottom w:val="single" w:sz="4" w:space="0" w:color="auto"/>
              <w:right w:val="single" w:sz="4" w:space="0" w:color="auto"/>
            </w:tcBorders>
            <w:shd w:val="clear" w:color="auto" w:fill="auto"/>
            <w:noWrap/>
            <w:vAlign w:val="center"/>
            <w:hideMark/>
          </w:tcPr>
          <w:p w14:paraId="0E0D60FE" w14:textId="4A0583A1"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w:t>
            </w:r>
          </w:p>
        </w:tc>
        <w:tc>
          <w:tcPr>
            <w:tcW w:w="1559" w:type="dxa"/>
            <w:tcBorders>
              <w:top w:val="nil"/>
              <w:left w:val="nil"/>
              <w:bottom w:val="single" w:sz="4" w:space="0" w:color="auto"/>
              <w:right w:val="single" w:sz="4" w:space="0" w:color="auto"/>
            </w:tcBorders>
            <w:shd w:val="clear" w:color="auto" w:fill="auto"/>
            <w:noWrap/>
            <w:vAlign w:val="center"/>
            <w:hideMark/>
          </w:tcPr>
          <w:p w14:paraId="324E9D4E" w14:textId="77BDED46"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6,2</w:t>
            </w:r>
          </w:p>
        </w:tc>
        <w:tc>
          <w:tcPr>
            <w:tcW w:w="1134" w:type="dxa"/>
            <w:vMerge/>
            <w:tcBorders>
              <w:top w:val="nil"/>
              <w:left w:val="single" w:sz="4" w:space="0" w:color="auto"/>
              <w:bottom w:val="nil"/>
              <w:right w:val="single" w:sz="4" w:space="0" w:color="auto"/>
            </w:tcBorders>
            <w:vAlign w:val="center"/>
            <w:hideMark/>
          </w:tcPr>
          <w:p w14:paraId="0CF5998C"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4419B358"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1D417CEA"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7461E4B6"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w:t>
            </w:r>
          </w:p>
        </w:tc>
        <w:tc>
          <w:tcPr>
            <w:tcW w:w="2835" w:type="dxa"/>
            <w:tcBorders>
              <w:top w:val="nil"/>
              <w:left w:val="nil"/>
              <w:bottom w:val="single" w:sz="4" w:space="0" w:color="auto"/>
              <w:right w:val="single" w:sz="4" w:space="0" w:color="auto"/>
            </w:tcBorders>
            <w:shd w:val="clear" w:color="auto" w:fill="auto"/>
            <w:vAlign w:val="center"/>
            <w:hideMark/>
          </w:tcPr>
          <w:p w14:paraId="6A9013CC"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Épaules, palettes avec os</w:t>
            </w:r>
          </w:p>
        </w:tc>
        <w:tc>
          <w:tcPr>
            <w:tcW w:w="138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345478B7" w14:textId="0D6C8F1F"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4</w:t>
            </w:r>
          </w:p>
        </w:tc>
        <w:tc>
          <w:tcPr>
            <w:tcW w:w="176" w:type="dxa"/>
            <w:tcBorders>
              <w:top w:val="nil"/>
              <w:left w:val="nil"/>
              <w:bottom w:val="nil"/>
              <w:right w:val="nil"/>
            </w:tcBorders>
            <w:shd w:val="clear" w:color="auto" w:fill="auto"/>
            <w:vAlign w:val="center"/>
            <w:hideMark/>
          </w:tcPr>
          <w:p w14:paraId="27A7C4C5" w14:textId="77777777" w:rsidR="00542AC6" w:rsidRPr="00542AC6" w:rsidRDefault="00542AC6" w:rsidP="00542AC6">
            <w:pPr>
              <w:spacing w:after="0" w:line="240" w:lineRule="auto"/>
              <w:jc w:val="right"/>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6A348D8F"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Epaules SS</w:t>
            </w:r>
          </w:p>
        </w:tc>
        <w:tc>
          <w:tcPr>
            <w:tcW w:w="1276" w:type="dxa"/>
            <w:tcBorders>
              <w:top w:val="nil"/>
              <w:left w:val="nil"/>
              <w:bottom w:val="single" w:sz="4" w:space="0" w:color="auto"/>
              <w:right w:val="single" w:sz="4" w:space="0" w:color="auto"/>
            </w:tcBorders>
            <w:shd w:val="clear" w:color="auto" w:fill="auto"/>
            <w:vAlign w:val="center"/>
            <w:hideMark/>
          </w:tcPr>
          <w:p w14:paraId="7D279889" w14:textId="41030389"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02101119</w:t>
            </w:r>
          </w:p>
        </w:tc>
        <w:tc>
          <w:tcPr>
            <w:tcW w:w="1276" w:type="dxa"/>
            <w:tcBorders>
              <w:top w:val="nil"/>
              <w:left w:val="nil"/>
              <w:bottom w:val="single" w:sz="4" w:space="0" w:color="auto"/>
              <w:right w:val="single" w:sz="4" w:space="0" w:color="auto"/>
            </w:tcBorders>
            <w:shd w:val="clear" w:color="auto" w:fill="auto"/>
            <w:noWrap/>
            <w:vAlign w:val="center"/>
            <w:hideMark/>
          </w:tcPr>
          <w:p w14:paraId="7313CE0E" w14:textId="42A7DC1E"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xml:space="preserve">0,0   </w:t>
            </w:r>
          </w:p>
        </w:tc>
        <w:tc>
          <w:tcPr>
            <w:tcW w:w="1559" w:type="dxa"/>
            <w:tcBorders>
              <w:top w:val="nil"/>
              <w:left w:val="nil"/>
              <w:bottom w:val="single" w:sz="4" w:space="0" w:color="auto"/>
              <w:right w:val="single" w:sz="4" w:space="0" w:color="auto"/>
            </w:tcBorders>
            <w:shd w:val="clear" w:color="auto" w:fill="auto"/>
            <w:noWrap/>
            <w:vAlign w:val="center"/>
            <w:hideMark/>
          </w:tcPr>
          <w:p w14:paraId="59D4ECE4" w14:textId="384CB0F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134" w:type="dxa"/>
            <w:vMerge w:val="restart"/>
            <w:tcBorders>
              <w:top w:val="single" w:sz="4" w:space="0" w:color="auto"/>
              <w:left w:val="single" w:sz="4" w:space="0" w:color="auto"/>
              <w:bottom w:val="nil"/>
              <w:right w:val="single" w:sz="4" w:space="0" w:color="auto"/>
            </w:tcBorders>
            <w:shd w:val="clear" w:color="auto" w:fill="auto"/>
            <w:noWrap/>
            <w:vAlign w:val="center"/>
            <w:hideMark/>
          </w:tcPr>
          <w:p w14:paraId="5890BFC4" w14:textId="2593AD79"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4</w:t>
            </w:r>
          </w:p>
        </w:tc>
      </w:tr>
      <w:tr w:rsidR="008B1590" w:rsidRPr="00542AC6" w14:paraId="5A205BD0"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29021B73"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50E3D482" w14:textId="2F8F56C1"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4F5C4EE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vMerge/>
            <w:tcBorders>
              <w:top w:val="single" w:sz="4" w:space="0" w:color="auto"/>
              <w:left w:val="single" w:sz="4" w:space="0" w:color="auto"/>
              <w:bottom w:val="single" w:sz="4" w:space="0" w:color="000000"/>
              <w:right w:val="single" w:sz="4" w:space="0" w:color="auto"/>
            </w:tcBorders>
            <w:vAlign w:val="center"/>
            <w:hideMark/>
          </w:tcPr>
          <w:p w14:paraId="234AC470" w14:textId="77777777"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065EC718" w14:textId="77777777" w:rsidR="00542AC6" w:rsidRPr="00542AC6" w:rsidRDefault="00542AC6" w:rsidP="00542AC6">
            <w:pPr>
              <w:spacing w:after="0" w:line="240" w:lineRule="auto"/>
              <w:jc w:val="left"/>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D08A55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Epaules SF</w:t>
            </w:r>
          </w:p>
        </w:tc>
        <w:tc>
          <w:tcPr>
            <w:tcW w:w="1276" w:type="dxa"/>
            <w:tcBorders>
              <w:top w:val="nil"/>
              <w:left w:val="nil"/>
              <w:bottom w:val="nil"/>
              <w:right w:val="single" w:sz="4" w:space="0" w:color="auto"/>
            </w:tcBorders>
            <w:shd w:val="clear" w:color="auto" w:fill="auto"/>
            <w:vAlign w:val="center"/>
            <w:hideMark/>
          </w:tcPr>
          <w:p w14:paraId="4FBC7265" w14:textId="698449C5"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02101139</w:t>
            </w:r>
          </w:p>
        </w:tc>
        <w:tc>
          <w:tcPr>
            <w:tcW w:w="1276" w:type="dxa"/>
            <w:tcBorders>
              <w:top w:val="nil"/>
              <w:left w:val="nil"/>
              <w:bottom w:val="nil"/>
              <w:right w:val="single" w:sz="4" w:space="0" w:color="auto"/>
            </w:tcBorders>
            <w:shd w:val="clear" w:color="auto" w:fill="auto"/>
            <w:noWrap/>
            <w:vAlign w:val="center"/>
            <w:hideMark/>
          </w:tcPr>
          <w:p w14:paraId="0B7D5A8C" w14:textId="0F51F5E2"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xml:space="preserve">0,0   </w:t>
            </w:r>
          </w:p>
        </w:tc>
        <w:tc>
          <w:tcPr>
            <w:tcW w:w="1559" w:type="dxa"/>
            <w:tcBorders>
              <w:top w:val="nil"/>
              <w:left w:val="nil"/>
              <w:bottom w:val="nil"/>
              <w:right w:val="single" w:sz="4" w:space="0" w:color="auto"/>
            </w:tcBorders>
            <w:shd w:val="clear" w:color="auto" w:fill="auto"/>
            <w:noWrap/>
            <w:vAlign w:val="center"/>
            <w:hideMark/>
          </w:tcPr>
          <w:p w14:paraId="630755C5" w14:textId="2F0BAF95"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0,1</w:t>
            </w:r>
          </w:p>
        </w:tc>
        <w:tc>
          <w:tcPr>
            <w:tcW w:w="1134" w:type="dxa"/>
            <w:vMerge/>
            <w:tcBorders>
              <w:top w:val="single" w:sz="4" w:space="0" w:color="auto"/>
              <w:left w:val="single" w:sz="4" w:space="0" w:color="auto"/>
              <w:bottom w:val="nil"/>
              <w:right w:val="single" w:sz="4" w:space="0" w:color="auto"/>
            </w:tcBorders>
            <w:vAlign w:val="center"/>
            <w:hideMark/>
          </w:tcPr>
          <w:p w14:paraId="2B724727"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CC0EFC" w:rsidRPr="00542AC6" w14:paraId="6EE9C35D" w14:textId="77777777" w:rsidTr="00A153D6">
        <w:trPr>
          <w:trHeight w:val="125"/>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266F20B1" w14:textId="77777777" w:rsidR="00542AC6" w:rsidRPr="00542AC6" w:rsidRDefault="00542AC6" w:rsidP="00542AC6">
            <w:pPr>
              <w:spacing w:after="0" w:line="240" w:lineRule="auto"/>
              <w:jc w:val="left"/>
              <w:rPr>
                <w:rFonts w:eastAsia="Times New Roman" w:cs="Arial"/>
                <w:i/>
                <w:iCs/>
                <w:sz w:val="20"/>
                <w:szCs w:val="20"/>
                <w:lang w:eastAsia="fr-FR"/>
              </w:rPr>
            </w:pPr>
            <w:r w:rsidRPr="00542AC6">
              <w:rPr>
                <w:rFonts w:eastAsia="Times New Roman" w:cs="Arial"/>
                <w:i/>
                <w:iCs/>
                <w:sz w:val="20"/>
                <w:szCs w:val="20"/>
                <w:lang w:eastAsia="fr-FR"/>
              </w:rPr>
              <w:t> </w:t>
            </w:r>
          </w:p>
        </w:tc>
        <w:tc>
          <w:tcPr>
            <w:tcW w:w="992" w:type="dxa"/>
            <w:tcBorders>
              <w:top w:val="nil"/>
              <w:left w:val="nil"/>
              <w:bottom w:val="single" w:sz="4" w:space="0" w:color="auto"/>
              <w:right w:val="single" w:sz="4" w:space="0" w:color="auto"/>
            </w:tcBorders>
            <w:shd w:val="clear" w:color="auto" w:fill="auto"/>
            <w:noWrap/>
            <w:vAlign w:val="center"/>
            <w:hideMark/>
          </w:tcPr>
          <w:p w14:paraId="1045EFE2" w14:textId="28FFFF75" w:rsidR="00542AC6" w:rsidRPr="00542AC6" w:rsidRDefault="00542AC6" w:rsidP="00521002">
            <w:pPr>
              <w:spacing w:after="0" w:line="240" w:lineRule="auto"/>
              <w:jc w:val="center"/>
              <w:rPr>
                <w:rFonts w:eastAsia="Times New Roman" w:cs="Arial"/>
                <w:i/>
                <w:iCs/>
                <w:color w:val="000000"/>
                <w:sz w:val="20"/>
                <w:szCs w:val="20"/>
                <w:lang w:eastAsia="fr-FR"/>
              </w:rPr>
            </w:pPr>
          </w:p>
        </w:tc>
        <w:tc>
          <w:tcPr>
            <w:tcW w:w="2835" w:type="dxa"/>
            <w:tcBorders>
              <w:top w:val="nil"/>
              <w:left w:val="nil"/>
              <w:bottom w:val="single" w:sz="4" w:space="0" w:color="auto"/>
              <w:right w:val="single" w:sz="4" w:space="0" w:color="auto"/>
            </w:tcBorders>
            <w:shd w:val="clear" w:color="000000" w:fill="A6A6A6"/>
            <w:vAlign w:val="center"/>
            <w:hideMark/>
          </w:tcPr>
          <w:p w14:paraId="661072D0"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xml:space="preserve">Animaux non domestiques </w:t>
            </w:r>
          </w:p>
        </w:tc>
        <w:tc>
          <w:tcPr>
            <w:tcW w:w="1383" w:type="dxa"/>
            <w:tcBorders>
              <w:top w:val="nil"/>
              <w:left w:val="nil"/>
              <w:bottom w:val="single" w:sz="4" w:space="0" w:color="auto"/>
              <w:right w:val="single" w:sz="4" w:space="0" w:color="auto"/>
            </w:tcBorders>
            <w:shd w:val="clear" w:color="000000" w:fill="A6A6A6"/>
            <w:noWrap/>
            <w:vAlign w:val="center"/>
            <w:hideMark/>
          </w:tcPr>
          <w:p w14:paraId="20117ADE" w14:textId="77777777" w:rsidR="00542AC6" w:rsidRPr="00542AC6" w:rsidRDefault="00542AC6" w:rsidP="00521002">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Négligeable</w:t>
            </w:r>
          </w:p>
        </w:tc>
        <w:tc>
          <w:tcPr>
            <w:tcW w:w="176" w:type="dxa"/>
            <w:tcBorders>
              <w:top w:val="nil"/>
              <w:left w:val="nil"/>
              <w:bottom w:val="nil"/>
              <w:right w:val="nil"/>
            </w:tcBorders>
            <w:shd w:val="clear" w:color="000000" w:fill="A6A6A6"/>
            <w:vAlign w:val="center"/>
            <w:hideMark/>
          </w:tcPr>
          <w:p w14:paraId="59A3604D"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6BB25904" w14:textId="77777777" w:rsidR="00542AC6" w:rsidRPr="00542AC6" w:rsidRDefault="00542AC6" w:rsidP="00542AC6">
            <w:pPr>
              <w:spacing w:after="0" w:line="240" w:lineRule="auto"/>
              <w:jc w:val="left"/>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276" w:type="dxa"/>
            <w:tcBorders>
              <w:top w:val="single" w:sz="4" w:space="0" w:color="auto"/>
              <w:left w:val="nil"/>
              <w:bottom w:val="single" w:sz="4" w:space="0" w:color="auto"/>
              <w:right w:val="single" w:sz="4" w:space="0" w:color="auto"/>
            </w:tcBorders>
            <w:shd w:val="clear" w:color="000000" w:fill="A6A6A6"/>
            <w:noWrap/>
            <w:vAlign w:val="center"/>
            <w:hideMark/>
          </w:tcPr>
          <w:p w14:paraId="340DCFA3"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02101190</w:t>
            </w:r>
          </w:p>
        </w:tc>
        <w:tc>
          <w:tcPr>
            <w:tcW w:w="1276" w:type="dxa"/>
            <w:tcBorders>
              <w:top w:val="single" w:sz="4" w:space="0" w:color="auto"/>
              <w:left w:val="nil"/>
              <w:bottom w:val="single" w:sz="4" w:space="0" w:color="auto"/>
              <w:right w:val="single" w:sz="4" w:space="0" w:color="auto"/>
            </w:tcBorders>
            <w:shd w:val="clear" w:color="000000" w:fill="A6A6A6"/>
            <w:vAlign w:val="center"/>
            <w:hideMark/>
          </w:tcPr>
          <w:p w14:paraId="10E36A52"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559" w:type="dxa"/>
            <w:tcBorders>
              <w:top w:val="single" w:sz="4" w:space="0" w:color="auto"/>
              <w:left w:val="nil"/>
              <w:bottom w:val="single" w:sz="4" w:space="0" w:color="auto"/>
              <w:right w:val="single" w:sz="4" w:space="0" w:color="auto"/>
            </w:tcBorders>
            <w:shd w:val="clear" w:color="000000" w:fill="A6A6A6"/>
            <w:vAlign w:val="center"/>
            <w:hideMark/>
          </w:tcPr>
          <w:p w14:paraId="7F7297EA"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134" w:type="dxa"/>
            <w:tcBorders>
              <w:top w:val="single" w:sz="4" w:space="0" w:color="auto"/>
              <w:left w:val="nil"/>
              <w:bottom w:val="single" w:sz="4" w:space="0" w:color="auto"/>
              <w:right w:val="single" w:sz="4" w:space="0" w:color="auto"/>
            </w:tcBorders>
            <w:shd w:val="clear" w:color="000000" w:fill="A6A6A6"/>
            <w:vAlign w:val="center"/>
            <w:hideMark/>
          </w:tcPr>
          <w:p w14:paraId="6A3ADAD3"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r>
      <w:tr w:rsidR="008B1590" w:rsidRPr="00542AC6" w14:paraId="7FFDD3A5" w14:textId="77777777" w:rsidTr="00A153D6">
        <w:trPr>
          <w:trHeight w:val="125"/>
        </w:trPr>
        <w:tc>
          <w:tcPr>
            <w:tcW w:w="1555" w:type="dxa"/>
            <w:vMerge w:val="restart"/>
            <w:tcBorders>
              <w:top w:val="nil"/>
              <w:left w:val="single" w:sz="4" w:space="0" w:color="auto"/>
              <w:bottom w:val="single" w:sz="4" w:space="0" w:color="000000"/>
              <w:right w:val="single" w:sz="4" w:space="0" w:color="auto"/>
            </w:tcBorders>
            <w:shd w:val="clear" w:color="auto" w:fill="auto"/>
            <w:vAlign w:val="center"/>
            <w:hideMark/>
          </w:tcPr>
          <w:p w14:paraId="18F8CA83" w14:textId="77777777"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10.13.11.80 = 0210[.19(.10 + .20 + .30 + .40 + .50 + .60 + .70 + .81 + .89 + .90)]</w:t>
            </w:r>
          </w:p>
        </w:tc>
        <w:tc>
          <w:tcPr>
            <w:tcW w:w="992" w:type="dxa"/>
            <w:tcBorders>
              <w:top w:val="nil"/>
              <w:left w:val="nil"/>
              <w:bottom w:val="single" w:sz="4" w:space="0" w:color="auto"/>
              <w:right w:val="single" w:sz="4" w:space="0" w:color="auto"/>
            </w:tcBorders>
            <w:shd w:val="clear" w:color="auto" w:fill="auto"/>
            <w:noWrap/>
            <w:vAlign w:val="center"/>
            <w:hideMark/>
          </w:tcPr>
          <w:p w14:paraId="1B7DC3A8"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w:t>
            </w:r>
          </w:p>
        </w:tc>
        <w:tc>
          <w:tcPr>
            <w:tcW w:w="2835" w:type="dxa"/>
            <w:tcBorders>
              <w:top w:val="nil"/>
              <w:left w:val="nil"/>
              <w:bottom w:val="single" w:sz="4" w:space="0" w:color="auto"/>
              <w:right w:val="single" w:sz="4" w:space="0" w:color="auto"/>
            </w:tcBorders>
            <w:shd w:val="clear" w:color="auto" w:fill="auto"/>
            <w:vAlign w:val="center"/>
            <w:hideMark/>
          </w:tcPr>
          <w:p w14:paraId="42C7C31F"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Jambons désossés</w:t>
            </w:r>
          </w:p>
        </w:tc>
        <w:tc>
          <w:tcPr>
            <w:tcW w:w="1383" w:type="dxa"/>
            <w:tcBorders>
              <w:top w:val="nil"/>
              <w:left w:val="nil"/>
              <w:bottom w:val="single" w:sz="4" w:space="0" w:color="000000"/>
              <w:right w:val="single" w:sz="4" w:space="0" w:color="000000"/>
            </w:tcBorders>
            <w:shd w:val="clear" w:color="auto" w:fill="auto"/>
            <w:noWrap/>
            <w:vAlign w:val="center"/>
            <w:hideMark/>
          </w:tcPr>
          <w:p w14:paraId="049553DB" w14:textId="6E80A0DB"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34</w:t>
            </w:r>
          </w:p>
        </w:tc>
        <w:tc>
          <w:tcPr>
            <w:tcW w:w="176" w:type="dxa"/>
            <w:tcBorders>
              <w:top w:val="nil"/>
              <w:left w:val="nil"/>
              <w:bottom w:val="nil"/>
              <w:right w:val="nil"/>
            </w:tcBorders>
            <w:shd w:val="clear" w:color="auto" w:fill="auto"/>
            <w:vAlign w:val="center"/>
            <w:hideMark/>
          </w:tcPr>
          <w:p w14:paraId="6FBEB8FF"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02CBF092"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Viandes désossées SF</w:t>
            </w:r>
          </w:p>
        </w:tc>
        <w:tc>
          <w:tcPr>
            <w:tcW w:w="1276" w:type="dxa"/>
            <w:tcBorders>
              <w:top w:val="nil"/>
              <w:left w:val="nil"/>
              <w:bottom w:val="single" w:sz="4" w:space="0" w:color="auto"/>
              <w:right w:val="single" w:sz="4" w:space="0" w:color="auto"/>
            </w:tcBorders>
            <w:shd w:val="clear" w:color="auto" w:fill="auto"/>
            <w:vAlign w:val="center"/>
            <w:hideMark/>
          </w:tcPr>
          <w:p w14:paraId="64D8D419" w14:textId="01EDE4DE"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02101981</w:t>
            </w:r>
          </w:p>
        </w:tc>
        <w:tc>
          <w:tcPr>
            <w:tcW w:w="1276" w:type="dxa"/>
            <w:tcBorders>
              <w:top w:val="nil"/>
              <w:left w:val="nil"/>
              <w:bottom w:val="single" w:sz="4" w:space="0" w:color="auto"/>
              <w:right w:val="single" w:sz="4" w:space="0" w:color="auto"/>
            </w:tcBorders>
            <w:shd w:val="clear" w:color="auto" w:fill="auto"/>
            <w:noWrap/>
            <w:vAlign w:val="center"/>
            <w:hideMark/>
          </w:tcPr>
          <w:p w14:paraId="6D4DB2BA" w14:textId="3C722478"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1,3</w:t>
            </w:r>
          </w:p>
        </w:tc>
        <w:tc>
          <w:tcPr>
            <w:tcW w:w="1559" w:type="dxa"/>
            <w:tcBorders>
              <w:top w:val="nil"/>
              <w:left w:val="nil"/>
              <w:bottom w:val="single" w:sz="4" w:space="0" w:color="auto"/>
              <w:right w:val="single" w:sz="4" w:space="0" w:color="auto"/>
            </w:tcBorders>
            <w:shd w:val="clear" w:color="auto" w:fill="auto"/>
            <w:noWrap/>
            <w:vAlign w:val="center"/>
            <w:hideMark/>
          </w:tcPr>
          <w:p w14:paraId="58CE6CC6" w14:textId="05C08ED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32,0</w:t>
            </w:r>
          </w:p>
        </w:tc>
        <w:tc>
          <w:tcPr>
            <w:tcW w:w="1134"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22FD4A8"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91</w:t>
            </w:r>
          </w:p>
        </w:tc>
      </w:tr>
      <w:tr w:rsidR="008B1590" w:rsidRPr="00542AC6" w14:paraId="0FB8B514"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47AD5E00"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60FBF68C"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w:t>
            </w:r>
          </w:p>
        </w:tc>
        <w:tc>
          <w:tcPr>
            <w:tcW w:w="2835" w:type="dxa"/>
            <w:tcBorders>
              <w:top w:val="nil"/>
              <w:left w:val="nil"/>
              <w:bottom w:val="single" w:sz="4" w:space="0" w:color="auto"/>
              <w:right w:val="single" w:sz="4" w:space="0" w:color="auto"/>
            </w:tcBorders>
            <w:shd w:val="clear" w:color="auto" w:fill="auto"/>
            <w:vAlign w:val="center"/>
            <w:hideMark/>
          </w:tcPr>
          <w:p w14:paraId="3D2E3CD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Épaules, palettes désossées</w:t>
            </w:r>
          </w:p>
        </w:tc>
        <w:tc>
          <w:tcPr>
            <w:tcW w:w="1383" w:type="dxa"/>
            <w:tcBorders>
              <w:top w:val="nil"/>
              <w:left w:val="nil"/>
              <w:bottom w:val="single" w:sz="4" w:space="0" w:color="auto"/>
              <w:right w:val="single" w:sz="4" w:space="0" w:color="auto"/>
            </w:tcBorders>
            <w:shd w:val="clear" w:color="auto" w:fill="auto"/>
            <w:noWrap/>
            <w:vAlign w:val="center"/>
            <w:hideMark/>
          </w:tcPr>
          <w:p w14:paraId="31DFDD3E" w14:textId="10510B6F"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4</w:t>
            </w:r>
          </w:p>
        </w:tc>
        <w:tc>
          <w:tcPr>
            <w:tcW w:w="176" w:type="dxa"/>
            <w:tcBorders>
              <w:top w:val="nil"/>
              <w:left w:val="nil"/>
              <w:bottom w:val="nil"/>
              <w:right w:val="nil"/>
            </w:tcBorders>
            <w:shd w:val="clear" w:color="auto" w:fill="auto"/>
            <w:vAlign w:val="center"/>
            <w:hideMark/>
          </w:tcPr>
          <w:p w14:paraId="743759A7"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0A775C79"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Parties avant SS</w:t>
            </w:r>
          </w:p>
        </w:tc>
        <w:tc>
          <w:tcPr>
            <w:tcW w:w="1276" w:type="dxa"/>
            <w:tcBorders>
              <w:top w:val="nil"/>
              <w:left w:val="nil"/>
              <w:bottom w:val="single" w:sz="4" w:space="0" w:color="auto"/>
              <w:right w:val="single" w:sz="4" w:space="0" w:color="auto"/>
            </w:tcBorders>
            <w:shd w:val="clear" w:color="auto" w:fill="auto"/>
            <w:vAlign w:val="center"/>
            <w:hideMark/>
          </w:tcPr>
          <w:p w14:paraId="20234ABA" w14:textId="1E71C0E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02101930</w:t>
            </w:r>
          </w:p>
        </w:tc>
        <w:tc>
          <w:tcPr>
            <w:tcW w:w="1276" w:type="dxa"/>
            <w:tcBorders>
              <w:top w:val="nil"/>
              <w:left w:val="nil"/>
              <w:bottom w:val="single" w:sz="4" w:space="0" w:color="auto"/>
              <w:right w:val="single" w:sz="4" w:space="0" w:color="auto"/>
            </w:tcBorders>
            <w:shd w:val="clear" w:color="auto" w:fill="auto"/>
            <w:noWrap/>
            <w:vAlign w:val="center"/>
            <w:hideMark/>
          </w:tcPr>
          <w:p w14:paraId="04F680F7" w14:textId="3537594B"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7FBE2A77" w14:textId="30449936"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134" w:type="dxa"/>
            <w:vMerge/>
            <w:tcBorders>
              <w:top w:val="nil"/>
              <w:left w:val="single" w:sz="4" w:space="0" w:color="auto"/>
              <w:bottom w:val="single" w:sz="4" w:space="0" w:color="000000"/>
              <w:right w:val="single" w:sz="4" w:space="0" w:color="auto"/>
            </w:tcBorders>
            <w:vAlign w:val="center"/>
            <w:hideMark/>
          </w:tcPr>
          <w:p w14:paraId="3D7013E9"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023478A1"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3C07752A"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0526AF3E" w14:textId="7FF80112"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381D8EF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tcBorders>
              <w:top w:val="nil"/>
              <w:left w:val="nil"/>
              <w:bottom w:val="single" w:sz="4" w:space="0" w:color="auto"/>
              <w:right w:val="single" w:sz="4" w:space="0" w:color="auto"/>
            </w:tcBorders>
            <w:shd w:val="clear" w:color="auto" w:fill="auto"/>
            <w:noWrap/>
            <w:vAlign w:val="center"/>
            <w:hideMark/>
          </w:tcPr>
          <w:p w14:paraId="6102E229" w14:textId="18BB5C00"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46AB3AD3"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31FC9B2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Parties avant SF</w:t>
            </w:r>
          </w:p>
        </w:tc>
        <w:tc>
          <w:tcPr>
            <w:tcW w:w="1276" w:type="dxa"/>
            <w:tcBorders>
              <w:top w:val="nil"/>
              <w:left w:val="nil"/>
              <w:bottom w:val="single" w:sz="4" w:space="0" w:color="auto"/>
              <w:right w:val="single" w:sz="4" w:space="0" w:color="auto"/>
            </w:tcBorders>
            <w:shd w:val="clear" w:color="auto" w:fill="auto"/>
            <w:vAlign w:val="center"/>
            <w:hideMark/>
          </w:tcPr>
          <w:p w14:paraId="42D7F8BC" w14:textId="0D018CB4"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02101960</w:t>
            </w:r>
          </w:p>
        </w:tc>
        <w:tc>
          <w:tcPr>
            <w:tcW w:w="1276" w:type="dxa"/>
            <w:tcBorders>
              <w:top w:val="nil"/>
              <w:left w:val="nil"/>
              <w:bottom w:val="single" w:sz="4" w:space="0" w:color="auto"/>
              <w:right w:val="single" w:sz="4" w:space="0" w:color="auto"/>
            </w:tcBorders>
            <w:shd w:val="clear" w:color="auto" w:fill="auto"/>
            <w:noWrap/>
            <w:vAlign w:val="center"/>
            <w:hideMark/>
          </w:tcPr>
          <w:p w14:paraId="726E2387" w14:textId="43C94F7E"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0655ED14" w14:textId="2E028A48"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0,1</w:t>
            </w:r>
          </w:p>
        </w:tc>
        <w:tc>
          <w:tcPr>
            <w:tcW w:w="1134" w:type="dxa"/>
            <w:vMerge/>
            <w:tcBorders>
              <w:top w:val="nil"/>
              <w:left w:val="single" w:sz="4" w:space="0" w:color="auto"/>
              <w:bottom w:val="single" w:sz="4" w:space="0" w:color="000000"/>
              <w:right w:val="single" w:sz="4" w:space="0" w:color="auto"/>
            </w:tcBorders>
            <w:vAlign w:val="center"/>
            <w:hideMark/>
          </w:tcPr>
          <w:p w14:paraId="2974D5A2"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78BC5B12"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3204649F"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6D950113"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w:t>
            </w:r>
          </w:p>
        </w:tc>
        <w:tc>
          <w:tcPr>
            <w:tcW w:w="2835" w:type="dxa"/>
            <w:tcBorders>
              <w:top w:val="nil"/>
              <w:left w:val="nil"/>
              <w:bottom w:val="single" w:sz="4" w:space="0" w:color="auto"/>
              <w:right w:val="single" w:sz="4" w:space="0" w:color="auto"/>
            </w:tcBorders>
            <w:shd w:val="clear" w:color="auto" w:fill="auto"/>
            <w:vAlign w:val="center"/>
            <w:hideMark/>
          </w:tcPr>
          <w:p w14:paraId="08573A87"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Autres viandes de porc salées, saumurées, séchées ou fumées</w:t>
            </w:r>
          </w:p>
        </w:tc>
        <w:tc>
          <w:tcPr>
            <w:tcW w:w="1383" w:type="dxa"/>
            <w:tcBorders>
              <w:top w:val="nil"/>
              <w:left w:val="nil"/>
              <w:bottom w:val="single" w:sz="4" w:space="0" w:color="auto"/>
              <w:right w:val="single" w:sz="4" w:space="0" w:color="auto"/>
            </w:tcBorders>
            <w:shd w:val="clear" w:color="auto" w:fill="auto"/>
            <w:noWrap/>
            <w:vAlign w:val="center"/>
            <w:hideMark/>
          </w:tcPr>
          <w:p w14:paraId="156D1401" w14:textId="66C52744"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14A51E5E"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1D8AB1E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6CD69AEA"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auto" w:fill="auto"/>
            <w:noWrap/>
            <w:vAlign w:val="center"/>
            <w:hideMark/>
          </w:tcPr>
          <w:p w14:paraId="0001FA39"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559" w:type="dxa"/>
            <w:tcBorders>
              <w:top w:val="nil"/>
              <w:left w:val="nil"/>
              <w:bottom w:val="single" w:sz="4" w:space="0" w:color="auto"/>
              <w:right w:val="single" w:sz="4" w:space="0" w:color="auto"/>
            </w:tcBorders>
            <w:shd w:val="clear" w:color="auto" w:fill="auto"/>
            <w:noWrap/>
            <w:vAlign w:val="center"/>
            <w:hideMark/>
          </w:tcPr>
          <w:p w14:paraId="66E90FE2"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134" w:type="dxa"/>
            <w:vMerge/>
            <w:tcBorders>
              <w:top w:val="nil"/>
              <w:left w:val="single" w:sz="4" w:space="0" w:color="auto"/>
              <w:bottom w:val="single" w:sz="4" w:space="0" w:color="000000"/>
              <w:right w:val="single" w:sz="4" w:space="0" w:color="auto"/>
            </w:tcBorders>
            <w:vAlign w:val="center"/>
            <w:hideMark/>
          </w:tcPr>
          <w:p w14:paraId="16132D45"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0C33139B"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6CFECBC8"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05DC9672" w14:textId="684DFA03"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7A843E58" w14:textId="385D1800"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Longes, échines</w:t>
            </w:r>
          </w:p>
        </w:tc>
        <w:tc>
          <w:tcPr>
            <w:tcW w:w="1383" w:type="dxa"/>
            <w:tcBorders>
              <w:top w:val="nil"/>
              <w:left w:val="nil"/>
              <w:bottom w:val="single" w:sz="4" w:space="0" w:color="auto"/>
              <w:right w:val="single" w:sz="4" w:space="0" w:color="auto"/>
            </w:tcBorders>
            <w:shd w:val="clear" w:color="auto" w:fill="auto"/>
            <w:noWrap/>
            <w:vAlign w:val="center"/>
            <w:hideMark/>
          </w:tcPr>
          <w:p w14:paraId="3E58B93E" w14:textId="02C9AF0B"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8</w:t>
            </w:r>
          </w:p>
        </w:tc>
        <w:tc>
          <w:tcPr>
            <w:tcW w:w="176" w:type="dxa"/>
            <w:tcBorders>
              <w:top w:val="nil"/>
              <w:left w:val="nil"/>
              <w:bottom w:val="nil"/>
              <w:right w:val="nil"/>
            </w:tcBorders>
            <w:shd w:val="clear" w:color="auto" w:fill="auto"/>
            <w:vAlign w:val="center"/>
            <w:hideMark/>
          </w:tcPr>
          <w:p w14:paraId="6CC7625A"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381506F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Longes SS</w:t>
            </w:r>
          </w:p>
        </w:tc>
        <w:tc>
          <w:tcPr>
            <w:tcW w:w="1276" w:type="dxa"/>
            <w:tcBorders>
              <w:top w:val="nil"/>
              <w:left w:val="nil"/>
              <w:bottom w:val="nil"/>
              <w:right w:val="single" w:sz="4" w:space="0" w:color="auto"/>
            </w:tcBorders>
            <w:shd w:val="clear" w:color="auto" w:fill="auto"/>
            <w:vAlign w:val="center"/>
            <w:hideMark/>
          </w:tcPr>
          <w:p w14:paraId="19B802ED" w14:textId="2045E544"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02101940</w:t>
            </w:r>
          </w:p>
        </w:tc>
        <w:tc>
          <w:tcPr>
            <w:tcW w:w="1276" w:type="dxa"/>
            <w:tcBorders>
              <w:top w:val="nil"/>
              <w:left w:val="nil"/>
              <w:bottom w:val="single" w:sz="4" w:space="0" w:color="auto"/>
              <w:right w:val="single" w:sz="4" w:space="0" w:color="auto"/>
            </w:tcBorders>
            <w:shd w:val="clear" w:color="auto" w:fill="auto"/>
            <w:noWrap/>
            <w:vAlign w:val="center"/>
            <w:hideMark/>
          </w:tcPr>
          <w:p w14:paraId="4354FA7D" w14:textId="025149A6"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2E1A76B0" w14:textId="5953E8F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0,6</w:t>
            </w:r>
          </w:p>
        </w:tc>
        <w:tc>
          <w:tcPr>
            <w:tcW w:w="1134" w:type="dxa"/>
            <w:vMerge/>
            <w:tcBorders>
              <w:top w:val="nil"/>
              <w:left w:val="single" w:sz="4" w:space="0" w:color="auto"/>
              <w:bottom w:val="single" w:sz="4" w:space="0" w:color="000000"/>
              <w:right w:val="single" w:sz="4" w:space="0" w:color="auto"/>
            </w:tcBorders>
            <w:vAlign w:val="center"/>
            <w:hideMark/>
          </w:tcPr>
          <w:p w14:paraId="4847F948"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392B4E2E"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1E83C99F"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40DAA7F6" w14:textId="127D2347"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1F6A61FC"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tcBorders>
              <w:top w:val="nil"/>
              <w:left w:val="nil"/>
              <w:bottom w:val="single" w:sz="4" w:space="0" w:color="auto"/>
              <w:right w:val="single" w:sz="4" w:space="0" w:color="auto"/>
            </w:tcBorders>
            <w:shd w:val="clear" w:color="auto" w:fill="auto"/>
            <w:noWrap/>
            <w:vAlign w:val="center"/>
            <w:hideMark/>
          </w:tcPr>
          <w:p w14:paraId="4F3DBD50" w14:textId="34804F8B"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0E948BD2"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3C49E06"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Longes SF</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58EF48DC" w14:textId="02344D69"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02101970</w:t>
            </w:r>
          </w:p>
        </w:tc>
        <w:tc>
          <w:tcPr>
            <w:tcW w:w="1276" w:type="dxa"/>
            <w:tcBorders>
              <w:top w:val="nil"/>
              <w:left w:val="nil"/>
              <w:bottom w:val="single" w:sz="4" w:space="0" w:color="auto"/>
              <w:right w:val="single" w:sz="4" w:space="0" w:color="auto"/>
            </w:tcBorders>
            <w:shd w:val="clear" w:color="auto" w:fill="auto"/>
            <w:noWrap/>
            <w:vAlign w:val="center"/>
            <w:hideMark/>
          </w:tcPr>
          <w:p w14:paraId="6ECB0359" w14:textId="72200FC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7D4C6EF4" w14:textId="2D955ADC"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2,1</w:t>
            </w:r>
          </w:p>
        </w:tc>
        <w:tc>
          <w:tcPr>
            <w:tcW w:w="1134" w:type="dxa"/>
            <w:vMerge/>
            <w:tcBorders>
              <w:top w:val="nil"/>
              <w:left w:val="single" w:sz="4" w:space="0" w:color="auto"/>
              <w:bottom w:val="single" w:sz="4" w:space="0" w:color="000000"/>
              <w:right w:val="single" w:sz="4" w:space="0" w:color="auto"/>
            </w:tcBorders>
            <w:vAlign w:val="center"/>
            <w:hideMark/>
          </w:tcPr>
          <w:p w14:paraId="78499022"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53EA709B"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4D630EDB"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6C3DC0B9" w14:textId="65BF1AA1"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181758E5" w14:textId="38935129"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Jambonneaux</w:t>
            </w:r>
          </w:p>
        </w:tc>
        <w:tc>
          <w:tcPr>
            <w:tcW w:w="1383" w:type="dxa"/>
            <w:tcBorders>
              <w:top w:val="nil"/>
              <w:left w:val="nil"/>
              <w:bottom w:val="single" w:sz="4" w:space="0" w:color="auto"/>
              <w:right w:val="single" w:sz="4" w:space="0" w:color="auto"/>
            </w:tcBorders>
            <w:shd w:val="clear" w:color="auto" w:fill="auto"/>
            <w:noWrap/>
            <w:vAlign w:val="center"/>
            <w:hideMark/>
          </w:tcPr>
          <w:p w14:paraId="52B9FB05" w14:textId="592CBE12"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w:t>
            </w:r>
          </w:p>
        </w:tc>
        <w:tc>
          <w:tcPr>
            <w:tcW w:w="176" w:type="dxa"/>
            <w:tcBorders>
              <w:top w:val="nil"/>
              <w:left w:val="nil"/>
              <w:bottom w:val="nil"/>
              <w:right w:val="nil"/>
            </w:tcBorders>
            <w:shd w:val="clear" w:color="auto" w:fill="auto"/>
            <w:vAlign w:val="center"/>
            <w:hideMark/>
          </w:tcPr>
          <w:p w14:paraId="43DFC0A3"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9EE148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Trois-quarts arrière ou milieu SS</w:t>
            </w:r>
          </w:p>
        </w:tc>
        <w:tc>
          <w:tcPr>
            <w:tcW w:w="1276" w:type="dxa"/>
            <w:tcBorders>
              <w:top w:val="nil"/>
              <w:left w:val="nil"/>
              <w:bottom w:val="single" w:sz="4" w:space="0" w:color="auto"/>
              <w:right w:val="single" w:sz="4" w:space="0" w:color="auto"/>
            </w:tcBorders>
            <w:shd w:val="clear" w:color="auto" w:fill="auto"/>
            <w:vAlign w:val="center"/>
            <w:hideMark/>
          </w:tcPr>
          <w:p w14:paraId="3D96DE7B" w14:textId="2310D75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02101920</w:t>
            </w:r>
          </w:p>
        </w:tc>
        <w:tc>
          <w:tcPr>
            <w:tcW w:w="1276" w:type="dxa"/>
            <w:tcBorders>
              <w:top w:val="nil"/>
              <w:left w:val="nil"/>
              <w:bottom w:val="single" w:sz="4" w:space="0" w:color="auto"/>
              <w:right w:val="single" w:sz="4" w:space="0" w:color="auto"/>
            </w:tcBorders>
            <w:shd w:val="clear" w:color="auto" w:fill="auto"/>
            <w:noWrap/>
            <w:vAlign w:val="center"/>
            <w:hideMark/>
          </w:tcPr>
          <w:p w14:paraId="5FE1E155" w14:textId="764CC8BB"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778E731C" w14:textId="7AFC449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134" w:type="dxa"/>
            <w:vMerge/>
            <w:tcBorders>
              <w:top w:val="nil"/>
              <w:left w:val="single" w:sz="4" w:space="0" w:color="auto"/>
              <w:bottom w:val="single" w:sz="4" w:space="0" w:color="000000"/>
              <w:right w:val="single" w:sz="4" w:space="0" w:color="auto"/>
            </w:tcBorders>
            <w:vAlign w:val="center"/>
            <w:hideMark/>
          </w:tcPr>
          <w:p w14:paraId="2EE2F554"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58EDF97A"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63EEC306"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59BC996A" w14:textId="6F6D8966"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3356685A" w14:textId="5FAB236F"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Filets de bacon</w:t>
            </w:r>
          </w:p>
        </w:tc>
        <w:tc>
          <w:tcPr>
            <w:tcW w:w="1383" w:type="dxa"/>
            <w:tcBorders>
              <w:top w:val="nil"/>
              <w:left w:val="nil"/>
              <w:bottom w:val="single" w:sz="4" w:space="0" w:color="auto"/>
              <w:right w:val="single" w:sz="4" w:space="0" w:color="auto"/>
            </w:tcBorders>
            <w:shd w:val="clear" w:color="auto" w:fill="auto"/>
            <w:noWrap/>
            <w:vAlign w:val="center"/>
            <w:hideMark/>
          </w:tcPr>
          <w:p w14:paraId="14EE0D4E" w14:textId="0D6EDF39"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6</w:t>
            </w:r>
          </w:p>
        </w:tc>
        <w:tc>
          <w:tcPr>
            <w:tcW w:w="176" w:type="dxa"/>
            <w:tcBorders>
              <w:top w:val="nil"/>
              <w:left w:val="nil"/>
              <w:bottom w:val="nil"/>
              <w:right w:val="nil"/>
            </w:tcBorders>
            <w:shd w:val="clear" w:color="auto" w:fill="auto"/>
            <w:vAlign w:val="center"/>
            <w:hideMark/>
          </w:tcPr>
          <w:p w14:paraId="0B811D31"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73498896"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Demi-carcasses de bacon SS</w:t>
            </w:r>
          </w:p>
        </w:tc>
        <w:tc>
          <w:tcPr>
            <w:tcW w:w="1276" w:type="dxa"/>
            <w:tcBorders>
              <w:top w:val="nil"/>
              <w:left w:val="nil"/>
              <w:bottom w:val="nil"/>
              <w:right w:val="single" w:sz="4" w:space="0" w:color="auto"/>
            </w:tcBorders>
            <w:shd w:val="clear" w:color="auto" w:fill="auto"/>
            <w:vAlign w:val="center"/>
            <w:hideMark/>
          </w:tcPr>
          <w:p w14:paraId="6709CDA3" w14:textId="0B426555"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02101910</w:t>
            </w:r>
          </w:p>
        </w:tc>
        <w:tc>
          <w:tcPr>
            <w:tcW w:w="1276" w:type="dxa"/>
            <w:tcBorders>
              <w:top w:val="nil"/>
              <w:left w:val="nil"/>
              <w:bottom w:val="single" w:sz="4" w:space="0" w:color="auto"/>
              <w:right w:val="single" w:sz="4" w:space="0" w:color="auto"/>
            </w:tcBorders>
            <w:shd w:val="clear" w:color="auto" w:fill="auto"/>
            <w:noWrap/>
            <w:vAlign w:val="center"/>
            <w:hideMark/>
          </w:tcPr>
          <w:p w14:paraId="7E22DCD3" w14:textId="03EC7D9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nil"/>
              <w:left w:val="nil"/>
              <w:bottom w:val="single" w:sz="4" w:space="0" w:color="auto"/>
              <w:right w:val="single" w:sz="4" w:space="0" w:color="auto"/>
            </w:tcBorders>
            <w:shd w:val="clear" w:color="auto" w:fill="auto"/>
            <w:noWrap/>
            <w:vAlign w:val="center"/>
            <w:hideMark/>
          </w:tcPr>
          <w:p w14:paraId="1A7E7919" w14:textId="141DE2B3" w:rsidR="00542AC6" w:rsidRPr="00542AC6" w:rsidRDefault="00542AC6" w:rsidP="00391835">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134" w:type="dxa"/>
            <w:vMerge/>
            <w:tcBorders>
              <w:top w:val="nil"/>
              <w:left w:val="single" w:sz="4" w:space="0" w:color="auto"/>
              <w:bottom w:val="single" w:sz="4" w:space="0" w:color="000000"/>
              <w:right w:val="single" w:sz="4" w:space="0" w:color="auto"/>
            </w:tcBorders>
            <w:vAlign w:val="center"/>
            <w:hideMark/>
          </w:tcPr>
          <w:p w14:paraId="00F88409"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011A50EC"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3C889D9B"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601311E8" w14:textId="583CF202"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56A2DFE0" w14:textId="6A778C22"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Autres (rôtis de porc non cuits, coppas, lard…)</w:t>
            </w:r>
          </w:p>
        </w:tc>
        <w:tc>
          <w:tcPr>
            <w:tcW w:w="1383" w:type="dxa"/>
            <w:tcBorders>
              <w:top w:val="nil"/>
              <w:left w:val="nil"/>
              <w:bottom w:val="single" w:sz="4" w:space="0" w:color="auto"/>
              <w:right w:val="single" w:sz="4" w:space="0" w:color="auto"/>
            </w:tcBorders>
            <w:shd w:val="clear" w:color="auto" w:fill="auto"/>
            <w:noWrap/>
            <w:vAlign w:val="center"/>
            <w:hideMark/>
          </w:tcPr>
          <w:p w14:paraId="4173721C" w14:textId="2FAC342A" w:rsidR="00542AC6" w:rsidRPr="00542AC6" w:rsidRDefault="0044419E" w:rsidP="00521002">
            <w:pPr>
              <w:spacing w:after="0" w:line="240" w:lineRule="auto"/>
              <w:jc w:val="center"/>
              <w:rPr>
                <w:rFonts w:eastAsia="Times New Roman" w:cs="Arial"/>
                <w:color w:val="000000"/>
                <w:sz w:val="20"/>
                <w:szCs w:val="20"/>
                <w:lang w:eastAsia="fr-FR"/>
              </w:rPr>
            </w:pPr>
            <w:r>
              <w:rPr>
                <w:rFonts w:eastAsia="Times New Roman" w:cs="Arial"/>
                <w:color w:val="000000"/>
                <w:sz w:val="20"/>
                <w:szCs w:val="20"/>
                <w:lang w:eastAsia="fr-FR"/>
              </w:rPr>
              <w:t>4</w:t>
            </w:r>
          </w:p>
        </w:tc>
        <w:tc>
          <w:tcPr>
            <w:tcW w:w="176" w:type="dxa"/>
            <w:tcBorders>
              <w:top w:val="nil"/>
              <w:left w:val="nil"/>
              <w:bottom w:val="nil"/>
              <w:right w:val="nil"/>
            </w:tcBorders>
            <w:shd w:val="clear" w:color="auto" w:fill="auto"/>
            <w:vAlign w:val="center"/>
            <w:hideMark/>
          </w:tcPr>
          <w:p w14:paraId="04ED7EEE"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262B3360"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Autres viandes SS</w:t>
            </w:r>
          </w:p>
        </w:tc>
        <w:tc>
          <w:tcPr>
            <w:tcW w:w="1276" w:type="dxa"/>
            <w:tcBorders>
              <w:top w:val="single" w:sz="4" w:space="0" w:color="auto"/>
              <w:left w:val="nil"/>
              <w:bottom w:val="nil"/>
              <w:right w:val="single" w:sz="4" w:space="0" w:color="auto"/>
            </w:tcBorders>
            <w:shd w:val="clear" w:color="auto" w:fill="auto"/>
            <w:vAlign w:val="center"/>
            <w:hideMark/>
          </w:tcPr>
          <w:p w14:paraId="625EA537"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02101950</w:t>
            </w:r>
          </w:p>
        </w:tc>
        <w:tc>
          <w:tcPr>
            <w:tcW w:w="1276" w:type="dxa"/>
            <w:tcBorders>
              <w:top w:val="nil"/>
              <w:left w:val="nil"/>
              <w:bottom w:val="nil"/>
              <w:right w:val="single" w:sz="4" w:space="0" w:color="auto"/>
            </w:tcBorders>
            <w:shd w:val="clear" w:color="auto" w:fill="auto"/>
            <w:noWrap/>
            <w:vAlign w:val="center"/>
            <w:hideMark/>
          </w:tcPr>
          <w:p w14:paraId="63F529C9" w14:textId="4317E948"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w:t>
            </w:r>
          </w:p>
        </w:tc>
        <w:tc>
          <w:tcPr>
            <w:tcW w:w="1559" w:type="dxa"/>
            <w:tcBorders>
              <w:top w:val="nil"/>
              <w:left w:val="nil"/>
              <w:bottom w:val="nil"/>
              <w:right w:val="single" w:sz="4" w:space="0" w:color="auto"/>
            </w:tcBorders>
            <w:shd w:val="clear" w:color="auto" w:fill="auto"/>
            <w:noWrap/>
            <w:vAlign w:val="center"/>
            <w:hideMark/>
          </w:tcPr>
          <w:p w14:paraId="4F50F90F" w14:textId="48E4123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2,6</w:t>
            </w:r>
          </w:p>
        </w:tc>
        <w:tc>
          <w:tcPr>
            <w:tcW w:w="1134" w:type="dxa"/>
            <w:vMerge/>
            <w:tcBorders>
              <w:top w:val="nil"/>
              <w:left w:val="single" w:sz="4" w:space="0" w:color="auto"/>
              <w:bottom w:val="single" w:sz="4" w:space="0" w:color="000000"/>
              <w:right w:val="single" w:sz="4" w:space="0" w:color="auto"/>
            </w:tcBorders>
            <w:vAlign w:val="center"/>
            <w:hideMark/>
          </w:tcPr>
          <w:p w14:paraId="706F83A5"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8B1590" w:rsidRPr="00542AC6" w14:paraId="14F75FF9"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699F2A80"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1A2E5642" w14:textId="351D1C8E"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noWrap/>
            <w:vAlign w:val="center"/>
            <w:hideMark/>
          </w:tcPr>
          <w:p w14:paraId="7EAFD42D"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383" w:type="dxa"/>
            <w:tcBorders>
              <w:top w:val="nil"/>
              <w:left w:val="nil"/>
              <w:bottom w:val="single" w:sz="4" w:space="0" w:color="auto"/>
              <w:right w:val="single" w:sz="4" w:space="0" w:color="auto"/>
            </w:tcBorders>
            <w:shd w:val="clear" w:color="auto" w:fill="auto"/>
            <w:noWrap/>
            <w:vAlign w:val="center"/>
            <w:hideMark/>
          </w:tcPr>
          <w:p w14:paraId="3A6BB703" w14:textId="7FB9DB1F" w:rsidR="00542AC6" w:rsidRPr="00542AC6" w:rsidRDefault="00542AC6" w:rsidP="00521002">
            <w:pPr>
              <w:spacing w:after="0" w:line="240" w:lineRule="auto"/>
              <w:jc w:val="center"/>
              <w:rPr>
                <w:rFonts w:eastAsia="Times New Roman" w:cs="Arial"/>
                <w:color w:val="000000"/>
                <w:sz w:val="20"/>
                <w:szCs w:val="20"/>
                <w:lang w:eastAsia="fr-FR"/>
              </w:rPr>
            </w:pPr>
          </w:p>
        </w:tc>
        <w:tc>
          <w:tcPr>
            <w:tcW w:w="176" w:type="dxa"/>
            <w:tcBorders>
              <w:top w:val="nil"/>
              <w:left w:val="nil"/>
              <w:bottom w:val="nil"/>
              <w:right w:val="nil"/>
            </w:tcBorders>
            <w:shd w:val="clear" w:color="auto" w:fill="auto"/>
            <w:vAlign w:val="center"/>
            <w:hideMark/>
          </w:tcPr>
          <w:p w14:paraId="5158C0E3"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54EC934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Autres viandes SF</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12DB5B06" w14:textId="247B5F1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02101989</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043FA031" w14:textId="682F24F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17F13552" w14:textId="369DE8DB"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0,5</w:t>
            </w:r>
          </w:p>
        </w:tc>
        <w:tc>
          <w:tcPr>
            <w:tcW w:w="1134" w:type="dxa"/>
            <w:vMerge/>
            <w:tcBorders>
              <w:top w:val="nil"/>
              <w:left w:val="single" w:sz="4" w:space="0" w:color="auto"/>
              <w:bottom w:val="single" w:sz="4" w:space="0" w:color="000000"/>
              <w:right w:val="single" w:sz="4" w:space="0" w:color="auto"/>
            </w:tcBorders>
            <w:vAlign w:val="center"/>
            <w:hideMark/>
          </w:tcPr>
          <w:p w14:paraId="1B974323" w14:textId="77777777" w:rsidR="00542AC6" w:rsidRPr="00542AC6" w:rsidRDefault="00542AC6" w:rsidP="00542AC6">
            <w:pPr>
              <w:spacing w:after="0" w:line="240" w:lineRule="auto"/>
              <w:jc w:val="left"/>
              <w:rPr>
                <w:rFonts w:eastAsia="Times New Roman" w:cs="Arial"/>
                <w:color w:val="000000"/>
                <w:sz w:val="20"/>
                <w:szCs w:val="20"/>
                <w:lang w:eastAsia="fr-FR"/>
              </w:rPr>
            </w:pPr>
          </w:p>
        </w:tc>
      </w:tr>
      <w:tr w:rsidR="00CC0EFC" w:rsidRPr="00542AC6" w14:paraId="62335EBC" w14:textId="77777777" w:rsidTr="00A153D6">
        <w:trPr>
          <w:trHeight w:val="125"/>
        </w:trPr>
        <w:tc>
          <w:tcPr>
            <w:tcW w:w="1555" w:type="dxa"/>
            <w:vMerge w:val="restart"/>
            <w:tcBorders>
              <w:top w:val="nil"/>
              <w:left w:val="single" w:sz="4" w:space="0" w:color="auto"/>
              <w:bottom w:val="single" w:sz="4" w:space="0" w:color="000000"/>
              <w:right w:val="single" w:sz="4" w:space="0" w:color="auto"/>
            </w:tcBorders>
            <w:shd w:val="clear" w:color="auto" w:fill="auto"/>
            <w:vAlign w:val="center"/>
            <w:hideMark/>
          </w:tcPr>
          <w:p w14:paraId="71298728" w14:textId="77777777" w:rsidR="00542AC6" w:rsidRPr="00542AC6" w:rsidRDefault="00542AC6" w:rsidP="00542AC6">
            <w:pPr>
              <w:spacing w:after="0" w:line="240" w:lineRule="auto"/>
              <w:jc w:val="left"/>
              <w:rPr>
                <w:rFonts w:eastAsia="Times New Roman" w:cs="Arial"/>
                <w:sz w:val="20"/>
                <w:szCs w:val="20"/>
                <w:lang w:eastAsia="fr-FR"/>
              </w:rPr>
            </w:pPr>
            <w:r w:rsidRPr="00542AC6">
              <w:rPr>
                <w:rFonts w:eastAsia="Times New Roman" w:cs="Arial"/>
                <w:sz w:val="20"/>
                <w:szCs w:val="20"/>
                <w:lang w:eastAsia="fr-FR"/>
              </w:rPr>
              <w:t>10.13.11.50 = 0210[.12(.11 + .19 + .90)]</w:t>
            </w:r>
          </w:p>
        </w:tc>
        <w:tc>
          <w:tcPr>
            <w:tcW w:w="992" w:type="dxa"/>
            <w:tcBorders>
              <w:top w:val="nil"/>
              <w:left w:val="nil"/>
              <w:bottom w:val="single" w:sz="4" w:space="0" w:color="000000"/>
              <w:right w:val="single" w:sz="4" w:space="0" w:color="000000"/>
            </w:tcBorders>
            <w:shd w:val="clear" w:color="000000" w:fill="B2B2B2"/>
            <w:vAlign w:val="center"/>
            <w:hideMark/>
          </w:tcPr>
          <w:p w14:paraId="6132F01B" w14:textId="77777777"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0210.12</w:t>
            </w:r>
          </w:p>
        </w:tc>
        <w:tc>
          <w:tcPr>
            <w:tcW w:w="2835" w:type="dxa"/>
            <w:tcBorders>
              <w:top w:val="nil"/>
              <w:left w:val="nil"/>
              <w:bottom w:val="single" w:sz="4" w:space="0" w:color="000000"/>
              <w:right w:val="single" w:sz="4" w:space="0" w:color="000000"/>
            </w:tcBorders>
            <w:shd w:val="clear" w:color="000000" w:fill="B2B2B2"/>
            <w:vAlign w:val="center"/>
            <w:hideMark/>
          </w:tcPr>
          <w:p w14:paraId="7A322F45"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Poitrines et leurs morceaux salés, saumurés, séchés ou fumés</w:t>
            </w:r>
          </w:p>
        </w:tc>
        <w:tc>
          <w:tcPr>
            <w:tcW w:w="1383" w:type="dxa"/>
            <w:tcBorders>
              <w:top w:val="nil"/>
              <w:left w:val="nil"/>
              <w:bottom w:val="single" w:sz="4" w:space="0" w:color="auto"/>
              <w:right w:val="single" w:sz="4" w:space="0" w:color="auto"/>
            </w:tcBorders>
            <w:shd w:val="clear" w:color="000000" w:fill="A6A6A6"/>
            <w:noWrap/>
            <w:vAlign w:val="center"/>
            <w:hideMark/>
          </w:tcPr>
          <w:p w14:paraId="724C66BF" w14:textId="73AA2AA9"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101</w:t>
            </w:r>
          </w:p>
        </w:tc>
        <w:tc>
          <w:tcPr>
            <w:tcW w:w="176" w:type="dxa"/>
            <w:tcBorders>
              <w:top w:val="nil"/>
              <w:left w:val="nil"/>
              <w:bottom w:val="nil"/>
              <w:right w:val="nil"/>
            </w:tcBorders>
            <w:shd w:val="clear" w:color="auto" w:fill="auto"/>
            <w:vAlign w:val="center"/>
            <w:hideMark/>
          </w:tcPr>
          <w:p w14:paraId="780E90D0"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61D67D43"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vAlign w:val="center"/>
            <w:hideMark/>
          </w:tcPr>
          <w:p w14:paraId="7C905D5C"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495A9373" w14:textId="4C14493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3,7</w:t>
            </w:r>
          </w:p>
        </w:tc>
        <w:tc>
          <w:tcPr>
            <w:tcW w:w="1559" w:type="dxa"/>
            <w:tcBorders>
              <w:top w:val="nil"/>
              <w:left w:val="nil"/>
              <w:bottom w:val="single" w:sz="4" w:space="0" w:color="auto"/>
              <w:right w:val="single" w:sz="4" w:space="0" w:color="auto"/>
            </w:tcBorders>
            <w:shd w:val="clear" w:color="000000" w:fill="A6A6A6"/>
            <w:noWrap/>
            <w:vAlign w:val="center"/>
            <w:hideMark/>
          </w:tcPr>
          <w:p w14:paraId="32D77486" w14:textId="1F80C5AE"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7,5</w:t>
            </w:r>
          </w:p>
        </w:tc>
        <w:tc>
          <w:tcPr>
            <w:tcW w:w="1134" w:type="dxa"/>
            <w:tcBorders>
              <w:top w:val="nil"/>
              <w:left w:val="nil"/>
              <w:bottom w:val="single" w:sz="4" w:space="0" w:color="auto"/>
              <w:right w:val="single" w:sz="4" w:space="0" w:color="auto"/>
            </w:tcBorders>
            <w:shd w:val="clear" w:color="000000" w:fill="A6A6A6"/>
            <w:noWrap/>
            <w:vAlign w:val="center"/>
            <w:hideMark/>
          </w:tcPr>
          <w:p w14:paraId="0E9E190A" w14:textId="77777777"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 xml:space="preserve">                           105   </w:t>
            </w:r>
          </w:p>
        </w:tc>
      </w:tr>
      <w:tr w:rsidR="00391835" w:rsidRPr="00542AC6" w14:paraId="6DB1DBA4"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67C644C9"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3C49C1D7" w14:textId="38DD47A8"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749E2161"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Poitrines salées ou saumurées / séchées ou fumées</w:t>
            </w:r>
          </w:p>
        </w:tc>
        <w:tc>
          <w:tcPr>
            <w:tcW w:w="1383" w:type="dxa"/>
            <w:tcBorders>
              <w:top w:val="nil"/>
              <w:left w:val="nil"/>
              <w:bottom w:val="single" w:sz="4" w:space="0" w:color="000000"/>
              <w:right w:val="single" w:sz="4" w:space="0" w:color="000000"/>
            </w:tcBorders>
            <w:shd w:val="clear" w:color="auto" w:fill="auto"/>
            <w:vAlign w:val="center"/>
            <w:hideMark/>
          </w:tcPr>
          <w:p w14:paraId="717382FE" w14:textId="7029FE76"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21</w:t>
            </w:r>
          </w:p>
        </w:tc>
        <w:tc>
          <w:tcPr>
            <w:tcW w:w="176" w:type="dxa"/>
            <w:tcBorders>
              <w:top w:val="nil"/>
              <w:left w:val="nil"/>
              <w:bottom w:val="nil"/>
              <w:right w:val="nil"/>
            </w:tcBorders>
            <w:shd w:val="clear" w:color="auto" w:fill="auto"/>
            <w:vAlign w:val="center"/>
            <w:hideMark/>
          </w:tcPr>
          <w:p w14:paraId="777534BE"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66756192"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Poitrines SS</w:t>
            </w:r>
          </w:p>
        </w:tc>
        <w:tc>
          <w:tcPr>
            <w:tcW w:w="1276" w:type="dxa"/>
            <w:tcBorders>
              <w:top w:val="nil"/>
              <w:left w:val="nil"/>
              <w:bottom w:val="single" w:sz="4" w:space="0" w:color="auto"/>
              <w:right w:val="single" w:sz="4" w:space="0" w:color="auto"/>
            </w:tcBorders>
            <w:shd w:val="clear" w:color="auto" w:fill="auto"/>
            <w:vAlign w:val="center"/>
            <w:hideMark/>
          </w:tcPr>
          <w:p w14:paraId="402D0451" w14:textId="5324EC3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02101211</w:t>
            </w:r>
          </w:p>
        </w:tc>
        <w:tc>
          <w:tcPr>
            <w:tcW w:w="1276" w:type="dxa"/>
            <w:tcBorders>
              <w:top w:val="nil"/>
              <w:left w:val="nil"/>
              <w:bottom w:val="single" w:sz="4" w:space="0" w:color="auto"/>
              <w:right w:val="single" w:sz="4" w:space="0" w:color="auto"/>
            </w:tcBorders>
            <w:shd w:val="clear" w:color="auto" w:fill="auto"/>
            <w:noWrap/>
            <w:vAlign w:val="center"/>
            <w:hideMark/>
          </w:tcPr>
          <w:p w14:paraId="1A0B6EF2" w14:textId="5511CB73"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1,2</w:t>
            </w:r>
          </w:p>
        </w:tc>
        <w:tc>
          <w:tcPr>
            <w:tcW w:w="1559" w:type="dxa"/>
            <w:tcBorders>
              <w:top w:val="nil"/>
              <w:left w:val="nil"/>
              <w:bottom w:val="single" w:sz="4" w:space="0" w:color="auto"/>
              <w:right w:val="single" w:sz="4" w:space="0" w:color="auto"/>
            </w:tcBorders>
            <w:shd w:val="clear" w:color="auto" w:fill="auto"/>
            <w:noWrap/>
            <w:vAlign w:val="center"/>
            <w:hideMark/>
          </w:tcPr>
          <w:p w14:paraId="43ABF362" w14:textId="6CF15A2D"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0,7</w:t>
            </w:r>
          </w:p>
        </w:tc>
        <w:tc>
          <w:tcPr>
            <w:tcW w:w="1134" w:type="dxa"/>
            <w:tcBorders>
              <w:top w:val="nil"/>
              <w:left w:val="nil"/>
              <w:bottom w:val="single" w:sz="4" w:space="0" w:color="auto"/>
              <w:right w:val="single" w:sz="4" w:space="0" w:color="auto"/>
            </w:tcBorders>
            <w:shd w:val="clear" w:color="auto" w:fill="auto"/>
            <w:noWrap/>
            <w:vAlign w:val="center"/>
            <w:hideMark/>
          </w:tcPr>
          <w:p w14:paraId="36A4DCA8" w14:textId="22C39023" w:rsidR="00542AC6" w:rsidRPr="00542AC6" w:rsidRDefault="00542AC6" w:rsidP="00391835">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20</w:t>
            </w:r>
          </w:p>
        </w:tc>
      </w:tr>
      <w:tr w:rsidR="00391835" w:rsidRPr="00542AC6" w14:paraId="34CB923B" w14:textId="77777777" w:rsidTr="00A153D6">
        <w:trPr>
          <w:trHeight w:val="125"/>
        </w:trPr>
        <w:tc>
          <w:tcPr>
            <w:tcW w:w="1555" w:type="dxa"/>
            <w:vMerge/>
            <w:tcBorders>
              <w:top w:val="nil"/>
              <w:left w:val="single" w:sz="4" w:space="0" w:color="auto"/>
              <w:bottom w:val="single" w:sz="4" w:space="0" w:color="000000"/>
              <w:right w:val="single" w:sz="4" w:space="0" w:color="auto"/>
            </w:tcBorders>
            <w:vAlign w:val="center"/>
            <w:hideMark/>
          </w:tcPr>
          <w:p w14:paraId="5B440EC6" w14:textId="77777777" w:rsidR="00542AC6" w:rsidRPr="00542AC6" w:rsidRDefault="00542AC6" w:rsidP="00542AC6">
            <w:pPr>
              <w:spacing w:after="0" w:line="240" w:lineRule="auto"/>
              <w:jc w:val="left"/>
              <w:rPr>
                <w:rFonts w:eastAsia="Times New Roman" w:cs="Arial"/>
                <w:sz w:val="20"/>
                <w:szCs w:val="20"/>
                <w:lang w:eastAsia="fr-FR"/>
              </w:rPr>
            </w:pPr>
          </w:p>
        </w:tc>
        <w:tc>
          <w:tcPr>
            <w:tcW w:w="992" w:type="dxa"/>
            <w:tcBorders>
              <w:top w:val="nil"/>
              <w:left w:val="nil"/>
              <w:bottom w:val="single" w:sz="4" w:space="0" w:color="auto"/>
              <w:right w:val="single" w:sz="4" w:space="0" w:color="auto"/>
            </w:tcBorders>
            <w:shd w:val="clear" w:color="auto" w:fill="auto"/>
            <w:noWrap/>
            <w:vAlign w:val="center"/>
            <w:hideMark/>
          </w:tcPr>
          <w:p w14:paraId="5CF7A6DB" w14:textId="1C12CA3B" w:rsidR="00542AC6" w:rsidRPr="00542AC6" w:rsidRDefault="00542AC6" w:rsidP="00521002">
            <w:pPr>
              <w:spacing w:after="0" w:line="240" w:lineRule="auto"/>
              <w:jc w:val="center"/>
              <w:rPr>
                <w:rFonts w:eastAsia="Times New Roman" w:cs="Arial"/>
                <w:color w:val="000000"/>
                <w:sz w:val="20"/>
                <w:szCs w:val="20"/>
                <w:lang w:eastAsia="fr-FR"/>
              </w:rPr>
            </w:pPr>
          </w:p>
        </w:tc>
        <w:tc>
          <w:tcPr>
            <w:tcW w:w="2835" w:type="dxa"/>
            <w:tcBorders>
              <w:top w:val="nil"/>
              <w:left w:val="nil"/>
              <w:bottom w:val="single" w:sz="4" w:space="0" w:color="auto"/>
              <w:right w:val="single" w:sz="4" w:space="0" w:color="auto"/>
            </w:tcBorders>
            <w:shd w:val="clear" w:color="auto" w:fill="auto"/>
            <w:vAlign w:val="center"/>
            <w:hideMark/>
          </w:tcPr>
          <w:p w14:paraId="23C9131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Lardons salés ou saumurés / séchés ou fumés</w:t>
            </w:r>
          </w:p>
        </w:tc>
        <w:tc>
          <w:tcPr>
            <w:tcW w:w="1383" w:type="dxa"/>
            <w:tcBorders>
              <w:top w:val="nil"/>
              <w:left w:val="nil"/>
              <w:bottom w:val="single" w:sz="4" w:space="0" w:color="000000"/>
              <w:right w:val="single" w:sz="4" w:space="0" w:color="000000"/>
            </w:tcBorders>
            <w:shd w:val="clear" w:color="auto" w:fill="auto"/>
            <w:vAlign w:val="center"/>
            <w:hideMark/>
          </w:tcPr>
          <w:p w14:paraId="73EE835D" w14:textId="152F3690" w:rsidR="00542AC6" w:rsidRPr="00542AC6" w:rsidRDefault="00542AC6" w:rsidP="00521002">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81</w:t>
            </w:r>
          </w:p>
        </w:tc>
        <w:tc>
          <w:tcPr>
            <w:tcW w:w="176" w:type="dxa"/>
            <w:tcBorders>
              <w:top w:val="nil"/>
              <w:left w:val="nil"/>
              <w:bottom w:val="nil"/>
              <w:right w:val="nil"/>
            </w:tcBorders>
            <w:shd w:val="clear" w:color="auto" w:fill="auto"/>
            <w:vAlign w:val="center"/>
            <w:hideMark/>
          </w:tcPr>
          <w:p w14:paraId="20328C76" w14:textId="77777777" w:rsidR="00542AC6" w:rsidRPr="00542AC6" w:rsidRDefault="00542AC6" w:rsidP="00542AC6">
            <w:pPr>
              <w:spacing w:after="0" w:line="240" w:lineRule="auto"/>
              <w:jc w:val="center"/>
              <w:rPr>
                <w:rFonts w:eastAsia="Times New Roman" w:cs="Arial"/>
                <w:color w:val="000000"/>
                <w:sz w:val="20"/>
                <w:szCs w:val="20"/>
                <w:lang w:eastAsia="fr-FR"/>
              </w:rPr>
            </w:pPr>
          </w:p>
        </w:tc>
        <w:tc>
          <w:tcPr>
            <w:tcW w:w="2268" w:type="dxa"/>
            <w:tcBorders>
              <w:top w:val="nil"/>
              <w:left w:val="single" w:sz="4" w:space="0" w:color="auto"/>
              <w:bottom w:val="single" w:sz="4" w:space="0" w:color="auto"/>
              <w:right w:val="single" w:sz="4" w:space="0" w:color="auto"/>
            </w:tcBorders>
            <w:shd w:val="clear" w:color="auto" w:fill="auto"/>
            <w:vAlign w:val="center"/>
            <w:hideMark/>
          </w:tcPr>
          <w:p w14:paraId="4E434024"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Poitrines SF</w:t>
            </w:r>
          </w:p>
        </w:tc>
        <w:tc>
          <w:tcPr>
            <w:tcW w:w="1276" w:type="dxa"/>
            <w:tcBorders>
              <w:top w:val="nil"/>
              <w:left w:val="nil"/>
              <w:bottom w:val="single" w:sz="4" w:space="0" w:color="auto"/>
              <w:right w:val="single" w:sz="4" w:space="0" w:color="auto"/>
            </w:tcBorders>
            <w:shd w:val="clear" w:color="auto" w:fill="auto"/>
            <w:vAlign w:val="center"/>
            <w:hideMark/>
          </w:tcPr>
          <w:p w14:paraId="0500848A" w14:textId="7050F89F"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02101219</w:t>
            </w:r>
          </w:p>
        </w:tc>
        <w:tc>
          <w:tcPr>
            <w:tcW w:w="1276" w:type="dxa"/>
            <w:tcBorders>
              <w:top w:val="nil"/>
              <w:left w:val="nil"/>
              <w:bottom w:val="single" w:sz="4" w:space="0" w:color="auto"/>
              <w:right w:val="single" w:sz="4" w:space="0" w:color="auto"/>
            </w:tcBorders>
            <w:shd w:val="clear" w:color="auto" w:fill="auto"/>
            <w:noWrap/>
            <w:vAlign w:val="center"/>
            <w:hideMark/>
          </w:tcPr>
          <w:p w14:paraId="7FE96557" w14:textId="10678E9A" w:rsidR="00542AC6" w:rsidRPr="00542AC6" w:rsidRDefault="00542AC6" w:rsidP="00542AC6">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2,6</w:t>
            </w:r>
          </w:p>
        </w:tc>
        <w:tc>
          <w:tcPr>
            <w:tcW w:w="1559" w:type="dxa"/>
            <w:tcBorders>
              <w:top w:val="nil"/>
              <w:left w:val="nil"/>
              <w:bottom w:val="single" w:sz="4" w:space="0" w:color="auto"/>
              <w:right w:val="single" w:sz="4" w:space="0" w:color="auto"/>
            </w:tcBorders>
            <w:shd w:val="clear" w:color="auto" w:fill="auto"/>
            <w:noWrap/>
            <w:vAlign w:val="center"/>
            <w:hideMark/>
          </w:tcPr>
          <w:p w14:paraId="37E1B830" w14:textId="353A8CB8" w:rsidR="00542AC6" w:rsidRPr="00542AC6" w:rsidRDefault="00542AC6" w:rsidP="00391835">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6,8</w:t>
            </w:r>
          </w:p>
        </w:tc>
        <w:tc>
          <w:tcPr>
            <w:tcW w:w="1134" w:type="dxa"/>
            <w:tcBorders>
              <w:top w:val="nil"/>
              <w:left w:val="nil"/>
              <w:bottom w:val="single" w:sz="4" w:space="0" w:color="auto"/>
              <w:right w:val="single" w:sz="4" w:space="0" w:color="auto"/>
            </w:tcBorders>
            <w:shd w:val="clear" w:color="auto" w:fill="auto"/>
            <w:noWrap/>
            <w:vAlign w:val="center"/>
            <w:hideMark/>
          </w:tcPr>
          <w:p w14:paraId="6963CD65" w14:textId="06C2F3B5" w:rsidR="00542AC6" w:rsidRPr="00542AC6" w:rsidRDefault="00542AC6" w:rsidP="00391835">
            <w:pPr>
              <w:spacing w:after="0" w:line="240" w:lineRule="auto"/>
              <w:jc w:val="center"/>
              <w:rPr>
                <w:rFonts w:eastAsia="Times New Roman" w:cs="Arial"/>
                <w:color w:val="000000"/>
                <w:sz w:val="20"/>
                <w:szCs w:val="20"/>
                <w:lang w:eastAsia="fr-FR"/>
              </w:rPr>
            </w:pPr>
            <w:r w:rsidRPr="00542AC6">
              <w:rPr>
                <w:rFonts w:eastAsia="Times New Roman" w:cs="Arial"/>
                <w:color w:val="000000"/>
                <w:sz w:val="20"/>
                <w:szCs w:val="20"/>
                <w:lang w:eastAsia="fr-FR"/>
              </w:rPr>
              <w:t>85</w:t>
            </w:r>
          </w:p>
        </w:tc>
      </w:tr>
      <w:tr w:rsidR="00CC0EFC" w:rsidRPr="00542AC6" w14:paraId="046057CC" w14:textId="77777777" w:rsidTr="00A153D6">
        <w:trPr>
          <w:trHeight w:val="125"/>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00B5A28D" w14:textId="77777777" w:rsidR="00542AC6" w:rsidRPr="00542AC6" w:rsidRDefault="00542AC6" w:rsidP="00542AC6">
            <w:pPr>
              <w:spacing w:after="0" w:line="240" w:lineRule="auto"/>
              <w:jc w:val="left"/>
              <w:rPr>
                <w:rFonts w:eastAsia="Times New Roman" w:cs="Arial"/>
                <w:i/>
                <w:iCs/>
                <w:sz w:val="20"/>
                <w:szCs w:val="20"/>
                <w:lang w:eastAsia="fr-FR"/>
              </w:rPr>
            </w:pPr>
            <w:r w:rsidRPr="00542AC6">
              <w:rPr>
                <w:rFonts w:eastAsia="Times New Roman" w:cs="Arial"/>
                <w:i/>
                <w:iCs/>
                <w:sz w:val="20"/>
                <w:szCs w:val="20"/>
                <w:lang w:eastAsia="fr-FR"/>
              </w:rPr>
              <w:t> </w:t>
            </w:r>
          </w:p>
        </w:tc>
        <w:tc>
          <w:tcPr>
            <w:tcW w:w="992" w:type="dxa"/>
            <w:tcBorders>
              <w:top w:val="nil"/>
              <w:left w:val="nil"/>
              <w:bottom w:val="single" w:sz="4" w:space="0" w:color="auto"/>
              <w:right w:val="single" w:sz="4" w:space="0" w:color="auto"/>
            </w:tcBorders>
            <w:shd w:val="clear" w:color="auto" w:fill="auto"/>
            <w:noWrap/>
            <w:vAlign w:val="center"/>
            <w:hideMark/>
          </w:tcPr>
          <w:p w14:paraId="5329A8C7" w14:textId="17E4F6E1" w:rsidR="00542AC6" w:rsidRPr="00542AC6" w:rsidRDefault="00542AC6" w:rsidP="00521002">
            <w:pPr>
              <w:spacing w:after="0" w:line="240" w:lineRule="auto"/>
              <w:jc w:val="center"/>
              <w:rPr>
                <w:rFonts w:eastAsia="Times New Roman" w:cs="Arial"/>
                <w:i/>
                <w:iCs/>
                <w:color w:val="000000"/>
                <w:sz w:val="20"/>
                <w:szCs w:val="20"/>
                <w:lang w:eastAsia="fr-FR"/>
              </w:rPr>
            </w:pPr>
          </w:p>
        </w:tc>
        <w:tc>
          <w:tcPr>
            <w:tcW w:w="2835" w:type="dxa"/>
            <w:tcBorders>
              <w:top w:val="nil"/>
              <w:left w:val="nil"/>
              <w:bottom w:val="single" w:sz="4" w:space="0" w:color="auto"/>
              <w:right w:val="single" w:sz="4" w:space="0" w:color="auto"/>
            </w:tcBorders>
            <w:shd w:val="clear" w:color="000000" w:fill="A6A6A6"/>
            <w:vAlign w:val="center"/>
            <w:hideMark/>
          </w:tcPr>
          <w:p w14:paraId="003CC4EC"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xml:space="preserve">Animaux non domestiques </w:t>
            </w:r>
          </w:p>
        </w:tc>
        <w:tc>
          <w:tcPr>
            <w:tcW w:w="1383" w:type="dxa"/>
            <w:tcBorders>
              <w:top w:val="nil"/>
              <w:left w:val="nil"/>
              <w:bottom w:val="single" w:sz="4" w:space="0" w:color="auto"/>
              <w:right w:val="single" w:sz="4" w:space="0" w:color="auto"/>
            </w:tcBorders>
            <w:shd w:val="clear" w:color="000000" w:fill="A6A6A6"/>
            <w:noWrap/>
            <w:vAlign w:val="center"/>
            <w:hideMark/>
          </w:tcPr>
          <w:p w14:paraId="365B3C85" w14:textId="77777777" w:rsidR="00542AC6" w:rsidRPr="00542AC6" w:rsidRDefault="00542AC6" w:rsidP="00521002">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Négligeable</w:t>
            </w:r>
          </w:p>
        </w:tc>
        <w:tc>
          <w:tcPr>
            <w:tcW w:w="176" w:type="dxa"/>
            <w:tcBorders>
              <w:top w:val="nil"/>
              <w:left w:val="nil"/>
              <w:bottom w:val="nil"/>
              <w:right w:val="nil"/>
            </w:tcBorders>
            <w:shd w:val="clear" w:color="000000" w:fill="A6A6A6"/>
            <w:vAlign w:val="center"/>
            <w:hideMark/>
          </w:tcPr>
          <w:p w14:paraId="652D894A"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2268" w:type="dxa"/>
            <w:tcBorders>
              <w:top w:val="nil"/>
              <w:left w:val="single" w:sz="4" w:space="0" w:color="auto"/>
              <w:bottom w:val="single" w:sz="4" w:space="0" w:color="auto"/>
              <w:right w:val="single" w:sz="4" w:space="0" w:color="auto"/>
            </w:tcBorders>
            <w:shd w:val="clear" w:color="000000" w:fill="A6A6A6"/>
            <w:vAlign w:val="center"/>
            <w:hideMark/>
          </w:tcPr>
          <w:p w14:paraId="1EF8D558" w14:textId="77777777" w:rsidR="00542AC6" w:rsidRPr="00542AC6" w:rsidRDefault="00542AC6" w:rsidP="00542AC6">
            <w:pPr>
              <w:spacing w:after="0" w:line="240" w:lineRule="auto"/>
              <w:jc w:val="left"/>
              <w:rPr>
                <w:rFonts w:eastAsia="Times New Roman" w:cs="Arial"/>
                <w:color w:val="000000"/>
                <w:sz w:val="20"/>
                <w:szCs w:val="20"/>
                <w:lang w:eastAsia="fr-FR"/>
              </w:rPr>
            </w:pPr>
            <w:r w:rsidRPr="00542AC6">
              <w:rPr>
                <w:rFonts w:eastAsia="Times New Roman" w:cs="Arial"/>
                <w:color w:val="000000"/>
                <w:sz w:val="20"/>
                <w:szCs w:val="20"/>
                <w:lang w:eastAsia="fr-FR"/>
              </w:rPr>
              <w:t> </w:t>
            </w:r>
          </w:p>
        </w:tc>
        <w:tc>
          <w:tcPr>
            <w:tcW w:w="1276" w:type="dxa"/>
            <w:tcBorders>
              <w:top w:val="nil"/>
              <w:left w:val="nil"/>
              <w:bottom w:val="single" w:sz="4" w:space="0" w:color="auto"/>
              <w:right w:val="single" w:sz="4" w:space="0" w:color="auto"/>
            </w:tcBorders>
            <w:shd w:val="clear" w:color="000000" w:fill="A6A6A6"/>
            <w:noWrap/>
            <w:vAlign w:val="center"/>
            <w:hideMark/>
          </w:tcPr>
          <w:p w14:paraId="4B1D554E"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02101190</w:t>
            </w:r>
          </w:p>
        </w:tc>
        <w:tc>
          <w:tcPr>
            <w:tcW w:w="1276" w:type="dxa"/>
            <w:tcBorders>
              <w:top w:val="nil"/>
              <w:left w:val="nil"/>
              <w:bottom w:val="single" w:sz="4" w:space="0" w:color="auto"/>
              <w:right w:val="single" w:sz="4" w:space="0" w:color="auto"/>
            </w:tcBorders>
            <w:shd w:val="clear" w:color="000000" w:fill="A6A6A6"/>
            <w:vAlign w:val="center"/>
            <w:hideMark/>
          </w:tcPr>
          <w:p w14:paraId="3F5E5DFD"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559" w:type="dxa"/>
            <w:tcBorders>
              <w:top w:val="nil"/>
              <w:left w:val="nil"/>
              <w:bottom w:val="single" w:sz="4" w:space="0" w:color="auto"/>
              <w:right w:val="single" w:sz="4" w:space="0" w:color="auto"/>
            </w:tcBorders>
            <w:shd w:val="clear" w:color="000000" w:fill="A6A6A6"/>
            <w:vAlign w:val="center"/>
            <w:hideMark/>
          </w:tcPr>
          <w:p w14:paraId="224885C8"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c>
          <w:tcPr>
            <w:tcW w:w="1134" w:type="dxa"/>
            <w:tcBorders>
              <w:top w:val="nil"/>
              <w:left w:val="nil"/>
              <w:bottom w:val="single" w:sz="4" w:space="0" w:color="auto"/>
              <w:right w:val="single" w:sz="4" w:space="0" w:color="auto"/>
            </w:tcBorders>
            <w:shd w:val="clear" w:color="000000" w:fill="A6A6A6"/>
            <w:vAlign w:val="center"/>
            <w:hideMark/>
          </w:tcPr>
          <w:p w14:paraId="53411F73" w14:textId="77777777" w:rsidR="00542AC6" w:rsidRPr="00542AC6" w:rsidRDefault="00542AC6" w:rsidP="00542AC6">
            <w:pPr>
              <w:spacing w:after="0" w:line="240" w:lineRule="auto"/>
              <w:jc w:val="center"/>
              <w:rPr>
                <w:rFonts w:eastAsia="Times New Roman" w:cs="Arial"/>
                <w:i/>
                <w:iCs/>
                <w:color w:val="000000"/>
                <w:sz w:val="20"/>
                <w:szCs w:val="20"/>
                <w:lang w:eastAsia="fr-FR"/>
              </w:rPr>
            </w:pPr>
            <w:r w:rsidRPr="00542AC6">
              <w:rPr>
                <w:rFonts w:eastAsia="Times New Roman" w:cs="Arial"/>
                <w:i/>
                <w:iCs/>
                <w:color w:val="000000"/>
                <w:sz w:val="20"/>
                <w:szCs w:val="20"/>
                <w:lang w:eastAsia="fr-FR"/>
              </w:rPr>
              <w:t> </w:t>
            </w:r>
          </w:p>
        </w:tc>
      </w:tr>
    </w:tbl>
    <w:p w14:paraId="0DCF8B45" w14:textId="456078F0" w:rsidR="00AB6C63" w:rsidRPr="00E710C0" w:rsidRDefault="00E710C0" w:rsidP="00AB6C63">
      <w:pPr>
        <w:rPr>
          <w:rFonts w:cs="Arial"/>
          <w:b/>
          <w:i/>
        </w:rPr>
      </w:pPr>
      <w:r w:rsidRPr="00E710C0">
        <w:rPr>
          <w:rFonts w:cs="Arial"/>
          <w:b/>
          <w:i/>
        </w:rPr>
        <w:lastRenderedPageBreak/>
        <w:t xml:space="preserve">Annexe 6 </w:t>
      </w:r>
      <w:r w:rsidR="00AB6C63" w:rsidRPr="00E710C0">
        <w:rPr>
          <w:rFonts w:cs="Arial"/>
          <w:b/>
          <w:i/>
        </w:rPr>
        <w:t>b/ Saucisses, saucissons cuit, à cuire</w:t>
      </w:r>
      <w:r w:rsidR="00D04314" w:rsidRPr="00E710C0">
        <w:rPr>
          <w:rFonts w:cs="Arial"/>
          <w:b/>
          <w:i/>
        </w:rPr>
        <w:t xml:space="preserve">. </w:t>
      </w:r>
    </w:p>
    <w:tbl>
      <w:tblPr>
        <w:tblW w:w="15021" w:type="dxa"/>
        <w:tblCellMar>
          <w:left w:w="70" w:type="dxa"/>
          <w:right w:w="70" w:type="dxa"/>
        </w:tblCellMar>
        <w:tblLook w:val="04A0" w:firstRow="1" w:lastRow="0" w:firstColumn="1" w:lastColumn="0" w:noHBand="0" w:noVBand="1"/>
      </w:tblPr>
      <w:tblGrid>
        <w:gridCol w:w="1555"/>
        <w:gridCol w:w="1275"/>
        <w:gridCol w:w="4720"/>
        <w:gridCol w:w="585"/>
        <w:gridCol w:w="283"/>
        <w:gridCol w:w="1130"/>
        <w:gridCol w:w="1646"/>
        <w:gridCol w:w="1417"/>
        <w:gridCol w:w="1327"/>
        <w:gridCol w:w="1083"/>
      </w:tblGrid>
      <w:tr w:rsidR="00DF5FD5" w:rsidRPr="00351E92" w14:paraId="5AD6F450" w14:textId="77777777" w:rsidTr="00471D69">
        <w:trPr>
          <w:trHeight w:val="113"/>
        </w:trPr>
        <w:tc>
          <w:tcPr>
            <w:tcW w:w="155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499DB69" w14:textId="77777777" w:rsidR="00351E92" w:rsidRPr="00351E92" w:rsidRDefault="00351E92" w:rsidP="00351E92">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xml:space="preserve">Code Prodcom </w:t>
            </w:r>
          </w:p>
        </w:tc>
        <w:tc>
          <w:tcPr>
            <w:tcW w:w="1275" w:type="dxa"/>
            <w:tcBorders>
              <w:top w:val="single" w:sz="4" w:space="0" w:color="auto"/>
              <w:left w:val="nil"/>
              <w:bottom w:val="single" w:sz="4" w:space="0" w:color="auto"/>
              <w:right w:val="single" w:sz="4" w:space="0" w:color="auto"/>
            </w:tcBorders>
            <w:shd w:val="clear" w:color="000000" w:fill="BFBFBF"/>
            <w:vAlign w:val="center"/>
            <w:hideMark/>
          </w:tcPr>
          <w:p w14:paraId="1D8310E8" w14:textId="77777777" w:rsidR="00351E92" w:rsidRPr="00351E92" w:rsidRDefault="00351E92" w:rsidP="00DF5FD5">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4720" w:type="dxa"/>
            <w:tcBorders>
              <w:top w:val="single" w:sz="4" w:space="0" w:color="auto"/>
              <w:left w:val="nil"/>
              <w:bottom w:val="single" w:sz="4" w:space="0" w:color="auto"/>
              <w:right w:val="single" w:sz="4" w:space="0" w:color="auto"/>
            </w:tcBorders>
            <w:shd w:val="clear" w:color="000000" w:fill="BFBFBF"/>
            <w:vAlign w:val="center"/>
            <w:hideMark/>
          </w:tcPr>
          <w:p w14:paraId="482C4BE1" w14:textId="77777777" w:rsidR="00351E92" w:rsidRPr="00351E92" w:rsidRDefault="00351E92" w:rsidP="00351E92">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xml:space="preserve">Catégories produits </w:t>
            </w:r>
          </w:p>
        </w:tc>
        <w:tc>
          <w:tcPr>
            <w:tcW w:w="585" w:type="dxa"/>
            <w:tcBorders>
              <w:top w:val="single" w:sz="4" w:space="0" w:color="auto"/>
              <w:left w:val="nil"/>
              <w:bottom w:val="single" w:sz="4" w:space="0" w:color="auto"/>
              <w:right w:val="single" w:sz="4" w:space="0" w:color="auto"/>
            </w:tcBorders>
            <w:shd w:val="clear" w:color="000000" w:fill="BFBFBF"/>
            <w:vAlign w:val="center"/>
            <w:hideMark/>
          </w:tcPr>
          <w:p w14:paraId="6667C809"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xml:space="preserve">Total </w:t>
            </w:r>
          </w:p>
        </w:tc>
        <w:tc>
          <w:tcPr>
            <w:tcW w:w="283" w:type="dxa"/>
            <w:tcBorders>
              <w:top w:val="nil"/>
              <w:left w:val="nil"/>
              <w:bottom w:val="nil"/>
              <w:right w:val="nil"/>
            </w:tcBorders>
            <w:shd w:val="clear" w:color="auto" w:fill="auto"/>
            <w:noWrap/>
            <w:vAlign w:val="center"/>
            <w:hideMark/>
          </w:tcPr>
          <w:p w14:paraId="3671DE2E"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49656D8B" w14:textId="0B954831"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N</w:t>
            </w:r>
            <w:r w:rsidR="00AA21CA">
              <w:rPr>
                <w:rFonts w:eastAsia="Times New Roman" w:cs="Arial"/>
                <w:color w:val="000000"/>
                <w:sz w:val="20"/>
                <w:szCs w:val="20"/>
                <w:lang w:eastAsia="fr-FR"/>
              </w:rPr>
              <w:t>C</w:t>
            </w:r>
          </w:p>
        </w:tc>
        <w:tc>
          <w:tcPr>
            <w:tcW w:w="1646" w:type="dxa"/>
            <w:tcBorders>
              <w:top w:val="single" w:sz="4" w:space="0" w:color="auto"/>
              <w:left w:val="nil"/>
              <w:bottom w:val="single" w:sz="4" w:space="0" w:color="auto"/>
              <w:right w:val="single" w:sz="4" w:space="0" w:color="auto"/>
            </w:tcBorders>
            <w:shd w:val="clear" w:color="000000" w:fill="A6A6A6"/>
            <w:vAlign w:val="center"/>
            <w:hideMark/>
          </w:tcPr>
          <w:p w14:paraId="53283760" w14:textId="77777777"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Libellé produit</w:t>
            </w:r>
          </w:p>
        </w:tc>
        <w:tc>
          <w:tcPr>
            <w:tcW w:w="1417" w:type="dxa"/>
            <w:tcBorders>
              <w:top w:val="single" w:sz="4" w:space="0" w:color="auto"/>
              <w:left w:val="nil"/>
              <w:bottom w:val="single" w:sz="4" w:space="0" w:color="auto"/>
              <w:right w:val="single" w:sz="4" w:space="0" w:color="auto"/>
            </w:tcBorders>
            <w:shd w:val="clear" w:color="000000" w:fill="A6A6A6"/>
            <w:vAlign w:val="center"/>
            <w:hideMark/>
          </w:tcPr>
          <w:p w14:paraId="48E13B76"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xml:space="preserve">Exportation </w:t>
            </w:r>
          </w:p>
        </w:tc>
        <w:tc>
          <w:tcPr>
            <w:tcW w:w="1327" w:type="dxa"/>
            <w:tcBorders>
              <w:top w:val="single" w:sz="4" w:space="0" w:color="auto"/>
              <w:left w:val="nil"/>
              <w:bottom w:val="single" w:sz="4" w:space="0" w:color="auto"/>
              <w:right w:val="single" w:sz="4" w:space="0" w:color="auto"/>
            </w:tcBorders>
            <w:shd w:val="clear" w:color="000000" w:fill="A6A6A6"/>
            <w:vAlign w:val="center"/>
            <w:hideMark/>
          </w:tcPr>
          <w:p w14:paraId="03B2F2B1"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xml:space="preserve">Importation </w:t>
            </w:r>
          </w:p>
        </w:tc>
        <w:tc>
          <w:tcPr>
            <w:tcW w:w="1083" w:type="dxa"/>
            <w:tcBorders>
              <w:top w:val="single" w:sz="4" w:space="0" w:color="auto"/>
              <w:left w:val="nil"/>
              <w:bottom w:val="single" w:sz="4" w:space="0" w:color="auto"/>
              <w:right w:val="single" w:sz="4" w:space="0" w:color="auto"/>
            </w:tcBorders>
            <w:shd w:val="clear" w:color="000000" w:fill="A6A6A6"/>
            <w:vAlign w:val="center"/>
            <w:hideMark/>
          </w:tcPr>
          <w:p w14:paraId="03151518"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xml:space="preserve">Solde Net </w:t>
            </w:r>
          </w:p>
        </w:tc>
      </w:tr>
      <w:tr w:rsidR="00DF5FD5" w:rsidRPr="00351E92" w14:paraId="74E5D4AA" w14:textId="77777777" w:rsidTr="00471D69">
        <w:trPr>
          <w:trHeight w:val="381"/>
        </w:trPr>
        <w:tc>
          <w:tcPr>
            <w:tcW w:w="155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3677C8E" w14:textId="77777777" w:rsidR="00351E92" w:rsidRPr="00351E92" w:rsidRDefault="00351E92" w:rsidP="00351E92">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275"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342215C0" w14:textId="77777777" w:rsidR="00351E92" w:rsidRPr="00351E92" w:rsidRDefault="00351E92" w:rsidP="00DF5FD5">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472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AA92924" w14:textId="77777777" w:rsidR="00351E92" w:rsidRPr="00351E92" w:rsidRDefault="00351E92" w:rsidP="00351E92">
            <w:pPr>
              <w:spacing w:after="0" w:line="240" w:lineRule="auto"/>
              <w:jc w:val="left"/>
              <w:rPr>
                <w:rFonts w:eastAsia="Times New Roman" w:cs="Arial"/>
                <w:b/>
                <w:bCs/>
                <w:color w:val="000000"/>
                <w:sz w:val="20"/>
                <w:szCs w:val="20"/>
                <w:lang w:eastAsia="fr-FR"/>
              </w:rPr>
            </w:pPr>
            <w:r w:rsidRPr="00351E92">
              <w:rPr>
                <w:rFonts w:eastAsia="Times New Roman" w:cs="Arial"/>
                <w:b/>
                <w:bCs/>
                <w:color w:val="000000"/>
                <w:sz w:val="20"/>
                <w:szCs w:val="20"/>
                <w:lang w:eastAsia="fr-FR"/>
              </w:rPr>
              <w:t>Total Saucisses et saucissons</w:t>
            </w:r>
          </w:p>
        </w:tc>
        <w:tc>
          <w:tcPr>
            <w:tcW w:w="585" w:type="dxa"/>
            <w:tcBorders>
              <w:top w:val="nil"/>
              <w:left w:val="nil"/>
              <w:bottom w:val="single" w:sz="4" w:space="0" w:color="auto"/>
              <w:right w:val="single" w:sz="4" w:space="0" w:color="auto"/>
            </w:tcBorders>
            <w:shd w:val="clear" w:color="000000" w:fill="BFBFBF"/>
            <w:vAlign w:val="center"/>
            <w:hideMark/>
          </w:tcPr>
          <w:p w14:paraId="669BFB01" w14:textId="7EEBCD3A"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461</w:t>
            </w:r>
          </w:p>
        </w:tc>
        <w:tc>
          <w:tcPr>
            <w:tcW w:w="283" w:type="dxa"/>
            <w:tcBorders>
              <w:top w:val="nil"/>
              <w:left w:val="nil"/>
              <w:bottom w:val="nil"/>
              <w:right w:val="nil"/>
            </w:tcBorders>
            <w:shd w:val="clear" w:color="auto" w:fill="auto"/>
            <w:noWrap/>
            <w:vAlign w:val="center"/>
            <w:hideMark/>
          </w:tcPr>
          <w:p w14:paraId="08F946A9"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000000" w:fill="A6A6A6"/>
            <w:vAlign w:val="center"/>
            <w:hideMark/>
          </w:tcPr>
          <w:p w14:paraId="5E186715"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000000" w:fill="A6A6A6"/>
            <w:vAlign w:val="center"/>
            <w:hideMark/>
          </w:tcPr>
          <w:p w14:paraId="6937787A"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000000" w:fill="A6A6A6"/>
            <w:vAlign w:val="center"/>
            <w:hideMark/>
          </w:tcPr>
          <w:p w14:paraId="1015D716" w14:textId="2DC5CB4F"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44</w:t>
            </w:r>
          </w:p>
        </w:tc>
        <w:tc>
          <w:tcPr>
            <w:tcW w:w="1327" w:type="dxa"/>
            <w:tcBorders>
              <w:top w:val="nil"/>
              <w:left w:val="nil"/>
              <w:bottom w:val="single" w:sz="4" w:space="0" w:color="000000"/>
              <w:right w:val="single" w:sz="4" w:space="0" w:color="000000"/>
            </w:tcBorders>
            <w:shd w:val="clear" w:color="000000" w:fill="A6A6A6"/>
            <w:vAlign w:val="center"/>
            <w:hideMark/>
          </w:tcPr>
          <w:p w14:paraId="30E916A6" w14:textId="23B79336"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81</w:t>
            </w:r>
          </w:p>
        </w:tc>
        <w:tc>
          <w:tcPr>
            <w:tcW w:w="1083" w:type="dxa"/>
            <w:tcBorders>
              <w:top w:val="nil"/>
              <w:left w:val="nil"/>
              <w:bottom w:val="single" w:sz="4" w:space="0" w:color="000000"/>
              <w:right w:val="single" w:sz="4" w:space="0" w:color="000000"/>
            </w:tcBorders>
            <w:shd w:val="clear" w:color="000000" w:fill="A6A6A6"/>
            <w:vAlign w:val="center"/>
            <w:hideMark/>
          </w:tcPr>
          <w:p w14:paraId="7916A5DC" w14:textId="3EBA9A4E"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498</w:t>
            </w:r>
          </w:p>
        </w:tc>
      </w:tr>
      <w:tr w:rsidR="00DF5FD5" w:rsidRPr="00351E92" w14:paraId="58AB6BEC" w14:textId="77777777" w:rsidTr="00471D69">
        <w:trPr>
          <w:trHeight w:val="113"/>
        </w:trPr>
        <w:tc>
          <w:tcPr>
            <w:tcW w:w="1555" w:type="dxa"/>
            <w:tcBorders>
              <w:top w:val="nil"/>
              <w:left w:val="single" w:sz="4" w:space="0" w:color="auto"/>
              <w:bottom w:val="single" w:sz="4" w:space="0" w:color="auto"/>
              <w:right w:val="single" w:sz="4" w:space="0" w:color="auto"/>
            </w:tcBorders>
            <w:shd w:val="clear" w:color="000000" w:fill="BFBFBF"/>
            <w:vAlign w:val="center"/>
            <w:hideMark/>
          </w:tcPr>
          <w:p w14:paraId="301C85C1" w14:textId="77777777" w:rsidR="00351E92" w:rsidRPr="00351E92" w:rsidRDefault="00351E92" w:rsidP="00351E92">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275" w:type="dxa"/>
            <w:tcBorders>
              <w:top w:val="nil"/>
              <w:left w:val="nil"/>
              <w:bottom w:val="single" w:sz="4" w:space="0" w:color="auto"/>
              <w:right w:val="single" w:sz="4" w:space="0" w:color="auto"/>
            </w:tcBorders>
            <w:shd w:val="clear" w:color="000000" w:fill="BFBFBF"/>
            <w:vAlign w:val="center"/>
            <w:hideMark/>
          </w:tcPr>
          <w:p w14:paraId="51440AAA" w14:textId="77777777" w:rsidR="00351E92" w:rsidRPr="00351E92" w:rsidRDefault="00351E92" w:rsidP="00DF5FD5">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4720" w:type="dxa"/>
            <w:tcBorders>
              <w:top w:val="nil"/>
              <w:left w:val="nil"/>
              <w:bottom w:val="single" w:sz="4" w:space="0" w:color="auto"/>
              <w:right w:val="single" w:sz="4" w:space="0" w:color="auto"/>
            </w:tcBorders>
            <w:shd w:val="clear" w:color="000000" w:fill="BFBFBF"/>
            <w:vAlign w:val="center"/>
            <w:hideMark/>
          </w:tcPr>
          <w:p w14:paraId="3A59F586" w14:textId="77777777" w:rsidR="00351E92" w:rsidRPr="00351E92" w:rsidRDefault="00351E92" w:rsidP="00351E92">
            <w:pPr>
              <w:spacing w:after="0" w:line="240" w:lineRule="auto"/>
              <w:jc w:val="left"/>
              <w:rPr>
                <w:rFonts w:eastAsia="Times New Roman" w:cs="Arial"/>
                <w:b/>
                <w:bCs/>
                <w:color w:val="000000"/>
                <w:sz w:val="20"/>
                <w:szCs w:val="20"/>
                <w:lang w:eastAsia="fr-FR"/>
              </w:rPr>
            </w:pPr>
            <w:r w:rsidRPr="00351E92">
              <w:rPr>
                <w:rFonts w:eastAsia="Times New Roman" w:cs="Arial"/>
                <w:b/>
                <w:bCs/>
                <w:color w:val="000000"/>
                <w:sz w:val="20"/>
                <w:szCs w:val="20"/>
                <w:lang w:eastAsia="fr-FR"/>
              </w:rPr>
              <w:t>Total Hors Produits de volaille</w:t>
            </w:r>
          </w:p>
        </w:tc>
        <w:tc>
          <w:tcPr>
            <w:tcW w:w="585" w:type="dxa"/>
            <w:tcBorders>
              <w:top w:val="nil"/>
              <w:left w:val="nil"/>
              <w:bottom w:val="single" w:sz="4" w:space="0" w:color="auto"/>
              <w:right w:val="single" w:sz="4" w:space="0" w:color="auto"/>
            </w:tcBorders>
            <w:shd w:val="clear" w:color="000000" w:fill="BFBFBF"/>
            <w:vAlign w:val="center"/>
            <w:hideMark/>
          </w:tcPr>
          <w:p w14:paraId="282CE063" w14:textId="5B10826C"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4</w:t>
            </w:r>
            <w:r w:rsidR="0043026C">
              <w:rPr>
                <w:rFonts w:eastAsia="Times New Roman" w:cs="Arial"/>
                <w:b/>
                <w:bCs/>
                <w:color w:val="000000"/>
                <w:sz w:val="20"/>
                <w:szCs w:val="20"/>
                <w:lang w:eastAsia="fr-FR"/>
              </w:rPr>
              <w:t>32</w:t>
            </w:r>
          </w:p>
        </w:tc>
        <w:tc>
          <w:tcPr>
            <w:tcW w:w="283" w:type="dxa"/>
            <w:tcBorders>
              <w:top w:val="nil"/>
              <w:left w:val="nil"/>
              <w:bottom w:val="nil"/>
              <w:right w:val="nil"/>
            </w:tcBorders>
            <w:shd w:val="clear" w:color="auto" w:fill="auto"/>
            <w:noWrap/>
            <w:vAlign w:val="center"/>
            <w:hideMark/>
          </w:tcPr>
          <w:p w14:paraId="5CA8ED1C"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000000" w:fill="A6A6A6"/>
            <w:vAlign w:val="center"/>
            <w:hideMark/>
          </w:tcPr>
          <w:p w14:paraId="579D3F62"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000000" w:fill="A6A6A6"/>
            <w:vAlign w:val="center"/>
            <w:hideMark/>
          </w:tcPr>
          <w:p w14:paraId="4695883D"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000000" w:fill="A6A6A6"/>
            <w:vAlign w:val="center"/>
            <w:hideMark/>
          </w:tcPr>
          <w:p w14:paraId="71986CBD"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000000" w:fill="A6A6A6"/>
            <w:vAlign w:val="center"/>
            <w:hideMark/>
          </w:tcPr>
          <w:p w14:paraId="7F909407"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000000" w:fill="A6A6A6"/>
            <w:vAlign w:val="center"/>
            <w:hideMark/>
          </w:tcPr>
          <w:p w14:paraId="688BDD0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6B3D7ADE"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43582BC7"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p.10.13.14.60</w:t>
            </w:r>
          </w:p>
        </w:tc>
        <w:tc>
          <w:tcPr>
            <w:tcW w:w="1275" w:type="dxa"/>
            <w:tcBorders>
              <w:top w:val="nil"/>
              <w:left w:val="nil"/>
              <w:bottom w:val="nil"/>
              <w:right w:val="nil"/>
            </w:tcBorders>
            <w:shd w:val="clear" w:color="auto" w:fill="auto"/>
            <w:noWrap/>
            <w:vAlign w:val="center"/>
            <w:hideMark/>
          </w:tcPr>
          <w:p w14:paraId="2894527A" w14:textId="77777777" w:rsidR="00351E92" w:rsidRPr="00351E92" w:rsidRDefault="00351E92" w:rsidP="00DF5FD5">
            <w:pPr>
              <w:spacing w:after="0" w:line="240" w:lineRule="auto"/>
              <w:jc w:val="left"/>
              <w:rPr>
                <w:rFonts w:eastAsia="Times New Roman" w:cs="Arial"/>
                <w:sz w:val="20"/>
                <w:szCs w:val="20"/>
                <w:lang w:eastAsia="fr-FR"/>
              </w:rPr>
            </w:pPr>
          </w:p>
        </w:tc>
        <w:tc>
          <w:tcPr>
            <w:tcW w:w="4720" w:type="dxa"/>
            <w:tcBorders>
              <w:top w:val="nil"/>
              <w:left w:val="single" w:sz="4" w:space="0" w:color="000000"/>
              <w:bottom w:val="single" w:sz="4" w:space="0" w:color="000000"/>
              <w:right w:val="single" w:sz="4" w:space="0" w:color="000000"/>
            </w:tcBorders>
            <w:shd w:val="clear" w:color="auto" w:fill="auto"/>
            <w:vAlign w:val="center"/>
            <w:hideMark/>
          </w:tcPr>
          <w:p w14:paraId="5D2CDC59"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Saucisses et saucissons secs</w:t>
            </w:r>
          </w:p>
        </w:tc>
        <w:tc>
          <w:tcPr>
            <w:tcW w:w="585" w:type="dxa"/>
            <w:tcBorders>
              <w:top w:val="nil"/>
              <w:left w:val="nil"/>
              <w:bottom w:val="single" w:sz="4" w:space="0" w:color="auto"/>
              <w:right w:val="single" w:sz="4" w:space="0" w:color="auto"/>
            </w:tcBorders>
            <w:shd w:val="clear" w:color="000000" w:fill="BFBFBF"/>
            <w:vAlign w:val="center"/>
            <w:hideMark/>
          </w:tcPr>
          <w:p w14:paraId="1D0E2DDB" w14:textId="14058511"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116</w:t>
            </w:r>
          </w:p>
        </w:tc>
        <w:tc>
          <w:tcPr>
            <w:tcW w:w="283" w:type="dxa"/>
            <w:tcBorders>
              <w:top w:val="nil"/>
              <w:left w:val="nil"/>
              <w:bottom w:val="nil"/>
              <w:right w:val="nil"/>
            </w:tcBorders>
            <w:shd w:val="clear" w:color="auto" w:fill="auto"/>
            <w:noWrap/>
            <w:vAlign w:val="center"/>
            <w:hideMark/>
          </w:tcPr>
          <w:p w14:paraId="4401F723"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000000" w:fill="A6A6A6"/>
            <w:vAlign w:val="center"/>
            <w:hideMark/>
          </w:tcPr>
          <w:p w14:paraId="1A72C59F"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000000" w:fill="A6A6A6"/>
            <w:vAlign w:val="center"/>
            <w:hideMark/>
          </w:tcPr>
          <w:p w14:paraId="40141850"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000000" w:fill="A6A6A6"/>
            <w:vAlign w:val="center"/>
            <w:hideMark/>
          </w:tcPr>
          <w:p w14:paraId="5DF58DB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000000" w:fill="A6A6A6"/>
            <w:vAlign w:val="center"/>
            <w:hideMark/>
          </w:tcPr>
          <w:p w14:paraId="304A07A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000000" w:fill="A6A6A6"/>
            <w:vAlign w:val="center"/>
            <w:hideMark/>
          </w:tcPr>
          <w:p w14:paraId="2314ACFF"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76850FE6"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309F7463" w14:textId="2229B5E8" w:rsidR="00351E92" w:rsidRPr="00351E92" w:rsidRDefault="00351E92" w:rsidP="00351E92">
            <w:pPr>
              <w:spacing w:after="0" w:line="240" w:lineRule="auto"/>
              <w:jc w:val="left"/>
              <w:rPr>
                <w:rFonts w:eastAsia="Times New Roman" w:cs="Arial"/>
                <w:sz w:val="20"/>
                <w:szCs w:val="20"/>
                <w:lang w:eastAsia="fr-FR"/>
              </w:rPr>
            </w:pPr>
          </w:p>
        </w:tc>
        <w:tc>
          <w:tcPr>
            <w:tcW w:w="1275" w:type="dxa"/>
            <w:tcBorders>
              <w:top w:val="single" w:sz="4" w:space="0" w:color="000000"/>
              <w:left w:val="nil"/>
              <w:bottom w:val="single" w:sz="4" w:space="0" w:color="000000"/>
              <w:right w:val="single" w:sz="4" w:space="0" w:color="000000"/>
            </w:tcBorders>
            <w:shd w:val="clear" w:color="auto" w:fill="auto"/>
            <w:vAlign w:val="center"/>
            <w:hideMark/>
          </w:tcPr>
          <w:p w14:paraId="7040B66E" w14:textId="7D4AA49A" w:rsidR="00351E92" w:rsidRPr="00351E92" w:rsidRDefault="006F08DA"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eastAsia="Times New Roman" w:cs="Arial"/>
                <w:sz w:val="20"/>
                <w:szCs w:val="20"/>
                <w:lang w:eastAsia="fr-FR"/>
              </w:rPr>
              <w:t>1601</w:t>
            </w:r>
            <w:r>
              <w:rPr>
                <w:rFonts w:eastAsia="Times New Roman" w:cs="Arial"/>
                <w:sz w:val="20"/>
                <w:szCs w:val="20"/>
                <w:lang w:eastAsia="fr-FR"/>
              </w:rPr>
              <w:t xml:space="preserve"> NC</w:t>
            </w:r>
            <w:r w:rsidRPr="00351E92">
              <w:rPr>
                <w:rFonts w:eastAsia="Times New Roman" w:cs="Arial"/>
                <w:sz w:val="20"/>
                <w:szCs w:val="20"/>
                <w:lang w:eastAsia="fr-FR"/>
              </w:rPr>
              <w:t xml:space="preserve"> 1601.00.10</w:t>
            </w:r>
            <w:r w:rsidR="00351E92"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7DA38A33" w14:textId="77777777" w:rsidR="00351E92" w:rsidRPr="00351E92" w:rsidRDefault="00351E92" w:rsidP="00351E92">
            <w:pPr>
              <w:spacing w:after="0" w:line="240" w:lineRule="auto"/>
              <w:jc w:val="left"/>
              <w:rPr>
                <w:rFonts w:eastAsia="Times New Roman" w:cs="Arial"/>
                <w:i/>
                <w:iCs/>
                <w:sz w:val="20"/>
                <w:szCs w:val="20"/>
                <w:lang w:eastAsia="fr-FR"/>
              </w:rPr>
            </w:pPr>
            <w:r w:rsidRPr="00351E92">
              <w:rPr>
                <w:rFonts w:eastAsia="Times New Roman" w:cs="Arial"/>
                <w:i/>
                <w:iCs/>
                <w:sz w:val="20"/>
                <w:szCs w:val="20"/>
                <w:u w:val="single"/>
                <w:lang w:eastAsia="fr-FR"/>
              </w:rPr>
              <w:t>Pur porc</w:t>
            </w:r>
          </w:p>
        </w:tc>
        <w:tc>
          <w:tcPr>
            <w:tcW w:w="585" w:type="dxa"/>
            <w:tcBorders>
              <w:top w:val="nil"/>
              <w:left w:val="nil"/>
              <w:bottom w:val="single" w:sz="4" w:space="0" w:color="auto"/>
              <w:right w:val="single" w:sz="4" w:space="0" w:color="auto"/>
            </w:tcBorders>
            <w:shd w:val="clear" w:color="000000" w:fill="BFBFBF"/>
            <w:vAlign w:val="center"/>
            <w:hideMark/>
          </w:tcPr>
          <w:p w14:paraId="05F9CAA1" w14:textId="77777777" w:rsidR="00351E92" w:rsidRPr="00351E92" w:rsidRDefault="00351E92" w:rsidP="00351E92">
            <w:pPr>
              <w:spacing w:after="0" w:line="240" w:lineRule="auto"/>
              <w:jc w:val="center"/>
              <w:rPr>
                <w:rFonts w:eastAsia="Times New Roman" w:cs="Arial"/>
                <w:i/>
                <w:iCs/>
                <w:color w:val="000000"/>
                <w:sz w:val="20"/>
                <w:szCs w:val="20"/>
                <w:lang w:eastAsia="fr-FR"/>
              </w:rPr>
            </w:pPr>
            <w:r w:rsidRPr="00351E92">
              <w:rPr>
                <w:rFonts w:eastAsia="Times New Roman" w:cs="Arial"/>
                <w:i/>
                <w:iCs/>
                <w:color w:val="000000"/>
                <w:sz w:val="20"/>
                <w:szCs w:val="20"/>
                <w:lang w:eastAsia="fr-FR"/>
              </w:rPr>
              <w:t>111</w:t>
            </w:r>
          </w:p>
        </w:tc>
        <w:tc>
          <w:tcPr>
            <w:tcW w:w="283" w:type="dxa"/>
            <w:tcBorders>
              <w:top w:val="nil"/>
              <w:left w:val="nil"/>
              <w:bottom w:val="nil"/>
              <w:right w:val="nil"/>
            </w:tcBorders>
            <w:shd w:val="clear" w:color="auto" w:fill="auto"/>
            <w:noWrap/>
            <w:vAlign w:val="center"/>
            <w:hideMark/>
          </w:tcPr>
          <w:p w14:paraId="5ADF3EF4" w14:textId="77777777" w:rsidR="00351E92" w:rsidRPr="00351E92" w:rsidRDefault="00351E92" w:rsidP="00351E92">
            <w:pPr>
              <w:spacing w:after="0" w:line="240" w:lineRule="auto"/>
              <w:jc w:val="center"/>
              <w:rPr>
                <w:rFonts w:eastAsia="Times New Roman" w:cs="Arial"/>
                <w:i/>
                <w:iCs/>
                <w:color w:val="000000"/>
                <w:sz w:val="20"/>
                <w:szCs w:val="20"/>
                <w:lang w:eastAsia="fr-FR"/>
              </w:rPr>
            </w:pPr>
          </w:p>
        </w:tc>
        <w:tc>
          <w:tcPr>
            <w:tcW w:w="1130" w:type="dxa"/>
            <w:tcBorders>
              <w:top w:val="nil"/>
              <w:left w:val="single" w:sz="4" w:space="0" w:color="000000"/>
              <w:bottom w:val="nil"/>
              <w:right w:val="single" w:sz="4" w:space="0" w:color="000000"/>
            </w:tcBorders>
            <w:shd w:val="clear" w:color="000000" w:fill="B2B2B2"/>
            <w:vAlign w:val="center"/>
            <w:hideMark/>
          </w:tcPr>
          <w:p w14:paraId="417F06E2"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646" w:type="dxa"/>
            <w:tcBorders>
              <w:top w:val="nil"/>
              <w:left w:val="nil"/>
              <w:bottom w:val="nil"/>
              <w:right w:val="single" w:sz="4" w:space="0" w:color="000000"/>
            </w:tcBorders>
            <w:shd w:val="clear" w:color="000000" w:fill="B2B2B2"/>
            <w:vAlign w:val="center"/>
            <w:hideMark/>
          </w:tcPr>
          <w:p w14:paraId="4137E9B0" w14:textId="77777777"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417" w:type="dxa"/>
            <w:tcBorders>
              <w:top w:val="nil"/>
              <w:left w:val="nil"/>
              <w:bottom w:val="nil"/>
              <w:right w:val="single" w:sz="4" w:space="0" w:color="000000"/>
            </w:tcBorders>
            <w:shd w:val="clear" w:color="000000" w:fill="B2B2B2"/>
            <w:vAlign w:val="center"/>
            <w:hideMark/>
          </w:tcPr>
          <w:p w14:paraId="190CD9C2"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327" w:type="dxa"/>
            <w:tcBorders>
              <w:top w:val="nil"/>
              <w:left w:val="nil"/>
              <w:bottom w:val="nil"/>
              <w:right w:val="single" w:sz="4" w:space="0" w:color="000000"/>
            </w:tcBorders>
            <w:shd w:val="clear" w:color="000000" w:fill="B2B2B2"/>
            <w:vAlign w:val="center"/>
            <w:hideMark/>
          </w:tcPr>
          <w:p w14:paraId="1D0AB2A2"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083" w:type="dxa"/>
            <w:tcBorders>
              <w:top w:val="nil"/>
              <w:left w:val="nil"/>
              <w:bottom w:val="nil"/>
              <w:right w:val="single" w:sz="4" w:space="0" w:color="000000"/>
            </w:tcBorders>
            <w:shd w:val="clear" w:color="000000" w:fill="B2B2B2"/>
            <w:vAlign w:val="center"/>
            <w:hideMark/>
          </w:tcPr>
          <w:p w14:paraId="3E73AB72"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r>
      <w:tr w:rsidR="00DF5FD5" w:rsidRPr="00351E92" w14:paraId="6B417BE3" w14:textId="77777777" w:rsidTr="00471D69">
        <w:trPr>
          <w:trHeight w:val="113"/>
        </w:trPr>
        <w:tc>
          <w:tcPr>
            <w:tcW w:w="1555" w:type="dxa"/>
            <w:tcBorders>
              <w:top w:val="nil"/>
              <w:left w:val="nil"/>
              <w:bottom w:val="nil"/>
              <w:right w:val="nil"/>
            </w:tcBorders>
            <w:shd w:val="clear" w:color="auto" w:fill="auto"/>
            <w:noWrap/>
            <w:vAlign w:val="center"/>
            <w:hideMark/>
          </w:tcPr>
          <w:p w14:paraId="69BFE270"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275" w:type="dxa"/>
            <w:tcBorders>
              <w:top w:val="nil"/>
              <w:left w:val="single" w:sz="4" w:space="0" w:color="000000"/>
              <w:bottom w:val="single" w:sz="4" w:space="0" w:color="000000"/>
              <w:right w:val="single" w:sz="4" w:space="0" w:color="000000"/>
            </w:tcBorders>
            <w:shd w:val="clear" w:color="auto" w:fill="auto"/>
            <w:vAlign w:val="center"/>
            <w:hideMark/>
          </w:tcPr>
          <w:p w14:paraId="015ED482"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2E0B2F55"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Ménage pur porc court ou long</w:t>
            </w:r>
          </w:p>
        </w:tc>
        <w:tc>
          <w:tcPr>
            <w:tcW w:w="585" w:type="dxa"/>
            <w:tcBorders>
              <w:top w:val="nil"/>
              <w:left w:val="nil"/>
              <w:bottom w:val="single" w:sz="4" w:space="0" w:color="auto"/>
              <w:right w:val="single" w:sz="4" w:space="0" w:color="auto"/>
            </w:tcBorders>
            <w:shd w:val="clear" w:color="auto" w:fill="auto"/>
            <w:vAlign w:val="center"/>
            <w:hideMark/>
          </w:tcPr>
          <w:p w14:paraId="7E239AE1"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27</w:t>
            </w:r>
          </w:p>
        </w:tc>
        <w:tc>
          <w:tcPr>
            <w:tcW w:w="283" w:type="dxa"/>
            <w:tcBorders>
              <w:top w:val="nil"/>
              <w:left w:val="nil"/>
              <w:bottom w:val="nil"/>
              <w:right w:val="nil"/>
            </w:tcBorders>
            <w:shd w:val="clear" w:color="auto" w:fill="auto"/>
            <w:noWrap/>
            <w:vAlign w:val="center"/>
            <w:hideMark/>
          </w:tcPr>
          <w:p w14:paraId="36F9AEA0"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CFC2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646" w:type="dxa"/>
            <w:tcBorders>
              <w:top w:val="single" w:sz="4" w:space="0" w:color="auto"/>
              <w:left w:val="nil"/>
              <w:bottom w:val="single" w:sz="4" w:space="0" w:color="auto"/>
              <w:right w:val="single" w:sz="4" w:space="0" w:color="auto"/>
            </w:tcBorders>
            <w:shd w:val="clear" w:color="auto" w:fill="auto"/>
            <w:vAlign w:val="center"/>
            <w:hideMark/>
          </w:tcPr>
          <w:p w14:paraId="3E533233" w14:textId="77777777" w:rsidR="00351E92" w:rsidRPr="00351E92" w:rsidRDefault="00351E92" w:rsidP="00DD6CED">
            <w:pPr>
              <w:spacing w:after="0" w:line="240" w:lineRule="auto"/>
              <w:jc w:val="left"/>
              <w:rPr>
                <w:rFonts w:eastAsia="Times New Roman" w:cs="Arial"/>
                <w:sz w:val="20"/>
                <w:szCs w:val="20"/>
                <w:lang w:eastAsia="fr-FR"/>
              </w:rPr>
            </w:pPr>
            <w:r w:rsidRPr="00351E92">
              <w:rPr>
                <w:rFonts w:eastAsia="Times New Roman" w:cs="Arial"/>
                <w:sz w:val="20"/>
                <w:szCs w:val="20"/>
                <w:lang w:eastAsia="fr-FR"/>
              </w:rPr>
              <w:t> </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18B99EE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327" w:type="dxa"/>
            <w:tcBorders>
              <w:top w:val="single" w:sz="4" w:space="0" w:color="auto"/>
              <w:left w:val="nil"/>
              <w:bottom w:val="single" w:sz="4" w:space="0" w:color="auto"/>
              <w:right w:val="single" w:sz="4" w:space="0" w:color="auto"/>
            </w:tcBorders>
            <w:shd w:val="clear" w:color="auto" w:fill="auto"/>
            <w:vAlign w:val="center"/>
            <w:hideMark/>
          </w:tcPr>
          <w:p w14:paraId="2412C01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083" w:type="dxa"/>
            <w:tcBorders>
              <w:top w:val="single" w:sz="4" w:space="0" w:color="auto"/>
              <w:left w:val="nil"/>
              <w:bottom w:val="single" w:sz="4" w:space="0" w:color="auto"/>
              <w:right w:val="single" w:sz="4" w:space="0" w:color="auto"/>
            </w:tcBorders>
            <w:shd w:val="clear" w:color="auto" w:fill="auto"/>
            <w:vAlign w:val="center"/>
            <w:hideMark/>
          </w:tcPr>
          <w:p w14:paraId="7E610674"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r>
      <w:tr w:rsidR="00DF5FD5" w:rsidRPr="00351E92" w14:paraId="1BD03EF2" w14:textId="77777777" w:rsidTr="00471D69">
        <w:trPr>
          <w:trHeight w:val="113"/>
        </w:trPr>
        <w:tc>
          <w:tcPr>
            <w:tcW w:w="155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A3A9519"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4476ADA2"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17EFF99E"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Saucisses sèches (type Auvergne,etc...)</w:t>
            </w:r>
          </w:p>
        </w:tc>
        <w:tc>
          <w:tcPr>
            <w:tcW w:w="585" w:type="dxa"/>
            <w:tcBorders>
              <w:top w:val="nil"/>
              <w:left w:val="nil"/>
              <w:bottom w:val="single" w:sz="4" w:space="0" w:color="auto"/>
              <w:right w:val="single" w:sz="4" w:space="0" w:color="auto"/>
            </w:tcBorders>
            <w:shd w:val="clear" w:color="auto" w:fill="auto"/>
            <w:vAlign w:val="center"/>
            <w:hideMark/>
          </w:tcPr>
          <w:p w14:paraId="6C47ED19"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29</w:t>
            </w:r>
          </w:p>
        </w:tc>
        <w:tc>
          <w:tcPr>
            <w:tcW w:w="283" w:type="dxa"/>
            <w:tcBorders>
              <w:top w:val="nil"/>
              <w:left w:val="nil"/>
              <w:bottom w:val="nil"/>
              <w:right w:val="nil"/>
            </w:tcBorders>
            <w:shd w:val="clear" w:color="auto" w:fill="auto"/>
            <w:noWrap/>
            <w:vAlign w:val="center"/>
            <w:hideMark/>
          </w:tcPr>
          <w:p w14:paraId="1E5FDBF5"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5E8613DA"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58B487D5" w14:textId="77777777" w:rsidR="00351E92" w:rsidRPr="00351E92" w:rsidRDefault="00351E92" w:rsidP="00DD6CED">
            <w:pPr>
              <w:spacing w:after="0" w:line="240" w:lineRule="auto"/>
              <w:jc w:val="left"/>
              <w:rPr>
                <w:rFonts w:eastAsia="Times New Roman" w:cs="Arial"/>
                <w:sz w:val="20"/>
                <w:szCs w:val="20"/>
                <w:lang w:eastAsia="fr-FR"/>
              </w:rPr>
            </w:pPr>
            <w:r w:rsidRPr="00351E92">
              <w:rPr>
                <w:rFonts w:eastAsia="Times New Roman" w:cs="Arial"/>
                <w:sz w:val="20"/>
                <w:szCs w:val="20"/>
                <w:lang w:eastAsia="fr-FR"/>
              </w:rPr>
              <w:t> </w:t>
            </w:r>
          </w:p>
        </w:tc>
        <w:tc>
          <w:tcPr>
            <w:tcW w:w="1417" w:type="dxa"/>
            <w:tcBorders>
              <w:top w:val="nil"/>
              <w:left w:val="nil"/>
              <w:bottom w:val="single" w:sz="4" w:space="0" w:color="auto"/>
              <w:right w:val="single" w:sz="4" w:space="0" w:color="auto"/>
            </w:tcBorders>
            <w:shd w:val="clear" w:color="auto" w:fill="auto"/>
            <w:vAlign w:val="center"/>
            <w:hideMark/>
          </w:tcPr>
          <w:p w14:paraId="20CBD6F7"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327" w:type="dxa"/>
            <w:tcBorders>
              <w:top w:val="nil"/>
              <w:left w:val="nil"/>
              <w:bottom w:val="single" w:sz="4" w:space="0" w:color="auto"/>
              <w:right w:val="single" w:sz="4" w:space="0" w:color="auto"/>
            </w:tcBorders>
            <w:shd w:val="clear" w:color="auto" w:fill="auto"/>
            <w:vAlign w:val="center"/>
            <w:hideMark/>
          </w:tcPr>
          <w:p w14:paraId="47027A60"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083" w:type="dxa"/>
            <w:tcBorders>
              <w:top w:val="nil"/>
              <w:left w:val="nil"/>
              <w:bottom w:val="single" w:sz="4" w:space="0" w:color="auto"/>
              <w:right w:val="single" w:sz="4" w:space="0" w:color="auto"/>
            </w:tcBorders>
            <w:shd w:val="clear" w:color="auto" w:fill="auto"/>
            <w:vAlign w:val="center"/>
            <w:hideMark/>
          </w:tcPr>
          <w:p w14:paraId="451D9B01"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r>
      <w:tr w:rsidR="00DF5FD5" w:rsidRPr="00351E92" w14:paraId="07DBB406"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F0B8BA1"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8F85E6E"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B4B6B9E" w14:textId="77B08B60"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Saucissons nobles (Rosette, Fuseau, Jésus)</w:t>
            </w:r>
          </w:p>
        </w:tc>
        <w:tc>
          <w:tcPr>
            <w:tcW w:w="585" w:type="dxa"/>
            <w:tcBorders>
              <w:top w:val="nil"/>
              <w:left w:val="nil"/>
              <w:bottom w:val="single" w:sz="4" w:space="0" w:color="auto"/>
              <w:right w:val="single" w:sz="4" w:space="0" w:color="auto"/>
            </w:tcBorders>
            <w:shd w:val="clear" w:color="auto" w:fill="auto"/>
            <w:vAlign w:val="center"/>
            <w:hideMark/>
          </w:tcPr>
          <w:p w14:paraId="676C5514"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19</w:t>
            </w:r>
          </w:p>
        </w:tc>
        <w:tc>
          <w:tcPr>
            <w:tcW w:w="283" w:type="dxa"/>
            <w:tcBorders>
              <w:top w:val="nil"/>
              <w:left w:val="nil"/>
              <w:bottom w:val="nil"/>
              <w:right w:val="nil"/>
            </w:tcBorders>
            <w:shd w:val="clear" w:color="auto" w:fill="auto"/>
            <w:noWrap/>
            <w:vAlign w:val="center"/>
            <w:hideMark/>
          </w:tcPr>
          <w:p w14:paraId="4208C173"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64F222C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382E245C" w14:textId="77777777" w:rsidR="00351E92" w:rsidRPr="00351E92" w:rsidRDefault="00351E92" w:rsidP="00DD6CED">
            <w:pPr>
              <w:spacing w:after="0" w:line="240" w:lineRule="auto"/>
              <w:jc w:val="left"/>
              <w:rPr>
                <w:rFonts w:eastAsia="Times New Roman" w:cs="Arial"/>
                <w:sz w:val="20"/>
                <w:szCs w:val="20"/>
                <w:lang w:eastAsia="fr-FR"/>
              </w:rPr>
            </w:pPr>
            <w:r w:rsidRPr="00351E92">
              <w:rPr>
                <w:rFonts w:eastAsia="Times New Roman" w:cs="Arial"/>
                <w:sz w:val="20"/>
                <w:szCs w:val="20"/>
                <w:lang w:eastAsia="fr-FR"/>
              </w:rPr>
              <w:t> </w:t>
            </w:r>
          </w:p>
        </w:tc>
        <w:tc>
          <w:tcPr>
            <w:tcW w:w="1417" w:type="dxa"/>
            <w:tcBorders>
              <w:top w:val="nil"/>
              <w:left w:val="nil"/>
              <w:bottom w:val="single" w:sz="4" w:space="0" w:color="auto"/>
              <w:right w:val="single" w:sz="4" w:space="0" w:color="auto"/>
            </w:tcBorders>
            <w:shd w:val="clear" w:color="auto" w:fill="auto"/>
            <w:vAlign w:val="center"/>
            <w:hideMark/>
          </w:tcPr>
          <w:p w14:paraId="5D35A9FF"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327" w:type="dxa"/>
            <w:tcBorders>
              <w:top w:val="nil"/>
              <w:left w:val="nil"/>
              <w:bottom w:val="single" w:sz="4" w:space="0" w:color="auto"/>
              <w:right w:val="single" w:sz="4" w:space="0" w:color="auto"/>
            </w:tcBorders>
            <w:shd w:val="clear" w:color="auto" w:fill="auto"/>
            <w:vAlign w:val="center"/>
            <w:hideMark/>
          </w:tcPr>
          <w:p w14:paraId="6EC78DE6"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083" w:type="dxa"/>
            <w:tcBorders>
              <w:top w:val="nil"/>
              <w:left w:val="nil"/>
              <w:bottom w:val="single" w:sz="4" w:space="0" w:color="auto"/>
              <w:right w:val="single" w:sz="4" w:space="0" w:color="auto"/>
            </w:tcBorders>
            <w:shd w:val="clear" w:color="auto" w:fill="auto"/>
            <w:vAlign w:val="center"/>
            <w:hideMark/>
          </w:tcPr>
          <w:p w14:paraId="789BB0D4"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r>
      <w:tr w:rsidR="00DF5FD5" w:rsidRPr="00351E92" w14:paraId="5FA5F086"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295F92A"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E846F77"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59B4EC57"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Salami (type danois ou italien)</w:t>
            </w:r>
          </w:p>
        </w:tc>
        <w:tc>
          <w:tcPr>
            <w:tcW w:w="585" w:type="dxa"/>
            <w:tcBorders>
              <w:top w:val="nil"/>
              <w:left w:val="nil"/>
              <w:bottom w:val="single" w:sz="4" w:space="0" w:color="auto"/>
              <w:right w:val="single" w:sz="4" w:space="0" w:color="auto"/>
            </w:tcBorders>
            <w:shd w:val="clear" w:color="auto" w:fill="auto"/>
            <w:vAlign w:val="center"/>
            <w:hideMark/>
          </w:tcPr>
          <w:p w14:paraId="0CDBA3B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w:t>
            </w:r>
          </w:p>
        </w:tc>
        <w:tc>
          <w:tcPr>
            <w:tcW w:w="283" w:type="dxa"/>
            <w:tcBorders>
              <w:top w:val="nil"/>
              <w:left w:val="nil"/>
              <w:bottom w:val="nil"/>
              <w:right w:val="nil"/>
            </w:tcBorders>
            <w:shd w:val="clear" w:color="auto" w:fill="auto"/>
            <w:noWrap/>
            <w:vAlign w:val="center"/>
            <w:hideMark/>
          </w:tcPr>
          <w:p w14:paraId="612482B6"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50B77B26"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29FC4463" w14:textId="77777777" w:rsidR="00351E92" w:rsidRPr="00351E92" w:rsidRDefault="00351E92" w:rsidP="00DD6CED">
            <w:pPr>
              <w:spacing w:after="0" w:line="240" w:lineRule="auto"/>
              <w:jc w:val="left"/>
              <w:rPr>
                <w:rFonts w:eastAsia="Times New Roman" w:cs="Arial"/>
                <w:sz w:val="20"/>
                <w:szCs w:val="20"/>
                <w:lang w:eastAsia="fr-FR"/>
              </w:rPr>
            </w:pPr>
            <w:r w:rsidRPr="00351E92">
              <w:rPr>
                <w:rFonts w:eastAsia="Times New Roman" w:cs="Arial"/>
                <w:sz w:val="20"/>
                <w:szCs w:val="20"/>
                <w:lang w:eastAsia="fr-FR"/>
              </w:rPr>
              <w:t> </w:t>
            </w:r>
          </w:p>
        </w:tc>
        <w:tc>
          <w:tcPr>
            <w:tcW w:w="1417" w:type="dxa"/>
            <w:tcBorders>
              <w:top w:val="nil"/>
              <w:left w:val="nil"/>
              <w:bottom w:val="single" w:sz="4" w:space="0" w:color="auto"/>
              <w:right w:val="single" w:sz="4" w:space="0" w:color="auto"/>
            </w:tcBorders>
            <w:shd w:val="clear" w:color="auto" w:fill="auto"/>
            <w:vAlign w:val="center"/>
            <w:hideMark/>
          </w:tcPr>
          <w:p w14:paraId="4DD84CCD"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327" w:type="dxa"/>
            <w:tcBorders>
              <w:top w:val="nil"/>
              <w:left w:val="nil"/>
              <w:bottom w:val="single" w:sz="4" w:space="0" w:color="auto"/>
              <w:right w:val="single" w:sz="4" w:space="0" w:color="auto"/>
            </w:tcBorders>
            <w:shd w:val="clear" w:color="auto" w:fill="auto"/>
            <w:vAlign w:val="center"/>
            <w:hideMark/>
          </w:tcPr>
          <w:p w14:paraId="7E072F35"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c>
          <w:tcPr>
            <w:tcW w:w="1083" w:type="dxa"/>
            <w:tcBorders>
              <w:top w:val="nil"/>
              <w:left w:val="nil"/>
              <w:bottom w:val="single" w:sz="4" w:space="0" w:color="auto"/>
              <w:right w:val="single" w:sz="4" w:space="0" w:color="auto"/>
            </w:tcBorders>
            <w:shd w:val="clear" w:color="auto" w:fill="auto"/>
            <w:vAlign w:val="center"/>
            <w:hideMark/>
          </w:tcPr>
          <w:p w14:paraId="74AB032E" w14:textId="77777777" w:rsidR="00351E92" w:rsidRPr="00351E92" w:rsidRDefault="00351E92" w:rsidP="00351E92">
            <w:pPr>
              <w:spacing w:after="0" w:line="240" w:lineRule="auto"/>
              <w:jc w:val="center"/>
              <w:rPr>
                <w:rFonts w:eastAsia="Times New Roman" w:cs="Arial"/>
                <w:sz w:val="20"/>
                <w:szCs w:val="20"/>
                <w:lang w:eastAsia="fr-FR"/>
              </w:rPr>
            </w:pPr>
            <w:r w:rsidRPr="00351E92">
              <w:rPr>
                <w:rFonts w:eastAsia="Times New Roman" w:cs="Arial"/>
                <w:sz w:val="20"/>
                <w:szCs w:val="20"/>
                <w:lang w:eastAsia="fr-FR"/>
              </w:rPr>
              <w:t> </w:t>
            </w:r>
          </w:p>
        </w:tc>
      </w:tr>
      <w:tr w:rsidR="00DF5FD5" w:rsidRPr="00351E92" w14:paraId="22A73A2C"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7C092569"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05ED1A18"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740EC263"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Chorizo</w:t>
            </w:r>
          </w:p>
        </w:tc>
        <w:tc>
          <w:tcPr>
            <w:tcW w:w="585" w:type="dxa"/>
            <w:tcBorders>
              <w:top w:val="nil"/>
              <w:left w:val="nil"/>
              <w:bottom w:val="single" w:sz="4" w:space="0" w:color="auto"/>
              <w:right w:val="single" w:sz="4" w:space="0" w:color="auto"/>
            </w:tcBorders>
            <w:shd w:val="clear" w:color="auto" w:fill="auto"/>
            <w:vAlign w:val="center"/>
            <w:hideMark/>
          </w:tcPr>
          <w:p w14:paraId="75444E97"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12</w:t>
            </w:r>
          </w:p>
        </w:tc>
        <w:tc>
          <w:tcPr>
            <w:tcW w:w="283" w:type="dxa"/>
            <w:tcBorders>
              <w:top w:val="nil"/>
              <w:left w:val="nil"/>
              <w:bottom w:val="nil"/>
              <w:right w:val="nil"/>
            </w:tcBorders>
            <w:shd w:val="clear" w:color="auto" w:fill="auto"/>
            <w:noWrap/>
            <w:vAlign w:val="center"/>
            <w:hideMark/>
          </w:tcPr>
          <w:p w14:paraId="5887F628"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72FB4DBF" w14:textId="77777777" w:rsidR="00351E92" w:rsidRPr="00351E92" w:rsidRDefault="00351E92" w:rsidP="00351E92">
            <w:pPr>
              <w:spacing w:after="0" w:line="240" w:lineRule="auto"/>
              <w:jc w:val="center"/>
              <w:rPr>
                <w:rFonts w:eastAsia="Times New Roman" w:cs="Arial"/>
                <w:i/>
                <w:iCs/>
                <w:sz w:val="20"/>
                <w:szCs w:val="20"/>
                <w:lang w:eastAsia="fr-FR"/>
              </w:rPr>
            </w:pPr>
            <w:r w:rsidRPr="00351E92">
              <w:rPr>
                <w:rFonts w:eastAsia="Times New Roman" w:cs="Arial"/>
                <w:i/>
                <w:iCs/>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2DE283D6" w14:textId="77777777" w:rsidR="00351E92" w:rsidRPr="00351E92" w:rsidRDefault="00351E92" w:rsidP="00DD6CED">
            <w:pPr>
              <w:spacing w:after="0" w:line="240" w:lineRule="auto"/>
              <w:jc w:val="left"/>
              <w:rPr>
                <w:rFonts w:eastAsia="Times New Roman" w:cs="Arial"/>
                <w:i/>
                <w:iCs/>
                <w:sz w:val="20"/>
                <w:szCs w:val="20"/>
                <w:lang w:eastAsia="fr-FR"/>
              </w:rPr>
            </w:pPr>
            <w:r w:rsidRPr="00351E92">
              <w:rPr>
                <w:rFonts w:eastAsia="Times New Roman" w:cs="Arial"/>
                <w:i/>
                <w:iCs/>
                <w:sz w:val="20"/>
                <w:szCs w:val="20"/>
                <w:lang w:eastAsia="fr-FR"/>
              </w:rPr>
              <w:t> </w:t>
            </w:r>
          </w:p>
        </w:tc>
        <w:tc>
          <w:tcPr>
            <w:tcW w:w="1417" w:type="dxa"/>
            <w:tcBorders>
              <w:top w:val="nil"/>
              <w:left w:val="nil"/>
              <w:bottom w:val="single" w:sz="4" w:space="0" w:color="auto"/>
              <w:right w:val="single" w:sz="4" w:space="0" w:color="auto"/>
            </w:tcBorders>
            <w:shd w:val="clear" w:color="auto" w:fill="auto"/>
            <w:noWrap/>
            <w:vAlign w:val="center"/>
            <w:hideMark/>
          </w:tcPr>
          <w:p w14:paraId="65E86E80"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327" w:type="dxa"/>
            <w:tcBorders>
              <w:top w:val="nil"/>
              <w:left w:val="nil"/>
              <w:bottom w:val="single" w:sz="4" w:space="0" w:color="auto"/>
              <w:right w:val="single" w:sz="4" w:space="0" w:color="auto"/>
            </w:tcBorders>
            <w:shd w:val="clear" w:color="auto" w:fill="auto"/>
            <w:noWrap/>
            <w:vAlign w:val="center"/>
            <w:hideMark/>
          </w:tcPr>
          <w:p w14:paraId="20E40276"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083" w:type="dxa"/>
            <w:tcBorders>
              <w:top w:val="nil"/>
              <w:left w:val="nil"/>
              <w:bottom w:val="single" w:sz="4" w:space="0" w:color="auto"/>
              <w:right w:val="single" w:sz="4" w:space="0" w:color="auto"/>
            </w:tcBorders>
            <w:shd w:val="clear" w:color="auto" w:fill="auto"/>
            <w:noWrap/>
            <w:vAlign w:val="center"/>
            <w:hideMark/>
          </w:tcPr>
          <w:p w14:paraId="663F3A2A"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r>
      <w:tr w:rsidR="00DF5FD5" w:rsidRPr="00351E92" w14:paraId="1C295AF9"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046F6675"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40BA3A05"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4350AF67"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Autres saucissons pur porc</w:t>
            </w:r>
          </w:p>
        </w:tc>
        <w:tc>
          <w:tcPr>
            <w:tcW w:w="585" w:type="dxa"/>
            <w:tcBorders>
              <w:top w:val="nil"/>
              <w:left w:val="nil"/>
              <w:bottom w:val="single" w:sz="4" w:space="0" w:color="auto"/>
              <w:right w:val="single" w:sz="4" w:space="0" w:color="auto"/>
            </w:tcBorders>
            <w:shd w:val="clear" w:color="auto" w:fill="auto"/>
            <w:vAlign w:val="center"/>
            <w:hideMark/>
          </w:tcPr>
          <w:p w14:paraId="0965D73E"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22</w:t>
            </w:r>
          </w:p>
        </w:tc>
        <w:tc>
          <w:tcPr>
            <w:tcW w:w="283" w:type="dxa"/>
            <w:tcBorders>
              <w:top w:val="nil"/>
              <w:left w:val="nil"/>
              <w:bottom w:val="nil"/>
              <w:right w:val="nil"/>
            </w:tcBorders>
            <w:shd w:val="clear" w:color="auto" w:fill="auto"/>
            <w:noWrap/>
            <w:vAlign w:val="center"/>
            <w:hideMark/>
          </w:tcPr>
          <w:p w14:paraId="22FF0A51"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2D3B8005" w14:textId="77777777" w:rsidR="00351E92" w:rsidRPr="00351E92" w:rsidRDefault="00351E92" w:rsidP="00351E92">
            <w:pPr>
              <w:spacing w:after="0" w:line="240" w:lineRule="auto"/>
              <w:jc w:val="center"/>
              <w:rPr>
                <w:rFonts w:eastAsia="Times New Roman" w:cs="Arial"/>
                <w:i/>
                <w:iCs/>
                <w:sz w:val="20"/>
                <w:szCs w:val="20"/>
                <w:lang w:eastAsia="fr-FR"/>
              </w:rPr>
            </w:pPr>
            <w:r w:rsidRPr="00351E92">
              <w:rPr>
                <w:rFonts w:eastAsia="Times New Roman" w:cs="Arial"/>
                <w:i/>
                <w:iCs/>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5EAB1B4D" w14:textId="77777777" w:rsidR="00351E92" w:rsidRPr="00351E92" w:rsidRDefault="00351E92" w:rsidP="00DD6CED">
            <w:pPr>
              <w:spacing w:after="0" w:line="240" w:lineRule="auto"/>
              <w:jc w:val="left"/>
              <w:rPr>
                <w:rFonts w:eastAsia="Times New Roman" w:cs="Arial"/>
                <w:i/>
                <w:iCs/>
                <w:sz w:val="20"/>
                <w:szCs w:val="20"/>
                <w:lang w:eastAsia="fr-FR"/>
              </w:rPr>
            </w:pPr>
            <w:r w:rsidRPr="00351E92">
              <w:rPr>
                <w:rFonts w:eastAsia="Times New Roman" w:cs="Arial"/>
                <w:i/>
                <w:iCs/>
                <w:sz w:val="20"/>
                <w:szCs w:val="20"/>
                <w:lang w:eastAsia="fr-FR"/>
              </w:rPr>
              <w:t> </w:t>
            </w:r>
          </w:p>
        </w:tc>
        <w:tc>
          <w:tcPr>
            <w:tcW w:w="1417" w:type="dxa"/>
            <w:tcBorders>
              <w:top w:val="nil"/>
              <w:left w:val="nil"/>
              <w:bottom w:val="single" w:sz="4" w:space="0" w:color="auto"/>
              <w:right w:val="single" w:sz="4" w:space="0" w:color="auto"/>
            </w:tcBorders>
            <w:shd w:val="clear" w:color="auto" w:fill="auto"/>
            <w:noWrap/>
            <w:vAlign w:val="center"/>
            <w:hideMark/>
          </w:tcPr>
          <w:p w14:paraId="654350DB"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327" w:type="dxa"/>
            <w:tcBorders>
              <w:top w:val="nil"/>
              <w:left w:val="nil"/>
              <w:bottom w:val="single" w:sz="4" w:space="0" w:color="auto"/>
              <w:right w:val="single" w:sz="4" w:space="0" w:color="auto"/>
            </w:tcBorders>
            <w:shd w:val="clear" w:color="auto" w:fill="auto"/>
            <w:noWrap/>
            <w:vAlign w:val="center"/>
            <w:hideMark/>
          </w:tcPr>
          <w:p w14:paraId="6281D35F"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083" w:type="dxa"/>
            <w:tcBorders>
              <w:top w:val="nil"/>
              <w:left w:val="nil"/>
              <w:bottom w:val="single" w:sz="4" w:space="0" w:color="auto"/>
              <w:right w:val="single" w:sz="4" w:space="0" w:color="auto"/>
            </w:tcBorders>
            <w:shd w:val="clear" w:color="auto" w:fill="auto"/>
            <w:noWrap/>
            <w:vAlign w:val="center"/>
            <w:hideMark/>
          </w:tcPr>
          <w:p w14:paraId="2996E05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r>
      <w:tr w:rsidR="00DF5FD5" w:rsidRPr="00351E92" w14:paraId="3B2DE008" w14:textId="77777777" w:rsidTr="00471D69">
        <w:trPr>
          <w:trHeight w:val="356"/>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7993D579"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37718D0D" w14:textId="77777777" w:rsidR="00351E92" w:rsidRPr="00351E92" w:rsidRDefault="00351E92" w:rsidP="00DF5FD5">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1A3CFC93" w14:textId="77777777" w:rsidR="00351E92" w:rsidRPr="00351E92" w:rsidRDefault="00351E92" w:rsidP="00351E92">
            <w:pPr>
              <w:spacing w:after="0" w:line="240" w:lineRule="auto"/>
              <w:jc w:val="left"/>
              <w:rPr>
                <w:rFonts w:eastAsia="Times New Roman" w:cs="Arial"/>
                <w:i/>
                <w:iCs/>
                <w:sz w:val="20"/>
                <w:szCs w:val="20"/>
                <w:lang w:eastAsia="fr-FR"/>
              </w:rPr>
            </w:pPr>
            <w:r w:rsidRPr="00351E92">
              <w:rPr>
                <w:rFonts w:eastAsia="Times New Roman" w:cs="Arial"/>
                <w:i/>
                <w:iCs/>
                <w:sz w:val="20"/>
                <w:szCs w:val="20"/>
                <w:u w:val="single"/>
                <w:lang w:eastAsia="fr-FR"/>
              </w:rPr>
              <w:t>Mélanges (porc et autres, bœuf, autres)</w:t>
            </w:r>
          </w:p>
        </w:tc>
        <w:tc>
          <w:tcPr>
            <w:tcW w:w="585" w:type="dxa"/>
            <w:tcBorders>
              <w:top w:val="nil"/>
              <w:left w:val="nil"/>
              <w:bottom w:val="single" w:sz="4" w:space="0" w:color="auto"/>
              <w:right w:val="single" w:sz="4" w:space="0" w:color="auto"/>
            </w:tcBorders>
            <w:shd w:val="clear" w:color="000000" w:fill="BFBFBF"/>
            <w:vAlign w:val="center"/>
            <w:hideMark/>
          </w:tcPr>
          <w:p w14:paraId="30B24681"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6</w:t>
            </w:r>
          </w:p>
        </w:tc>
        <w:tc>
          <w:tcPr>
            <w:tcW w:w="283" w:type="dxa"/>
            <w:tcBorders>
              <w:top w:val="nil"/>
              <w:left w:val="nil"/>
              <w:bottom w:val="nil"/>
              <w:right w:val="nil"/>
            </w:tcBorders>
            <w:shd w:val="clear" w:color="auto" w:fill="auto"/>
            <w:noWrap/>
            <w:vAlign w:val="center"/>
            <w:hideMark/>
          </w:tcPr>
          <w:p w14:paraId="4247980F"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4FA13F14" w14:textId="77777777" w:rsidR="00351E92" w:rsidRPr="00351E92" w:rsidRDefault="00351E92" w:rsidP="00351E92">
            <w:pPr>
              <w:spacing w:after="0" w:line="240" w:lineRule="auto"/>
              <w:jc w:val="center"/>
              <w:rPr>
                <w:rFonts w:eastAsia="Times New Roman" w:cs="Arial"/>
                <w:i/>
                <w:iCs/>
                <w:sz w:val="20"/>
                <w:szCs w:val="20"/>
                <w:lang w:eastAsia="fr-FR"/>
              </w:rPr>
            </w:pPr>
            <w:r w:rsidRPr="00351E92">
              <w:rPr>
                <w:rFonts w:eastAsia="Times New Roman" w:cs="Arial"/>
                <w:i/>
                <w:iCs/>
                <w:sz w:val="20"/>
                <w:szCs w:val="20"/>
                <w:lang w:eastAsia="fr-FR"/>
              </w:rPr>
              <w:t> </w:t>
            </w:r>
          </w:p>
        </w:tc>
        <w:tc>
          <w:tcPr>
            <w:tcW w:w="1646" w:type="dxa"/>
            <w:tcBorders>
              <w:top w:val="nil"/>
              <w:left w:val="nil"/>
              <w:bottom w:val="single" w:sz="4" w:space="0" w:color="auto"/>
              <w:right w:val="single" w:sz="4" w:space="0" w:color="auto"/>
            </w:tcBorders>
            <w:shd w:val="clear" w:color="auto" w:fill="auto"/>
            <w:vAlign w:val="center"/>
            <w:hideMark/>
          </w:tcPr>
          <w:p w14:paraId="77FDD4FA" w14:textId="77777777" w:rsidR="00351E92" w:rsidRPr="00351E92" w:rsidRDefault="00351E92" w:rsidP="00DD6CED">
            <w:pPr>
              <w:spacing w:after="0" w:line="240" w:lineRule="auto"/>
              <w:jc w:val="left"/>
              <w:rPr>
                <w:rFonts w:eastAsia="Times New Roman" w:cs="Arial"/>
                <w:i/>
                <w:iCs/>
                <w:sz w:val="20"/>
                <w:szCs w:val="20"/>
                <w:lang w:eastAsia="fr-FR"/>
              </w:rPr>
            </w:pPr>
            <w:r w:rsidRPr="00351E92">
              <w:rPr>
                <w:rFonts w:eastAsia="Times New Roman" w:cs="Arial"/>
                <w:i/>
                <w:iCs/>
                <w:sz w:val="20"/>
                <w:szCs w:val="20"/>
                <w:lang w:eastAsia="fr-FR"/>
              </w:rPr>
              <w:t> </w:t>
            </w:r>
          </w:p>
        </w:tc>
        <w:tc>
          <w:tcPr>
            <w:tcW w:w="1417" w:type="dxa"/>
            <w:tcBorders>
              <w:top w:val="nil"/>
              <w:left w:val="nil"/>
              <w:bottom w:val="single" w:sz="4" w:space="0" w:color="auto"/>
              <w:right w:val="single" w:sz="4" w:space="0" w:color="auto"/>
            </w:tcBorders>
            <w:shd w:val="clear" w:color="auto" w:fill="auto"/>
            <w:noWrap/>
            <w:vAlign w:val="center"/>
            <w:hideMark/>
          </w:tcPr>
          <w:p w14:paraId="5FE07E8B"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327" w:type="dxa"/>
            <w:tcBorders>
              <w:top w:val="nil"/>
              <w:left w:val="nil"/>
              <w:bottom w:val="single" w:sz="4" w:space="0" w:color="auto"/>
              <w:right w:val="single" w:sz="4" w:space="0" w:color="auto"/>
            </w:tcBorders>
            <w:shd w:val="clear" w:color="auto" w:fill="auto"/>
            <w:noWrap/>
            <w:vAlign w:val="center"/>
            <w:hideMark/>
          </w:tcPr>
          <w:p w14:paraId="426380EC"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c>
          <w:tcPr>
            <w:tcW w:w="1083" w:type="dxa"/>
            <w:tcBorders>
              <w:top w:val="nil"/>
              <w:left w:val="nil"/>
              <w:bottom w:val="single" w:sz="4" w:space="0" w:color="auto"/>
              <w:right w:val="single" w:sz="4" w:space="0" w:color="auto"/>
            </w:tcBorders>
            <w:shd w:val="clear" w:color="auto" w:fill="auto"/>
            <w:noWrap/>
            <w:vAlign w:val="center"/>
            <w:hideMark/>
          </w:tcPr>
          <w:p w14:paraId="7E55C32F"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w:t>
            </w:r>
          </w:p>
        </w:tc>
      </w:tr>
      <w:tr w:rsidR="00DF5FD5" w:rsidRPr="00351E92" w14:paraId="466D5B06"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69F8536B"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p.10.13.14.60</w:t>
            </w:r>
          </w:p>
        </w:tc>
        <w:tc>
          <w:tcPr>
            <w:tcW w:w="1275" w:type="dxa"/>
            <w:tcBorders>
              <w:top w:val="nil"/>
              <w:left w:val="nil"/>
              <w:bottom w:val="single" w:sz="4" w:space="0" w:color="000000"/>
              <w:right w:val="single" w:sz="4" w:space="0" w:color="000000"/>
            </w:tcBorders>
            <w:shd w:val="clear" w:color="auto" w:fill="auto"/>
            <w:vAlign w:val="center"/>
            <w:hideMark/>
          </w:tcPr>
          <w:p w14:paraId="76A518C5" w14:textId="54CA3220" w:rsidR="00351E92" w:rsidRPr="00351E92" w:rsidRDefault="00351E92" w:rsidP="00DF5FD5">
            <w:pPr>
              <w:spacing w:after="0" w:line="240" w:lineRule="auto"/>
              <w:jc w:val="left"/>
              <w:rPr>
                <w:rFonts w:eastAsia="Times New Roman" w:cs="Arial"/>
                <w:sz w:val="20"/>
                <w:szCs w:val="20"/>
                <w:lang w:eastAsia="fr-FR"/>
              </w:rPr>
            </w:pPr>
            <w:r w:rsidRPr="00351E92">
              <w:rPr>
                <w:rFonts w:eastAsia="Times New Roman" w:cs="Arial"/>
                <w:sz w:val="20"/>
                <w:szCs w:val="20"/>
                <w:lang w:eastAsia="fr-FR"/>
              </w:rPr>
              <w:t xml:space="preserve">1601 </w:t>
            </w:r>
            <w:r w:rsidR="006F08DA">
              <w:rPr>
                <w:rFonts w:eastAsia="Times New Roman" w:cs="Arial"/>
                <w:sz w:val="20"/>
                <w:szCs w:val="20"/>
                <w:lang w:eastAsia="fr-FR"/>
              </w:rPr>
              <w:t>NC</w:t>
            </w:r>
            <w:r w:rsidRPr="00351E92">
              <w:rPr>
                <w:rFonts w:eastAsia="Times New Roman" w:cs="Arial"/>
                <w:sz w:val="20"/>
                <w:szCs w:val="20"/>
                <w:lang w:eastAsia="fr-FR"/>
              </w:rPr>
              <w:t xml:space="preserve"> 1601.00.10</w:t>
            </w:r>
          </w:p>
        </w:tc>
        <w:tc>
          <w:tcPr>
            <w:tcW w:w="4720" w:type="dxa"/>
            <w:tcBorders>
              <w:top w:val="nil"/>
              <w:left w:val="nil"/>
              <w:bottom w:val="single" w:sz="4" w:space="0" w:color="000000"/>
              <w:right w:val="single" w:sz="4" w:space="0" w:color="000000"/>
            </w:tcBorders>
            <w:shd w:val="clear" w:color="auto" w:fill="auto"/>
            <w:vAlign w:val="center"/>
            <w:hideMark/>
          </w:tcPr>
          <w:p w14:paraId="36B422CC"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Saucissons cuits ou à cuire</w:t>
            </w:r>
          </w:p>
        </w:tc>
        <w:tc>
          <w:tcPr>
            <w:tcW w:w="585" w:type="dxa"/>
            <w:tcBorders>
              <w:top w:val="nil"/>
              <w:left w:val="nil"/>
              <w:bottom w:val="single" w:sz="4" w:space="0" w:color="auto"/>
              <w:right w:val="single" w:sz="4" w:space="0" w:color="auto"/>
            </w:tcBorders>
            <w:shd w:val="clear" w:color="000000" w:fill="BFBFBF"/>
            <w:vAlign w:val="center"/>
            <w:hideMark/>
          </w:tcPr>
          <w:p w14:paraId="37A7AEDF" w14:textId="5E355622"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41</w:t>
            </w:r>
          </w:p>
        </w:tc>
        <w:tc>
          <w:tcPr>
            <w:tcW w:w="283" w:type="dxa"/>
            <w:tcBorders>
              <w:top w:val="nil"/>
              <w:left w:val="nil"/>
              <w:bottom w:val="nil"/>
              <w:right w:val="nil"/>
            </w:tcBorders>
            <w:shd w:val="clear" w:color="auto" w:fill="auto"/>
            <w:noWrap/>
            <w:vAlign w:val="center"/>
            <w:hideMark/>
          </w:tcPr>
          <w:p w14:paraId="36EC74C8"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2848F95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16010099</w:t>
            </w:r>
          </w:p>
        </w:tc>
        <w:tc>
          <w:tcPr>
            <w:tcW w:w="1646" w:type="dxa"/>
            <w:tcBorders>
              <w:top w:val="nil"/>
              <w:left w:val="nil"/>
              <w:bottom w:val="single" w:sz="4" w:space="0" w:color="auto"/>
              <w:right w:val="single" w:sz="4" w:space="0" w:color="auto"/>
            </w:tcBorders>
            <w:shd w:val="clear" w:color="auto" w:fill="auto"/>
            <w:vAlign w:val="center"/>
            <w:hideMark/>
          </w:tcPr>
          <w:p w14:paraId="129272E6" w14:textId="77777777"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Autres saucisses, saucissons</w:t>
            </w:r>
          </w:p>
        </w:tc>
        <w:tc>
          <w:tcPr>
            <w:tcW w:w="1417" w:type="dxa"/>
            <w:tcBorders>
              <w:top w:val="nil"/>
              <w:left w:val="nil"/>
              <w:bottom w:val="single" w:sz="4" w:space="0" w:color="auto"/>
              <w:right w:val="single" w:sz="4" w:space="0" w:color="auto"/>
            </w:tcBorders>
            <w:shd w:val="clear" w:color="auto" w:fill="auto"/>
            <w:vAlign w:val="center"/>
            <w:hideMark/>
          </w:tcPr>
          <w:p w14:paraId="174E9170"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27</w:t>
            </w:r>
          </w:p>
        </w:tc>
        <w:tc>
          <w:tcPr>
            <w:tcW w:w="1327" w:type="dxa"/>
            <w:tcBorders>
              <w:top w:val="nil"/>
              <w:left w:val="nil"/>
              <w:bottom w:val="single" w:sz="4" w:space="0" w:color="auto"/>
              <w:right w:val="single" w:sz="4" w:space="0" w:color="auto"/>
            </w:tcBorders>
            <w:shd w:val="clear" w:color="auto" w:fill="auto"/>
            <w:vAlign w:val="center"/>
            <w:hideMark/>
          </w:tcPr>
          <w:p w14:paraId="3C2E2BC9"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45</w:t>
            </w:r>
          </w:p>
        </w:tc>
        <w:tc>
          <w:tcPr>
            <w:tcW w:w="1083" w:type="dxa"/>
            <w:tcBorders>
              <w:top w:val="nil"/>
              <w:left w:val="nil"/>
              <w:bottom w:val="single" w:sz="4" w:space="0" w:color="auto"/>
              <w:right w:val="single" w:sz="4" w:space="0" w:color="auto"/>
            </w:tcBorders>
            <w:shd w:val="clear" w:color="auto" w:fill="auto"/>
            <w:noWrap/>
            <w:vAlign w:val="center"/>
            <w:hideMark/>
          </w:tcPr>
          <w:p w14:paraId="52529D67"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_</w:t>
            </w:r>
          </w:p>
        </w:tc>
      </w:tr>
      <w:tr w:rsidR="00DF5FD5" w:rsidRPr="00351E92" w14:paraId="06B26CB4"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6C49D084"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66D141E6"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4DA0EC4"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Saucissons cuits (à l'ail ...) ou à cuire</w:t>
            </w:r>
          </w:p>
        </w:tc>
        <w:tc>
          <w:tcPr>
            <w:tcW w:w="585" w:type="dxa"/>
            <w:tcBorders>
              <w:top w:val="nil"/>
              <w:left w:val="nil"/>
              <w:bottom w:val="single" w:sz="4" w:space="0" w:color="auto"/>
              <w:right w:val="single" w:sz="4" w:space="0" w:color="auto"/>
            </w:tcBorders>
            <w:shd w:val="clear" w:color="auto" w:fill="auto"/>
            <w:vAlign w:val="center"/>
            <w:hideMark/>
          </w:tcPr>
          <w:p w14:paraId="3C75327F"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23</w:t>
            </w:r>
          </w:p>
        </w:tc>
        <w:tc>
          <w:tcPr>
            <w:tcW w:w="283" w:type="dxa"/>
            <w:tcBorders>
              <w:top w:val="nil"/>
              <w:left w:val="nil"/>
              <w:bottom w:val="nil"/>
              <w:right w:val="nil"/>
            </w:tcBorders>
            <w:shd w:val="clear" w:color="auto" w:fill="auto"/>
            <w:noWrap/>
            <w:vAlign w:val="center"/>
            <w:hideMark/>
          </w:tcPr>
          <w:p w14:paraId="771EFBF0"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7AB4232A"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16010091</w:t>
            </w:r>
          </w:p>
        </w:tc>
        <w:tc>
          <w:tcPr>
            <w:tcW w:w="1646" w:type="dxa"/>
            <w:tcBorders>
              <w:top w:val="nil"/>
              <w:left w:val="nil"/>
              <w:bottom w:val="single" w:sz="4" w:space="0" w:color="auto"/>
              <w:right w:val="single" w:sz="4" w:space="0" w:color="auto"/>
            </w:tcBorders>
            <w:shd w:val="clear" w:color="auto" w:fill="auto"/>
            <w:vAlign w:val="center"/>
            <w:hideMark/>
          </w:tcPr>
          <w:p w14:paraId="6BB6018F" w14:textId="288D8831"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Saucisses</w:t>
            </w:r>
            <w:r w:rsidR="00DF5FD5">
              <w:rPr>
                <w:rFonts w:eastAsia="Times New Roman" w:cs="Arial"/>
                <w:color w:val="000000"/>
                <w:sz w:val="20"/>
                <w:szCs w:val="20"/>
                <w:lang w:eastAsia="fr-FR"/>
              </w:rPr>
              <w:t>,</w:t>
            </w:r>
            <w:r w:rsidR="00FD56BF">
              <w:rPr>
                <w:rFonts w:eastAsia="Times New Roman" w:cs="Arial"/>
                <w:color w:val="000000"/>
                <w:sz w:val="20"/>
                <w:szCs w:val="20"/>
                <w:lang w:eastAsia="fr-FR"/>
              </w:rPr>
              <w:br/>
            </w:r>
            <w:r w:rsidRPr="00351E92">
              <w:rPr>
                <w:rFonts w:eastAsia="Times New Roman" w:cs="Arial"/>
                <w:color w:val="000000"/>
                <w:sz w:val="20"/>
                <w:szCs w:val="20"/>
                <w:lang w:eastAsia="fr-FR"/>
              </w:rPr>
              <w:t>saucissons non cuits</w:t>
            </w:r>
          </w:p>
        </w:tc>
        <w:tc>
          <w:tcPr>
            <w:tcW w:w="1417" w:type="dxa"/>
            <w:tcBorders>
              <w:top w:val="nil"/>
              <w:left w:val="nil"/>
              <w:bottom w:val="single" w:sz="4" w:space="0" w:color="auto"/>
              <w:right w:val="single" w:sz="4" w:space="0" w:color="auto"/>
            </w:tcBorders>
            <w:shd w:val="clear" w:color="auto" w:fill="auto"/>
            <w:noWrap/>
            <w:vAlign w:val="center"/>
            <w:hideMark/>
          </w:tcPr>
          <w:p w14:paraId="4066BC2B"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xml:space="preserve">              17   </w:t>
            </w:r>
          </w:p>
        </w:tc>
        <w:tc>
          <w:tcPr>
            <w:tcW w:w="1327" w:type="dxa"/>
            <w:tcBorders>
              <w:top w:val="nil"/>
              <w:left w:val="nil"/>
              <w:bottom w:val="single" w:sz="4" w:space="0" w:color="auto"/>
              <w:right w:val="single" w:sz="4" w:space="0" w:color="auto"/>
            </w:tcBorders>
            <w:shd w:val="clear" w:color="auto" w:fill="auto"/>
            <w:noWrap/>
            <w:vAlign w:val="center"/>
            <w:hideMark/>
          </w:tcPr>
          <w:p w14:paraId="404D82C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 xml:space="preserve">              36   </w:t>
            </w:r>
          </w:p>
        </w:tc>
        <w:tc>
          <w:tcPr>
            <w:tcW w:w="1083" w:type="dxa"/>
            <w:tcBorders>
              <w:top w:val="nil"/>
              <w:left w:val="nil"/>
              <w:bottom w:val="single" w:sz="4" w:space="0" w:color="auto"/>
              <w:right w:val="single" w:sz="4" w:space="0" w:color="auto"/>
            </w:tcBorders>
            <w:shd w:val="clear" w:color="auto" w:fill="auto"/>
            <w:noWrap/>
            <w:vAlign w:val="center"/>
            <w:hideMark/>
          </w:tcPr>
          <w:p w14:paraId="789EFF3B"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_</w:t>
            </w:r>
          </w:p>
        </w:tc>
      </w:tr>
      <w:tr w:rsidR="00DF5FD5" w:rsidRPr="00351E92" w14:paraId="3F53E6D4"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0600E905"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6BF81E0F"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28A61CF6" w14:textId="77777777" w:rsidR="00351E92" w:rsidRPr="00351E92" w:rsidRDefault="00351E92" w:rsidP="00351E92">
            <w:pPr>
              <w:spacing w:after="0" w:line="240" w:lineRule="auto"/>
              <w:jc w:val="right"/>
              <w:rPr>
                <w:rFonts w:eastAsia="Times New Roman" w:cs="Arial"/>
                <w:sz w:val="20"/>
                <w:szCs w:val="20"/>
                <w:lang w:eastAsia="fr-FR"/>
              </w:rPr>
            </w:pPr>
            <w:r w:rsidRPr="00351E92">
              <w:rPr>
                <w:rFonts w:eastAsia="Times New Roman" w:cs="Arial"/>
                <w:sz w:val="20"/>
                <w:szCs w:val="20"/>
                <w:lang w:eastAsia="fr-FR"/>
              </w:rPr>
              <w:t>Dont Cervelas cuits ou à cuire / Mortadelles</w:t>
            </w:r>
          </w:p>
        </w:tc>
        <w:tc>
          <w:tcPr>
            <w:tcW w:w="585" w:type="dxa"/>
            <w:tcBorders>
              <w:top w:val="nil"/>
              <w:left w:val="nil"/>
              <w:bottom w:val="single" w:sz="4" w:space="0" w:color="auto"/>
              <w:right w:val="single" w:sz="4" w:space="0" w:color="auto"/>
            </w:tcBorders>
            <w:shd w:val="clear" w:color="auto" w:fill="auto"/>
            <w:vAlign w:val="center"/>
            <w:hideMark/>
          </w:tcPr>
          <w:p w14:paraId="07B1D86C"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13</w:t>
            </w:r>
          </w:p>
        </w:tc>
        <w:tc>
          <w:tcPr>
            <w:tcW w:w="283" w:type="dxa"/>
            <w:tcBorders>
              <w:top w:val="nil"/>
              <w:left w:val="nil"/>
              <w:bottom w:val="nil"/>
              <w:right w:val="nil"/>
            </w:tcBorders>
            <w:shd w:val="clear" w:color="auto" w:fill="auto"/>
            <w:noWrap/>
            <w:vAlign w:val="center"/>
            <w:hideMark/>
          </w:tcPr>
          <w:p w14:paraId="4CC84C8C"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3B2D823B"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5BE9F670"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399FFAD5"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4966968B"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7FAA322D"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37B8B72C" w14:textId="77777777" w:rsidTr="00471D69">
        <w:trPr>
          <w:trHeight w:val="364"/>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0CB1DDF"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5B45B918"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1CDAB9B1"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dt Saucissons à base de volaille</w:t>
            </w:r>
          </w:p>
        </w:tc>
        <w:tc>
          <w:tcPr>
            <w:tcW w:w="585" w:type="dxa"/>
            <w:tcBorders>
              <w:top w:val="nil"/>
              <w:left w:val="nil"/>
              <w:bottom w:val="single" w:sz="4" w:space="0" w:color="auto"/>
              <w:right w:val="single" w:sz="4" w:space="0" w:color="auto"/>
            </w:tcBorders>
            <w:shd w:val="clear" w:color="000000" w:fill="BFBFBF"/>
            <w:vAlign w:val="center"/>
            <w:hideMark/>
          </w:tcPr>
          <w:p w14:paraId="0E128B54"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5</w:t>
            </w:r>
          </w:p>
        </w:tc>
        <w:tc>
          <w:tcPr>
            <w:tcW w:w="283" w:type="dxa"/>
            <w:tcBorders>
              <w:top w:val="nil"/>
              <w:left w:val="nil"/>
              <w:bottom w:val="nil"/>
              <w:right w:val="nil"/>
            </w:tcBorders>
            <w:shd w:val="clear" w:color="auto" w:fill="auto"/>
            <w:noWrap/>
            <w:vAlign w:val="center"/>
            <w:hideMark/>
          </w:tcPr>
          <w:p w14:paraId="7877C8B0"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65B0A77"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0DAD3AE5"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49B9177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5CC70E5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5B7F24E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4FDE2202"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4457DE5D"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p.10.13.14.60</w:t>
            </w:r>
          </w:p>
        </w:tc>
        <w:tc>
          <w:tcPr>
            <w:tcW w:w="1275" w:type="dxa"/>
            <w:tcBorders>
              <w:top w:val="nil"/>
              <w:left w:val="nil"/>
              <w:bottom w:val="single" w:sz="4" w:space="0" w:color="000000"/>
              <w:right w:val="single" w:sz="4" w:space="0" w:color="000000"/>
            </w:tcBorders>
            <w:shd w:val="clear" w:color="auto" w:fill="auto"/>
            <w:vAlign w:val="center"/>
            <w:hideMark/>
          </w:tcPr>
          <w:p w14:paraId="79FA6548" w14:textId="1EEF8F86" w:rsidR="00351E92" w:rsidRPr="00351E92" w:rsidRDefault="00351E92" w:rsidP="00DF5FD5">
            <w:pPr>
              <w:spacing w:after="0" w:line="240" w:lineRule="auto"/>
              <w:jc w:val="left"/>
              <w:rPr>
                <w:rFonts w:eastAsia="Times New Roman" w:cs="Arial"/>
                <w:sz w:val="20"/>
                <w:szCs w:val="20"/>
                <w:lang w:eastAsia="fr-FR"/>
              </w:rPr>
            </w:pPr>
            <w:r w:rsidRPr="00351E92">
              <w:rPr>
                <w:rFonts w:eastAsia="Times New Roman" w:cs="Arial"/>
                <w:sz w:val="20"/>
                <w:szCs w:val="20"/>
                <w:lang w:eastAsia="fr-FR"/>
              </w:rPr>
              <w:t xml:space="preserve">1601 </w:t>
            </w:r>
            <w:r w:rsidR="006F08DA">
              <w:rPr>
                <w:rFonts w:eastAsia="Times New Roman" w:cs="Arial"/>
                <w:sz w:val="20"/>
                <w:szCs w:val="20"/>
                <w:lang w:eastAsia="fr-FR"/>
              </w:rPr>
              <w:t>NC</w:t>
            </w:r>
            <w:r w:rsidRPr="00351E92">
              <w:rPr>
                <w:rFonts w:eastAsia="Times New Roman" w:cs="Arial"/>
                <w:sz w:val="20"/>
                <w:szCs w:val="20"/>
                <w:lang w:eastAsia="fr-FR"/>
              </w:rPr>
              <w:t xml:space="preserve"> 1601.00.10</w:t>
            </w:r>
          </w:p>
        </w:tc>
        <w:tc>
          <w:tcPr>
            <w:tcW w:w="4720" w:type="dxa"/>
            <w:tcBorders>
              <w:top w:val="nil"/>
              <w:left w:val="nil"/>
              <w:bottom w:val="single" w:sz="4" w:space="0" w:color="000000"/>
              <w:right w:val="single" w:sz="4" w:space="0" w:color="000000"/>
            </w:tcBorders>
            <w:shd w:val="clear" w:color="auto" w:fill="auto"/>
            <w:vAlign w:val="center"/>
            <w:hideMark/>
          </w:tcPr>
          <w:p w14:paraId="160C70A6"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Saucisses cuites ou à cuire</w:t>
            </w:r>
          </w:p>
        </w:tc>
        <w:tc>
          <w:tcPr>
            <w:tcW w:w="585" w:type="dxa"/>
            <w:tcBorders>
              <w:top w:val="nil"/>
              <w:left w:val="nil"/>
              <w:bottom w:val="single" w:sz="4" w:space="0" w:color="auto"/>
              <w:right w:val="single" w:sz="4" w:space="0" w:color="auto"/>
            </w:tcBorders>
            <w:shd w:val="clear" w:color="000000" w:fill="BFBFBF"/>
            <w:vAlign w:val="center"/>
            <w:hideMark/>
          </w:tcPr>
          <w:p w14:paraId="764A3C96" w14:textId="25432AAE"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193</w:t>
            </w:r>
          </w:p>
        </w:tc>
        <w:tc>
          <w:tcPr>
            <w:tcW w:w="283" w:type="dxa"/>
            <w:tcBorders>
              <w:top w:val="nil"/>
              <w:left w:val="nil"/>
              <w:bottom w:val="nil"/>
              <w:right w:val="nil"/>
            </w:tcBorders>
            <w:shd w:val="clear" w:color="auto" w:fill="auto"/>
            <w:noWrap/>
            <w:vAlign w:val="center"/>
            <w:hideMark/>
          </w:tcPr>
          <w:p w14:paraId="19032DBF"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9FEB78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2BD47AC9"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11772D57"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24131E8D"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0C87C6B1"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73D6DFAE"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7CB78ED"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73EAD989"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13A85AE0" w14:textId="77777777" w:rsidR="00351E92" w:rsidRPr="00351E92" w:rsidRDefault="00351E92" w:rsidP="00351E92">
            <w:pPr>
              <w:spacing w:after="0" w:line="240" w:lineRule="auto"/>
              <w:jc w:val="left"/>
              <w:rPr>
                <w:rFonts w:eastAsia="Times New Roman" w:cs="Arial"/>
                <w:i/>
                <w:iCs/>
                <w:sz w:val="20"/>
                <w:szCs w:val="20"/>
                <w:lang w:eastAsia="fr-FR"/>
              </w:rPr>
            </w:pPr>
            <w:r w:rsidRPr="00351E92">
              <w:rPr>
                <w:rFonts w:eastAsia="Times New Roman" w:cs="Arial"/>
                <w:i/>
                <w:iCs/>
                <w:sz w:val="20"/>
                <w:szCs w:val="20"/>
                <w:u w:val="single"/>
                <w:lang w:eastAsia="fr-FR"/>
              </w:rPr>
              <w:t>Saucisses à pâte fine (ex : Strasbourg, Francfort ...)</w:t>
            </w:r>
          </w:p>
        </w:tc>
        <w:tc>
          <w:tcPr>
            <w:tcW w:w="585" w:type="dxa"/>
            <w:tcBorders>
              <w:top w:val="nil"/>
              <w:left w:val="nil"/>
              <w:bottom w:val="single" w:sz="4" w:space="0" w:color="auto"/>
              <w:right w:val="single" w:sz="4" w:space="0" w:color="auto"/>
            </w:tcBorders>
            <w:shd w:val="clear" w:color="auto" w:fill="auto"/>
            <w:vAlign w:val="center"/>
            <w:hideMark/>
          </w:tcPr>
          <w:p w14:paraId="3CB311D3"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104</w:t>
            </w:r>
          </w:p>
        </w:tc>
        <w:tc>
          <w:tcPr>
            <w:tcW w:w="283" w:type="dxa"/>
            <w:tcBorders>
              <w:top w:val="nil"/>
              <w:left w:val="nil"/>
              <w:bottom w:val="nil"/>
              <w:right w:val="nil"/>
            </w:tcBorders>
            <w:shd w:val="clear" w:color="auto" w:fill="auto"/>
            <w:noWrap/>
            <w:vAlign w:val="center"/>
            <w:hideMark/>
          </w:tcPr>
          <w:p w14:paraId="3CBFAC4F"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04238A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278526DB"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3A30698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6E4CAB24"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0E4E7B24"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65491D08"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54FFA9E"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384E4229"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2D4CF2AA" w14:textId="1E8745F9"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A base de porc</w:t>
            </w:r>
          </w:p>
        </w:tc>
        <w:tc>
          <w:tcPr>
            <w:tcW w:w="585" w:type="dxa"/>
            <w:tcBorders>
              <w:top w:val="nil"/>
              <w:left w:val="nil"/>
              <w:bottom w:val="single" w:sz="4" w:space="0" w:color="auto"/>
              <w:right w:val="single" w:sz="4" w:space="0" w:color="auto"/>
            </w:tcBorders>
            <w:shd w:val="clear" w:color="auto" w:fill="auto"/>
            <w:vAlign w:val="center"/>
            <w:hideMark/>
          </w:tcPr>
          <w:p w14:paraId="7C064071"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70</w:t>
            </w:r>
          </w:p>
        </w:tc>
        <w:tc>
          <w:tcPr>
            <w:tcW w:w="283" w:type="dxa"/>
            <w:tcBorders>
              <w:top w:val="nil"/>
              <w:left w:val="nil"/>
              <w:bottom w:val="nil"/>
              <w:right w:val="nil"/>
            </w:tcBorders>
            <w:shd w:val="clear" w:color="auto" w:fill="auto"/>
            <w:noWrap/>
            <w:vAlign w:val="center"/>
            <w:hideMark/>
          </w:tcPr>
          <w:p w14:paraId="16E32358"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2CF96DA"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10DADF4C"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37B51FA1"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3A8B461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0C0CE20F"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5D3BE3FF"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40EBB5F7"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2DB09A73"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6B21FFD2" w14:textId="60D6586E"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w:t>
            </w:r>
            <w:r w:rsidR="0071033D">
              <w:rPr>
                <w:rFonts w:eastAsia="Times New Roman" w:cs="Arial"/>
                <w:sz w:val="20"/>
                <w:szCs w:val="20"/>
                <w:lang w:eastAsia="fr-FR"/>
              </w:rPr>
              <w:t>Saucisses à</w:t>
            </w:r>
            <w:r w:rsidR="00351E92" w:rsidRPr="00351E92">
              <w:rPr>
                <w:rFonts w:eastAsia="Times New Roman" w:cs="Arial"/>
                <w:sz w:val="20"/>
                <w:szCs w:val="20"/>
                <w:lang w:eastAsia="fr-FR"/>
              </w:rPr>
              <w:t xml:space="preserve"> base de volaille et autres</w:t>
            </w:r>
          </w:p>
        </w:tc>
        <w:tc>
          <w:tcPr>
            <w:tcW w:w="585" w:type="dxa"/>
            <w:tcBorders>
              <w:top w:val="nil"/>
              <w:left w:val="nil"/>
              <w:bottom w:val="single" w:sz="4" w:space="0" w:color="auto"/>
              <w:right w:val="single" w:sz="4" w:space="0" w:color="auto"/>
            </w:tcBorders>
            <w:shd w:val="clear" w:color="000000" w:fill="BFBFBF"/>
            <w:vAlign w:val="center"/>
            <w:hideMark/>
          </w:tcPr>
          <w:p w14:paraId="12601786"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23</w:t>
            </w:r>
          </w:p>
        </w:tc>
        <w:tc>
          <w:tcPr>
            <w:tcW w:w="283" w:type="dxa"/>
            <w:tcBorders>
              <w:top w:val="nil"/>
              <w:left w:val="nil"/>
              <w:bottom w:val="nil"/>
              <w:right w:val="nil"/>
            </w:tcBorders>
            <w:shd w:val="clear" w:color="auto" w:fill="auto"/>
            <w:noWrap/>
            <w:vAlign w:val="center"/>
            <w:hideMark/>
          </w:tcPr>
          <w:p w14:paraId="0B732974"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5C09FC57"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06226E1A"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71E67C6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323FC55A"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5382D540"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26D89761"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46565C5F"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7A22778F"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17519AFE" w14:textId="77777777" w:rsidR="00351E92" w:rsidRPr="00351E92" w:rsidRDefault="00351E92" w:rsidP="00351E92">
            <w:pPr>
              <w:spacing w:after="0" w:line="240" w:lineRule="auto"/>
              <w:jc w:val="left"/>
              <w:rPr>
                <w:rFonts w:eastAsia="Times New Roman" w:cs="Arial"/>
                <w:i/>
                <w:iCs/>
                <w:sz w:val="20"/>
                <w:szCs w:val="20"/>
                <w:lang w:eastAsia="fr-FR"/>
              </w:rPr>
            </w:pPr>
            <w:r w:rsidRPr="00351E92">
              <w:rPr>
                <w:rFonts w:eastAsia="Times New Roman" w:cs="Arial"/>
                <w:i/>
                <w:iCs/>
                <w:sz w:val="20"/>
                <w:szCs w:val="20"/>
                <w:u w:val="single"/>
                <w:lang w:eastAsia="fr-FR"/>
              </w:rPr>
              <w:t>Saucisses à gros hachage</w:t>
            </w:r>
          </w:p>
        </w:tc>
        <w:tc>
          <w:tcPr>
            <w:tcW w:w="585" w:type="dxa"/>
            <w:tcBorders>
              <w:top w:val="nil"/>
              <w:left w:val="nil"/>
              <w:bottom w:val="single" w:sz="4" w:space="0" w:color="auto"/>
              <w:right w:val="single" w:sz="4" w:space="0" w:color="auto"/>
            </w:tcBorders>
            <w:shd w:val="clear" w:color="auto" w:fill="auto"/>
            <w:vAlign w:val="center"/>
            <w:hideMark/>
          </w:tcPr>
          <w:p w14:paraId="30B3C76F"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89</w:t>
            </w:r>
          </w:p>
        </w:tc>
        <w:tc>
          <w:tcPr>
            <w:tcW w:w="283" w:type="dxa"/>
            <w:tcBorders>
              <w:top w:val="nil"/>
              <w:left w:val="nil"/>
              <w:bottom w:val="nil"/>
              <w:right w:val="nil"/>
            </w:tcBorders>
            <w:shd w:val="clear" w:color="auto" w:fill="auto"/>
            <w:noWrap/>
            <w:vAlign w:val="center"/>
            <w:hideMark/>
          </w:tcPr>
          <w:p w14:paraId="7BF6B9E6"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43469ED2"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0747B848"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65755B66"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62404F90"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58393CA6"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1FC40C0B"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5E342D5E"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2BD53C8"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443D0F7" w14:textId="59BEEE44"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 xml:space="preserve">Dont </w:t>
            </w:r>
            <w:r w:rsidR="00351E92" w:rsidRPr="00351E92">
              <w:rPr>
                <w:rFonts w:eastAsia="Times New Roman" w:cs="Arial"/>
                <w:sz w:val="20"/>
                <w:szCs w:val="20"/>
                <w:lang w:eastAsia="fr-FR"/>
              </w:rPr>
              <w:t>Toulouse et autres saucisses</w:t>
            </w:r>
          </w:p>
        </w:tc>
        <w:tc>
          <w:tcPr>
            <w:tcW w:w="585" w:type="dxa"/>
            <w:tcBorders>
              <w:top w:val="nil"/>
              <w:left w:val="nil"/>
              <w:bottom w:val="single" w:sz="4" w:space="0" w:color="auto"/>
              <w:right w:val="single" w:sz="4" w:space="0" w:color="auto"/>
            </w:tcBorders>
            <w:shd w:val="clear" w:color="auto" w:fill="auto"/>
            <w:vAlign w:val="center"/>
            <w:hideMark/>
          </w:tcPr>
          <w:p w14:paraId="38B434C6"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20</w:t>
            </w:r>
          </w:p>
        </w:tc>
        <w:tc>
          <w:tcPr>
            <w:tcW w:w="283" w:type="dxa"/>
            <w:tcBorders>
              <w:top w:val="nil"/>
              <w:left w:val="nil"/>
              <w:bottom w:val="nil"/>
              <w:right w:val="nil"/>
            </w:tcBorders>
            <w:shd w:val="clear" w:color="auto" w:fill="auto"/>
            <w:noWrap/>
            <w:vAlign w:val="center"/>
            <w:hideMark/>
          </w:tcPr>
          <w:p w14:paraId="74596DBD"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25D3D56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4AADF5D4"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0EBCAF12"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7794EBF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272DB6A1"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494A07AC"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3F0EB566"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3251D4C2"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85BF3FE" w14:textId="48CDE181"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Morteau et Montbéliard</w:t>
            </w:r>
          </w:p>
        </w:tc>
        <w:tc>
          <w:tcPr>
            <w:tcW w:w="585" w:type="dxa"/>
            <w:tcBorders>
              <w:top w:val="nil"/>
              <w:left w:val="nil"/>
              <w:bottom w:val="single" w:sz="4" w:space="0" w:color="auto"/>
              <w:right w:val="single" w:sz="4" w:space="0" w:color="auto"/>
            </w:tcBorders>
            <w:shd w:val="clear" w:color="auto" w:fill="auto"/>
            <w:vAlign w:val="center"/>
            <w:hideMark/>
          </w:tcPr>
          <w:p w14:paraId="4AABFEC3"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11</w:t>
            </w:r>
          </w:p>
        </w:tc>
        <w:tc>
          <w:tcPr>
            <w:tcW w:w="283" w:type="dxa"/>
            <w:tcBorders>
              <w:top w:val="nil"/>
              <w:left w:val="nil"/>
              <w:bottom w:val="nil"/>
              <w:right w:val="nil"/>
            </w:tcBorders>
            <w:shd w:val="clear" w:color="auto" w:fill="auto"/>
            <w:noWrap/>
            <w:vAlign w:val="center"/>
            <w:hideMark/>
          </w:tcPr>
          <w:p w14:paraId="43594E1D"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54168F1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007D50E9"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6295BA6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251D17BA"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682407BF"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278CD0D0"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381530CB"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FFDB763"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63710A0F" w14:textId="3E54700B"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w:t>
            </w:r>
            <w:r>
              <w:rPr>
                <w:rFonts w:eastAsia="Times New Roman" w:cs="Arial"/>
                <w:sz w:val="20"/>
                <w:szCs w:val="20"/>
                <w:lang w:eastAsia="fr-FR"/>
              </w:rPr>
              <w:t>c</w:t>
            </w:r>
            <w:r w:rsidR="00351E92" w:rsidRPr="00351E92">
              <w:rPr>
                <w:rFonts w:eastAsia="Times New Roman" w:cs="Arial"/>
                <w:sz w:val="20"/>
                <w:szCs w:val="20"/>
                <w:lang w:eastAsia="fr-FR"/>
              </w:rPr>
              <w:t>hipolatas et autres saucisses à griller</w:t>
            </w:r>
          </w:p>
        </w:tc>
        <w:tc>
          <w:tcPr>
            <w:tcW w:w="585" w:type="dxa"/>
            <w:tcBorders>
              <w:top w:val="nil"/>
              <w:left w:val="nil"/>
              <w:bottom w:val="single" w:sz="4" w:space="0" w:color="auto"/>
              <w:right w:val="single" w:sz="4" w:space="0" w:color="auto"/>
            </w:tcBorders>
            <w:shd w:val="clear" w:color="auto" w:fill="auto"/>
            <w:vAlign w:val="center"/>
            <w:hideMark/>
          </w:tcPr>
          <w:p w14:paraId="029BCB07"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29</w:t>
            </w:r>
          </w:p>
        </w:tc>
        <w:tc>
          <w:tcPr>
            <w:tcW w:w="283" w:type="dxa"/>
            <w:tcBorders>
              <w:top w:val="nil"/>
              <w:left w:val="nil"/>
              <w:bottom w:val="nil"/>
              <w:right w:val="nil"/>
            </w:tcBorders>
            <w:shd w:val="clear" w:color="auto" w:fill="auto"/>
            <w:noWrap/>
            <w:vAlign w:val="center"/>
            <w:hideMark/>
          </w:tcPr>
          <w:p w14:paraId="2DC87C66"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7F59190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182195A2"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5B761FF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5DB56F2B"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1476AB0D"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59622540"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60339327"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35A125F8"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auto" w:fill="auto"/>
            <w:vAlign w:val="center"/>
            <w:hideMark/>
          </w:tcPr>
          <w:p w14:paraId="023A7D07" w14:textId="427E178E" w:rsidR="00351E92" w:rsidRPr="00351E92" w:rsidRDefault="00DF5FD5" w:rsidP="00DF5FD5">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w:t>
            </w:r>
            <w:r>
              <w:rPr>
                <w:rFonts w:eastAsia="Times New Roman" w:cs="Arial"/>
                <w:sz w:val="20"/>
                <w:szCs w:val="20"/>
                <w:lang w:eastAsia="fr-FR"/>
              </w:rPr>
              <w:t>m</w:t>
            </w:r>
            <w:r w:rsidR="00351E92" w:rsidRPr="00351E92">
              <w:rPr>
                <w:rFonts w:eastAsia="Times New Roman" w:cs="Arial"/>
                <w:sz w:val="20"/>
                <w:szCs w:val="20"/>
                <w:lang w:eastAsia="fr-FR"/>
              </w:rPr>
              <w:t>erguez</w:t>
            </w:r>
          </w:p>
        </w:tc>
        <w:tc>
          <w:tcPr>
            <w:tcW w:w="585" w:type="dxa"/>
            <w:tcBorders>
              <w:top w:val="nil"/>
              <w:left w:val="nil"/>
              <w:bottom w:val="single" w:sz="4" w:space="0" w:color="auto"/>
              <w:right w:val="single" w:sz="4" w:space="0" w:color="auto"/>
            </w:tcBorders>
            <w:shd w:val="clear" w:color="auto" w:fill="auto"/>
            <w:vAlign w:val="center"/>
            <w:hideMark/>
          </w:tcPr>
          <w:p w14:paraId="18DB3888"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19</w:t>
            </w:r>
          </w:p>
        </w:tc>
        <w:tc>
          <w:tcPr>
            <w:tcW w:w="283" w:type="dxa"/>
            <w:tcBorders>
              <w:top w:val="nil"/>
              <w:left w:val="nil"/>
              <w:bottom w:val="nil"/>
              <w:right w:val="nil"/>
            </w:tcBorders>
            <w:shd w:val="clear" w:color="auto" w:fill="auto"/>
            <w:noWrap/>
            <w:vAlign w:val="center"/>
            <w:hideMark/>
          </w:tcPr>
          <w:p w14:paraId="2D147BB9"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05DB292C"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43C742F8"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4E60F09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77FAE28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6ED0BFFC"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4A20EA80"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7EA50692" w14:textId="77777777" w:rsidR="00351E92" w:rsidRPr="00351E92" w:rsidRDefault="00351E92" w:rsidP="00351E92">
            <w:pPr>
              <w:spacing w:after="0" w:line="240" w:lineRule="auto"/>
              <w:jc w:val="left"/>
              <w:rPr>
                <w:rFonts w:ascii="Times New Roman" w:eastAsia="Times New Roman" w:hAnsi="Times New Roman" w:cs="Times New Roman"/>
                <w:color w:val="000000"/>
                <w:sz w:val="20"/>
                <w:szCs w:val="20"/>
                <w:lang w:eastAsia="fr-FR"/>
              </w:rPr>
            </w:pPr>
            <w:r w:rsidRPr="00351E92">
              <w:rPr>
                <w:rFonts w:ascii="Times New Roman" w:eastAsia="Times New Roman" w:hAnsi="Times New Roman" w:cs="Times New Roman"/>
                <w:color w:val="000000"/>
                <w:sz w:val="20"/>
                <w:szCs w:val="20"/>
                <w:lang w:eastAsia="fr-FR"/>
              </w:rPr>
              <w:t> </w:t>
            </w:r>
          </w:p>
        </w:tc>
        <w:tc>
          <w:tcPr>
            <w:tcW w:w="1275" w:type="dxa"/>
            <w:tcBorders>
              <w:top w:val="nil"/>
              <w:left w:val="nil"/>
              <w:bottom w:val="single" w:sz="4" w:space="0" w:color="000000"/>
              <w:right w:val="single" w:sz="4" w:space="0" w:color="000000"/>
            </w:tcBorders>
            <w:shd w:val="clear" w:color="auto" w:fill="auto"/>
            <w:vAlign w:val="center"/>
            <w:hideMark/>
          </w:tcPr>
          <w:p w14:paraId="1BFA1922" w14:textId="77777777" w:rsidR="00351E92" w:rsidRPr="00351E92" w:rsidRDefault="00351E92" w:rsidP="00DF5FD5">
            <w:pPr>
              <w:spacing w:after="0" w:line="240" w:lineRule="auto"/>
              <w:jc w:val="left"/>
              <w:rPr>
                <w:rFonts w:ascii="Calibri" w:eastAsia="Times New Roman" w:hAnsi="Calibri" w:cs="Calibri"/>
                <w:color w:val="000000"/>
                <w:sz w:val="20"/>
                <w:szCs w:val="20"/>
                <w:lang w:eastAsia="fr-FR"/>
              </w:rPr>
            </w:pPr>
            <w:r w:rsidRPr="00351E92">
              <w:rPr>
                <w:rFonts w:ascii="Calibri" w:eastAsia="Times New Roman" w:hAnsi="Calibri" w:cs="Calibri"/>
                <w:color w:val="000000"/>
                <w:sz w:val="20"/>
                <w:szCs w:val="20"/>
                <w:lang w:eastAsia="fr-FR"/>
              </w:rPr>
              <w:t> </w:t>
            </w:r>
          </w:p>
        </w:tc>
        <w:tc>
          <w:tcPr>
            <w:tcW w:w="4720" w:type="dxa"/>
            <w:tcBorders>
              <w:top w:val="nil"/>
              <w:left w:val="nil"/>
              <w:bottom w:val="single" w:sz="4" w:space="0" w:color="000000"/>
              <w:right w:val="single" w:sz="4" w:space="0" w:color="000000"/>
            </w:tcBorders>
            <w:shd w:val="clear" w:color="000000" w:fill="BFBFBF"/>
            <w:vAlign w:val="center"/>
            <w:hideMark/>
          </w:tcPr>
          <w:p w14:paraId="64A2FE33" w14:textId="2406B077" w:rsidR="00351E92" w:rsidRPr="00351E92" w:rsidRDefault="0071033D" w:rsidP="0071033D">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351E92" w:rsidRPr="00351E92">
              <w:rPr>
                <w:rFonts w:eastAsia="Times New Roman" w:cs="Arial"/>
                <w:sz w:val="20"/>
                <w:szCs w:val="20"/>
                <w:lang w:eastAsia="fr-FR"/>
              </w:rPr>
              <w:t xml:space="preserve"> Saucisses à base de volaille</w:t>
            </w:r>
          </w:p>
        </w:tc>
        <w:tc>
          <w:tcPr>
            <w:tcW w:w="585" w:type="dxa"/>
            <w:tcBorders>
              <w:top w:val="nil"/>
              <w:left w:val="nil"/>
              <w:bottom w:val="single" w:sz="4" w:space="0" w:color="auto"/>
              <w:right w:val="single" w:sz="4" w:space="0" w:color="auto"/>
            </w:tcBorders>
            <w:shd w:val="clear" w:color="000000" w:fill="BFBFBF"/>
            <w:vAlign w:val="center"/>
            <w:hideMark/>
          </w:tcPr>
          <w:p w14:paraId="5BFEC3FE"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1</w:t>
            </w:r>
          </w:p>
        </w:tc>
        <w:tc>
          <w:tcPr>
            <w:tcW w:w="283" w:type="dxa"/>
            <w:tcBorders>
              <w:top w:val="nil"/>
              <w:left w:val="nil"/>
              <w:bottom w:val="nil"/>
              <w:right w:val="nil"/>
            </w:tcBorders>
            <w:shd w:val="clear" w:color="auto" w:fill="auto"/>
            <w:noWrap/>
            <w:vAlign w:val="center"/>
            <w:hideMark/>
          </w:tcPr>
          <w:p w14:paraId="57B1BC77"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58980F3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5C8CF06C"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25F03C9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0C517980"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2CAED4A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33E692A2"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6BD1168D"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p.10.13.14.60</w:t>
            </w:r>
          </w:p>
        </w:tc>
        <w:tc>
          <w:tcPr>
            <w:tcW w:w="1275" w:type="dxa"/>
            <w:tcBorders>
              <w:top w:val="nil"/>
              <w:left w:val="nil"/>
              <w:bottom w:val="single" w:sz="4" w:space="0" w:color="000000"/>
              <w:right w:val="single" w:sz="4" w:space="0" w:color="000000"/>
            </w:tcBorders>
            <w:shd w:val="clear" w:color="auto" w:fill="auto"/>
            <w:vAlign w:val="center"/>
            <w:hideMark/>
          </w:tcPr>
          <w:p w14:paraId="4F5B0832" w14:textId="3FD793A7" w:rsidR="00351E92" w:rsidRPr="00351E92" w:rsidRDefault="00351E92" w:rsidP="00DF5FD5">
            <w:pPr>
              <w:spacing w:after="0" w:line="240" w:lineRule="auto"/>
              <w:jc w:val="left"/>
              <w:rPr>
                <w:rFonts w:eastAsia="Times New Roman" w:cs="Arial"/>
                <w:sz w:val="20"/>
                <w:szCs w:val="20"/>
                <w:lang w:eastAsia="fr-FR"/>
              </w:rPr>
            </w:pPr>
            <w:r w:rsidRPr="00351E92">
              <w:rPr>
                <w:rFonts w:eastAsia="Times New Roman" w:cs="Arial"/>
                <w:sz w:val="20"/>
                <w:szCs w:val="20"/>
                <w:lang w:eastAsia="fr-FR"/>
              </w:rPr>
              <w:t xml:space="preserve">1601 </w:t>
            </w:r>
            <w:r w:rsidR="0082632E">
              <w:rPr>
                <w:rFonts w:eastAsia="Times New Roman" w:cs="Arial"/>
                <w:sz w:val="20"/>
                <w:szCs w:val="20"/>
                <w:lang w:eastAsia="fr-FR"/>
              </w:rPr>
              <w:t xml:space="preserve">NC </w:t>
            </w:r>
            <w:r w:rsidRPr="00351E92">
              <w:rPr>
                <w:rFonts w:eastAsia="Times New Roman" w:cs="Arial"/>
                <w:sz w:val="20"/>
                <w:szCs w:val="20"/>
                <w:lang w:eastAsia="fr-FR"/>
              </w:rPr>
              <w:t>1601.00.10</w:t>
            </w:r>
          </w:p>
        </w:tc>
        <w:tc>
          <w:tcPr>
            <w:tcW w:w="4720" w:type="dxa"/>
            <w:tcBorders>
              <w:top w:val="nil"/>
              <w:left w:val="nil"/>
              <w:bottom w:val="single" w:sz="4" w:space="0" w:color="000000"/>
              <w:right w:val="single" w:sz="4" w:space="0" w:color="000000"/>
            </w:tcBorders>
            <w:shd w:val="clear" w:color="auto" w:fill="auto"/>
            <w:vAlign w:val="center"/>
            <w:hideMark/>
          </w:tcPr>
          <w:p w14:paraId="7256526F"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Andouilles, andouillettes, boudins</w:t>
            </w:r>
          </w:p>
        </w:tc>
        <w:tc>
          <w:tcPr>
            <w:tcW w:w="585" w:type="dxa"/>
            <w:tcBorders>
              <w:top w:val="nil"/>
              <w:left w:val="nil"/>
              <w:bottom w:val="single" w:sz="4" w:space="0" w:color="auto"/>
              <w:right w:val="single" w:sz="4" w:space="0" w:color="auto"/>
            </w:tcBorders>
            <w:shd w:val="clear" w:color="000000" w:fill="BFBFBF"/>
            <w:vAlign w:val="center"/>
            <w:hideMark/>
          </w:tcPr>
          <w:p w14:paraId="74A55838" w14:textId="77777777"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39</w:t>
            </w:r>
          </w:p>
        </w:tc>
        <w:tc>
          <w:tcPr>
            <w:tcW w:w="283" w:type="dxa"/>
            <w:tcBorders>
              <w:top w:val="nil"/>
              <w:left w:val="nil"/>
              <w:bottom w:val="nil"/>
              <w:right w:val="nil"/>
            </w:tcBorders>
            <w:shd w:val="clear" w:color="auto" w:fill="auto"/>
            <w:noWrap/>
            <w:vAlign w:val="center"/>
            <w:hideMark/>
          </w:tcPr>
          <w:p w14:paraId="06364BC4"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6C055593"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23B0CB29"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506EA6F4"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4007CE49"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068192BA"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4A78F16E"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5EE4398" w14:textId="48B3EF55"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t xml:space="preserve">p.10.13.14.60 </w:t>
            </w:r>
          </w:p>
        </w:tc>
        <w:tc>
          <w:tcPr>
            <w:tcW w:w="1275" w:type="dxa"/>
            <w:tcBorders>
              <w:top w:val="nil"/>
              <w:left w:val="nil"/>
              <w:bottom w:val="single" w:sz="4" w:space="0" w:color="auto"/>
              <w:right w:val="single" w:sz="4" w:space="0" w:color="auto"/>
            </w:tcBorders>
            <w:shd w:val="clear" w:color="auto" w:fill="auto"/>
            <w:noWrap/>
            <w:vAlign w:val="center"/>
            <w:hideMark/>
          </w:tcPr>
          <w:p w14:paraId="70A3CE18" w14:textId="7CB991CA" w:rsidR="00351E92" w:rsidRPr="00351E92" w:rsidRDefault="00351E92" w:rsidP="00DF5FD5">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1601.00.9a</w:t>
            </w:r>
          </w:p>
        </w:tc>
        <w:tc>
          <w:tcPr>
            <w:tcW w:w="4720" w:type="dxa"/>
            <w:tcBorders>
              <w:top w:val="nil"/>
              <w:left w:val="nil"/>
              <w:bottom w:val="single" w:sz="4" w:space="0" w:color="000000"/>
              <w:right w:val="single" w:sz="4" w:space="0" w:color="000000"/>
            </w:tcBorders>
            <w:shd w:val="clear" w:color="auto" w:fill="auto"/>
            <w:vAlign w:val="center"/>
            <w:hideMark/>
          </w:tcPr>
          <w:p w14:paraId="5726718B"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Saucisses et saucissons non cuits</w:t>
            </w:r>
          </w:p>
        </w:tc>
        <w:tc>
          <w:tcPr>
            <w:tcW w:w="585" w:type="dxa"/>
            <w:tcBorders>
              <w:top w:val="nil"/>
              <w:left w:val="nil"/>
              <w:bottom w:val="single" w:sz="4" w:space="0" w:color="auto"/>
              <w:right w:val="single" w:sz="4" w:space="0" w:color="auto"/>
            </w:tcBorders>
            <w:shd w:val="clear" w:color="000000" w:fill="BFBFBF"/>
            <w:vAlign w:val="center"/>
            <w:hideMark/>
          </w:tcPr>
          <w:p w14:paraId="78DEC107" w14:textId="77777777" w:rsidR="00351E92" w:rsidRPr="00351E92" w:rsidRDefault="00351E92" w:rsidP="00351E92">
            <w:pPr>
              <w:spacing w:after="0" w:line="240" w:lineRule="auto"/>
              <w:jc w:val="center"/>
              <w:rPr>
                <w:rFonts w:eastAsia="Times New Roman" w:cs="Arial"/>
                <w:b/>
                <w:bCs/>
                <w:color w:val="000000"/>
                <w:sz w:val="20"/>
                <w:szCs w:val="20"/>
                <w:lang w:eastAsia="fr-FR"/>
              </w:rPr>
            </w:pPr>
            <w:r w:rsidRPr="00351E92">
              <w:rPr>
                <w:rFonts w:eastAsia="Times New Roman" w:cs="Arial"/>
                <w:b/>
                <w:bCs/>
                <w:color w:val="000000"/>
                <w:sz w:val="20"/>
                <w:szCs w:val="20"/>
                <w:lang w:eastAsia="fr-FR"/>
              </w:rPr>
              <w:t>71</w:t>
            </w:r>
          </w:p>
        </w:tc>
        <w:tc>
          <w:tcPr>
            <w:tcW w:w="283" w:type="dxa"/>
            <w:tcBorders>
              <w:top w:val="nil"/>
              <w:left w:val="nil"/>
              <w:bottom w:val="nil"/>
              <w:right w:val="nil"/>
            </w:tcBorders>
            <w:shd w:val="clear" w:color="auto" w:fill="auto"/>
            <w:noWrap/>
            <w:vAlign w:val="center"/>
            <w:hideMark/>
          </w:tcPr>
          <w:p w14:paraId="14A01A17" w14:textId="77777777" w:rsidR="00351E92" w:rsidRPr="00351E92" w:rsidRDefault="00351E92" w:rsidP="00351E92">
            <w:pPr>
              <w:spacing w:after="0" w:line="240" w:lineRule="auto"/>
              <w:jc w:val="center"/>
              <w:rPr>
                <w:rFonts w:eastAsia="Times New Roman" w:cs="Arial"/>
                <w:b/>
                <w:bCs/>
                <w:color w:val="000000"/>
                <w:sz w:val="20"/>
                <w:szCs w:val="20"/>
                <w:lang w:eastAsia="fr-FR"/>
              </w:rPr>
            </w:pPr>
          </w:p>
        </w:tc>
        <w:tc>
          <w:tcPr>
            <w:tcW w:w="1130" w:type="dxa"/>
            <w:tcBorders>
              <w:top w:val="nil"/>
              <w:left w:val="single" w:sz="4" w:space="0" w:color="000000"/>
              <w:bottom w:val="single" w:sz="4" w:space="0" w:color="000000"/>
              <w:right w:val="single" w:sz="4" w:space="0" w:color="000000"/>
            </w:tcBorders>
            <w:shd w:val="clear" w:color="auto" w:fill="auto"/>
            <w:vAlign w:val="center"/>
            <w:hideMark/>
          </w:tcPr>
          <w:p w14:paraId="5D15913C"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646" w:type="dxa"/>
            <w:tcBorders>
              <w:top w:val="nil"/>
              <w:left w:val="nil"/>
              <w:bottom w:val="single" w:sz="4" w:space="0" w:color="000000"/>
              <w:right w:val="single" w:sz="4" w:space="0" w:color="000000"/>
            </w:tcBorders>
            <w:shd w:val="clear" w:color="auto" w:fill="auto"/>
            <w:vAlign w:val="center"/>
            <w:hideMark/>
          </w:tcPr>
          <w:p w14:paraId="1F71A36F" w14:textId="77777777" w:rsidR="00351E92" w:rsidRPr="00351E92" w:rsidRDefault="00351E92" w:rsidP="00DD6CED">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center"/>
            <w:hideMark/>
          </w:tcPr>
          <w:p w14:paraId="65979DBB"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327" w:type="dxa"/>
            <w:tcBorders>
              <w:top w:val="nil"/>
              <w:left w:val="nil"/>
              <w:bottom w:val="single" w:sz="4" w:space="0" w:color="000000"/>
              <w:right w:val="single" w:sz="4" w:space="0" w:color="000000"/>
            </w:tcBorders>
            <w:shd w:val="clear" w:color="auto" w:fill="auto"/>
            <w:vAlign w:val="center"/>
            <w:hideMark/>
          </w:tcPr>
          <w:p w14:paraId="048B08EC"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c>
          <w:tcPr>
            <w:tcW w:w="1083" w:type="dxa"/>
            <w:tcBorders>
              <w:top w:val="nil"/>
              <w:left w:val="nil"/>
              <w:bottom w:val="single" w:sz="4" w:space="0" w:color="000000"/>
              <w:right w:val="single" w:sz="4" w:space="0" w:color="000000"/>
            </w:tcBorders>
            <w:shd w:val="clear" w:color="auto" w:fill="auto"/>
            <w:vAlign w:val="center"/>
            <w:hideMark/>
          </w:tcPr>
          <w:p w14:paraId="64E1EE1E"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 </w:t>
            </w:r>
          </w:p>
        </w:tc>
      </w:tr>
      <w:tr w:rsidR="00DF5FD5" w:rsidRPr="00351E92" w14:paraId="7E8AB7B4" w14:textId="77777777" w:rsidTr="00471D69">
        <w:trPr>
          <w:trHeight w:val="113"/>
        </w:trPr>
        <w:tc>
          <w:tcPr>
            <w:tcW w:w="1555" w:type="dxa"/>
            <w:tcBorders>
              <w:top w:val="nil"/>
              <w:left w:val="single" w:sz="4" w:space="0" w:color="000000"/>
              <w:bottom w:val="single" w:sz="4" w:space="0" w:color="000000"/>
              <w:right w:val="single" w:sz="4" w:space="0" w:color="000000"/>
            </w:tcBorders>
            <w:shd w:val="clear" w:color="auto" w:fill="auto"/>
            <w:vAlign w:val="center"/>
            <w:hideMark/>
          </w:tcPr>
          <w:p w14:paraId="1CD2DE75" w14:textId="77777777" w:rsidR="00351E92" w:rsidRPr="00351E92" w:rsidRDefault="00351E92" w:rsidP="00351E92">
            <w:pPr>
              <w:spacing w:after="0" w:line="240" w:lineRule="auto"/>
              <w:jc w:val="left"/>
              <w:rPr>
                <w:rFonts w:eastAsia="Times New Roman" w:cs="Arial"/>
                <w:sz w:val="20"/>
                <w:szCs w:val="20"/>
                <w:lang w:eastAsia="fr-FR"/>
              </w:rPr>
            </w:pPr>
            <w:r w:rsidRPr="00351E92">
              <w:rPr>
                <w:rFonts w:eastAsia="Times New Roman" w:cs="Arial"/>
                <w:sz w:val="20"/>
                <w:szCs w:val="20"/>
                <w:lang w:eastAsia="fr-FR"/>
              </w:rPr>
              <w:lastRenderedPageBreak/>
              <w:t>10.13.14.30</w:t>
            </w:r>
          </w:p>
        </w:tc>
        <w:tc>
          <w:tcPr>
            <w:tcW w:w="1275" w:type="dxa"/>
            <w:tcBorders>
              <w:top w:val="nil"/>
              <w:left w:val="nil"/>
              <w:bottom w:val="single" w:sz="4" w:space="0" w:color="000000"/>
              <w:right w:val="single" w:sz="4" w:space="0" w:color="000000"/>
            </w:tcBorders>
            <w:shd w:val="clear" w:color="auto" w:fill="auto"/>
            <w:vAlign w:val="center"/>
            <w:hideMark/>
          </w:tcPr>
          <w:p w14:paraId="60ACEBA5" w14:textId="77777777" w:rsidR="00351E92" w:rsidRPr="00351E92" w:rsidRDefault="00351E92" w:rsidP="00DF5FD5">
            <w:pPr>
              <w:spacing w:after="0" w:line="240" w:lineRule="auto"/>
              <w:jc w:val="left"/>
              <w:rPr>
                <w:rFonts w:eastAsia="Times New Roman" w:cs="Arial"/>
                <w:sz w:val="20"/>
                <w:szCs w:val="20"/>
                <w:lang w:eastAsia="fr-FR"/>
              </w:rPr>
            </w:pPr>
            <w:r w:rsidRPr="00351E92">
              <w:rPr>
                <w:rFonts w:eastAsia="Times New Roman" w:cs="Arial"/>
                <w:sz w:val="20"/>
                <w:szCs w:val="20"/>
                <w:lang w:eastAsia="fr-FR"/>
              </w:rPr>
              <w:t>1601.00.10</w:t>
            </w:r>
          </w:p>
        </w:tc>
        <w:tc>
          <w:tcPr>
            <w:tcW w:w="4720" w:type="dxa"/>
            <w:tcBorders>
              <w:top w:val="nil"/>
              <w:left w:val="nil"/>
              <w:bottom w:val="single" w:sz="4" w:space="0" w:color="000000"/>
              <w:right w:val="single" w:sz="4" w:space="0" w:color="000000"/>
            </w:tcBorders>
            <w:shd w:val="clear" w:color="auto" w:fill="auto"/>
            <w:vAlign w:val="center"/>
            <w:hideMark/>
          </w:tcPr>
          <w:p w14:paraId="64D8FB2C" w14:textId="77777777" w:rsidR="00351E92" w:rsidRPr="00351E92" w:rsidRDefault="00351E92" w:rsidP="00351E92">
            <w:pPr>
              <w:spacing w:after="0" w:line="240" w:lineRule="auto"/>
              <w:jc w:val="left"/>
              <w:rPr>
                <w:rFonts w:eastAsia="Times New Roman" w:cs="Arial"/>
                <w:b/>
                <w:bCs/>
                <w:sz w:val="20"/>
                <w:szCs w:val="20"/>
                <w:lang w:eastAsia="fr-FR"/>
              </w:rPr>
            </w:pPr>
            <w:r w:rsidRPr="00351E92">
              <w:rPr>
                <w:rFonts w:eastAsia="Times New Roman" w:cs="Arial"/>
                <w:b/>
                <w:bCs/>
                <w:sz w:val="20"/>
                <w:szCs w:val="20"/>
                <w:lang w:eastAsia="fr-FR"/>
              </w:rPr>
              <w:t xml:space="preserve">Saucisses et saucissons de foie </w:t>
            </w:r>
          </w:p>
        </w:tc>
        <w:tc>
          <w:tcPr>
            <w:tcW w:w="585" w:type="dxa"/>
            <w:tcBorders>
              <w:top w:val="nil"/>
              <w:left w:val="nil"/>
              <w:bottom w:val="single" w:sz="4" w:space="0" w:color="auto"/>
              <w:right w:val="single" w:sz="4" w:space="0" w:color="auto"/>
            </w:tcBorders>
            <w:shd w:val="clear" w:color="auto" w:fill="auto"/>
            <w:vAlign w:val="center"/>
            <w:hideMark/>
          </w:tcPr>
          <w:p w14:paraId="7328A5D7"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0,8</w:t>
            </w:r>
          </w:p>
        </w:tc>
        <w:tc>
          <w:tcPr>
            <w:tcW w:w="283" w:type="dxa"/>
            <w:tcBorders>
              <w:top w:val="nil"/>
              <w:left w:val="nil"/>
              <w:bottom w:val="nil"/>
              <w:right w:val="nil"/>
            </w:tcBorders>
            <w:shd w:val="clear" w:color="auto" w:fill="auto"/>
            <w:noWrap/>
            <w:vAlign w:val="center"/>
            <w:hideMark/>
          </w:tcPr>
          <w:p w14:paraId="796F27A8" w14:textId="77777777" w:rsidR="00351E92" w:rsidRPr="00351E92" w:rsidRDefault="00351E92" w:rsidP="00351E92">
            <w:pPr>
              <w:spacing w:after="0" w:line="240" w:lineRule="auto"/>
              <w:jc w:val="center"/>
              <w:rPr>
                <w:rFonts w:eastAsia="Times New Roman" w:cs="Arial"/>
                <w:color w:val="000000"/>
                <w:sz w:val="20"/>
                <w:szCs w:val="20"/>
                <w:lang w:eastAsia="fr-FR"/>
              </w:rPr>
            </w:pPr>
          </w:p>
        </w:tc>
        <w:tc>
          <w:tcPr>
            <w:tcW w:w="1130" w:type="dxa"/>
            <w:tcBorders>
              <w:top w:val="nil"/>
              <w:left w:val="single" w:sz="4" w:space="0" w:color="auto"/>
              <w:bottom w:val="single" w:sz="4" w:space="0" w:color="auto"/>
              <w:right w:val="single" w:sz="4" w:space="0" w:color="auto"/>
            </w:tcBorders>
            <w:shd w:val="clear" w:color="auto" w:fill="auto"/>
            <w:vAlign w:val="center"/>
            <w:hideMark/>
          </w:tcPr>
          <w:p w14:paraId="3851504B" w14:textId="3FA3AF6A"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Saucisses</w:t>
            </w:r>
            <w:r w:rsidR="006F08DA">
              <w:rPr>
                <w:rFonts w:eastAsia="Times New Roman" w:cs="Arial"/>
                <w:color w:val="000000"/>
                <w:sz w:val="20"/>
                <w:szCs w:val="20"/>
                <w:lang w:eastAsia="fr-FR"/>
              </w:rPr>
              <w:t xml:space="preserve">, </w:t>
            </w:r>
            <w:r w:rsidRPr="00351E92">
              <w:rPr>
                <w:rFonts w:eastAsia="Times New Roman" w:cs="Arial"/>
                <w:color w:val="000000"/>
                <w:sz w:val="20"/>
                <w:szCs w:val="20"/>
                <w:lang w:eastAsia="fr-FR"/>
              </w:rPr>
              <w:t>saucissons de foie</w:t>
            </w:r>
          </w:p>
        </w:tc>
        <w:tc>
          <w:tcPr>
            <w:tcW w:w="1646" w:type="dxa"/>
            <w:tcBorders>
              <w:top w:val="nil"/>
              <w:left w:val="nil"/>
              <w:bottom w:val="single" w:sz="4" w:space="0" w:color="auto"/>
              <w:right w:val="single" w:sz="4" w:space="0" w:color="auto"/>
            </w:tcBorders>
            <w:shd w:val="clear" w:color="auto" w:fill="auto"/>
            <w:vAlign w:val="center"/>
            <w:hideMark/>
          </w:tcPr>
          <w:p w14:paraId="22821541" w14:textId="77777777" w:rsidR="00351E92" w:rsidRPr="00351E92" w:rsidRDefault="00351E92" w:rsidP="00DD6CED">
            <w:pPr>
              <w:spacing w:after="0" w:line="240" w:lineRule="auto"/>
              <w:jc w:val="left"/>
              <w:rPr>
                <w:rFonts w:eastAsia="Times New Roman" w:cs="Arial"/>
                <w:color w:val="000000"/>
                <w:sz w:val="20"/>
                <w:szCs w:val="20"/>
                <w:lang w:eastAsia="fr-FR"/>
              </w:rPr>
            </w:pPr>
            <w:r w:rsidRPr="00351E92">
              <w:rPr>
                <w:rFonts w:eastAsia="Times New Roman" w:cs="Arial"/>
                <w:color w:val="000000"/>
                <w:sz w:val="20"/>
                <w:szCs w:val="20"/>
                <w:lang w:eastAsia="fr-FR"/>
              </w:rPr>
              <w:t>16010010</w:t>
            </w:r>
          </w:p>
        </w:tc>
        <w:tc>
          <w:tcPr>
            <w:tcW w:w="1417" w:type="dxa"/>
            <w:tcBorders>
              <w:top w:val="nil"/>
              <w:left w:val="nil"/>
              <w:bottom w:val="single" w:sz="4" w:space="0" w:color="auto"/>
              <w:right w:val="single" w:sz="4" w:space="0" w:color="auto"/>
            </w:tcBorders>
            <w:shd w:val="clear" w:color="auto" w:fill="auto"/>
            <w:vAlign w:val="center"/>
            <w:hideMark/>
          </w:tcPr>
          <w:p w14:paraId="73762771"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0,1475</w:t>
            </w:r>
          </w:p>
        </w:tc>
        <w:tc>
          <w:tcPr>
            <w:tcW w:w="1327" w:type="dxa"/>
            <w:tcBorders>
              <w:top w:val="nil"/>
              <w:left w:val="nil"/>
              <w:bottom w:val="single" w:sz="4" w:space="0" w:color="auto"/>
              <w:right w:val="single" w:sz="4" w:space="0" w:color="auto"/>
            </w:tcBorders>
            <w:shd w:val="clear" w:color="auto" w:fill="auto"/>
            <w:vAlign w:val="center"/>
            <w:hideMark/>
          </w:tcPr>
          <w:p w14:paraId="16D4092C" w14:textId="77777777" w:rsidR="00351E92" w:rsidRPr="00351E92" w:rsidRDefault="00351E92" w:rsidP="00351E92">
            <w:pPr>
              <w:spacing w:after="0" w:line="240" w:lineRule="auto"/>
              <w:jc w:val="center"/>
              <w:rPr>
                <w:rFonts w:eastAsia="Times New Roman" w:cs="Arial"/>
                <w:color w:val="000000"/>
                <w:sz w:val="20"/>
                <w:szCs w:val="20"/>
                <w:lang w:eastAsia="fr-FR"/>
              </w:rPr>
            </w:pPr>
            <w:r w:rsidRPr="00351E92">
              <w:rPr>
                <w:rFonts w:eastAsia="Times New Roman" w:cs="Arial"/>
                <w:color w:val="000000"/>
                <w:sz w:val="20"/>
                <w:szCs w:val="20"/>
                <w:lang w:eastAsia="fr-FR"/>
              </w:rPr>
              <w:t>0,2603</w:t>
            </w:r>
          </w:p>
        </w:tc>
        <w:tc>
          <w:tcPr>
            <w:tcW w:w="1083" w:type="dxa"/>
            <w:tcBorders>
              <w:top w:val="nil"/>
              <w:left w:val="nil"/>
              <w:bottom w:val="single" w:sz="4" w:space="0" w:color="000000"/>
              <w:right w:val="single" w:sz="4" w:space="0" w:color="000000"/>
            </w:tcBorders>
            <w:shd w:val="clear" w:color="auto" w:fill="auto"/>
            <w:vAlign w:val="center"/>
            <w:hideMark/>
          </w:tcPr>
          <w:p w14:paraId="5F709ED8" w14:textId="77777777" w:rsidR="00351E92" w:rsidRPr="00351E92" w:rsidRDefault="00351E92" w:rsidP="00351E92">
            <w:pPr>
              <w:spacing w:after="0" w:line="240" w:lineRule="auto"/>
              <w:jc w:val="center"/>
              <w:rPr>
                <w:rFonts w:eastAsia="Times New Roman" w:cs="Arial"/>
                <w:b/>
                <w:bCs/>
                <w:sz w:val="20"/>
                <w:szCs w:val="20"/>
                <w:lang w:eastAsia="fr-FR"/>
              </w:rPr>
            </w:pPr>
            <w:r w:rsidRPr="00351E92">
              <w:rPr>
                <w:rFonts w:eastAsia="Times New Roman" w:cs="Arial"/>
                <w:b/>
                <w:bCs/>
                <w:sz w:val="20"/>
                <w:szCs w:val="20"/>
                <w:lang w:eastAsia="fr-FR"/>
              </w:rPr>
              <w:t>0,8738</w:t>
            </w:r>
          </w:p>
        </w:tc>
      </w:tr>
    </w:tbl>
    <w:p w14:paraId="4B5BFAF5" w14:textId="50BAA622" w:rsidR="00AB30CB" w:rsidRPr="00E710C0" w:rsidRDefault="00E710C0" w:rsidP="005B0175">
      <w:pPr>
        <w:rPr>
          <w:rFonts w:cs="Arial"/>
          <w:b/>
          <w:i/>
        </w:rPr>
      </w:pPr>
      <w:r w:rsidRPr="00E710C0">
        <w:rPr>
          <w:rFonts w:cs="Arial"/>
          <w:b/>
          <w:i/>
        </w:rPr>
        <w:t xml:space="preserve">Annexe 6 </w:t>
      </w:r>
      <w:r w:rsidR="00AB6C63" w:rsidRPr="00E710C0">
        <w:rPr>
          <w:rFonts w:cs="Arial"/>
          <w:b/>
          <w:i/>
        </w:rPr>
        <w:t>c</w:t>
      </w:r>
      <w:r w:rsidR="006318BA" w:rsidRPr="00E710C0">
        <w:rPr>
          <w:rFonts w:cs="Arial"/>
          <w:b/>
          <w:i/>
        </w:rPr>
        <w:t xml:space="preserve">/ </w:t>
      </w:r>
      <w:r w:rsidR="004458DB" w:rsidRPr="00E710C0">
        <w:rPr>
          <w:rFonts w:cs="Arial"/>
          <w:b/>
          <w:i/>
        </w:rPr>
        <w:t>Salaisons cuites (jambons, épaules)</w:t>
      </w:r>
    </w:p>
    <w:tbl>
      <w:tblPr>
        <w:tblW w:w="14312" w:type="dxa"/>
        <w:tblCellMar>
          <w:left w:w="70" w:type="dxa"/>
          <w:right w:w="70" w:type="dxa"/>
        </w:tblCellMar>
        <w:tblLook w:val="04A0" w:firstRow="1" w:lastRow="0" w:firstColumn="1" w:lastColumn="0" w:noHBand="0" w:noVBand="1"/>
      </w:tblPr>
      <w:tblGrid>
        <w:gridCol w:w="1200"/>
        <w:gridCol w:w="1200"/>
        <w:gridCol w:w="3123"/>
        <w:gridCol w:w="1200"/>
        <w:gridCol w:w="181"/>
        <w:gridCol w:w="1682"/>
        <w:gridCol w:w="1899"/>
        <w:gridCol w:w="1417"/>
        <w:gridCol w:w="1276"/>
        <w:gridCol w:w="1134"/>
      </w:tblGrid>
      <w:tr w:rsidR="0094744A" w:rsidRPr="00C062DB" w14:paraId="6E271B96" w14:textId="77777777" w:rsidTr="00656A6C">
        <w:trPr>
          <w:trHeight w:val="510"/>
        </w:trPr>
        <w:tc>
          <w:tcPr>
            <w:tcW w:w="120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7317711" w14:textId="77777777" w:rsidR="00CC0EFC" w:rsidRPr="00CC0EFC" w:rsidRDefault="00CC0EFC" w:rsidP="00CC0EFC">
            <w:pPr>
              <w:spacing w:after="0" w:line="240" w:lineRule="auto"/>
              <w:jc w:val="left"/>
              <w:rPr>
                <w:rFonts w:eastAsia="Times New Roman" w:cs="Arial"/>
                <w:b/>
                <w:color w:val="000000"/>
                <w:sz w:val="20"/>
                <w:szCs w:val="20"/>
                <w:lang w:eastAsia="fr-FR"/>
              </w:rPr>
            </w:pPr>
            <w:r w:rsidRPr="00CC0EFC">
              <w:rPr>
                <w:rFonts w:eastAsia="Times New Roman" w:cs="Arial"/>
                <w:b/>
                <w:color w:val="000000"/>
                <w:sz w:val="20"/>
                <w:szCs w:val="20"/>
                <w:lang w:eastAsia="fr-FR"/>
              </w:rPr>
              <w:t xml:space="preserve">Code Prodcom </w:t>
            </w:r>
          </w:p>
        </w:tc>
        <w:tc>
          <w:tcPr>
            <w:tcW w:w="1200" w:type="dxa"/>
            <w:tcBorders>
              <w:top w:val="single" w:sz="4" w:space="0" w:color="auto"/>
              <w:left w:val="nil"/>
              <w:bottom w:val="single" w:sz="4" w:space="0" w:color="auto"/>
              <w:right w:val="single" w:sz="4" w:space="0" w:color="auto"/>
            </w:tcBorders>
            <w:shd w:val="clear" w:color="000000" w:fill="BFBFBF"/>
            <w:vAlign w:val="center"/>
            <w:hideMark/>
          </w:tcPr>
          <w:p w14:paraId="5FB18CEF" w14:textId="77777777" w:rsidR="00CC0EFC" w:rsidRPr="00CC0EFC" w:rsidRDefault="00CC0EFC" w:rsidP="00CC0EFC">
            <w:pPr>
              <w:spacing w:after="0" w:line="240" w:lineRule="auto"/>
              <w:jc w:val="left"/>
              <w:rPr>
                <w:rFonts w:eastAsia="Times New Roman" w:cs="Arial"/>
                <w:b/>
                <w:color w:val="000000"/>
                <w:sz w:val="20"/>
                <w:szCs w:val="20"/>
                <w:lang w:eastAsia="fr-FR"/>
              </w:rPr>
            </w:pPr>
            <w:r w:rsidRPr="00CC0EFC">
              <w:rPr>
                <w:rFonts w:eastAsia="Times New Roman" w:cs="Arial"/>
                <w:b/>
                <w:color w:val="000000"/>
                <w:sz w:val="20"/>
                <w:szCs w:val="20"/>
                <w:lang w:eastAsia="fr-FR"/>
              </w:rPr>
              <w:t>NC</w:t>
            </w:r>
          </w:p>
        </w:tc>
        <w:tc>
          <w:tcPr>
            <w:tcW w:w="3123" w:type="dxa"/>
            <w:tcBorders>
              <w:top w:val="single" w:sz="4" w:space="0" w:color="auto"/>
              <w:left w:val="nil"/>
              <w:bottom w:val="single" w:sz="4" w:space="0" w:color="auto"/>
              <w:right w:val="single" w:sz="4" w:space="0" w:color="auto"/>
            </w:tcBorders>
            <w:shd w:val="clear" w:color="000000" w:fill="BFBFBF"/>
            <w:vAlign w:val="center"/>
            <w:hideMark/>
          </w:tcPr>
          <w:p w14:paraId="39788AC9" w14:textId="77777777" w:rsidR="00CC0EFC" w:rsidRPr="00CC0EFC" w:rsidRDefault="00CC0EFC" w:rsidP="00CC0EFC">
            <w:pPr>
              <w:spacing w:after="0" w:line="240" w:lineRule="auto"/>
              <w:jc w:val="left"/>
              <w:rPr>
                <w:rFonts w:eastAsia="Times New Roman" w:cs="Arial"/>
                <w:b/>
                <w:color w:val="000000"/>
                <w:sz w:val="20"/>
                <w:szCs w:val="20"/>
                <w:lang w:eastAsia="fr-FR"/>
              </w:rPr>
            </w:pPr>
            <w:r w:rsidRPr="00CC0EFC">
              <w:rPr>
                <w:rFonts w:eastAsia="Times New Roman" w:cs="Arial"/>
                <w:b/>
                <w:color w:val="000000"/>
                <w:sz w:val="20"/>
                <w:szCs w:val="20"/>
                <w:lang w:eastAsia="fr-FR"/>
              </w:rPr>
              <w:t xml:space="preserve">Catégories produits </w:t>
            </w:r>
          </w:p>
        </w:tc>
        <w:tc>
          <w:tcPr>
            <w:tcW w:w="1200" w:type="dxa"/>
            <w:tcBorders>
              <w:top w:val="single" w:sz="4" w:space="0" w:color="auto"/>
              <w:left w:val="nil"/>
              <w:bottom w:val="single" w:sz="4" w:space="0" w:color="auto"/>
              <w:right w:val="single" w:sz="4" w:space="0" w:color="auto"/>
            </w:tcBorders>
            <w:shd w:val="clear" w:color="000000" w:fill="BFBFBF"/>
            <w:vAlign w:val="center"/>
            <w:hideMark/>
          </w:tcPr>
          <w:p w14:paraId="60711251" w14:textId="77777777" w:rsidR="00CC0EFC" w:rsidRPr="00CC0EFC" w:rsidRDefault="00CC0EFC" w:rsidP="00CC0EFC">
            <w:pPr>
              <w:spacing w:after="0" w:line="240" w:lineRule="auto"/>
              <w:jc w:val="left"/>
              <w:rPr>
                <w:rFonts w:eastAsia="Times New Roman" w:cs="Arial"/>
                <w:b/>
                <w:color w:val="000000"/>
                <w:sz w:val="20"/>
                <w:szCs w:val="20"/>
                <w:lang w:eastAsia="fr-FR"/>
              </w:rPr>
            </w:pPr>
            <w:r w:rsidRPr="00CC0EFC">
              <w:rPr>
                <w:rFonts w:eastAsia="Times New Roman" w:cs="Arial"/>
                <w:b/>
                <w:color w:val="000000"/>
                <w:sz w:val="20"/>
                <w:szCs w:val="20"/>
                <w:lang w:eastAsia="fr-FR"/>
              </w:rPr>
              <w:t>Production</w:t>
            </w:r>
          </w:p>
        </w:tc>
        <w:tc>
          <w:tcPr>
            <w:tcW w:w="181" w:type="dxa"/>
            <w:tcBorders>
              <w:top w:val="nil"/>
              <w:left w:val="nil"/>
              <w:bottom w:val="nil"/>
              <w:right w:val="nil"/>
            </w:tcBorders>
            <w:shd w:val="clear" w:color="auto" w:fill="auto"/>
            <w:noWrap/>
            <w:vAlign w:val="bottom"/>
            <w:hideMark/>
          </w:tcPr>
          <w:p w14:paraId="6CD88A56" w14:textId="77777777" w:rsidR="00CC0EFC" w:rsidRPr="00CC0EFC" w:rsidRDefault="00CC0EFC" w:rsidP="0094744A">
            <w:pPr>
              <w:spacing w:after="0" w:line="240" w:lineRule="auto"/>
              <w:jc w:val="center"/>
              <w:rPr>
                <w:rFonts w:eastAsia="Times New Roman" w:cs="Arial"/>
                <w:b/>
                <w:color w:val="000000"/>
                <w:sz w:val="20"/>
                <w:szCs w:val="20"/>
                <w:lang w:eastAsia="fr-FR"/>
              </w:rPr>
            </w:pPr>
          </w:p>
        </w:tc>
        <w:tc>
          <w:tcPr>
            <w:tcW w:w="168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A3FE813" w14:textId="77777777" w:rsidR="00CC0EFC" w:rsidRPr="00CC0EFC" w:rsidRDefault="00CC0EFC" w:rsidP="00CC0EFC">
            <w:pPr>
              <w:spacing w:after="0" w:line="240" w:lineRule="auto"/>
              <w:jc w:val="center"/>
              <w:rPr>
                <w:rFonts w:eastAsia="Times New Roman" w:cs="Arial"/>
                <w:b/>
                <w:color w:val="000000"/>
                <w:sz w:val="20"/>
                <w:szCs w:val="20"/>
                <w:lang w:eastAsia="fr-FR"/>
              </w:rPr>
            </w:pPr>
            <w:r w:rsidRPr="00CC0EFC">
              <w:rPr>
                <w:rFonts w:eastAsia="Times New Roman" w:cs="Arial"/>
                <w:b/>
                <w:color w:val="000000"/>
                <w:sz w:val="20"/>
                <w:szCs w:val="20"/>
                <w:lang w:eastAsia="fr-FR"/>
              </w:rPr>
              <w:t>Nom comb (N.C.)</w:t>
            </w:r>
          </w:p>
        </w:tc>
        <w:tc>
          <w:tcPr>
            <w:tcW w:w="1899"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0B6EADC" w14:textId="77777777" w:rsidR="00CC0EFC" w:rsidRPr="00CC0EFC" w:rsidRDefault="00CC0EFC" w:rsidP="00CC0EFC">
            <w:pPr>
              <w:spacing w:after="0" w:line="240" w:lineRule="auto"/>
              <w:jc w:val="center"/>
              <w:rPr>
                <w:rFonts w:eastAsia="Times New Roman" w:cs="Arial"/>
                <w:b/>
                <w:color w:val="000000"/>
                <w:sz w:val="20"/>
                <w:szCs w:val="20"/>
                <w:lang w:eastAsia="fr-FR"/>
              </w:rPr>
            </w:pPr>
            <w:r w:rsidRPr="00CC0EFC">
              <w:rPr>
                <w:rFonts w:eastAsia="Times New Roman" w:cs="Arial"/>
                <w:b/>
                <w:color w:val="000000"/>
                <w:sz w:val="20"/>
                <w:szCs w:val="20"/>
                <w:lang w:eastAsia="fr-FR"/>
              </w:rPr>
              <w:t>Libellé produit</w:t>
            </w:r>
          </w:p>
        </w:tc>
        <w:tc>
          <w:tcPr>
            <w:tcW w:w="1417"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45CB81D" w14:textId="77777777" w:rsidR="00CC0EFC" w:rsidRPr="00CC0EFC" w:rsidRDefault="00CC0EFC" w:rsidP="00CC0EFC">
            <w:pPr>
              <w:spacing w:after="0" w:line="240" w:lineRule="auto"/>
              <w:jc w:val="center"/>
              <w:rPr>
                <w:rFonts w:eastAsia="Times New Roman" w:cs="Arial"/>
                <w:b/>
                <w:sz w:val="20"/>
                <w:szCs w:val="20"/>
                <w:lang w:eastAsia="fr-FR"/>
              </w:rPr>
            </w:pPr>
            <w:r w:rsidRPr="00CC0EFC">
              <w:rPr>
                <w:rFonts w:eastAsia="Times New Roman" w:cs="Arial"/>
                <w:b/>
                <w:sz w:val="20"/>
                <w:szCs w:val="20"/>
                <w:lang w:eastAsia="fr-FR"/>
              </w:rPr>
              <w:t xml:space="preserve">Exportation </w:t>
            </w:r>
          </w:p>
        </w:tc>
        <w:tc>
          <w:tcPr>
            <w:tcW w:w="1276"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410013D" w14:textId="6789437A" w:rsidR="00CC0EFC" w:rsidRPr="00CC0EFC" w:rsidRDefault="00CC0EFC" w:rsidP="005324EA">
            <w:pPr>
              <w:spacing w:after="0" w:line="240" w:lineRule="auto"/>
              <w:jc w:val="center"/>
              <w:rPr>
                <w:rFonts w:eastAsia="Times New Roman" w:cs="Arial"/>
                <w:b/>
                <w:sz w:val="20"/>
                <w:szCs w:val="20"/>
                <w:lang w:eastAsia="fr-FR"/>
              </w:rPr>
            </w:pPr>
            <w:r w:rsidRPr="00CC0EFC">
              <w:rPr>
                <w:rFonts w:eastAsia="Times New Roman" w:cs="Arial"/>
                <w:b/>
                <w:sz w:val="20"/>
                <w:szCs w:val="20"/>
                <w:lang w:eastAsia="fr-FR"/>
              </w:rPr>
              <w:t>Importation</w:t>
            </w:r>
          </w:p>
        </w:tc>
        <w:tc>
          <w:tcPr>
            <w:tcW w:w="1134"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50C2652" w14:textId="5D093375" w:rsidR="00CC0EFC" w:rsidRPr="00CC0EFC" w:rsidRDefault="00CC0EFC" w:rsidP="005324EA">
            <w:pPr>
              <w:spacing w:after="0" w:line="240" w:lineRule="auto"/>
              <w:jc w:val="center"/>
              <w:rPr>
                <w:rFonts w:eastAsia="Times New Roman" w:cs="Arial"/>
                <w:b/>
                <w:color w:val="000000"/>
                <w:sz w:val="20"/>
                <w:szCs w:val="20"/>
                <w:lang w:eastAsia="fr-FR"/>
              </w:rPr>
            </w:pPr>
            <w:r w:rsidRPr="00CC0EFC">
              <w:rPr>
                <w:rFonts w:eastAsia="Times New Roman" w:cs="Arial"/>
                <w:b/>
                <w:color w:val="000000"/>
                <w:sz w:val="20"/>
                <w:szCs w:val="20"/>
                <w:lang w:eastAsia="fr-FR"/>
              </w:rPr>
              <w:t>Solde Net</w:t>
            </w:r>
          </w:p>
        </w:tc>
      </w:tr>
      <w:tr w:rsidR="00656A6C" w:rsidRPr="00C062DB" w14:paraId="018F49AB" w14:textId="77777777" w:rsidTr="00656A6C">
        <w:trPr>
          <w:trHeight w:val="285"/>
        </w:trPr>
        <w:tc>
          <w:tcPr>
            <w:tcW w:w="1200" w:type="dxa"/>
            <w:tcBorders>
              <w:top w:val="nil"/>
              <w:left w:val="nil"/>
              <w:bottom w:val="nil"/>
              <w:right w:val="nil"/>
            </w:tcBorders>
            <w:shd w:val="clear" w:color="auto" w:fill="BFBFBF" w:themeFill="background1" w:themeFillShade="BF"/>
            <w:noWrap/>
            <w:vAlign w:val="bottom"/>
            <w:hideMark/>
          </w:tcPr>
          <w:p w14:paraId="6D5A36CF" w14:textId="77777777" w:rsidR="00CC0EFC" w:rsidRPr="00CC0EFC" w:rsidRDefault="00CC0EFC" w:rsidP="00CC0EFC">
            <w:pPr>
              <w:spacing w:after="0" w:line="240" w:lineRule="auto"/>
              <w:jc w:val="left"/>
              <w:rPr>
                <w:rFonts w:eastAsia="Times New Roman" w:cs="Arial"/>
                <w:color w:val="000000"/>
                <w:sz w:val="20"/>
                <w:szCs w:val="20"/>
                <w:lang w:eastAsia="fr-FR"/>
              </w:rPr>
            </w:pPr>
          </w:p>
        </w:tc>
        <w:tc>
          <w:tcPr>
            <w:tcW w:w="1200" w:type="dxa"/>
            <w:tcBorders>
              <w:top w:val="nil"/>
              <w:left w:val="nil"/>
              <w:bottom w:val="nil"/>
              <w:right w:val="nil"/>
            </w:tcBorders>
            <w:shd w:val="clear" w:color="auto" w:fill="BFBFBF" w:themeFill="background1" w:themeFillShade="BF"/>
            <w:noWrap/>
            <w:vAlign w:val="bottom"/>
            <w:hideMark/>
          </w:tcPr>
          <w:p w14:paraId="38F5A400" w14:textId="77777777" w:rsidR="00CC0EFC" w:rsidRPr="00CC0EFC" w:rsidRDefault="00CC0EFC" w:rsidP="00CC0EFC">
            <w:pPr>
              <w:spacing w:after="0" w:line="240" w:lineRule="auto"/>
              <w:jc w:val="left"/>
              <w:rPr>
                <w:rFonts w:eastAsia="Times New Roman" w:cs="Arial"/>
                <w:sz w:val="20"/>
                <w:szCs w:val="20"/>
                <w:lang w:eastAsia="fr-FR"/>
              </w:rPr>
            </w:pPr>
          </w:p>
        </w:tc>
        <w:tc>
          <w:tcPr>
            <w:tcW w:w="3123" w:type="dxa"/>
            <w:tcBorders>
              <w:top w:val="nil"/>
              <w:left w:val="single" w:sz="4" w:space="0" w:color="000000"/>
              <w:bottom w:val="single" w:sz="4" w:space="0" w:color="000000"/>
              <w:right w:val="single" w:sz="4" w:space="0" w:color="000000"/>
            </w:tcBorders>
            <w:shd w:val="clear" w:color="auto" w:fill="BFBFBF" w:themeFill="background1" w:themeFillShade="BF"/>
            <w:hideMark/>
          </w:tcPr>
          <w:p w14:paraId="42A17721" w14:textId="5A2ED916" w:rsidR="00CC0EFC" w:rsidRPr="00CC0EFC" w:rsidRDefault="00CC0EFC" w:rsidP="00CC0EFC">
            <w:pPr>
              <w:spacing w:after="0" w:line="240" w:lineRule="auto"/>
              <w:jc w:val="left"/>
              <w:rPr>
                <w:rFonts w:eastAsia="Times New Roman" w:cs="Arial"/>
                <w:b/>
                <w:bCs/>
                <w:sz w:val="20"/>
                <w:szCs w:val="20"/>
                <w:lang w:eastAsia="fr-FR"/>
              </w:rPr>
            </w:pPr>
            <w:r w:rsidRPr="00CC0EFC">
              <w:rPr>
                <w:rFonts w:eastAsia="Times New Roman" w:cs="Arial"/>
                <w:b/>
                <w:bCs/>
                <w:sz w:val="20"/>
                <w:szCs w:val="20"/>
                <w:lang w:eastAsia="fr-FR"/>
              </w:rPr>
              <w:t>Jambons, épaules cuites</w:t>
            </w:r>
          </w:p>
        </w:tc>
        <w:tc>
          <w:tcPr>
            <w:tcW w:w="1200" w:type="dxa"/>
            <w:tcBorders>
              <w:top w:val="nil"/>
              <w:left w:val="nil"/>
              <w:bottom w:val="single" w:sz="4" w:space="0" w:color="auto"/>
              <w:right w:val="single" w:sz="4" w:space="0" w:color="auto"/>
            </w:tcBorders>
            <w:shd w:val="clear" w:color="auto" w:fill="BFBFBF" w:themeFill="background1" w:themeFillShade="BF"/>
            <w:vAlign w:val="center"/>
            <w:hideMark/>
          </w:tcPr>
          <w:p w14:paraId="476412BE" w14:textId="4433C98A" w:rsidR="00CC0EFC" w:rsidRPr="00CC0EFC" w:rsidRDefault="00CC0EFC" w:rsidP="00842EE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250</w:t>
            </w:r>
          </w:p>
        </w:tc>
        <w:tc>
          <w:tcPr>
            <w:tcW w:w="181" w:type="dxa"/>
            <w:tcBorders>
              <w:top w:val="nil"/>
              <w:left w:val="nil"/>
              <w:bottom w:val="nil"/>
              <w:right w:val="nil"/>
            </w:tcBorders>
            <w:shd w:val="clear" w:color="auto" w:fill="auto"/>
            <w:noWrap/>
            <w:vAlign w:val="bottom"/>
            <w:hideMark/>
          </w:tcPr>
          <w:p w14:paraId="652FD01F" w14:textId="77777777" w:rsidR="00CC0EFC" w:rsidRPr="00CC0EFC" w:rsidRDefault="00CC0EFC" w:rsidP="0094744A">
            <w:pPr>
              <w:spacing w:after="0" w:line="240" w:lineRule="auto"/>
              <w:jc w:val="center"/>
              <w:rPr>
                <w:rFonts w:eastAsia="Times New Roman" w:cs="Arial"/>
                <w:b/>
                <w:bCs/>
                <w:color w:val="000000"/>
                <w:sz w:val="20"/>
                <w:szCs w:val="20"/>
                <w:lang w:eastAsia="fr-FR"/>
              </w:rPr>
            </w:pPr>
          </w:p>
        </w:tc>
        <w:tc>
          <w:tcPr>
            <w:tcW w:w="1682" w:type="dxa"/>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765031F0" w14:textId="77777777"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w:t>
            </w:r>
          </w:p>
        </w:tc>
        <w:tc>
          <w:tcPr>
            <w:tcW w:w="1899" w:type="dxa"/>
            <w:tcBorders>
              <w:top w:val="nil"/>
              <w:left w:val="nil"/>
              <w:bottom w:val="single" w:sz="4" w:space="0" w:color="auto"/>
              <w:right w:val="single" w:sz="4" w:space="0" w:color="auto"/>
            </w:tcBorders>
            <w:shd w:val="clear" w:color="auto" w:fill="BFBFBF" w:themeFill="background1" w:themeFillShade="BF"/>
            <w:vAlign w:val="center"/>
            <w:hideMark/>
          </w:tcPr>
          <w:p w14:paraId="7D98CDFA" w14:textId="77777777"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w:t>
            </w:r>
          </w:p>
        </w:tc>
        <w:tc>
          <w:tcPr>
            <w:tcW w:w="1417" w:type="dxa"/>
            <w:tcBorders>
              <w:top w:val="nil"/>
              <w:left w:val="nil"/>
              <w:bottom w:val="single" w:sz="4" w:space="0" w:color="auto"/>
              <w:right w:val="single" w:sz="4" w:space="0" w:color="auto"/>
            </w:tcBorders>
            <w:shd w:val="clear" w:color="auto" w:fill="BFBFBF" w:themeFill="background1" w:themeFillShade="BF"/>
            <w:vAlign w:val="center"/>
            <w:hideMark/>
          </w:tcPr>
          <w:p w14:paraId="6A22F185" w14:textId="22C3AC5E" w:rsidR="00CC0EFC" w:rsidRPr="00CC0EFC" w:rsidRDefault="00CC0EFC" w:rsidP="0035298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7</w:t>
            </w:r>
          </w:p>
        </w:tc>
        <w:tc>
          <w:tcPr>
            <w:tcW w:w="1276" w:type="dxa"/>
            <w:tcBorders>
              <w:top w:val="nil"/>
              <w:left w:val="nil"/>
              <w:bottom w:val="single" w:sz="4" w:space="0" w:color="auto"/>
              <w:right w:val="single" w:sz="4" w:space="0" w:color="auto"/>
            </w:tcBorders>
            <w:shd w:val="clear" w:color="auto" w:fill="BFBFBF" w:themeFill="background1" w:themeFillShade="BF"/>
            <w:vAlign w:val="center"/>
            <w:hideMark/>
          </w:tcPr>
          <w:p w14:paraId="59986557" w14:textId="7EFB2393"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26</w:t>
            </w:r>
          </w:p>
        </w:tc>
        <w:tc>
          <w:tcPr>
            <w:tcW w:w="1134" w:type="dxa"/>
            <w:tcBorders>
              <w:top w:val="nil"/>
              <w:left w:val="nil"/>
              <w:bottom w:val="single" w:sz="4" w:space="0" w:color="auto"/>
              <w:right w:val="single" w:sz="4" w:space="0" w:color="auto"/>
            </w:tcBorders>
            <w:shd w:val="clear" w:color="auto" w:fill="BFBFBF" w:themeFill="background1" w:themeFillShade="BF"/>
            <w:vAlign w:val="center"/>
            <w:hideMark/>
          </w:tcPr>
          <w:p w14:paraId="46749545" w14:textId="356728CF"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268</w:t>
            </w:r>
          </w:p>
        </w:tc>
      </w:tr>
      <w:tr w:rsidR="00656A6C" w:rsidRPr="00C062DB" w14:paraId="238213A6" w14:textId="77777777" w:rsidTr="00656A6C">
        <w:trPr>
          <w:trHeight w:val="285"/>
        </w:trPr>
        <w:tc>
          <w:tcPr>
            <w:tcW w:w="1200" w:type="dxa"/>
            <w:tcBorders>
              <w:top w:val="single" w:sz="4" w:space="0" w:color="000000"/>
              <w:left w:val="single" w:sz="4" w:space="0" w:color="000000"/>
              <w:bottom w:val="single" w:sz="4" w:space="0" w:color="000000"/>
              <w:right w:val="single" w:sz="4" w:space="0" w:color="000000"/>
            </w:tcBorders>
            <w:shd w:val="clear" w:color="auto" w:fill="BFBFBF" w:themeFill="background1" w:themeFillShade="BF"/>
            <w:hideMark/>
          </w:tcPr>
          <w:p w14:paraId="7109D12D" w14:textId="77777777" w:rsidR="00CC0EFC" w:rsidRPr="00CC0EFC" w:rsidRDefault="00CC0EFC" w:rsidP="00CC0EFC">
            <w:pPr>
              <w:spacing w:after="0" w:line="240" w:lineRule="auto"/>
              <w:jc w:val="center"/>
              <w:rPr>
                <w:rFonts w:eastAsia="Times New Roman" w:cs="Arial"/>
                <w:sz w:val="20"/>
                <w:szCs w:val="20"/>
                <w:lang w:eastAsia="fr-FR"/>
              </w:rPr>
            </w:pPr>
            <w:r w:rsidRPr="00CC0EFC">
              <w:rPr>
                <w:rFonts w:eastAsia="Times New Roman" w:cs="Arial"/>
                <w:sz w:val="20"/>
                <w:szCs w:val="20"/>
                <w:lang w:eastAsia="fr-FR"/>
              </w:rPr>
              <w:t>10.13.15.45</w:t>
            </w:r>
          </w:p>
        </w:tc>
        <w:tc>
          <w:tcPr>
            <w:tcW w:w="1200" w:type="dxa"/>
            <w:tcBorders>
              <w:top w:val="single" w:sz="4" w:space="0" w:color="000000"/>
              <w:left w:val="nil"/>
              <w:bottom w:val="single" w:sz="4" w:space="0" w:color="000000"/>
              <w:right w:val="single" w:sz="4" w:space="0" w:color="000000"/>
            </w:tcBorders>
            <w:shd w:val="clear" w:color="auto" w:fill="BFBFBF" w:themeFill="background1" w:themeFillShade="BF"/>
            <w:hideMark/>
          </w:tcPr>
          <w:p w14:paraId="20AAA410" w14:textId="77777777" w:rsidR="00CC0EFC" w:rsidRPr="00CC0EFC" w:rsidRDefault="00CC0EFC" w:rsidP="00CC0EFC">
            <w:pPr>
              <w:spacing w:after="0" w:line="240" w:lineRule="auto"/>
              <w:jc w:val="center"/>
              <w:rPr>
                <w:rFonts w:eastAsia="Times New Roman" w:cs="Arial"/>
                <w:sz w:val="20"/>
                <w:szCs w:val="20"/>
                <w:lang w:eastAsia="fr-FR"/>
              </w:rPr>
            </w:pPr>
            <w:r w:rsidRPr="00CC0EFC">
              <w:rPr>
                <w:rFonts w:eastAsia="Times New Roman" w:cs="Arial"/>
                <w:sz w:val="20"/>
                <w:szCs w:val="20"/>
                <w:lang w:eastAsia="fr-FR"/>
              </w:rPr>
              <w:t>1602</w:t>
            </w:r>
          </w:p>
        </w:tc>
        <w:tc>
          <w:tcPr>
            <w:tcW w:w="3123" w:type="dxa"/>
            <w:tcBorders>
              <w:top w:val="nil"/>
              <w:left w:val="nil"/>
              <w:bottom w:val="single" w:sz="4" w:space="0" w:color="000000"/>
              <w:right w:val="single" w:sz="4" w:space="0" w:color="000000"/>
            </w:tcBorders>
            <w:shd w:val="clear" w:color="auto" w:fill="BFBFBF" w:themeFill="background1" w:themeFillShade="BF"/>
            <w:hideMark/>
          </w:tcPr>
          <w:p w14:paraId="4D64AA71" w14:textId="77777777" w:rsidR="00CC0EFC" w:rsidRPr="00CC0EFC" w:rsidRDefault="00CC0EFC" w:rsidP="00CC0EFC">
            <w:pPr>
              <w:spacing w:after="0" w:line="240" w:lineRule="auto"/>
              <w:jc w:val="left"/>
              <w:rPr>
                <w:rFonts w:eastAsia="Times New Roman" w:cs="Arial"/>
                <w:b/>
                <w:bCs/>
                <w:sz w:val="20"/>
                <w:szCs w:val="20"/>
                <w:lang w:eastAsia="fr-FR"/>
              </w:rPr>
            </w:pPr>
            <w:r w:rsidRPr="00CC0EFC">
              <w:rPr>
                <w:rFonts w:eastAsia="Times New Roman" w:cs="Arial"/>
                <w:b/>
                <w:bCs/>
                <w:sz w:val="20"/>
                <w:szCs w:val="20"/>
                <w:lang w:eastAsia="fr-FR"/>
              </w:rPr>
              <w:t>Jambons cuits</w:t>
            </w:r>
          </w:p>
        </w:tc>
        <w:tc>
          <w:tcPr>
            <w:tcW w:w="1200" w:type="dxa"/>
            <w:tcBorders>
              <w:top w:val="nil"/>
              <w:left w:val="nil"/>
              <w:bottom w:val="single" w:sz="4" w:space="0" w:color="auto"/>
              <w:right w:val="single" w:sz="4" w:space="0" w:color="auto"/>
            </w:tcBorders>
            <w:shd w:val="clear" w:color="auto" w:fill="BFBFBF" w:themeFill="background1" w:themeFillShade="BF"/>
            <w:vAlign w:val="center"/>
            <w:hideMark/>
          </w:tcPr>
          <w:p w14:paraId="29EB8679" w14:textId="11C788A1" w:rsidR="00CC0EFC" w:rsidRPr="00CC0EFC" w:rsidRDefault="00CC0EFC" w:rsidP="00842EE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236</w:t>
            </w:r>
          </w:p>
        </w:tc>
        <w:tc>
          <w:tcPr>
            <w:tcW w:w="181" w:type="dxa"/>
            <w:tcBorders>
              <w:top w:val="nil"/>
              <w:left w:val="nil"/>
              <w:bottom w:val="nil"/>
              <w:right w:val="nil"/>
            </w:tcBorders>
            <w:shd w:val="clear" w:color="auto" w:fill="auto"/>
            <w:noWrap/>
            <w:vAlign w:val="bottom"/>
            <w:hideMark/>
          </w:tcPr>
          <w:p w14:paraId="4B928621" w14:textId="77777777" w:rsidR="00CC0EFC" w:rsidRPr="00CC0EFC" w:rsidRDefault="00CC0EFC" w:rsidP="0094744A">
            <w:pPr>
              <w:spacing w:after="0" w:line="240" w:lineRule="auto"/>
              <w:jc w:val="center"/>
              <w:rPr>
                <w:rFonts w:eastAsia="Times New Roman" w:cs="Arial"/>
                <w:b/>
                <w:bCs/>
                <w:color w:val="000000"/>
                <w:sz w:val="20"/>
                <w:szCs w:val="20"/>
                <w:lang w:eastAsia="fr-FR"/>
              </w:rPr>
            </w:pPr>
          </w:p>
        </w:tc>
        <w:tc>
          <w:tcPr>
            <w:tcW w:w="1682" w:type="dxa"/>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4F308657" w14:textId="07F46E10" w:rsidR="00CC0EFC" w:rsidRPr="00CC0EFC" w:rsidRDefault="00CC0EFC" w:rsidP="00CC0EFC">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16 024 110</w:t>
            </w:r>
          </w:p>
        </w:tc>
        <w:tc>
          <w:tcPr>
            <w:tcW w:w="1899" w:type="dxa"/>
            <w:tcBorders>
              <w:top w:val="nil"/>
              <w:left w:val="nil"/>
              <w:bottom w:val="single" w:sz="4" w:space="0" w:color="auto"/>
              <w:right w:val="single" w:sz="4" w:space="0" w:color="auto"/>
            </w:tcBorders>
            <w:shd w:val="clear" w:color="auto" w:fill="BFBFBF" w:themeFill="background1" w:themeFillShade="BF"/>
            <w:vAlign w:val="center"/>
            <w:hideMark/>
          </w:tcPr>
          <w:p w14:paraId="139E9618" w14:textId="77777777"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xml:space="preserve"> Prép./cons. de jambons </w:t>
            </w:r>
          </w:p>
        </w:tc>
        <w:tc>
          <w:tcPr>
            <w:tcW w:w="1417" w:type="dxa"/>
            <w:tcBorders>
              <w:top w:val="nil"/>
              <w:left w:val="nil"/>
              <w:bottom w:val="single" w:sz="4" w:space="0" w:color="auto"/>
              <w:right w:val="single" w:sz="4" w:space="0" w:color="auto"/>
            </w:tcBorders>
            <w:shd w:val="clear" w:color="auto" w:fill="BFBFBF" w:themeFill="background1" w:themeFillShade="BF"/>
            <w:vAlign w:val="center"/>
            <w:hideMark/>
          </w:tcPr>
          <w:p w14:paraId="45F0CC11" w14:textId="086A0237" w:rsidR="00CC0EFC" w:rsidRPr="00CC0EFC" w:rsidRDefault="00CC0EFC" w:rsidP="0035298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7</w:t>
            </w:r>
          </w:p>
        </w:tc>
        <w:tc>
          <w:tcPr>
            <w:tcW w:w="1276" w:type="dxa"/>
            <w:tcBorders>
              <w:top w:val="nil"/>
              <w:left w:val="nil"/>
              <w:bottom w:val="single" w:sz="4" w:space="0" w:color="auto"/>
              <w:right w:val="single" w:sz="4" w:space="0" w:color="auto"/>
            </w:tcBorders>
            <w:shd w:val="clear" w:color="auto" w:fill="BFBFBF" w:themeFill="background1" w:themeFillShade="BF"/>
            <w:vAlign w:val="center"/>
            <w:hideMark/>
          </w:tcPr>
          <w:p w14:paraId="41D18E9A" w14:textId="0E84ABB8"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24</w:t>
            </w:r>
          </w:p>
        </w:tc>
        <w:tc>
          <w:tcPr>
            <w:tcW w:w="1134" w:type="dxa"/>
            <w:tcBorders>
              <w:top w:val="nil"/>
              <w:left w:val="nil"/>
              <w:bottom w:val="single" w:sz="4" w:space="0" w:color="auto"/>
              <w:right w:val="single" w:sz="4" w:space="0" w:color="auto"/>
            </w:tcBorders>
            <w:shd w:val="clear" w:color="auto" w:fill="BFBFBF" w:themeFill="background1" w:themeFillShade="BF"/>
            <w:vAlign w:val="center"/>
            <w:hideMark/>
          </w:tcPr>
          <w:p w14:paraId="1F588F67" w14:textId="460E2E38"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253</w:t>
            </w:r>
          </w:p>
        </w:tc>
      </w:tr>
      <w:tr w:rsidR="00D83851" w:rsidRPr="00CC0EFC" w14:paraId="3CCCBBEF" w14:textId="77777777" w:rsidTr="00D83851">
        <w:trPr>
          <w:trHeight w:val="285"/>
        </w:trPr>
        <w:tc>
          <w:tcPr>
            <w:tcW w:w="1200" w:type="dxa"/>
            <w:tcBorders>
              <w:top w:val="nil"/>
              <w:left w:val="single" w:sz="4" w:space="0" w:color="000000"/>
              <w:bottom w:val="single" w:sz="4" w:space="0" w:color="000000"/>
              <w:right w:val="single" w:sz="4" w:space="0" w:color="000000"/>
            </w:tcBorders>
            <w:shd w:val="clear" w:color="auto" w:fill="auto"/>
            <w:vAlign w:val="bottom"/>
            <w:hideMark/>
          </w:tcPr>
          <w:p w14:paraId="503887BE"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00" w:type="dxa"/>
            <w:tcBorders>
              <w:top w:val="nil"/>
              <w:left w:val="nil"/>
              <w:bottom w:val="single" w:sz="4" w:space="0" w:color="000000"/>
              <w:right w:val="single" w:sz="4" w:space="0" w:color="000000"/>
            </w:tcBorders>
            <w:shd w:val="clear" w:color="auto" w:fill="auto"/>
            <w:vAlign w:val="bottom"/>
            <w:hideMark/>
          </w:tcPr>
          <w:p w14:paraId="23BC65F5"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3123" w:type="dxa"/>
            <w:tcBorders>
              <w:top w:val="nil"/>
              <w:left w:val="nil"/>
              <w:bottom w:val="single" w:sz="4" w:space="0" w:color="000000"/>
              <w:right w:val="single" w:sz="4" w:space="0" w:color="000000"/>
            </w:tcBorders>
            <w:shd w:val="clear" w:color="auto" w:fill="auto"/>
            <w:hideMark/>
          </w:tcPr>
          <w:p w14:paraId="0DA02AFE" w14:textId="00172013" w:rsidR="00CC0EFC" w:rsidRPr="00CC0EFC" w:rsidRDefault="005450C0" w:rsidP="005450C0">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CC0EFC" w:rsidRPr="00CC0EFC">
              <w:rPr>
                <w:rFonts w:eastAsia="Times New Roman" w:cs="Arial"/>
                <w:sz w:val="20"/>
                <w:szCs w:val="20"/>
                <w:lang w:eastAsia="fr-FR"/>
              </w:rPr>
              <w:t xml:space="preserve"> Supérieur, label, York</w:t>
            </w:r>
          </w:p>
        </w:tc>
        <w:tc>
          <w:tcPr>
            <w:tcW w:w="1200" w:type="dxa"/>
            <w:tcBorders>
              <w:top w:val="nil"/>
              <w:left w:val="nil"/>
              <w:bottom w:val="single" w:sz="4" w:space="0" w:color="auto"/>
              <w:right w:val="single" w:sz="4" w:space="0" w:color="auto"/>
            </w:tcBorders>
            <w:shd w:val="clear" w:color="auto" w:fill="auto"/>
            <w:vAlign w:val="center"/>
            <w:hideMark/>
          </w:tcPr>
          <w:p w14:paraId="549E1496" w14:textId="2ED145A2" w:rsidR="00CC0EFC" w:rsidRPr="00CC0EFC" w:rsidRDefault="00CC0EFC" w:rsidP="00CC0EFC">
            <w:pPr>
              <w:spacing w:after="0" w:line="240" w:lineRule="auto"/>
              <w:jc w:val="right"/>
              <w:rPr>
                <w:rFonts w:eastAsia="Times New Roman" w:cs="Arial"/>
                <w:color w:val="000000"/>
                <w:sz w:val="20"/>
                <w:szCs w:val="20"/>
                <w:lang w:eastAsia="fr-FR"/>
              </w:rPr>
            </w:pPr>
            <w:r w:rsidRPr="00CC0EFC">
              <w:rPr>
                <w:rFonts w:eastAsia="Times New Roman" w:cs="Arial"/>
                <w:color w:val="000000"/>
                <w:sz w:val="20"/>
                <w:szCs w:val="20"/>
                <w:lang w:eastAsia="fr-FR"/>
              </w:rPr>
              <w:t xml:space="preserve">195   </w:t>
            </w:r>
          </w:p>
        </w:tc>
        <w:tc>
          <w:tcPr>
            <w:tcW w:w="181" w:type="dxa"/>
            <w:tcBorders>
              <w:top w:val="nil"/>
              <w:left w:val="nil"/>
              <w:bottom w:val="nil"/>
              <w:right w:val="nil"/>
            </w:tcBorders>
            <w:shd w:val="clear" w:color="auto" w:fill="auto"/>
            <w:noWrap/>
            <w:vAlign w:val="bottom"/>
            <w:hideMark/>
          </w:tcPr>
          <w:p w14:paraId="4F888ED1" w14:textId="77777777" w:rsidR="00CC0EFC" w:rsidRPr="00CC0EFC" w:rsidRDefault="00CC0EFC" w:rsidP="0094744A">
            <w:pPr>
              <w:spacing w:after="0" w:line="240" w:lineRule="auto"/>
              <w:jc w:val="center"/>
              <w:rPr>
                <w:rFonts w:eastAsia="Times New Roman" w:cs="Arial"/>
                <w:color w:val="000000"/>
                <w:sz w:val="20"/>
                <w:szCs w:val="20"/>
                <w:lang w:eastAsia="fr-FR"/>
              </w:rPr>
            </w:pPr>
          </w:p>
        </w:tc>
        <w:tc>
          <w:tcPr>
            <w:tcW w:w="1682" w:type="dxa"/>
            <w:tcBorders>
              <w:top w:val="nil"/>
              <w:left w:val="single" w:sz="4" w:space="0" w:color="000000"/>
              <w:bottom w:val="single" w:sz="4" w:space="0" w:color="000000"/>
              <w:right w:val="single" w:sz="4" w:space="0" w:color="000000"/>
            </w:tcBorders>
            <w:shd w:val="clear" w:color="auto" w:fill="auto"/>
            <w:vAlign w:val="bottom"/>
            <w:hideMark/>
          </w:tcPr>
          <w:p w14:paraId="44DBB6FA" w14:textId="77777777" w:rsidR="00CC0EFC" w:rsidRPr="00CC0EFC" w:rsidRDefault="00CC0EFC" w:rsidP="00CC0EFC">
            <w:pPr>
              <w:spacing w:after="0" w:line="240" w:lineRule="auto"/>
              <w:jc w:val="center"/>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899" w:type="dxa"/>
            <w:tcBorders>
              <w:top w:val="nil"/>
              <w:left w:val="nil"/>
              <w:bottom w:val="single" w:sz="4" w:space="0" w:color="000000"/>
              <w:right w:val="single" w:sz="4" w:space="0" w:color="000000"/>
            </w:tcBorders>
            <w:shd w:val="clear" w:color="auto" w:fill="auto"/>
            <w:vAlign w:val="bottom"/>
            <w:hideMark/>
          </w:tcPr>
          <w:p w14:paraId="3C076080"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bottom"/>
            <w:hideMark/>
          </w:tcPr>
          <w:p w14:paraId="020DD383"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76" w:type="dxa"/>
            <w:tcBorders>
              <w:top w:val="nil"/>
              <w:left w:val="nil"/>
              <w:bottom w:val="single" w:sz="4" w:space="0" w:color="000000"/>
              <w:right w:val="single" w:sz="4" w:space="0" w:color="000000"/>
            </w:tcBorders>
            <w:shd w:val="clear" w:color="auto" w:fill="auto"/>
            <w:vAlign w:val="bottom"/>
            <w:hideMark/>
          </w:tcPr>
          <w:p w14:paraId="6778073A" w14:textId="17EE9FD3" w:rsidR="00CC0EFC" w:rsidRPr="00CC0EFC" w:rsidRDefault="00CC0EFC" w:rsidP="005324EA">
            <w:pPr>
              <w:spacing w:after="0" w:line="240" w:lineRule="auto"/>
              <w:jc w:val="center"/>
              <w:rPr>
                <w:rFonts w:eastAsia="Times New Roman" w:cs="Arial"/>
                <w:color w:val="000000"/>
                <w:sz w:val="20"/>
                <w:szCs w:val="20"/>
                <w:lang w:eastAsia="fr-FR"/>
              </w:rPr>
            </w:pPr>
          </w:p>
        </w:tc>
        <w:tc>
          <w:tcPr>
            <w:tcW w:w="1134" w:type="dxa"/>
            <w:tcBorders>
              <w:top w:val="nil"/>
              <w:left w:val="nil"/>
              <w:bottom w:val="single" w:sz="4" w:space="0" w:color="000000"/>
              <w:right w:val="single" w:sz="4" w:space="0" w:color="000000"/>
            </w:tcBorders>
            <w:shd w:val="clear" w:color="auto" w:fill="auto"/>
            <w:vAlign w:val="bottom"/>
            <w:hideMark/>
          </w:tcPr>
          <w:p w14:paraId="02BA3696" w14:textId="4507FABA" w:rsidR="00CC0EFC" w:rsidRPr="00CC0EFC" w:rsidRDefault="00CC0EFC" w:rsidP="005324EA">
            <w:pPr>
              <w:spacing w:after="0" w:line="240" w:lineRule="auto"/>
              <w:jc w:val="center"/>
              <w:rPr>
                <w:rFonts w:eastAsia="Times New Roman" w:cs="Arial"/>
                <w:color w:val="000000"/>
                <w:sz w:val="20"/>
                <w:szCs w:val="20"/>
                <w:lang w:eastAsia="fr-FR"/>
              </w:rPr>
            </w:pPr>
          </w:p>
        </w:tc>
      </w:tr>
      <w:tr w:rsidR="00D83851" w:rsidRPr="00CC0EFC" w14:paraId="3146F267" w14:textId="77777777" w:rsidTr="00D83851">
        <w:trPr>
          <w:trHeight w:val="285"/>
        </w:trPr>
        <w:tc>
          <w:tcPr>
            <w:tcW w:w="1200" w:type="dxa"/>
            <w:tcBorders>
              <w:top w:val="nil"/>
              <w:left w:val="single" w:sz="4" w:space="0" w:color="000000"/>
              <w:bottom w:val="single" w:sz="4" w:space="0" w:color="000000"/>
              <w:right w:val="single" w:sz="4" w:space="0" w:color="000000"/>
            </w:tcBorders>
            <w:shd w:val="clear" w:color="auto" w:fill="auto"/>
            <w:vAlign w:val="bottom"/>
            <w:hideMark/>
          </w:tcPr>
          <w:p w14:paraId="15529672"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00" w:type="dxa"/>
            <w:tcBorders>
              <w:top w:val="nil"/>
              <w:left w:val="nil"/>
              <w:bottom w:val="single" w:sz="4" w:space="0" w:color="000000"/>
              <w:right w:val="single" w:sz="4" w:space="0" w:color="000000"/>
            </w:tcBorders>
            <w:shd w:val="clear" w:color="auto" w:fill="auto"/>
            <w:vAlign w:val="bottom"/>
            <w:hideMark/>
          </w:tcPr>
          <w:p w14:paraId="1C625CFF"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3123" w:type="dxa"/>
            <w:tcBorders>
              <w:top w:val="nil"/>
              <w:left w:val="nil"/>
              <w:bottom w:val="single" w:sz="4" w:space="0" w:color="000000"/>
              <w:right w:val="single" w:sz="4" w:space="0" w:color="000000"/>
            </w:tcBorders>
            <w:shd w:val="clear" w:color="auto" w:fill="auto"/>
            <w:hideMark/>
          </w:tcPr>
          <w:p w14:paraId="0496645A" w14:textId="4D130589" w:rsidR="00CC0EFC" w:rsidRPr="00CC0EFC" w:rsidRDefault="005450C0" w:rsidP="005450C0">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CC0EFC" w:rsidRPr="00CC0EFC">
              <w:rPr>
                <w:rFonts w:eastAsia="Times New Roman" w:cs="Arial"/>
                <w:sz w:val="20"/>
                <w:szCs w:val="20"/>
                <w:lang w:eastAsia="fr-FR"/>
              </w:rPr>
              <w:t xml:space="preserve"> Choix</w:t>
            </w:r>
          </w:p>
        </w:tc>
        <w:tc>
          <w:tcPr>
            <w:tcW w:w="1200" w:type="dxa"/>
            <w:tcBorders>
              <w:top w:val="nil"/>
              <w:left w:val="nil"/>
              <w:bottom w:val="single" w:sz="4" w:space="0" w:color="auto"/>
              <w:right w:val="single" w:sz="4" w:space="0" w:color="auto"/>
            </w:tcBorders>
            <w:shd w:val="clear" w:color="auto" w:fill="auto"/>
            <w:vAlign w:val="center"/>
            <w:hideMark/>
          </w:tcPr>
          <w:p w14:paraId="18948FA3" w14:textId="2D6913B9" w:rsidR="00CC0EFC" w:rsidRPr="00CC0EFC" w:rsidRDefault="00CC0EFC" w:rsidP="00CC0EFC">
            <w:pPr>
              <w:spacing w:after="0" w:line="240" w:lineRule="auto"/>
              <w:jc w:val="right"/>
              <w:rPr>
                <w:rFonts w:eastAsia="Times New Roman" w:cs="Arial"/>
                <w:color w:val="000000"/>
                <w:sz w:val="20"/>
                <w:szCs w:val="20"/>
                <w:lang w:eastAsia="fr-FR"/>
              </w:rPr>
            </w:pPr>
            <w:r w:rsidRPr="00CC0EFC">
              <w:rPr>
                <w:rFonts w:eastAsia="Times New Roman" w:cs="Arial"/>
                <w:color w:val="000000"/>
                <w:sz w:val="20"/>
                <w:szCs w:val="20"/>
                <w:lang w:eastAsia="fr-FR"/>
              </w:rPr>
              <w:t xml:space="preserve">25   </w:t>
            </w:r>
          </w:p>
        </w:tc>
        <w:tc>
          <w:tcPr>
            <w:tcW w:w="181" w:type="dxa"/>
            <w:tcBorders>
              <w:top w:val="nil"/>
              <w:left w:val="nil"/>
              <w:bottom w:val="nil"/>
              <w:right w:val="nil"/>
            </w:tcBorders>
            <w:shd w:val="clear" w:color="auto" w:fill="auto"/>
            <w:noWrap/>
            <w:vAlign w:val="bottom"/>
            <w:hideMark/>
          </w:tcPr>
          <w:p w14:paraId="165729DF" w14:textId="77777777" w:rsidR="00CC0EFC" w:rsidRPr="00CC0EFC" w:rsidRDefault="00CC0EFC" w:rsidP="0094744A">
            <w:pPr>
              <w:spacing w:after="0" w:line="240" w:lineRule="auto"/>
              <w:jc w:val="center"/>
              <w:rPr>
                <w:rFonts w:eastAsia="Times New Roman" w:cs="Arial"/>
                <w:color w:val="000000"/>
                <w:sz w:val="20"/>
                <w:szCs w:val="20"/>
                <w:lang w:eastAsia="fr-FR"/>
              </w:rPr>
            </w:pPr>
          </w:p>
        </w:tc>
        <w:tc>
          <w:tcPr>
            <w:tcW w:w="1682" w:type="dxa"/>
            <w:tcBorders>
              <w:top w:val="nil"/>
              <w:left w:val="single" w:sz="4" w:space="0" w:color="000000"/>
              <w:bottom w:val="single" w:sz="4" w:space="0" w:color="000000"/>
              <w:right w:val="single" w:sz="4" w:space="0" w:color="000000"/>
            </w:tcBorders>
            <w:shd w:val="clear" w:color="auto" w:fill="auto"/>
            <w:vAlign w:val="bottom"/>
            <w:hideMark/>
          </w:tcPr>
          <w:p w14:paraId="28EE18B2" w14:textId="77777777" w:rsidR="00CC0EFC" w:rsidRPr="00CC0EFC" w:rsidRDefault="00CC0EFC" w:rsidP="00CC0EFC">
            <w:pPr>
              <w:spacing w:after="0" w:line="240" w:lineRule="auto"/>
              <w:jc w:val="center"/>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899" w:type="dxa"/>
            <w:tcBorders>
              <w:top w:val="nil"/>
              <w:left w:val="nil"/>
              <w:bottom w:val="single" w:sz="4" w:space="0" w:color="000000"/>
              <w:right w:val="single" w:sz="4" w:space="0" w:color="000000"/>
            </w:tcBorders>
            <w:shd w:val="clear" w:color="auto" w:fill="auto"/>
            <w:vAlign w:val="bottom"/>
            <w:hideMark/>
          </w:tcPr>
          <w:p w14:paraId="51361F7B"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bottom"/>
            <w:hideMark/>
          </w:tcPr>
          <w:p w14:paraId="2462A214"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76" w:type="dxa"/>
            <w:tcBorders>
              <w:top w:val="nil"/>
              <w:left w:val="nil"/>
              <w:bottom w:val="single" w:sz="4" w:space="0" w:color="000000"/>
              <w:right w:val="single" w:sz="4" w:space="0" w:color="000000"/>
            </w:tcBorders>
            <w:shd w:val="clear" w:color="auto" w:fill="auto"/>
            <w:vAlign w:val="bottom"/>
            <w:hideMark/>
          </w:tcPr>
          <w:p w14:paraId="76F09E6C" w14:textId="387628D6" w:rsidR="00CC0EFC" w:rsidRPr="00CC0EFC" w:rsidRDefault="00CC0EFC" w:rsidP="005324EA">
            <w:pPr>
              <w:spacing w:after="0" w:line="240" w:lineRule="auto"/>
              <w:jc w:val="center"/>
              <w:rPr>
                <w:rFonts w:eastAsia="Times New Roman" w:cs="Arial"/>
                <w:color w:val="000000"/>
                <w:sz w:val="20"/>
                <w:szCs w:val="20"/>
                <w:lang w:eastAsia="fr-FR"/>
              </w:rPr>
            </w:pPr>
          </w:p>
        </w:tc>
        <w:tc>
          <w:tcPr>
            <w:tcW w:w="1134" w:type="dxa"/>
            <w:tcBorders>
              <w:top w:val="nil"/>
              <w:left w:val="nil"/>
              <w:bottom w:val="single" w:sz="4" w:space="0" w:color="000000"/>
              <w:right w:val="single" w:sz="4" w:space="0" w:color="000000"/>
            </w:tcBorders>
            <w:shd w:val="clear" w:color="auto" w:fill="auto"/>
            <w:vAlign w:val="bottom"/>
            <w:hideMark/>
          </w:tcPr>
          <w:p w14:paraId="07FA882E" w14:textId="5E2A88A3" w:rsidR="00CC0EFC" w:rsidRPr="00CC0EFC" w:rsidRDefault="00CC0EFC" w:rsidP="005324EA">
            <w:pPr>
              <w:spacing w:after="0" w:line="240" w:lineRule="auto"/>
              <w:jc w:val="center"/>
              <w:rPr>
                <w:rFonts w:eastAsia="Times New Roman" w:cs="Arial"/>
                <w:color w:val="000000"/>
                <w:sz w:val="20"/>
                <w:szCs w:val="20"/>
                <w:lang w:eastAsia="fr-FR"/>
              </w:rPr>
            </w:pPr>
          </w:p>
        </w:tc>
      </w:tr>
      <w:tr w:rsidR="00D83851" w:rsidRPr="00CC0EFC" w14:paraId="75DDF7FC" w14:textId="77777777" w:rsidTr="00D83851">
        <w:trPr>
          <w:trHeight w:val="285"/>
        </w:trPr>
        <w:tc>
          <w:tcPr>
            <w:tcW w:w="1200" w:type="dxa"/>
            <w:tcBorders>
              <w:top w:val="nil"/>
              <w:left w:val="single" w:sz="4" w:space="0" w:color="000000"/>
              <w:bottom w:val="single" w:sz="4" w:space="0" w:color="000000"/>
              <w:right w:val="single" w:sz="4" w:space="0" w:color="000000"/>
            </w:tcBorders>
            <w:shd w:val="clear" w:color="auto" w:fill="auto"/>
            <w:vAlign w:val="bottom"/>
            <w:hideMark/>
          </w:tcPr>
          <w:p w14:paraId="09CE1AE9"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00" w:type="dxa"/>
            <w:tcBorders>
              <w:top w:val="nil"/>
              <w:left w:val="nil"/>
              <w:bottom w:val="single" w:sz="4" w:space="0" w:color="000000"/>
              <w:right w:val="single" w:sz="4" w:space="0" w:color="000000"/>
            </w:tcBorders>
            <w:shd w:val="clear" w:color="auto" w:fill="auto"/>
            <w:vAlign w:val="bottom"/>
            <w:hideMark/>
          </w:tcPr>
          <w:p w14:paraId="42EB06AE"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3123" w:type="dxa"/>
            <w:tcBorders>
              <w:top w:val="nil"/>
              <w:left w:val="nil"/>
              <w:bottom w:val="single" w:sz="4" w:space="0" w:color="000000"/>
              <w:right w:val="single" w:sz="4" w:space="0" w:color="000000"/>
            </w:tcBorders>
            <w:shd w:val="clear" w:color="auto" w:fill="auto"/>
            <w:hideMark/>
          </w:tcPr>
          <w:p w14:paraId="4D6C173A" w14:textId="6C44B904" w:rsidR="00CC0EFC" w:rsidRPr="00CC0EFC" w:rsidRDefault="005450C0" w:rsidP="005450C0">
            <w:pPr>
              <w:spacing w:after="0" w:line="240" w:lineRule="auto"/>
              <w:jc w:val="right"/>
              <w:rPr>
                <w:rFonts w:eastAsia="Times New Roman" w:cs="Arial"/>
                <w:sz w:val="20"/>
                <w:szCs w:val="20"/>
                <w:lang w:eastAsia="fr-FR"/>
              </w:rPr>
            </w:pPr>
            <w:r>
              <w:rPr>
                <w:rFonts w:eastAsia="Times New Roman" w:cs="Arial"/>
                <w:sz w:val="20"/>
                <w:szCs w:val="20"/>
                <w:lang w:eastAsia="fr-FR"/>
              </w:rPr>
              <w:t>Dont</w:t>
            </w:r>
            <w:r w:rsidR="00CC0EFC" w:rsidRPr="00CC0EFC">
              <w:rPr>
                <w:rFonts w:eastAsia="Times New Roman" w:cs="Arial"/>
                <w:sz w:val="20"/>
                <w:szCs w:val="20"/>
                <w:lang w:eastAsia="fr-FR"/>
              </w:rPr>
              <w:t xml:space="preserve"> Standard</w:t>
            </w:r>
          </w:p>
        </w:tc>
        <w:tc>
          <w:tcPr>
            <w:tcW w:w="1200" w:type="dxa"/>
            <w:tcBorders>
              <w:top w:val="nil"/>
              <w:left w:val="nil"/>
              <w:bottom w:val="single" w:sz="4" w:space="0" w:color="auto"/>
              <w:right w:val="single" w:sz="4" w:space="0" w:color="auto"/>
            </w:tcBorders>
            <w:shd w:val="clear" w:color="auto" w:fill="auto"/>
            <w:vAlign w:val="center"/>
            <w:hideMark/>
          </w:tcPr>
          <w:p w14:paraId="46C3F9FD" w14:textId="332658B4" w:rsidR="00CC0EFC" w:rsidRPr="00CC0EFC" w:rsidRDefault="00CC0EFC" w:rsidP="00CC0EFC">
            <w:pPr>
              <w:spacing w:after="0" w:line="240" w:lineRule="auto"/>
              <w:jc w:val="right"/>
              <w:rPr>
                <w:rFonts w:eastAsia="Times New Roman" w:cs="Arial"/>
                <w:color w:val="000000"/>
                <w:sz w:val="20"/>
                <w:szCs w:val="20"/>
                <w:lang w:eastAsia="fr-FR"/>
              </w:rPr>
            </w:pPr>
            <w:r w:rsidRPr="00CC0EFC">
              <w:rPr>
                <w:rFonts w:eastAsia="Times New Roman" w:cs="Arial"/>
                <w:color w:val="000000"/>
                <w:sz w:val="20"/>
                <w:szCs w:val="20"/>
                <w:lang w:eastAsia="fr-FR"/>
              </w:rPr>
              <w:t xml:space="preserve">16   </w:t>
            </w:r>
          </w:p>
        </w:tc>
        <w:tc>
          <w:tcPr>
            <w:tcW w:w="181" w:type="dxa"/>
            <w:tcBorders>
              <w:top w:val="nil"/>
              <w:left w:val="nil"/>
              <w:bottom w:val="nil"/>
              <w:right w:val="nil"/>
            </w:tcBorders>
            <w:shd w:val="clear" w:color="auto" w:fill="auto"/>
            <w:noWrap/>
            <w:vAlign w:val="bottom"/>
            <w:hideMark/>
          </w:tcPr>
          <w:p w14:paraId="675A4AA8" w14:textId="77777777" w:rsidR="00CC0EFC" w:rsidRPr="00CC0EFC" w:rsidRDefault="00CC0EFC" w:rsidP="0094744A">
            <w:pPr>
              <w:spacing w:after="0" w:line="240" w:lineRule="auto"/>
              <w:jc w:val="center"/>
              <w:rPr>
                <w:rFonts w:eastAsia="Times New Roman" w:cs="Arial"/>
                <w:color w:val="000000"/>
                <w:sz w:val="20"/>
                <w:szCs w:val="20"/>
                <w:lang w:eastAsia="fr-FR"/>
              </w:rPr>
            </w:pPr>
          </w:p>
        </w:tc>
        <w:tc>
          <w:tcPr>
            <w:tcW w:w="1682" w:type="dxa"/>
            <w:tcBorders>
              <w:top w:val="nil"/>
              <w:left w:val="single" w:sz="4" w:space="0" w:color="000000"/>
              <w:bottom w:val="single" w:sz="4" w:space="0" w:color="000000"/>
              <w:right w:val="single" w:sz="4" w:space="0" w:color="000000"/>
            </w:tcBorders>
            <w:shd w:val="clear" w:color="auto" w:fill="auto"/>
            <w:vAlign w:val="bottom"/>
            <w:hideMark/>
          </w:tcPr>
          <w:p w14:paraId="0DEEF084" w14:textId="77777777" w:rsidR="00CC0EFC" w:rsidRPr="00CC0EFC" w:rsidRDefault="00CC0EFC" w:rsidP="00CC0EFC">
            <w:pPr>
              <w:spacing w:after="0" w:line="240" w:lineRule="auto"/>
              <w:jc w:val="center"/>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899" w:type="dxa"/>
            <w:tcBorders>
              <w:top w:val="nil"/>
              <w:left w:val="nil"/>
              <w:bottom w:val="single" w:sz="4" w:space="0" w:color="000000"/>
              <w:right w:val="single" w:sz="4" w:space="0" w:color="000000"/>
            </w:tcBorders>
            <w:shd w:val="clear" w:color="auto" w:fill="auto"/>
            <w:vAlign w:val="bottom"/>
            <w:hideMark/>
          </w:tcPr>
          <w:p w14:paraId="228DB77F"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417" w:type="dxa"/>
            <w:tcBorders>
              <w:top w:val="nil"/>
              <w:left w:val="nil"/>
              <w:bottom w:val="single" w:sz="4" w:space="0" w:color="000000"/>
              <w:right w:val="single" w:sz="4" w:space="0" w:color="000000"/>
            </w:tcBorders>
            <w:shd w:val="clear" w:color="auto" w:fill="auto"/>
            <w:vAlign w:val="bottom"/>
            <w:hideMark/>
          </w:tcPr>
          <w:p w14:paraId="31C537D0" w14:textId="77777777" w:rsidR="00CC0EFC" w:rsidRPr="00CC0EFC" w:rsidRDefault="00CC0EFC" w:rsidP="00CC0EFC">
            <w:pPr>
              <w:spacing w:after="0" w:line="240" w:lineRule="auto"/>
              <w:jc w:val="left"/>
              <w:rPr>
                <w:rFonts w:eastAsia="Times New Roman" w:cs="Arial"/>
                <w:color w:val="000000"/>
                <w:sz w:val="20"/>
                <w:szCs w:val="20"/>
                <w:lang w:eastAsia="fr-FR"/>
              </w:rPr>
            </w:pPr>
            <w:r w:rsidRPr="00CC0EFC">
              <w:rPr>
                <w:rFonts w:eastAsia="Times New Roman" w:cs="Arial"/>
                <w:color w:val="000000"/>
                <w:sz w:val="20"/>
                <w:szCs w:val="20"/>
                <w:lang w:eastAsia="fr-FR"/>
              </w:rPr>
              <w:t> </w:t>
            </w:r>
          </w:p>
        </w:tc>
        <w:tc>
          <w:tcPr>
            <w:tcW w:w="1276" w:type="dxa"/>
            <w:tcBorders>
              <w:top w:val="nil"/>
              <w:left w:val="nil"/>
              <w:bottom w:val="single" w:sz="4" w:space="0" w:color="000000"/>
              <w:right w:val="single" w:sz="4" w:space="0" w:color="000000"/>
            </w:tcBorders>
            <w:shd w:val="clear" w:color="auto" w:fill="auto"/>
            <w:vAlign w:val="bottom"/>
            <w:hideMark/>
          </w:tcPr>
          <w:p w14:paraId="75FAF4A3" w14:textId="280962A6" w:rsidR="00CC0EFC" w:rsidRPr="00CC0EFC" w:rsidRDefault="00CC0EFC" w:rsidP="005324EA">
            <w:pPr>
              <w:spacing w:after="0" w:line="240" w:lineRule="auto"/>
              <w:jc w:val="center"/>
              <w:rPr>
                <w:rFonts w:eastAsia="Times New Roman" w:cs="Arial"/>
                <w:color w:val="000000"/>
                <w:sz w:val="20"/>
                <w:szCs w:val="20"/>
                <w:lang w:eastAsia="fr-FR"/>
              </w:rPr>
            </w:pPr>
          </w:p>
        </w:tc>
        <w:tc>
          <w:tcPr>
            <w:tcW w:w="1134" w:type="dxa"/>
            <w:tcBorders>
              <w:top w:val="nil"/>
              <w:left w:val="nil"/>
              <w:bottom w:val="single" w:sz="4" w:space="0" w:color="000000"/>
              <w:right w:val="single" w:sz="4" w:space="0" w:color="000000"/>
            </w:tcBorders>
            <w:shd w:val="clear" w:color="auto" w:fill="auto"/>
            <w:vAlign w:val="bottom"/>
            <w:hideMark/>
          </w:tcPr>
          <w:p w14:paraId="3787F565" w14:textId="20C8B19B" w:rsidR="00CC0EFC" w:rsidRPr="00CC0EFC" w:rsidRDefault="00CC0EFC" w:rsidP="005324EA">
            <w:pPr>
              <w:spacing w:after="0" w:line="240" w:lineRule="auto"/>
              <w:jc w:val="center"/>
              <w:rPr>
                <w:rFonts w:eastAsia="Times New Roman" w:cs="Arial"/>
                <w:color w:val="000000"/>
                <w:sz w:val="20"/>
                <w:szCs w:val="20"/>
                <w:lang w:eastAsia="fr-FR"/>
              </w:rPr>
            </w:pPr>
          </w:p>
        </w:tc>
      </w:tr>
      <w:tr w:rsidR="005324EA" w:rsidRPr="00C062DB" w14:paraId="0D28E91D" w14:textId="77777777" w:rsidTr="00656A6C">
        <w:trPr>
          <w:trHeight w:val="285"/>
        </w:trPr>
        <w:tc>
          <w:tcPr>
            <w:tcW w:w="1200" w:type="dxa"/>
            <w:tcBorders>
              <w:top w:val="nil"/>
              <w:left w:val="single" w:sz="4" w:space="0" w:color="000000"/>
              <w:bottom w:val="single" w:sz="4" w:space="0" w:color="000000"/>
              <w:right w:val="single" w:sz="4" w:space="0" w:color="000000"/>
            </w:tcBorders>
            <w:shd w:val="clear" w:color="auto" w:fill="BFBFBF" w:themeFill="background1" w:themeFillShade="BF"/>
            <w:vAlign w:val="center"/>
            <w:hideMark/>
          </w:tcPr>
          <w:p w14:paraId="5F7F65A6" w14:textId="77777777" w:rsidR="00CC0EFC" w:rsidRPr="00CC0EFC" w:rsidRDefault="00CC0EFC" w:rsidP="00CC0EFC">
            <w:pPr>
              <w:spacing w:after="0" w:line="240" w:lineRule="auto"/>
              <w:jc w:val="center"/>
              <w:rPr>
                <w:rFonts w:eastAsia="Times New Roman" w:cs="Arial"/>
                <w:sz w:val="20"/>
                <w:szCs w:val="20"/>
                <w:lang w:eastAsia="fr-FR"/>
              </w:rPr>
            </w:pPr>
            <w:r w:rsidRPr="00CC0EFC">
              <w:rPr>
                <w:rFonts w:eastAsia="Times New Roman" w:cs="Arial"/>
                <w:sz w:val="20"/>
                <w:szCs w:val="20"/>
                <w:lang w:eastAsia="fr-FR"/>
              </w:rPr>
              <w:t>10.13.15.55</w:t>
            </w:r>
          </w:p>
        </w:tc>
        <w:tc>
          <w:tcPr>
            <w:tcW w:w="1200" w:type="dxa"/>
            <w:tcBorders>
              <w:top w:val="nil"/>
              <w:left w:val="nil"/>
              <w:bottom w:val="single" w:sz="4" w:space="0" w:color="000000"/>
              <w:right w:val="single" w:sz="4" w:space="0" w:color="000000"/>
            </w:tcBorders>
            <w:shd w:val="clear" w:color="auto" w:fill="BFBFBF" w:themeFill="background1" w:themeFillShade="BF"/>
            <w:vAlign w:val="center"/>
            <w:hideMark/>
          </w:tcPr>
          <w:p w14:paraId="356B68BF" w14:textId="77777777"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w:t>
            </w:r>
          </w:p>
        </w:tc>
        <w:tc>
          <w:tcPr>
            <w:tcW w:w="3123" w:type="dxa"/>
            <w:tcBorders>
              <w:top w:val="nil"/>
              <w:left w:val="nil"/>
              <w:bottom w:val="single" w:sz="4" w:space="0" w:color="000000"/>
              <w:right w:val="single" w:sz="4" w:space="0" w:color="000000"/>
            </w:tcBorders>
            <w:shd w:val="clear" w:color="auto" w:fill="BFBFBF" w:themeFill="background1" w:themeFillShade="BF"/>
            <w:vAlign w:val="center"/>
            <w:hideMark/>
          </w:tcPr>
          <w:p w14:paraId="749E4040" w14:textId="77777777" w:rsidR="00CC0EFC" w:rsidRPr="00CC0EFC" w:rsidRDefault="00CC0EFC" w:rsidP="00CC0EFC">
            <w:pPr>
              <w:spacing w:after="0" w:line="240" w:lineRule="auto"/>
              <w:jc w:val="left"/>
              <w:rPr>
                <w:rFonts w:eastAsia="Times New Roman" w:cs="Arial"/>
                <w:b/>
                <w:bCs/>
                <w:sz w:val="20"/>
                <w:szCs w:val="20"/>
                <w:lang w:eastAsia="fr-FR"/>
              </w:rPr>
            </w:pPr>
            <w:r w:rsidRPr="00CC0EFC">
              <w:rPr>
                <w:rFonts w:eastAsia="Times New Roman" w:cs="Arial"/>
                <w:b/>
                <w:bCs/>
                <w:sz w:val="20"/>
                <w:szCs w:val="20"/>
                <w:lang w:eastAsia="fr-FR"/>
              </w:rPr>
              <w:t>Épaules cuites</w:t>
            </w:r>
          </w:p>
        </w:tc>
        <w:tc>
          <w:tcPr>
            <w:tcW w:w="1200" w:type="dxa"/>
            <w:tcBorders>
              <w:top w:val="nil"/>
              <w:left w:val="nil"/>
              <w:bottom w:val="single" w:sz="4" w:space="0" w:color="auto"/>
              <w:right w:val="single" w:sz="4" w:space="0" w:color="auto"/>
            </w:tcBorders>
            <w:shd w:val="clear" w:color="auto" w:fill="BFBFBF" w:themeFill="background1" w:themeFillShade="BF"/>
            <w:vAlign w:val="center"/>
            <w:hideMark/>
          </w:tcPr>
          <w:p w14:paraId="7613C16C" w14:textId="01B32AF4" w:rsidR="00CC0EFC" w:rsidRPr="00CC0EFC" w:rsidRDefault="00CC0EFC" w:rsidP="00842EE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14</w:t>
            </w:r>
          </w:p>
        </w:tc>
        <w:tc>
          <w:tcPr>
            <w:tcW w:w="181" w:type="dxa"/>
            <w:tcBorders>
              <w:top w:val="nil"/>
              <w:left w:val="nil"/>
              <w:bottom w:val="nil"/>
              <w:right w:val="nil"/>
            </w:tcBorders>
            <w:shd w:val="clear" w:color="auto" w:fill="auto"/>
            <w:noWrap/>
            <w:vAlign w:val="center"/>
            <w:hideMark/>
          </w:tcPr>
          <w:p w14:paraId="6EF034E8" w14:textId="77777777" w:rsidR="00CC0EFC" w:rsidRPr="00CC0EFC" w:rsidRDefault="00CC0EFC" w:rsidP="0094744A">
            <w:pPr>
              <w:spacing w:after="0" w:line="240" w:lineRule="auto"/>
              <w:jc w:val="center"/>
              <w:rPr>
                <w:rFonts w:eastAsia="Times New Roman" w:cs="Arial"/>
                <w:b/>
                <w:bCs/>
                <w:color w:val="000000"/>
                <w:sz w:val="20"/>
                <w:szCs w:val="20"/>
                <w:lang w:eastAsia="fr-FR"/>
              </w:rPr>
            </w:pPr>
          </w:p>
        </w:tc>
        <w:tc>
          <w:tcPr>
            <w:tcW w:w="1682" w:type="dxa"/>
            <w:tcBorders>
              <w:top w:val="nil"/>
              <w:left w:val="single" w:sz="4" w:space="0" w:color="auto"/>
              <w:bottom w:val="single" w:sz="4" w:space="0" w:color="auto"/>
              <w:right w:val="single" w:sz="4" w:space="0" w:color="auto"/>
            </w:tcBorders>
            <w:shd w:val="clear" w:color="auto" w:fill="BFBFBF" w:themeFill="background1" w:themeFillShade="BF"/>
            <w:vAlign w:val="center"/>
            <w:hideMark/>
          </w:tcPr>
          <w:p w14:paraId="102A9F0C" w14:textId="56533251" w:rsidR="00CC0EFC" w:rsidRPr="00CC0EFC" w:rsidRDefault="00CC0EFC" w:rsidP="00CC0EFC">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16 024 210</w:t>
            </w:r>
          </w:p>
        </w:tc>
        <w:tc>
          <w:tcPr>
            <w:tcW w:w="1899" w:type="dxa"/>
            <w:tcBorders>
              <w:top w:val="nil"/>
              <w:left w:val="nil"/>
              <w:bottom w:val="single" w:sz="4" w:space="0" w:color="auto"/>
              <w:right w:val="single" w:sz="4" w:space="0" w:color="auto"/>
            </w:tcBorders>
            <w:shd w:val="clear" w:color="auto" w:fill="BFBFBF" w:themeFill="background1" w:themeFillShade="BF"/>
            <w:vAlign w:val="center"/>
            <w:hideMark/>
          </w:tcPr>
          <w:p w14:paraId="4E243F17" w14:textId="244CFDBE" w:rsidR="00CC0EFC" w:rsidRPr="00CC0EFC" w:rsidRDefault="00CC0EFC" w:rsidP="00CC0EFC">
            <w:pPr>
              <w:spacing w:after="0" w:line="240" w:lineRule="auto"/>
              <w:jc w:val="left"/>
              <w:rPr>
                <w:rFonts w:eastAsia="Times New Roman" w:cs="Arial"/>
                <w:b/>
                <w:bCs/>
                <w:color w:val="000000"/>
                <w:sz w:val="20"/>
                <w:szCs w:val="20"/>
                <w:lang w:eastAsia="fr-FR"/>
              </w:rPr>
            </w:pPr>
            <w:r w:rsidRPr="00CC0EFC">
              <w:rPr>
                <w:rFonts w:eastAsia="Times New Roman" w:cs="Arial"/>
                <w:b/>
                <w:bCs/>
                <w:color w:val="000000"/>
                <w:sz w:val="20"/>
                <w:szCs w:val="20"/>
                <w:lang w:eastAsia="fr-FR"/>
              </w:rPr>
              <w:t xml:space="preserve"> Prép./cons. </w:t>
            </w:r>
            <w:r w:rsidR="0094744A" w:rsidRPr="00C062DB">
              <w:rPr>
                <w:rFonts w:eastAsia="Times New Roman" w:cs="Arial"/>
                <w:b/>
                <w:bCs/>
                <w:color w:val="000000"/>
                <w:sz w:val="20"/>
                <w:szCs w:val="20"/>
                <w:lang w:eastAsia="fr-FR"/>
              </w:rPr>
              <w:t>d’</w:t>
            </w:r>
            <w:r w:rsidRPr="00CC0EFC">
              <w:rPr>
                <w:rFonts w:eastAsia="Times New Roman" w:cs="Arial"/>
                <w:b/>
                <w:bCs/>
                <w:color w:val="000000"/>
                <w:sz w:val="20"/>
                <w:szCs w:val="20"/>
                <w:lang w:eastAsia="fr-FR"/>
              </w:rPr>
              <w:t xml:space="preserve">épaules </w:t>
            </w:r>
          </w:p>
        </w:tc>
        <w:tc>
          <w:tcPr>
            <w:tcW w:w="1417" w:type="dxa"/>
            <w:tcBorders>
              <w:top w:val="nil"/>
              <w:left w:val="nil"/>
              <w:bottom w:val="single" w:sz="4" w:space="0" w:color="auto"/>
              <w:right w:val="single" w:sz="4" w:space="0" w:color="auto"/>
            </w:tcBorders>
            <w:shd w:val="clear" w:color="auto" w:fill="BFBFBF" w:themeFill="background1" w:themeFillShade="BF"/>
            <w:vAlign w:val="center"/>
            <w:hideMark/>
          </w:tcPr>
          <w:p w14:paraId="5F9523E1" w14:textId="6C158393" w:rsidR="00CC0EFC" w:rsidRPr="00CC0EFC" w:rsidRDefault="00CC0EFC" w:rsidP="00352989">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w:t>
            </w:r>
          </w:p>
        </w:tc>
        <w:tc>
          <w:tcPr>
            <w:tcW w:w="1276" w:type="dxa"/>
            <w:tcBorders>
              <w:top w:val="nil"/>
              <w:left w:val="nil"/>
              <w:bottom w:val="single" w:sz="4" w:space="0" w:color="auto"/>
              <w:right w:val="single" w:sz="4" w:space="0" w:color="auto"/>
            </w:tcBorders>
            <w:shd w:val="clear" w:color="auto" w:fill="BFBFBF" w:themeFill="background1" w:themeFillShade="BF"/>
            <w:vAlign w:val="center"/>
            <w:hideMark/>
          </w:tcPr>
          <w:p w14:paraId="778E565C" w14:textId="0A96D293"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2</w:t>
            </w:r>
          </w:p>
        </w:tc>
        <w:tc>
          <w:tcPr>
            <w:tcW w:w="1134" w:type="dxa"/>
            <w:tcBorders>
              <w:top w:val="nil"/>
              <w:left w:val="nil"/>
              <w:bottom w:val="single" w:sz="4" w:space="0" w:color="auto"/>
              <w:right w:val="single" w:sz="4" w:space="0" w:color="auto"/>
            </w:tcBorders>
            <w:shd w:val="clear" w:color="auto" w:fill="BFBFBF" w:themeFill="background1" w:themeFillShade="BF"/>
            <w:vAlign w:val="center"/>
            <w:hideMark/>
          </w:tcPr>
          <w:p w14:paraId="2A940FA5" w14:textId="549B1889" w:rsidR="00CC0EFC" w:rsidRPr="00CC0EFC" w:rsidRDefault="00CC0EFC" w:rsidP="005324EA">
            <w:pPr>
              <w:spacing w:after="0" w:line="240" w:lineRule="auto"/>
              <w:jc w:val="center"/>
              <w:rPr>
                <w:rFonts w:eastAsia="Times New Roman" w:cs="Arial"/>
                <w:b/>
                <w:bCs/>
                <w:color w:val="000000"/>
                <w:sz w:val="20"/>
                <w:szCs w:val="20"/>
                <w:lang w:eastAsia="fr-FR"/>
              </w:rPr>
            </w:pPr>
            <w:r w:rsidRPr="00CC0EFC">
              <w:rPr>
                <w:rFonts w:eastAsia="Times New Roman" w:cs="Arial"/>
                <w:b/>
                <w:bCs/>
                <w:color w:val="000000"/>
                <w:sz w:val="20"/>
                <w:szCs w:val="20"/>
                <w:lang w:eastAsia="fr-FR"/>
              </w:rPr>
              <w:t>15</w:t>
            </w:r>
          </w:p>
        </w:tc>
      </w:tr>
    </w:tbl>
    <w:p w14:paraId="4BB20A5C" w14:textId="77777777" w:rsidR="00DD4C96" w:rsidRDefault="00DD4C96" w:rsidP="005B0175">
      <w:pPr>
        <w:rPr>
          <w:rFonts w:cs="Arial"/>
          <w:b/>
          <w:i/>
          <w:sz w:val="20"/>
          <w:szCs w:val="20"/>
        </w:rPr>
      </w:pPr>
    </w:p>
    <w:p w14:paraId="412CE9F7" w14:textId="77777777" w:rsidR="00DD4C96" w:rsidRDefault="00DD4C96" w:rsidP="005B0175">
      <w:pPr>
        <w:rPr>
          <w:rFonts w:cs="Arial"/>
          <w:b/>
          <w:i/>
          <w:sz w:val="20"/>
          <w:szCs w:val="20"/>
        </w:rPr>
      </w:pPr>
    </w:p>
    <w:p w14:paraId="0DA0D4DD" w14:textId="77777777" w:rsidR="00DD4C96" w:rsidRDefault="00DD4C96" w:rsidP="005B0175">
      <w:pPr>
        <w:rPr>
          <w:rFonts w:cs="Arial"/>
          <w:b/>
          <w:i/>
          <w:sz w:val="20"/>
          <w:szCs w:val="20"/>
        </w:rPr>
      </w:pPr>
    </w:p>
    <w:p w14:paraId="623AFB8C" w14:textId="77777777" w:rsidR="00DD4C96" w:rsidRDefault="00DD4C96" w:rsidP="005B0175">
      <w:pPr>
        <w:rPr>
          <w:rFonts w:cs="Arial"/>
          <w:b/>
          <w:i/>
          <w:sz w:val="20"/>
          <w:szCs w:val="20"/>
        </w:rPr>
      </w:pPr>
    </w:p>
    <w:p w14:paraId="6E53A701" w14:textId="77777777" w:rsidR="00DD4C96" w:rsidRDefault="00DD4C96" w:rsidP="005B0175">
      <w:pPr>
        <w:rPr>
          <w:rFonts w:cs="Arial"/>
          <w:b/>
          <w:i/>
          <w:sz w:val="20"/>
          <w:szCs w:val="20"/>
        </w:rPr>
      </w:pPr>
    </w:p>
    <w:p w14:paraId="5C61469D" w14:textId="77777777" w:rsidR="00DD4C96" w:rsidRDefault="00DD4C96" w:rsidP="005B0175">
      <w:pPr>
        <w:rPr>
          <w:rFonts w:cs="Arial"/>
          <w:b/>
          <w:i/>
          <w:sz w:val="20"/>
          <w:szCs w:val="20"/>
        </w:rPr>
      </w:pPr>
    </w:p>
    <w:p w14:paraId="716E10A3" w14:textId="77777777" w:rsidR="00DD4C96" w:rsidRDefault="00DD4C96" w:rsidP="005B0175">
      <w:pPr>
        <w:rPr>
          <w:rFonts w:cs="Arial"/>
          <w:b/>
          <w:i/>
          <w:sz w:val="20"/>
          <w:szCs w:val="20"/>
        </w:rPr>
      </w:pPr>
    </w:p>
    <w:p w14:paraId="4726A34E" w14:textId="77777777" w:rsidR="00DD4C96" w:rsidRDefault="00DD4C96" w:rsidP="005B0175">
      <w:pPr>
        <w:rPr>
          <w:rFonts w:cs="Arial"/>
          <w:b/>
          <w:i/>
          <w:sz w:val="20"/>
          <w:szCs w:val="20"/>
        </w:rPr>
      </w:pPr>
    </w:p>
    <w:p w14:paraId="1851CB15" w14:textId="77777777" w:rsidR="00DD4C96" w:rsidRDefault="00DD4C96" w:rsidP="005B0175">
      <w:pPr>
        <w:rPr>
          <w:rFonts w:cs="Arial"/>
          <w:b/>
          <w:i/>
          <w:sz w:val="20"/>
          <w:szCs w:val="20"/>
        </w:rPr>
      </w:pPr>
    </w:p>
    <w:p w14:paraId="3C4ADC85" w14:textId="77777777" w:rsidR="00DD4C96" w:rsidRDefault="00DD4C96" w:rsidP="005B0175">
      <w:pPr>
        <w:rPr>
          <w:rFonts w:cs="Arial"/>
          <w:b/>
          <w:i/>
          <w:sz w:val="20"/>
          <w:szCs w:val="20"/>
        </w:rPr>
      </w:pPr>
    </w:p>
    <w:p w14:paraId="1456C344" w14:textId="77777777" w:rsidR="00DD4C96" w:rsidRDefault="00DD4C96" w:rsidP="005B0175">
      <w:pPr>
        <w:rPr>
          <w:rFonts w:cs="Arial"/>
          <w:b/>
          <w:i/>
          <w:sz w:val="20"/>
          <w:szCs w:val="20"/>
        </w:rPr>
      </w:pPr>
    </w:p>
    <w:p w14:paraId="5AD70AF1" w14:textId="77777777" w:rsidR="00DD4C96" w:rsidRDefault="00DD4C96" w:rsidP="005B0175">
      <w:pPr>
        <w:rPr>
          <w:rFonts w:cs="Arial"/>
          <w:b/>
          <w:i/>
          <w:sz w:val="20"/>
          <w:szCs w:val="20"/>
        </w:rPr>
      </w:pPr>
    </w:p>
    <w:p w14:paraId="4F465AC7" w14:textId="77777777" w:rsidR="00DD4C96" w:rsidRDefault="00DD4C96" w:rsidP="005B0175">
      <w:pPr>
        <w:rPr>
          <w:rFonts w:cs="Arial"/>
          <w:b/>
          <w:i/>
          <w:sz w:val="20"/>
          <w:szCs w:val="20"/>
        </w:rPr>
      </w:pPr>
    </w:p>
    <w:p w14:paraId="271EC99E" w14:textId="77777777" w:rsidR="00DD4C96" w:rsidRDefault="00DD4C96" w:rsidP="005B0175">
      <w:pPr>
        <w:rPr>
          <w:rFonts w:cs="Arial"/>
          <w:b/>
          <w:i/>
          <w:sz w:val="20"/>
          <w:szCs w:val="20"/>
        </w:rPr>
      </w:pPr>
    </w:p>
    <w:p w14:paraId="46B1AE7C" w14:textId="77777777" w:rsidR="00DD4C96" w:rsidRDefault="00DD4C96" w:rsidP="005B0175">
      <w:pPr>
        <w:rPr>
          <w:rFonts w:cs="Arial"/>
          <w:b/>
          <w:i/>
          <w:sz w:val="20"/>
          <w:szCs w:val="20"/>
        </w:rPr>
      </w:pPr>
    </w:p>
    <w:p w14:paraId="0B0902A9" w14:textId="6F6667EF" w:rsidR="00DF1BFF" w:rsidRPr="00E710C0" w:rsidRDefault="00E710C0" w:rsidP="005B0175">
      <w:pPr>
        <w:rPr>
          <w:rFonts w:cs="Arial"/>
          <w:b/>
          <w:i/>
        </w:rPr>
      </w:pPr>
      <w:r w:rsidRPr="00E710C0">
        <w:rPr>
          <w:rFonts w:cs="Arial"/>
          <w:b/>
          <w:i/>
        </w:rPr>
        <w:t xml:space="preserve">Annexe 6 </w:t>
      </w:r>
      <w:r w:rsidR="00222512" w:rsidRPr="00E710C0">
        <w:rPr>
          <w:rFonts w:cs="Arial"/>
          <w:b/>
          <w:i/>
        </w:rPr>
        <w:t xml:space="preserve">d/ </w:t>
      </w:r>
      <w:r w:rsidR="00656A6C" w:rsidRPr="00E710C0">
        <w:rPr>
          <w:rFonts w:cs="Arial"/>
          <w:b/>
          <w:i/>
        </w:rPr>
        <w:t>Autres cuits et mélange de charcuterie cuites</w:t>
      </w:r>
    </w:p>
    <w:tbl>
      <w:tblPr>
        <w:tblW w:w="14737" w:type="dxa"/>
        <w:tblLayout w:type="fixed"/>
        <w:tblCellMar>
          <w:left w:w="70" w:type="dxa"/>
          <w:right w:w="70" w:type="dxa"/>
        </w:tblCellMar>
        <w:tblLook w:val="04A0" w:firstRow="1" w:lastRow="0" w:firstColumn="1" w:lastColumn="0" w:noHBand="0" w:noVBand="1"/>
      </w:tblPr>
      <w:tblGrid>
        <w:gridCol w:w="1197"/>
        <w:gridCol w:w="1256"/>
        <w:gridCol w:w="3779"/>
        <w:gridCol w:w="1418"/>
        <w:gridCol w:w="283"/>
        <w:gridCol w:w="1418"/>
        <w:gridCol w:w="1559"/>
        <w:gridCol w:w="1418"/>
        <w:gridCol w:w="1275"/>
        <w:gridCol w:w="1134"/>
      </w:tblGrid>
      <w:tr w:rsidR="00EA0576" w:rsidRPr="00EA0576" w14:paraId="27B7DBD5" w14:textId="77777777" w:rsidTr="00EA0576">
        <w:trPr>
          <w:trHeight w:val="495"/>
        </w:trPr>
        <w:tc>
          <w:tcPr>
            <w:tcW w:w="1197" w:type="dxa"/>
            <w:tcBorders>
              <w:top w:val="single" w:sz="4" w:space="0" w:color="auto"/>
              <w:left w:val="single" w:sz="4" w:space="0" w:color="auto"/>
              <w:right w:val="single" w:sz="4" w:space="0" w:color="auto"/>
            </w:tcBorders>
            <w:shd w:val="clear" w:color="000000" w:fill="BFBFBF"/>
            <w:vAlign w:val="center"/>
            <w:hideMark/>
          </w:tcPr>
          <w:p w14:paraId="76BA6084"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Code Prodcom </w:t>
            </w:r>
          </w:p>
        </w:tc>
        <w:tc>
          <w:tcPr>
            <w:tcW w:w="1256" w:type="dxa"/>
            <w:tcBorders>
              <w:top w:val="single" w:sz="4" w:space="0" w:color="auto"/>
              <w:left w:val="nil"/>
              <w:right w:val="single" w:sz="4" w:space="0" w:color="auto"/>
            </w:tcBorders>
            <w:shd w:val="clear" w:color="000000" w:fill="A6A6A6"/>
            <w:vAlign w:val="center"/>
            <w:hideMark/>
          </w:tcPr>
          <w:p w14:paraId="67158C5B"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Nom. Comb. (N.C.)</w:t>
            </w:r>
          </w:p>
        </w:tc>
        <w:tc>
          <w:tcPr>
            <w:tcW w:w="3779" w:type="dxa"/>
            <w:tcBorders>
              <w:top w:val="single" w:sz="4" w:space="0" w:color="auto"/>
              <w:left w:val="nil"/>
              <w:right w:val="single" w:sz="4" w:space="0" w:color="auto"/>
            </w:tcBorders>
            <w:shd w:val="clear" w:color="000000" w:fill="BFBFBF"/>
            <w:vAlign w:val="center"/>
            <w:hideMark/>
          </w:tcPr>
          <w:p w14:paraId="40B6682F"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Catégories produits </w:t>
            </w:r>
          </w:p>
        </w:tc>
        <w:tc>
          <w:tcPr>
            <w:tcW w:w="1418" w:type="dxa"/>
            <w:tcBorders>
              <w:top w:val="single" w:sz="4" w:space="0" w:color="auto"/>
              <w:left w:val="nil"/>
              <w:right w:val="single" w:sz="4" w:space="0" w:color="auto"/>
            </w:tcBorders>
            <w:shd w:val="clear" w:color="000000" w:fill="BFBFBF"/>
            <w:vAlign w:val="center"/>
            <w:hideMark/>
          </w:tcPr>
          <w:p w14:paraId="30C7A6D8"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Total </w:t>
            </w:r>
          </w:p>
        </w:tc>
        <w:tc>
          <w:tcPr>
            <w:tcW w:w="283" w:type="dxa"/>
            <w:tcBorders>
              <w:top w:val="nil"/>
              <w:left w:val="nil"/>
              <w:bottom w:val="nil"/>
              <w:right w:val="nil"/>
            </w:tcBorders>
            <w:shd w:val="clear" w:color="auto" w:fill="auto"/>
            <w:noWrap/>
            <w:vAlign w:val="center"/>
            <w:hideMark/>
          </w:tcPr>
          <w:p w14:paraId="76588927"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single" w:sz="4" w:space="0" w:color="auto"/>
              <w:left w:val="single" w:sz="4" w:space="0" w:color="auto"/>
              <w:right w:val="single" w:sz="4" w:space="0" w:color="auto"/>
            </w:tcBorders>
            <w:shd w:val="clear" w:color="000000" w:fill="A6A6A6"/>
            <w:vAlign w:val="center"/>
            <w:hideMark/>
          </w:tcPr>
          <w:p w14:paraId="3D929175"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Nom. Comb. (N.C.)</w:t>
            </w:r>
          </w:p>
        </w:tc>
        <w:tc>
          <w:tcPr>
            <w:tcW w:w="1559" w:type="dxa"/>
            <w:tcBorders>
              <w:top w:val="single" w:sz="4" w:space="0" w:color="auto"/>
              <w:left w:val="nil"/>
              <w:right w:val="single" w:sz="4" w:space="0" w:color="auto"/>
            </w:tcBorders>
            <w:shd w:val="clear" w:color="000000" w:fill="A6A6A6"/>
            <w:vAlign w:val="center"/>
            <w:hideMark/>
          </w:tcPr>
          <w:p w14:paraId="3AE30BBF"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Libellé produit</w:t>
            </w:r>
          </w:p>
        </w:tc>
        <w:tc>
          <w:tcPr>
            <w:tcW w:w="1418" w:type="dxa"/>
            <w:tcBorders>
              <w:top w:val="single" w:sz="4" w:space="0" w:color="auto"/>
              <w:left w:val="nil"/>
              <w:right w:val="single" w:sz="4" w:space="0" w:color="auto"/>
            </w:tcBorders>
            <w:shd w:val="clear" w:color="000000" w:fill="A6A6A6"/>
            <w:vAlign w:val="center"/>
            <w:hideMark/>
          </w:tcPr>
          <w:p w14:paraId="33467AD9"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Exportation </w:t>
            </w:r>
          </w:p>
        </w:tc>
        <w:tc>
          <w:tcPr>
            <w:tcW w:w="1275" w:type="dxa"/>
            <w:tcBorders>
              <w:top w:val="single" w:sz="4" w:space="0" w:color="auto"/>
              <w:left w:val="nil"/>
              <w:right w:val="single" w:sz="4" w:space="0" w:color="auto"/>
            </w:tcBorders>
            <w:shd w:val="clear" w:color="000000" w:fill="A6A6A6"/>
            <w:vAlign w:val="center"/>
            <w:hideMark/>
          </w:tcPr>
          <w:p w14:paraId="31E3B638"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Importation </w:t>
            </w:r>
          </w:p>
        </w:tc>
        <w:tc>
          <w:tcPr>
            <w:tcW w:w="1134" w:type="dxa"/>
            <w:tcBorders>
              <w:top w:val="single" w:sz="4" w:space="0" w:color="auto"/>
              <w:left w:val="nil"/>
              <w:right w:val="single" w:sz="4" w:space="0" w:color="auto"/>
            </w:tcBorders>
            <w:shd w:val="clear" w:color="000000" w:fill="A6A6A6"/>
            <w:vAlign w:val="center"/>
            <w:hideMark/>
          </w:tcPr>
          <w:p w14:paraId="07D23E97"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Solde Net </w:t>
            </w:r>
          </w:p>
        </w:tc>
      </w:tr>
      <w:tr w:rsidR="00EA0576" w:rsidRPr="00EA0576" w14:paraId="04C727F0" w14:textId="77777777" w:rsidTr="00EA0576">
        <w:trPr>
          <w:trHeight w:val="465"/>
        </w:trPr>
        <w:tc>
          <w:tcPr>
            <w:tcW w:w="1197" w:type="dxa"/>
            <w:tcBorders>
              <w:left w:val="nil"/>
              <w:bottom w:val="nil"/>
              <w:right w:val="nil"/>
            </w:tcBorders>
            <w:shd w:val="clear" w:color="000000" w:fill="BFBFBF"/>
            <w:vAlign w:val="center"/>
            <w:hideMark/>
          </w:tcPr>
          <w:p w14:paraId="53793DF7"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 </w:t>
            </w:r>
          </w:p>
        </w:tc>
        <w:tc>
          <w:tcPr>
            <w:tcW w:w="1256" w:type="dxa"/>
            <w:tcBorders>
              <w:left w:val="single" w:sz="4" w:space="0" w:color="auto"/>
              <w:bottom w:val="single" w:sz="4" w:space="0" w:color="auto"/>
              <w:right w:val="single" w:sz="4" w:space="0" w:color="auto"/>
            </w:tcBorders>
            <w:shd w:val="clear" w:color="000000" w:fill="BFBFBF"/>
            <w:vAlign w:val="center"/>
            <w:hideMark/>
          </w:tcPr>
          <w:p w14:paraId="6D4B006C"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 </w:t>
            </w:r>
          </w:p>
        </w:tc>
        <w:tc>
          <w:tcPr>
            <w:tcW w:w="3779" w:type="dxa"/>
            <w:tcBorders>
              <w:left w:val="nil"/>
              <w:bottom w:val="single" w:sz="4" w:space="0" w:color="auto"/>
              <w:right w:val="single" w:sz="4" w:space="0" w:color="auto"/>
            </w:tcBorders>
            <w:shd w:val="clear" w:color="000000" w:fill="BFBFBF"/>
            <w:vAlign w:val="center"/>
            <w:hideMark/>
          </w:tcPr>
          <w:p w14:paraId="715C2B50" w14:textId="77777777" w:rsidR="00EA0576" w:rsidRPr="00EA0576" w:rsidRDefault="00EA0576" w:rsidP="00EA0576">
            <w:pPr>
              <w:spacing w:after="0" w:line="240" w:lineRule="auto"/>
              <w:jc w:val="left"/>
              <w:rPr>
                <w:rFonts w:eastAsia="Times New Roman" w:cs="Arial"/>
                <w:b/>
                <w:bCs/>
                <w:color w:val="000000"/>
                <w:sz w:val="20"/>
                <w:szCs w:val="20"/>
                <w:lang w:eastAsia="fr-FR"/>
              </w:rPr>
            </w:pPr>
            <w:r w:rsidRPr="00EA0576">
              <w:rPr>
                <w:rFonts w:eastAsia="Times New Roman" w:cs="Arial"/>
                <w:b/>
                <w:bCs/>
                <w:color w:val="000000"/>
                <w:sz w:val="20"/>
                <w:szCs w:val="20"/>
                <w:lang w:eastAsia="fr-FR"/>
              </w:rPr>
              <w:t>Total Autres cuits + mélanges charc. cuite</w:t>
            </w:r>
          </w:p>
        </w:tc>
        <w:tc>
          <w:tcPr>
            <w:tcW w:w="1418" w:type="dxa"/>
            <w:tcBorders>
              <w:left w:val="nil"/>
              <w:bottom w:val="single" w:sz="4" w:space="0" w:color="auto"/>
              <w:right w:val="single" w:sz="4" w:space="0" w:color="auto"/>
            </w:tcBorders>
            <w:shd w:val="clear" w:color="000000" w:fill="BFBFBF"/>
            <w:vAlign w:val="center"/>
            <w:hideMark/>
          </w:tcPr>
          <w:p w14:paraId="77F69478"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94   </w:t>
            </w:r>
          </w:p>
        </w:tc>
        <w:tc>
          <w:tcPr>
            <w:tcW w:w="283" w:type="dxa"/>
            <w:tcBorders>
              <w:top w:val="nil"/>
              <w:left w:val="nil"/>
              <w:bottom w:val="nil"/>
              <w:right w:val="nil"/>
            </w:tcBorders>
            <w:shd w:val="clear" w:color="auto" w:fill="auto"/>
            <w:noWrap/>
            <w:vAlign w:val="center"/>
            <w:hideMark/>
          </w:tcPr>
          <w:p w14:paraId="49AABBE6"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left w:val="single" w:sz="4" w:space="0" w:color="000000"/>
              <w:bottom w:val="single" w:sz="4" w:space="0" w:color="000000"/>
              <w:right w:val="single" w:sz="4" w:space="0" w:color="000000"/>
            </w:tcBorders>
            <w:shd w:val="clear" w:color="000000" w:fill="A6A6A6"/>
            <w:vAlign w:val="center"/>
            <w:hideMark/>
          </w:tcPr>
          <w:p w14:paraId="35F74D95"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 </w:t>
            </w:r>
          </w:p>
        </w:tc>
        <w:tc>
          <w:tcPr>
            <w:tcW w:w="1559" w:type="dxa"/>
            <w:tcBorders>
              <w:left w:val="nil"/>
              <w:bottom w:val="single" w:sz="4" w:space="0" w:color="000000"/>
              <w:right w:val="single" w:sz="4" w:space="0" w:color="000000"/>
            </w:tcBorders>
            <w:shd w:val="clear" w:color="000000" w:fill="A6A6A6"/>
            <w:vAlign w:val="center"/>
            <w:hideMark/>
          </w:tcPr>
          <w:p w14:paraId="6B681D99"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 </w:t>
            </w:r>
          </w:p>
        </w:tc>
        <w:tc>
          <w:tcPr>
            <w:tcW w:w="1418" w:type="dxa"/>
            <w:tcBorders>
              <w:left w:val="nil"/>
              <w:bottom w:val="single" w:sz="4" w:space="0" w:color="000000"/>
              <w:right w:val="single" w:sz="4" w:space="0" w:color="000000"/>
            </w:tcBorders>
            <w:shd w:val="clear" w:color="000000" w:fill="A6A6A6"/>
            <w:vAlign w:val="center"/>
            <w:hideMark/>
          </w:tcPr>
          <w:p w14:paraId="144479EF"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                  4   </w:t>
            </w:r>
          </w:p>
        </w:tc>
        <w:tc>
          <w:tcPr>
            <w:tcW w:w="1275" w:type="dxa"/>
            <w:tcBorders>
              <w:left w:val="nil"/>
              <w:bottom w:val="single" w:sz="4" w:space="0" w:color="000000"/>
              <w:right w:val="single" w:sz="4" w:space="0" w:color="000000"/>
            </w:tcBorders>
            <w:shd w:val="clear" w:color="000000" w:fill="A6A6A6"/>
            <w:vAlign w:val="center"/>
            <w:hideMark/>
          </w:tcPr>
          <w:p w14:paraId="22068956"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                   13   </w:t>
            </w:r>
          </w:p>
        </w:tc>
        <w:tc>
          <w:tcPr>
            <w:tcW w:w="1134" w:type="dxa"/>
            <w:tcBorders>
              <w:left w:val="nil"/>
              <w:bottom w:val="single" w:sz="4" w:space="0" w:color="000000"/>
              <w:right w:val="single" w:sz="4" w:space="0" w:color="000000"/>
            </w:tcBorders>
            <w:shd w:val="clear" w:color="000000" w:fill="A6A6A6"/>
            <w:vAlign w:val="center"/>
            <w:hideMark/>
          </w:tcPr>
          <w:p w14:paraId="6FCF74F7"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xml:space="preserve">          104   </w:t>
            </w:r>
          </w:p>
        </w:tc>
      </w:tr>
      <w:tr w:rsidR="00EA0576" w:rsidRPr="00EA0576" w14:paraId="1CAF78FF" w14:textId="77777777" w:rsidTr="00EA0576">
        <w:trPr>
          <w:trHeight w:val="825"/>
        </w:trPr>
        <w:tc>
          <w:tcPr>
            <w:tcW w:w="1197" w:type="dxa"/>
            <w:tcBorders>
              <w:top w:val="single" w:sz="4" w:space="0" w:color="000000"/>
              <w:left w:val="single" w:sz="4" w:space="0" w:color="000000"/>
              <w:bottom w:val="single" w:sz="4" w:space="0" w:color="000000"/>
              <w:right w:val="single" w:sz="4" w:space="0" w:color="000000"/>
            </w:tcBorders>
            <w:shd w:val="clear" w:color="000000" w:fill="BFBFBF"/>
            <w:vAlign w:val="center"/>
            <w:hideMark/>
          </w:tcPr>
          <w:p w14:paraId="6753CD92"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10.13.15.75</w:t>
            </w:r>
          </w:p>
        </w:tc>
        <w:tc>
          <w:tcPr>
            <w:tcW w:w="1256" w:type="dxa"/>
            <w:tcBorders>
              <w:top w:val="nil"/>
              <w:left w:val="nil"/>
              <w:bottom w:val="single" w:sz="4" w:space="0" w:color="000000"/>
              <w:right w:val="single" w:sz="4" w:space="0" w:color="000000"/>
            </w:tcBorders>
            <w:shd w:val="clear" w:color="000000" w:fill="BFBFBF"/>
            <w:vAlign w:val="center"/>
            <w:hideMark/>
          </w:tcPr>
          <w:p w14:paraId="15023A66"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1602.49 non compris 1602.49.50</w:t>
            </w:r>
          </w:p>
        </w:tc>
        <w:tc>
          <w:tcPr>
            <w:tcW w:w="3779" w:type="dxa"/>
            <w:tcBorders>
              <w:top w:val="nil"/>
              <w:left w:val="nil"/>
              <w:bottom w:val="single" w:sz="4" w:space="0" w:color="000000"/>
              <w:right w:val="single" w:sz="4" w:space="0" w:color="000000"/>
            </w:tcBorders>
            <w:shd w:val="clear" w:color="000000" w:fill="BFBFBF"/>
            <w:vAlign w:val="center"/>
            <w:hideMark/>
          </w:tcPr>
          <w:p w14:paraId="11872529"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Autres pièces cuites</w:t>
            </w:r>
          </w:p>
        </w:tc>
        <w:tc>
          <w:tcPr>
            <w:tcW w:w="1418" w:type="dxa"/>
            <w:tcBorders>
              <w:top w:val="nil"/>
              <w:left w:val="nil"/>
              <w:bottom w:val="single" w:sz="4" w:space="0" w:color="auto"/>
              <w:right w:val="single" w:sz="4" w:space="0" w:color="auto"/>
            </w:tcBorders>
            <w:shd w:val="clear" w:color="000000" w:fill="BFBFBF"/>
            <w:vAlign w:val="center"/>
            <w:hideMark/>
          </w:tcPr>
          <w:p w14:paraId="08A96206"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30   </w:t>
            </w:r>
          </w:p>
        </w:tc>
        <w:tc>
          <w:tcPr>
            <w:tcW w:w="283" w:type="dxa"/>
            <w:tcBorders>
              <w:top w:val="nil"/>
              <w:left w:val="nil"/>
              <w:bottom w:val="nil"/>
              <w:right w:val="nil"/>
            </w:tcBorders>
            <w:shd w:val="clear" w:color="auto" w:fill="auto"/>
            <w:noWrap/>
            <w:vAlign w:val="center"/>
            <w:hideMark/>
          </w:tcPr>
          <w:p w14:paraId="652248A2"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single" w:sz="4" w:space="0" w:color="000000"/>
              <w:bottom w:val="single" w:sz="4" w:space="0" w:color="000000"/>
              <w:right w:val="single" w:sz="4" w:space="0" w:color="000000"/>
            </w:tcBorders>
            <w:shd w:val="clear" w:color="000000" w:fill="A6A6A6"/>
            <w:vAlign w:val="center"/>
            <w:hideMark/>
          </w:tcPr>
          <w:p w14:paraId="6F49617D"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 </w:t>
            </w:r>
          </w:p>
        </w:tc>
        <w:tc>
          <w:tcPr>
            <w:tcW w:w="1559" w:type="dxa"/>
            <w:tcBorders>
              <w:top w:val="nil"/>
              <w:left w:val="nil"/>
              <w:bottom w:val="single" w:sz="4" w:space="0" w:color="000000"/>
              <w:right w:val="single" w:sz="4" w:space="0" w:color="000000"/>
            </w:tcBorders>
            <w:shd w:val="clear" w:color="000000" w:fill="A6A6A6"/>
            <w:vAlign w:val="center"/>
            <w:hideMark/>
          </w:tcPr>
          <w:p w14:paraId="6D2DF52A"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 </w:t>
            </w:r>
          </w:p>
        </w:tc>
        <w:tc>
          <w:tcPr>
            <w:tcW w:w="1418" w:type="dxa"/>
            <w:tcBorders>
              <w:top w:val="nil"/>
              <w:left w:val="nil"/>
              <w:bottom w:val="single" w:sz="4" w:space="0" w:color="000000"/>
              <w:right w:val="single" w:sz="4" w:space="0" w:color="000000"/>
            </w:tcBorders>
            <w:shd w:val="clear" w:color="000000" w:fill="A6A6A6"/>
            <w:vAlign w:val="center"/>
            <w:hideMark/>
          </w:tcPr>
          <w:p w14:paraId="172336BC"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c>
          <w:tcPr>
            <w:tcW w:w="1275" w:type="dxa"/>
            <w:tcBorders>
              <w:top w:val="nil"/>
              <w:left w:val="nil"/>
              <w:bottom w:val="single" w:sz="4" w:space="0" w:color="000000"/>
              <w:right w:val="single" w:sz="4" w:space="0" w:color="000000"/>
            </w:tcBorders>
            <w:shd w:val="clear" w:color="000000" w:fill="A6A6A6"/>
            <w:vAlign w:val="center"/>
            <w:hideMark/>
          </w:tcPr>
          <w:p w14:paraId="3CF7821E"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c>
          <w:tcPr>
            <w:tcW w:w="1134" w:type="dxa"/>
            <w:tcBorders>
              <w:top w:val="nil"/>
              <w:left w:val="nil"/>
              <w:bottom w:val="single" w:sz="4" w:space="0" w:color="000000"/>
              <w:right w:val="single" w:sz="4" w:space="0" w:color="000000"/>
            </w:tcBorders>
            <w:shd w:val="clear" w:color="000000" w:fill="A6A6A6"/>
            <w:vAlign w:val="center"/>
            <w:hideMark/>
          </w:tcPr>
          <w:p w14:paraId="7E479F19"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0C027892" w14:textId="77777777" w:rsidTr="00EA0576">
        <w:trPr>
          <w:trHeight w:val="442"/>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12C18C4E"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2630529F"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26DE5FC7" w14:textId="77777777"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Dont Rôtis de porc cuits / Jambonneaux cuits</w:t>
            </w:r>
          </w:p>
        </w:tc>
        <w:tc>
          <w:tcPr>
            <w:tcW w:w="1418" w:type="dxa"/>
            <w:tcBorders>
              <w:top w:val="nil"/>
              <w:left w:val="nil"/>
              <w:bottom w:val="single" w:sz="4" w:space="0" w:color="auto"/>
              <w:right w:val="single" w:sz="4" w:space="0" w:color="auto"/>
            </w:tcBorders>
            <w:shd w:val="clear" w:color="auto" w:fill="auto"/>
            <w:vAlign w:val="center"/>
            <w:hideMark/>
          </w:tcPr>
          <w:p w14:paraId="3C0D09BE"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21   </w:t>
            </w:r>
          </w:p>
        </w:tc>
        <w:tc>
          <w:tcPr>
            <w:tcW w:w="283" w:type="dxa"/>
            <w:tcBorders>
              <w:top w:val="nil"/>
              <w:left w:val="nil"/>
              <w:bottom w:val="nil"/>
              <w:right w:val="nil"/>
            </w:tcBorders>
            <w:shd w:val="clear" w:color="auto" w:fill="auto"/>
            <w:noWrap/>
            <w:vAlign w:val="center"/>
            <w:hideMark/>
          </w:tcPr>
          <w:p w14:paraId="5B3B9D8E"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19184122"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16024913</w:t>
            </w:r>
          </w:p>
        </w:tc>
        <w:tc>
          <w:tcPr>
            <w:tcW w:w="1559" w:type="dxa"/>
            <w:tcBorders>
              <w:top w:val="nil"/>
              <w:left w:val="nil"/>
              <w:bottom w:val="single" w:sz="4" w:space="0" w:color="auto"/>
              <w:right w:val="single" w:sz="4" w:space="0" w:color="auto"/>
            </w:tcBorders>
            <w:shd w:val="clear" w:color="auto" w:fill="auto"/>
            <w:vAlign w:val="center"/>
            <w:hideMark/>
          </w:tcPr>
          <w:p w14:paraId="52876215"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d'échines</w:t>
            </w:r>
          </w:p>
        </w:tc>
        <w:tc>
          <w:tcPr>
            <w:tcW w:w="1418" w:type="dxa"/>
            <w:tcBorders>
              <w:top w:val="nil"/>
              <w:left w:val="nil"/>
              <w:bottom w:val="single" w:sz="4" w:space="0" w:color="auto"/>
              <w:right w:val="single" w:sz="4" w:space="0" w:color="auto"/>
            </w:tcBorders>
            <w:shd w:val="clear" w:color="auto" w:fill="auto"/>
            <w:vAlign w:val="center"/>
            <w:hideMark/>
          </w:tcPr>
          <w:p w14:paraId="2ECAAA54"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0,2   </w:t>
            </w:r>
          </w:p>
        </w:tc>
        <w:tc>
          <w:tcPr>
            <w:tcW w:w="1275" w:type="dxa"/>
            <w:tcBorders>
              <w:top w:val="nil"/>
              <w:left w:val="nil"/>
              <w:bottom w:val="single" w:sz="4" w:space="0" w:color="auto"/>
              <w:right w:val="single" w:sz="4" w:space="0" w:color="auto"/>
            </w:tcBorders>
            <w:shd w:val="clear" w:color="auto" w:fill="auto"/>
            <w:vAlign w:val="center"/>
            <w:hideMark/>
          </w:tcPr>
          <w:p w14:paraId="2FF5252B"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0,1   </w:t>
            </w:r>
          </w:p>
        </w:tc>
        <w:tc>
          <w:tcPr>
            <w:tcW w:w="1134" w:type="dxa"/>
            <w:tcBorders>
              <w:top w:val="nil"/>
              <w:left w:val="nil"/>
              <w:bottom w:val="single" w:sz="4" w:space="0" w:color="000000"/>
              <w:right w:val="single" w:sz="4" w:space="0" w:color="000000"/>
            </w:tcBorders>
            <w:shd w:val="clear" w:color="auto" w:fill="auto"/>
            <w:vAlign w:val="center"/>
            <w:hideMark/>
          </w:tcPr>
          <w:p w14:paraId="6A9FB57D"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5FBA05E8" w14:textId="77777777" w:rsidTr="00EA0576">
        <w:trPr>
          <w:trHeight w:val="453"/>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55D82BB1"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6110F70C"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62E267B7" w14:textId="77777777"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Dont Jambon de Reims, de Bourgogne, de l'Ardèche, persillé, poitrine cuite, etc</w:t>
            </w:r>
          </w:p>
        </w:tc>
        <w:tc>
          <w:tcPr>
            <w:tcW w:w="1418" w:type="dxa"/>
            <w:tcBorders>
              <w:top w:val="nil"/>
              <w:left w:val="nil"/>
              <w:bottom w:val="single" w:sz="4" w:space="0" w:color="auto"/>
              <w:right w:val="single" w:sz="4" w:space="0" w:color="auto"/>
            </w:tcBorders>
            <w:shd w:val="clear" w:color="auto" w:fill="auto"/>
            <w:vAlign w:val="center"/>
            <w:hideMark/>
          </w:tcPr>
          <w:p w14:paraId="22B1C7F3"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9   </w:t>
            </w:r>
          </w:p>
        </w:tc>
        <w:tc>
          <w:tcPr>
            <w:tcW w:w="283" w:type="dxa"/>
            <w:tcBorders>
              <w:top w:val="nil"/>
              <w:left w:val="nil"/>
              <w:bottom w:val="nil"/>
              <w:right w:val="nil"/>
            </w:tcBorders>
            <w:shd w:val="clear" w:color="auto" w:fill="auto"/>
            <w:noWrap/>
            <w:vAlign w:val="center"/>
            <w:hideMark/>
          </w:tcPr>
          <w:p w14:paraId="19508168"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40813B3D"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16024911</w:t>
            </w:r>
          </w:p>
        </w:tc>
        <w:tc>
          <w:tcPr>
            <w:tcW w:w="1559" w:type="dxa"/>
            <w:tcBorders>
              <w:top w:val="nil"/>
              <w:left w:val="nil"/>
              <w:bottom w:val="single" w:sz="4" w:space="0" w:color="auto"/>
              <w:right w:val="single" w:sz="4" w:space="0" w:color="auto"/>
            </w:tcBorders>
            <w:shd w:val="clear" w:color="auto" w:fill="auto"/>
            <w:vAlign w:val="center"/>
            <w:hideMark/>
          </w:tcPr>
          <w:p w14:paraId="38CA5F70"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de longes</w:t>
            </w:r>
          </w:p>
        </w:tc>
        <w:tc>
          <w:tcPr>
            <w:tcW w:w="1418" w:type="dxa"/>
            <w:tcBorders>
              <w:top w:val="nil"/>
              <w:left w:val="nil"/>
              <w:bottom w:val="single" w:sz="4" w:space="0" w:color="auto"/>
              <w:right w:val="single" w:sz="4" w:space="0" w:color="auto"/>
            </w:tcBorders>
            <w:shd w:val="clear" w:color="auto" w:fill="auto"/>
            <w:vAlign w:val="center"/>
            <w:hideMark/>
          </w:tcPr>
          <w:p w14:paraId="46BC2214"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0,1   </w:t>
            </w:r>
          </w:p>
        </w:tc>
        <w:tc>
          <w:tcPr>
            <w:tcW w:w="1275" w:type="dxa"/>
            <w:tcBorders>
              <w:top w:val="nil"/>
              <w:left w:val="nil"/>
              <w:bottom w:val="single" w:sz="4" w:space="0" w:color="auto"/>
              <w:right w:val="single" w:sz="4" w:space="0" w:color="auto"/>
            </w:tcBorders>
            <w:shd w:val="clear" w:color="auto" w:fill="auto"/>
            <w:vAlign w:val="center"/>
            <w:hideMark/>
          </w:tcPr>
          <w:p w14:paraId="3A7443AA"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2,3   </w:t>
            </w:r>
          </w:p>
        </w:tc>
        <w:tc>
          <w:tcPr>
            <w:tcW w:w="1134" w:type="dxa"/>
            <w:tcBorders>
              <w:top w:val="nil"/>
              <w:left w:val="nil"/>
              <w:bottom w:val="single" w:sz="4" w:space="0" w:color="000000"/>
              <w:right w:val="single" w:sz="4" w:space="0" w:color="000000"/>
            </w:tcBorders>
            <w:shd w:val="clear" w:color="auto" w:fill="auto"/>
            <w:vAlign w:val="center"/>
            <w:hideMark/>
          </w:tcPr>
          <w:p w14:paraId="1954A7E7"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5176943E" w14:textId="77777777" w:rsidTr="00EA0576">
        <w:trPr>
          <w:trHeight w:val="690"/>
        </w:trPr>
        <w:tc>
          <w:tcPr>
            <w:tcW w:w="1197" w:type="dxa"/>
            <w:tcBorders>
              <w:top w:val="nil"/>
              <w:left w:val="single" w:sz="4" w:space="0" w:color="000000"/>
              <w:bottom w:val="single" w:sz="4" w:space="0" w:color="000000"/>
              <w:right w:val="single" w:sz="4" w:space="0" w:color="000000"/>
            </w:tcBorders>
            <w:shd w:val="clear" w:color="000000" w:fill="BFBFBF"/>
            <w:vAlign w:val="center"/>
            <w:hideMark/>
          </w:tcPr>
          <w:p w14:paraId="7E818FEF"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10.13.15.75</w:t>
            </w:r>
          </w:p>
        </w:tc>
        <w:tc>
          <w:tcPr>
            <w:tcW w:w="1256" w:type="dxa"/>
            <w:tcBorders>
              <w:top w:val="nil"/>
              <w:left w:val="nil"/>
              <w:bottom w:val="single" w:sz="4" w:space="0" w:color="000000"/>
              <w:right w:val="single" w:sz="4" w:space="0" w:color="000000"/>
            </w:tcBorders>
            <w:shd w:val="clear" w:color="000000" w:fill="BFBFBF"/>
            <w:vAlign w:val="center"/>
            <w:hideMark/>
          </w:tcPr>
          <w:p w14:paraId="4B7BD14A"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1602.49 non compris 1602.49.50</w:t>
            </w:r>
          </w:p>
        </w:tc>
        <w:tc>
          <w:tcPr>
            <w:tcW w:w="3779" w:type="dxa"/>
            <w:tcBorders>
              <w:top w:val="nil"/>
              <w:left w:val="nil"/>
              <w:bottom w:val="single" w:sz="4" w:space="0" w:color="000000"/>
              <w:right w:val="single" w:sz="4" w:space="0" w:color="000000"/>
            </w:tcBorders>
            <w:shd w:val="clear" w:color="000000" w:fill="BFBFBF"/>
            <w:vAlign w:val="center"/>
            <w:hideMark/>
          </w:tcPr>
          <w:p w14:paraId="6818DB52"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Pâtés autres que de foie</w:t>
            </w:r>
          </w:p>
        </w:tc>
        <w:tc>
          <w:tcPr>
            <w:tcW w:w="1418" w:type="dxa"/>
            <w:tcBorders>
              <w:top w:val="nil"/>
              <w:left w:val="nil"/>
              <w:bottom w:val="single" w:sz="4" w:space="0" w:color="auto"/>
              <w:right w:val="single" w:sz="4" w:space="0" w:color="auto"/>
            </w:tcBorders>
            <w:shd w:val="clear" w:color="000000" w:fill="BFBFBF"/>
            <w:vAlign w:val="center"/>
            <w:hideMark/>
          </w:tcPr>
          <w:p w14:paraId="1CA2D805"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36   </w:t>
            </w:r>
          </w:p>
        </w:tc>
        <w:tc>
          <w:tcPr>
            <w:tcW w:w="283" w:type="dxa"/>
            <w:tcBorders>
              <w:top w:val="nil"/>
              <w:left w:val="nil"/>
              <w:bottom w:val="nil"/>
              <w:right w:val="nil"/>
            </w:tcBorders>
            <w:shd w:val="clear" w:color="auto" w:fill="auto"/>
            <w:noWrap/>
            <w:vAlign w:val="center"/>
            <w:hideMark/>
          </w:tcPr>
          <w:p w14:paraId="2E45FBA1"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4DD311B9"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16024919</w:t>
            </w:r>
          </w:p>
        </w:tc>
        <w:tc>
          <w:tcPr>
            <w:tcW w:w="1559" w:type="dxa"/>
            <w:tcBorders>
              <w:top w:val="nil"/>
              <w:left w:val="nil"/>
              <w:bottom w:val="single" w:sz="4" w:space="0" w:color="auto"/>
              <w:right w:val="single" w:sz="4" w:space="0" w:color="auto"/>
            </w:tcBorders>
            <w:shd w:val="clear" w:color="auto" w:fill="auto"/>
            <w:vAlign w:val="center"/>
            <w:hideMark/>
          </w:tcPr>
          <w:p w14:paraId="355BD5ED"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de viande (&gt;= 80%)</w:t>
            </w:r>
          </w:p>
        </w:tc>
        <w:tc>
          <w:tcPr>
            <w:tcW w:w="1418" w:type="dxa"/>
            <w:tcBorders>
              <w:top w:val="nil"/>
              <w:left w:val="nil"/>
              <w:bottom w:val="single" w:sz="4" w:space="0" w:color="auto"/>
              <w:right w:val="single" w:sz="4" w:space="0" w:color="auto"/>
            </w:tcBorders>
            <w:shd w:val="clear" w:color="auto" w:fill="auto"/>
            <w:vAlign w:val="center"/>
            <w:hideMark/>
          </w:tcPr>
          <w:p w14:paraId="1F2AB845"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3   </w:t>
            </w:r>
          </w:p>
        </w:tc>
        <w:tc>
          <w:tcPr>
            <w:tcW w:w="1275" w:type="dxa"/>
            <w:tcBorders>
              <w:top w:val="nil"/>
              <w:left w:val="nil"/>
              <w:bottom w:val="single" w:sz="4" w:space="0" w:color="auto"/>
              <w:right w:val="single" w:sz="4" w:space="0" w:color="auto"/>
            </w:tcBorders>
            <w:shd w:val="clear" w:color="auto" w:fill="auto"/>
            <w:vAlign w:val="center"/>
            <w:hideMark/>
          </w:tcPr>
          <w:p w14:paraId="44EBFA5F"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5   </w:t>
            </w:r>
          </w:p>
        </w:tc>
        <w:tc>
          <w:tcPr>
            <w:tcW w:w="1134" w:type="dxa"/>
            <w:tcBorders>
              <w:top w:val="nil"/>
              <w:left w:val="nil"/>
              <w:bottom w:val="single" w:sz="4" w:space="0" w:color="000000"/>
              <w:right w:val="single" w:sz="4" w:space="0" w:color="000000"/>
            </w:tcBorders>
            <w:shd w:val="clear" w:color="auto" w:fill="auto"/>
            <w:vAlign w:val="center"/>
            <w:hideMark/>
          </w:tcPr>
          <w:p w14:paraId="2BF0D70B"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2A11C270" w14:textId="77777777" w:rsidTr="00EA0576">
        <w:trPr>
          <w:trHeight w:val="600"/>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4D21E0CB"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27B9B685"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1A9BDFF0" w14:textId="77777777"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Dont Pâtés de campagne</w:t>
            </w:r>
          </w:p>
        </w:tc>
        <w:tc>
          <w:tcPr>
            <w:tcW w:w="1418" w:type="dxa"/>
            <w:tcBorders>
              <w:top w:val="nil"/>
              <w:left w:val="nil"/>
              <w:bottom w:val="single" w:sz="4" w:space="0" w:color="auto"/>
              <w:right w:val="single" w:sz="4" w:space="0" w:color="auto"/>
            </w:tcBorders>
            <w:shd w:val="clear" w:color="auto" w:fill="auto"/>
            <w:vAlign w:val="center"/>
            <w:hideMark/>
          </w:tcPr>
          <w:p w14:paraId="68EAC8EF"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19   </w:t>
            </w:r>
          </w:p>
        </w:tc>
        <w:tc>
          <w:tcPr>
            <w:tcW w:w="283" w:type="dxa"/>
            <w:tcBorders>
              <w:top w:val="nil"/>
              <w:left w:val="nil"/>
              <w:bottom w:val="nil"/>
              <w:right w:val="nil"/>
            </w:tcBorders>
            <w:shd w:val="clear" w:color="auto" w:fill="auto"/>
            <w:noWrap/>
            <w:vAlign w:val="center"/>
            <w:hideMark/>
          </w:tcPr>
          <w:p w14:paraId="122B755C"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2841F98E"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16024930</w:t>
            </w:r>
          </w:p>
        </w:tc>
        <w:tc>
          <w:tcPr>
            <w:tcW w:w="1559" w:type="dxa"/>
            <w:tcBorders>
              <w:top w:val="nil"/>
              <w:left w:val="nil"/>
              <w:bottom w:val="single" w:sz="4" w:space="0" w:color="auto"/>
              <w:right w:val="single" w:sz="4" w:space="0" w:color="auto"/>
            </w:tcBorders>
            <w:shd w:val="clear" w:color="auto" w:fill="auto"/>
            <w:vAlign w:val="center"/>
            <w:hideMark/>
          </w:tcPr>
          <w:p w14:paraId="060F79BB"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de viande/abats (&gt;=40%-&lt;80%)</w:t>
            </w:r>
          </w:p>
        </w:tc>
        <w:tc>
          <w:tcPr>
            <w:tcW w:w="1418" w:type="dxa"/>
            <w:tcBorders>
              <w:top w:val="nil"/>
              <w:left w:val="nil"/>
              <w:bottom w:val="single" w:sz="4" w:space="0" w:color="auto"/>
              <w:right w:val="single" w:sz="4" w:space="0" w:color="auto"/>
            </w:tcBorders>
            <w:shd w:val="clear" w:color="auto" w:fill="auto"/>
            <w:vAlign w:val="center"/>
            <w:hideMark/>
          </w:tcPr>
          <w:p w14:paraId="1ABDB6CE"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1   </w:t>
            </w:r>
          </w:p>
        </w:tc>
        <w:tc>
          <w:tcPr>
            <w:tcW w:w="1275" w:type="dxa"/>
            <w:tcBorders>
              <w:top w:val="nil"/>
              <w:left w:val="nil"/>
              <w:bottom w:val="single" w:sz="4" w:space="0" w:color="auto"/>
              <w:right w:val="single" w:sz="4" w:space="0" w:color="auto"/>
            </w:tcBorders>
            <w:shd w:val="clear" w:color="auto" w:fill="auto"/>
            <w:vAlign w:val="center"/>
            <w:hideMark/>
          </w:tcPr>
          <w:p w14:paraId="7B1AB554"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5   </w:t>
            </w:r>
          </w:p>
        </w:tc>
        <w:tc>
          <w:tcPr>
            <w:tcW w:w="1134" w:type="dxa"/>
            <w:tcBorders>
              <w:top w:val="nil"/>
              <w:left w:val="nil"/>
              <w:bottom w:val="single" w:sz="4" w:space="0" w:color="000000"/>
              <w:right w:val="single" w:sz="4" w:space="0" w:color="000000"/>
            </w:tcBorders>
            <w:shd w:val="clear" w:color="auto" w:fill="auto"/>
            <w:vAlign w:val="center"/>
            <w:hideMark/>
          </w:tcPr>
          <w:p w14:paraId="4AAB5612"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216674A2" w14:textId="77777777" w:rsidTr="008A36B5">
        <w:trPr>
          <w:trHeight w:val="747"/>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065D0A9F"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3A6D37A0"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0AFBC201" w14:textId="77777777"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Dont Pâtés en croûte</w:t>
            </w:r>
          </w:p>
        </w:tc>
        <w:tc>
          <w:tcPr>
            <w:tcW w:w="1418" w:type="dxa"/>
            <w:tcBorders>
              <w:top w:val="nil"/>
              <w:left w:val="nil"/>
              <w:bottom w:val="single" w:sz="4" w:space="0" w:color="auto"/>
              <w:right w:val="single" w:sz="4" w:space="0" w:color="auto"/>
            </w:tcBorders>
            <w:shd w:val="clear" w:color="auto" w:fill="auto"/>
            <w:vAlign w:val="center"/>
            <w:hideMark/>
          </w:tcPr>
          <w:p w14:paraId="774E61C6"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10   </w:t>
            </w:r>
          </w:p>
        </w:tc>
        <w:tc>
          <w:tcPr>
            <w:tcW w:w="283" w:type="dxa"/>
            <w:tcBorders>
              <w:top w:val="nil"/>
              <w:left w:val="nil"/>
              <w:bottom w:val="nil"/>
              <w:right w:val="nil"/>
            </w:tcBorders>
            <w:shd w:val="clear" w:color="auto" w:fill="auto"/>
            <w:noWrap/>
            <w:vAlign w:val="center"/>
            <w:hideMark/>
          </w:tcPr>
          <w:p w14:paraId="1509D8BA"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nil"/>
              <w:left w:val="single" w:sz="4" w:space="0" w:color="auto"/>
              <w:bottom w:val="single" w:sz="4" w:space="0" w:color="auto"/>
              <w:right w:val="single" w:sz="4" w:space="0" w:color="auto"/>
            </w:tcBorders>
            <w:shd w:val="clear" w:color="auto" w:fill="auto"/>
            <w:vAlign w:val="center"/>
            <w:hideMark/>
          </w:tcPr>
          <w:p w14:paraId="35CC0B59"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16024915</w:t>
            </w:r>
          </w:p>
        </w:tc>
        <w:tc>
          <w:tcPr>
            <w:tcW w:w="1559" w:type="dxa"/>
            <w:tcBorders>
              <w:top w:val="nil"/>
              <w:left w:val="nil"/>
              <w:bottom w:val="single" w:sz="4" w:space="0" w:color="auto"/>
              <w:right w:val="single" w:sz="4" w:space="0" w:color="auto"/>
            </w:tcBorders>
            <w:shd w:val="clear" w:color="auto" w:fill="auto"/>
            <w:vAlign w:val="center"/>
            <w:hideMark/>
          </w:tcPr>
          <w:p w14:paraId="6FDC1C83" w14:textId="77777777" w:rsidR="00EA0576" w:rsidRPr="00EA0576" w:rsidRDefault="00EA0576" w:rsidP="00EA0576">
            <w:pPr>
              <w:spacing w:after="0" w:line="240" w:lineRule="auto"/>
              <w:jc w:val="left"/>
              <w:rPr>
                <w:rFonts w:eastAsia="Times New Roman" w:cs="Arial"/>
                <w:color w:val="000000"/>
                <w:sz w:val="20"/>
                <w:szCs w:val="20"/>
                <w:lang w:eastAsia="fr-FR"/>
              </w:rPr>
            </w:pPr>
            <w:r w:rsidRPr="00EA0576">
              <w:rPr>
                <w:rFonts w:eastAsia="Times New Roman" w:cs="Arial"/>
                <w:color w:val="000000"/>
                <w:sz w:val="20"/>
                <w:szCs w:val="20"/>
                <w:lang w:eastAsia="fr-FR"/>
              </w:rPr>
              <w:t>Prép./cons. de mélanges</w:t>
            </w:r>
          </w:p>
        </w:tc>
        <w:tc>
          <w:tcPr>
            <w:tcW w:w="1418" w:type="dxa"/>
            <w:tcBorders>
              <w:top w:val="nil"/>
              <w:left w:val="nil"/>
              <w:bottom w:val="single" w:sz="4" w:space="0" w:color="auto"/>
              <w:right w:val="single" w:sz="4" w:space="0" w:color="auto"/>
            </w:tcBorders>
            <w:shd w:val="clear" w:color="auto" w:fill="auto"/>
            <w:vAlign w:val="center"/>
            <w:hideMark/>
          </w:tcPr>
          <w:p w14:paraId="6A3EBCDB"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   </w:t>
            </w:r>
          </w:p>
        </w:tc>
        <w:tc>
          <w:tcPr>
            <w:tcW w:w="1275" w:type="dxa"/>
            <w:tcBorders>
              <w:top w:val="nil"/>
              <w:left w:val="nil"/>
              <w:bottom w:val="single" w:sz="4" w:space="0" w:color="auto"/>
              <w:right w:val="single" w:sz="4" w:space="0" w:color="auto"/>
            </w:tcBorders>
            <w:shd w:val="clear" w:color="auto" w:fill="auto"/>
            <w:vAlign w:val="center"/>
            <w:hideMark/>
          </w:tcPr>
          <w:p w14:paraId="03E013B9"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0   </w:t>
            </w:r>
          </w:p>
        </w:tc>
        <w:tc>
          <w:tcPr>
            <w:tcW w:w="1134" w:type="dxa"/>
            <w:tcBorders>
              <w:top w:val="nil"/>
              <w:left w:val="nil"/>
              <w:bottom w:val="single" w:sz="4" w:space="0" w:color="auto"/>
              <w:right w:val="single" w:sz="4" w:space="0" w:color="000000"/>
            </w:tcBorders>
            <w:shd w:val="clear" w:color="auto" w:fill="auto"/>
            <w:vAlign w:val="center"/>
            <w:hideMark/>
          </w:tcPr>
          <w:p w14:paraId="466164D7" w14:textId="77777777" w:rsidR="00EA0576" w:rsidRPr="00EA0576" w:rsidRDefault="00EA0576" w:rsidP="00EA0576">
            <w:pPr>
              <w:spacing w:after="0" w:line="240" w:lineRule="auto"/>
              <w:jc w:val="center"/>
              <w:rPr>
                <w:rFonts w:eastAsia="Times New Roman" w:cs="Arial"/>
                <w:b/>
                <w:bCs/>
                <w:sz w:val="20"/>
                <w:szCs w:val="20"/>
                <w:lang w:eastAsia="fr-FR"/>
              </w:rPr>
            </w:pPr>
            <w:r w:rsidRPr="00EA0576">
              <w:rPr>
                <w:rFonts w:eastAsia="Times New Roman" w:cs="Arial"/>
                <w:b/>
                <w:bCs/>
                <w:sz w:val="20"/>
                <w:szCs w:val="20"/>
                <w:lang w:eastAsia="fr-FR"/>
              </w:rPr>
              <w:t> </w:t>
            </w:r>
          </w:p>
        </w:tc>
      </w:tr>
      <w:tr w:rsidR="00EA0576" w:rsidRPr="00EA0576" w14:paraId="06BD8D77" w14:textId="77777777" w:rsidTr="00EA0576">
        <w:trPr>
          <w:trHeight w:val="795"/>
        </w:trPr>
        <w:tc>
          <w:tcPr>
            <w:tcW w:w="1197" w:type="dxa"/>
            <w:tcBorders>
              <w:top w:val="nil"/>
              <w:left w:val="single" w:sz="4" w:space="0" w:color="000000"/>
              <w:bottom w:val="single" w:sz="4" w:space="0" w:color="000000"/>
              <w:right w:val="single" w:sz="4" w:space="0" w:color="000000"/>
            </w:tcBorders>
            <w:shd w:val="clear" w:color="auto" w:fill="auto"/>
            <w:vAlign w:val="center"/>
            <w:hideMark/>
          </w:tcPr>
          <w:p w14:paraId="72952D3C"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1256" w:type="dxa"/>
            <w:tcBorders>
              <w:top w:val="nil"/>
              <w:left w:val="nil"/>
              <w:bottom w:val="single" w:sz="4" w:space="0" w:color="000000"/>
              <w:right w:val="single" w:sz="4" w:space="0" w:color="000000"/>
            </w:tcBorders>
            <w:shd w:val="clear" w:color="auto" w:fill="auto"/>
            <w:vAlign w:val="center"/>
            <w:hideMark/>
          </w:tcPr>
          <w:p w14:paraId="5FF55473" w14:textId="77777777" w:rsidR="00EA0576" w:rsidRPr="00EA0576" w:rsidRDefault="00EA0576" w:rsidP="00EA0576">
            <w:pPr>
              <w:spacing w:after="0" w:line="240" w:lineRule="auto"/>
              <w:jc w:val="left"/>
              <w:rPr>
                <w:rFonts w:ascii="Times New Roman" w:eastAsia="Times New Roman" w:hAnsi="Times New Roman" w:cs="Times New Roman"/>
                <w:color w:val="000000"/>
                <w:sz w:val="20"/>
                <w:szCs w:val="20"/>
                <w:lang w:eastAsia="fr-FR"/>
              </w:rPr>
            </w:pPr>
            <w:r w:rsidRPr="00EA0576">
              <w:rPr>
                <w:rFonts w:ascii="Times New Roman" w:eastAsia="Times New Roman" w:hAnsi="Times New Roman" w:cs="Times New Roman"/>
                <w:color w:val="000000"/>
                <w:sz w:val="20"/>
                <w:szCs w:val="20"/>
                <w:lang w:eastAsia="fr-FR"/>
              </w:rPr>
              <w:t> </w:t>
            </w:r>
          </w:p>
        </w:tc>
        <w:tc>
          <w:tcPr>
            <w:tcW w:w="3779" w:type="dxa"/>
            <w:tcBorders>
              <w:top w:val="nil"/>
              <w:left w:val="nil"/>
              <w:bottom w:val="single" w:sz="4" w:space="0" w:color="000000"/>
              <w:right w:val="single" w:sz="4" w:space="0" w:color="000000"/>
            </w:tcBorders>
            <w:shd w:val="clear" w:color="auto" w:fill="auto"/>
            <w:vAlign w:val="center"/>
            <w:hideMark/>
          </w:tcPr>
          <w:p w14:paraId="61B5B124" w14:textId="0E0A6D00" w:rsidR="00EA0576" w:rsidRPr="00EA0576" w:rsidRDefault="00EA0576" w:rsidP="00EA0576">
            <w:pPr>
              <w:spacing w:after="0" w:line="240" w:lineRule="auto"/>
              <w:jc w:val="left"/>
              <w:rPr>
                <w:rFonts w:eastAsia="Times New Roman" w:cs="Arial"/>
                <w:sz w:val="20"/>
                <w:szCs w:val="20"/>
                <w:lang w:eastAsia="fr-FR"/>
              </w:rPr>
            </w:pPr>
            <w:r w:rsidRPr="00EA0576">
              <w:rPr>
                <w:rFonts w:eastAsia="Times New Roman" w:cs="Arial"/>
                <w:sz w:val="20"/>
                <w:szCs w:val="20"/>
                <w:lang w:eastAsia="fr-FR"/>
              </w:rPr>
              <w:t>- Autres pâtés pur porc (fricandeaux, pâtés de chair,...) et autres (galantines, mosaïques, roulades, ballotines)</w:t>
            </w:r>
          </w:p>
        </w:tc>
        <w:tc>
          <w:tcPr>
            <w:tcW w:w="1418" w:type="dxa"/>
            <w:tcBorders>
              <w:top w:val="nil"/>
              <w:left w:val="nil"/>
              <w:bottom w:val="single" w:sz="4" w:space="0" w:color="auto"/>
              <w:right w:val="single" w:sz="4" w:space="0" w:color="auto"/>
            </w:tcBorders>
            <w:shd w:val="clear" w:color="auto" w:fill="auto"/>
            <w:vAlign w:val="center"/>
            <w:hideMark/>
          </w:tcPr>
          <w:p w14:paraId="1259AB77"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color w:val="000000"/>
                <w:sz w:val="20"/>
                <w:szCs w:val="20"/>
                <w:lang w:eastAsia="fr-FR"/>
              </w:rPr>
              <w:t xml:space="preserve">              8   </w:t>
            </w:r>
          </w:p>
        </w:tc>
        <w:tc>
          <w:tcPr>
            <w:tcW w:w="283" w:type="dxa"/>
            <w:tcBorders>
              <w:top w:val="nil"/>
              <w:left w:val="nil"/>
              <w:bottom w:val="nil"/>
              <w:right w:val="nil"/>
            </w:tcBorders>
            <w:shd w:val="clear" w:color="auto" w:fill="auto"/>
            <w:noWrap/>
            <w:vAlign w:val="center"/>
            <w:hideMark/>
          </w:tcPr>
          <w:p w14:paraId="1513B19A" w14:textId="77777777" w:rsidR="00EA0576" w:rsidRPr="00EA0576" w:rsidRDefault="00EA0576" w:rsidP="00EA0576">
            <w:pPr>
              <w:spacing w:after="0" w:line="240" w:lineRule="auto"/>
              <w:jc w:val="center"/>
              <w:rPr>
                <w:rFonts w:eastAsia="Times New Roman" w:cs="Arial"/>
                <w:color w:val="000000"/>
                <w:sz w:val="20"/>
                <w:szCs w:val="20"/>
                <w:lang w:eastAsia="fr-FR"/>
              </w:rPr>
            </w:pPr>
          </w:p>
        </w:tc>
        <w:tc>
          <w:tcPr>
            <w:tcW w:w="1418" w:type="dxa"/>
            <w:tcBorders>
              <w:top w:val="single" w:sz="4" w:space="0" w:color="auto"/>
              <w:left w:val="nil"/>
              <w:bottom w:val="nil"/>
              <w:right w:val="nil"/>
            </w:tcBorders>
            <w:shd w:val="clear" w:color="auto" w:fill="auto"/>
            <w:noWrap/>
            <w:vAlign w:val="center"/>
            <w:hideMark/>
          </w:tcPr>
          <w:p w14:paraId="2F910B5B"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559" w:type="dxa"/>
            <w:tcBorders>
              <w:top w:val="single" w:sz="4" w:space="0" w:color="auto"/>
              <w:left w:val="nil"/>
              <w:bottom w:val="nil"/>
              <w:right w:val="nil"/>
            </w:tcBorders>
            <w:shd w:val="clear" w:color="auto" w:fill="auto"/>
            <w:noWrap/>
            <w:vAlign w:val="center"/>
            <w:hideMark/>
          </w:tcPr>
          <w:p w14:paraId="6A6D748D"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418" w:type="dxa"/>
            <w:tcBorders>
              <w:top w:val="single" w:sz="4" w:space="0" w:color="auto"/>
              <w:left w:val="nil"/>
              <w:bottom w:val="nil"/>
              <w:right w:val="nil"/>
            </w:tcBorders>
            <w:shd w:val="clear" w:color="auto" w:fill="auto"/>
            <w:noWrap/>
            <w:vAlign w:val="center"/>
            <w:hideMark/>
          </w:tcPr>
          <w:p w14:paraId="041D44E8"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275" w:type="dxa"/>
            <w:tcBorders>
              <w:top w:val="single" w:sz="4" w:space="0" w:color="auto"/>
              <w:left w:val="nil"/>
              <w:bottom w:val="nil"/>
              <w:right w:val="nil"/>
            </w:tcBorders>
            <w:shd w:val="clear" w:color="auto" w:fill="auto"/>
            <w:noWrap/>
            <w:vAlign w:val="center"/>
            <w:hideMark/>
          </w:tcPr>
          <w:p w14:paraId="71E9192C"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134" w:type="dxa"/>
            <w:tcBorders>
              <w:top w:val="single" w:sz="4" w:space="0" w:color="auto"/>
              <w:left w:val="nil"/>
              <w:bottom w:val="nil"/>
              <w:right w:val="nil"/>
            </w:tcBorders>
            <w:shd w:val="clear" w:color="auto" w:fill="auto"/>
            <w:noWrap/>
            <w:vAlign w:val="center"/>
            <w:hideMark/>
          </w:tcPr>
          <w:p w14:paraId="1677A339"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r>
      <w:tr w:rsidR="00EA0576" w:rsidRPr="00EA0576" w14:paraId="53397D9D" w14:textId="77777777" w:rsidTr="00EA0576">
        <w:trPr>
          <w:trHeight w:val="765"/>
        </w:trPr>
        <w:tc>
          <w:tcPr>
            <w:tcW w:w="1197" w:type="dxa"/>
            <w:tcBorders>
              <w:top w:val="nil"/>
              <w:left w:val="single" w:sz="4" w:space="0" w:color="000000"/>
              <w:bottom w:val="single" w:sz="4" w:space="0" w:color="000000"/>
              <w:right w:val="single" w:sz="4" w:space="0" w:color="000000"/>
            </w:tcBorders>
            <w:shd w:val="clear" w:color="000000" w:fill="BFBFBF"/>
            <w:vAlign w:val="center"/>
            <w:hideMark/>
          </w:tcPr>
          <w:p w14:paraId="30E8B3D9"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10.13.15.75</w:t>
            </w:r>
          </w:p>
        </w:tc>
        <w:tc>
          <w:tcPr>
            <w:tcW w:w="1256" w:type="dxa"/>
            <w:tcBorders>
              <w:top w:val="nil"/>
              <w:left w:val="nil"/>
              <w:bottom w:val="single" w:sz="4" w:space="0" w:color="000000"/>
              <w:right w:val="single" w:sz="4" w:space="0" w:color="000000"/>
            </w:tcBorders>
            <w:shd w:val="clear" w:color="000000" w:fill="BFBFBF"/>
            <w:vAlign w:val="center"/>
            <w:hideMark/>
          </w:tcPr>
          <w:p w14:paraId="6A484659"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1602.49 non compris 1602.49.50</w:t>
            </w:r>
          </w:p>
        </w:tc>
        <w:tc>
          <w:tcPr>
            <w:tcW w:w="3779" w:type="dxa"/>
            <w:tcBorders>
              <w:top w:val="nil"/>
              <w:left w:val="nil"/>
              <w:bottom w:val="single" w:sz="4" w:space="0" w:color="000000"/>
              <w:right w:val="single" w:sz="4" w:space="0" w:color="000000"/>
            </w:tcBorders>
            <w:shd w:val="clear" w:color="000000" w:fill="BFBFBF"/>
            <w:vAlign w:val="center"/>
            <w:hideMark/>
          </w:tcPr>
          <w:p w14:paraId="71BFBF36"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Préparations à base de tête de porc</w:t>
            </w:r>
          </w:p>
        </w:tc>
        <w:tc>
          <w:tcPr>
            <w:tcW w:w="1418" w:type="dxa"/>
            <w:tcBorders>
              <w:top w:val="nil"/>
              <w:left w:val="nil"/>
              <w:bottom w:val="single" w:sz="4" w:space="0" w:color="auto"/>
              <w:right w:val="single" w:sz="4" w:space="0" w:color="auto"/>
            </w:tcBorders>
            <w:shd w:val="clear" w:color="000000" w:fill="BFBFBF"/>
            <w:vAlign w:val="center"/>
            <w:hideMark/>
          </w:tcPr>
          <w:p w14:paraId="6417769F"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10   </w:t>
            </w:r>
          </w:p>
        </w:tc>
        <w:tc>
          <w:tcPr>
            <w:tcW w:w="283" w:type="dxa"/>
            <w:tcBorders>
              <w:top w:val="nil"/>
              <w:left w:val="nil"/>
              <w:bottom w:val="nil"/>
              <w:right w:val="nil"/>
            </w:tcBorders>
            <w:shd w:val="clear" w:color="auto" w:fill="auto"/>
            <w:noWrap/>
            <w:vAlign w:val="center"/>
            <w:hideMark/>
          </w:tcPr>
          <w:p w14:paraId="732EA346"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nil"/>
              <w:bottom w:val="nil"/>
              <w:right w:val="nil"/>
            </w:tcBorders>
            <w:shd w:val="clear" w:color="auto" w:fill="auto"/>
            <w:noWrap/>
            <w:vAlign w:val="center"/>
            <w:hideMark/>
          </w:tcPr>
          <w:p w14:paraId="5F3ABBC0"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559" w:type="dxa"/>
            <w:tcBorders>
              <w:top w:val="nil"/>
              <w:left w:val="nil"/>
              <w:bottom w:val="nil"/>
              <w:right w:val="nil"/>
            </w:tcBorders>
            <w:shd w:val="clear" w:color="auto" w:fill="auto"/>
            <w:noWrap/>
            <w:vAlign w:val="center"/>
            <w:hideMark/>
          </w:tcPr>
          <w:p w14:paraId="6B419063"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418" w:type="dxa"/>
            <w:tcBorders>
              <w:top w:val="nil"/>
              <w:left w:val="nil"/>
              <w:bottom w:val="nil"/>
              <w:right w:val="nil"/>
            </w:tcBorders>
            <w:shd w:val="clear" w:color="auto" w:fill="auto"/>
            <w:noWrap/>
            <w:vAlign w:val="center"/>
            <w:hideMark/>
          </w:tcPr>
          <w:p w14:paraId="4D4D056C"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275" w:type="dxa"/>
            <w:tcBorders>
              <w:top w:val="nil"/>
              <w:left w:val="nil"/>
              <w:bottom w:val="nil"/>
              <w:right w:val="nil"/>
            </w:tcBorders>
            <w:shd w:val="clear" w:color="auto" w:fill="auto"/>
            <w:noWrap/>
            <w:vAlign w:val="center"/>
            <w:hideMark/>
          </w:tcPr>
          <w:p w14:paraId="1ED5E9F6"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c>
          <w:tcPr>
            <w:tcW w:w="1134" w:type="dxa"/>
            <w:tcBorders>
              <w:top w:val="nil"/>
              <w:left w:val="nil"/>
              <w:bottom w:val="nil"/>
              <w:right w:val="nil"/>
            </w:tcBorders>
            <w:shd w:val="clear" w:color="auto" w:fill="auto"/>
            <w:noWrap/>
            <w:vAlign w:val="center"/>
            <w:hideMark/>
          </w:tcPr>
          <w:p w14:paraId="0F7D4129"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r>
      <w:tr w:rsidR="00EA0576" w:rsidRPr="00EA0576" w14:paraId="680CEBEA" w14:textId="77777777" w:rsidTr="00EA0576">
        <w:trPr>
          <w:trHeight w:val="1020"/>
        </w:trPr>
        <w:tc>
          <w:tcPr>
            <w:tcW w:w="1197" w:type="dxa"/>
            <w:tcBorders>
              <w:top w:val="nil"/>
              <w:left w:val="single" w:sz="4" w:space="0" w:color="000000"/>
              <w:bottom w:val="single" w:sz="4" w:space="0" w:color="000000"/>
              <w:right w:val="single" w:sz="4" w:space="0" w:color="000000"/>
            </w:tcBorders>
            <w:shd w:val="clear" w:color="000000" w:fill="BFBFBF"/>
            <w:vAlign w:val="center"/>
            <w:hideMark/>
          </w:tcPr>
          <w:p w14:paraId="5F94C0F5"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10.85.11.00</w:t>
            </w:r>
          </w:p>
        </w:tc>
        <w:tc>
          <w:tcPr>
            <w:tcW w:w="1256" w:type="dxa"/>
            <w:tcBorders>
              <w:top w:val="nil"/>
              <w:left w:val="nil"/>
              <w:bottom w:val="single" w:sz="4" w:space="0" w:color="000000"/>
              <w:right w:val="single" w:sz="4" w:space="0" w:color="000000"/>
            </w:tcBorders>
            <w:shd w:val="clear" w:color="000000" w:fill="BFBFBF"/>
            <w:vAlign w:val="center"/>
            <w:hideMark/>
          </w:tcPr>
          <w:p w14:paraId="68BB576F" w14:textId="77777777" w:rsidR="00EA0576" w:rsidRPr="00EA0576" w:rsidRDefault="00EA0576" w:rsidP="00EA0576">
            <w:pPr>
              <w:spacing w:after="0" w:line="240" w:lineRule="auto"/>
              <w:jc w:val="center"/>
              <w:rPr>
                <w:rFonts w:eastAsia="Times New Roman" w:cs="Arial"/>
                <w:color w:val="000000"/>
                <w:sz w:val="20"/>
                <w:szCs w:val="20"/>
                <w:lang w:eastAsia="fr-FR"/>
              </w:rPr>
            </w:pPr>
            <w:r w:rsidRPr="00EA0576">
              <w:rPr>
                <w:rFonts w:eastAsia="Times New Roman" w:cs="Arial"/>
                <w:sz w:val="20"/>
                <w:szCs w:val="20"/>
                <w:lang w:eastAsia="fr-FR"/>
              </w:rPr>
              <w:t>1601+1602 non</w:t>
            </w:r>
            <w:r w:rsidRPr="00EA0576">
              <w:rPr>
                <w:rFonts w:eastAsia="Times New Roman" w:cs="Arial"/>
                <w:sz w:val="20"/>
                <w:szCs w:val="20"/>
                <w:lang w:eastAsia="fr-FR"/>
              </w:rPr>
              <w:br/>
              <w:t>compris 1602.10.00</w:t>
            </w:r>
          </w:p>
        </w:tc>
        <w:tc>
          <w:tcPr>
            <w:tcW w:w="3779" w:type="dxa"/>
            <w:tcBorders>
              <w:top w:val="nil"/>
              <w:left w:val="nil"/>
              <w:bottom w:val="single" w:sz="4" w:space="0" w:color="000000"/>
              <w:right w:val="single" w:sz="4" w:space="0" w:color="000000"/>
            </w:tcBorders>
            <w:shd w:val="clear" w:color="000000" w:fill="BFBFBF"/>
            <w:vAlign w:val="center"/>
            <w:hideMark/>
          </w:tcPr>
          <w:p w14:paraId="761634C2" w14:textId="77777777"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Pieds cuits, panés, farcis</w:t>
            </w:r>
          </w:p>
        </w:tc>
        <w:tc>
          <w:tcPr>
            <w:tcW w:w="1418" w:type="dxa"/>
            <w:tcBorders>
              <w:top w:val="nil"/>
              <w:left w:val="nil"/>
              <w:bottom w:val="single" w:sz="4" w:space="0" w:color="auto"/>
              <w:right w:val="single" w:sz="4" w:space="0" w:color="auto"/>
            </w:tcBorders>
            <w:shd w:val="clear" w:color="000000" w:fill="BFBFBF"/>
            <w:vAlign w:val="center"/>
            <w:hideMark/>
          </w:tcPr>
          <w:p w14:paraId="4CF2E4D8"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2   </w:t>
            </w:r>
          </w:p>
        </w:tc>
        <w:tc>
          <w:tcPr>
            <w:tcW w:w="283" w:type="dxa"/>
            <w:tcBorders>
              <w:top w:val="nil"/>
              <w:left w:val="nil"/>
              <w:bottom w:val="nil"/>
              <w:right w:val="nil"/>
            </w:tcBorders>
            <w:shd w:val="clear" w:color="auto" w:fill="auto"/>
            <w:noWrap/>
            <w:vAlign w:val="center"/>
            <w:hideMark/>
          </w:tcPr>
          <w:p w14:paraId="1D4221BD"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nil"/>
              <w:bottom w:val="nil"/>
              <w:right w:val="nil"/>
            </w:tcBorders>
            <w:shd w:val="clear" w:color="auto" w:fill="auto"/>
            <w:noWrap/>
            <w:vAlign w:val="center"/>
            <w:hideMark/>
          </w:tcPr>
          <w:p w14:paraId="0D151F63"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559" w:type="dxa"/>
            <w:tcBorders>
              <w:top w:val="nil"/>
              <w:left w:val="nil"/>
              <w:bottom w:val="nil"/>
              <w:right w:val="nil"/>
            </w:tcBorders>
            <w:shd w:val="clear" w:color="auto" w:fill="auto"/>
            <w:noWrap/>
            <w:vAlign w:val="center"/>
            <w:hideMark/>
          </w:tcPr>
          <w:p w14:paraId="7E61D6A1"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418" w:type="dxa"/>
            <w:tcBorders>
              <w:top w:val="nil"/>
              <w:left w:val="nil"/>
              <w:bottom w:val="nil"/>
              <w:right w:val="nil"/>
            </w:tcBorders>
            <w:shd w:val="clear" w:color="auto" w:fill="auto"/>
            <w:noWrap/>
            <w:vAlign w:val="center"/>
            <w:hideMark/>
          </w:tcPr>
          <w:p w14:paraId="0A73CB23"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275" w:type="dxa"/>
            <w:tcBorders>
              <w:top w:val="nil"/>
              <w:left w:val="nil"/>
              <w:bottom w:val="nil"/>
              <w:right w:val="nil"/>
            </w:tcBorders>
            <w:shd w:val="clear" w:color="auto" w:fill="auto"/>
            <w:noWrap/>
            <w:vAlign w:val="center"/>
            <w:hideMark/>
          </w:tcPr>
          <w:p w14:paraId="1744BFE1"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c>
          <w:tcPr>
            <w:tcW w:w="1134" w:type="dxa"/>
            <w:tcBorders>
              <w:top w:val="nil"/>
              <w:left w:val="nil"/>
              <w:bottom w:val="nil"/>
              <w:right w:val="nil"/>
            </w:tcBorders>
            <w:shd w:val="clear" w:color="auto" w:fill="auto"/>
            <w:noWrap/>
            <w:vAlign w:val="center"/>
            <w:hideMark/>
          </w:tcPr>
          <w:p w14:paraId="4381DD20"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r>
      <w:tr w:rsidR="00EA0576" w:rsidRPr="00EA0576" w14:paraId="137562D7" w14:textId="77777777" w:rsidTr="00EA0576">
        <w:trPr>
          <w:trHeight w:val="765"/>
        </w:trPr>
        <w:tc>
          <w:tcPr>
            <w:tcW w:w="1197" w:type="dxa"/>
            <w:tcBorders>
              <w:top w:val="nil"/>
              <w:left w:val="single" w:sz="4" w:space="0" w:color="000000"/>
              <w:bottom w:val="single" w:sz="4" w:space="0" w:color="000000"/>
              <w:right w:val="single" w:sz="4" w:space="0" w:color="000000"/>
            </w:tcBorders>
            <w:shd w:val="clear" w:color="000000" w:fill="BFBFBF"/>
            <w:vAlign w:val="center"/>
            <w:hideMark/>
          </w:tcPr>
          <w:p w14:paraId="52C3614C"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10.13.15.75</w:t>
            </w:r>
          </w:p>
        </w:tc>
        <w:tc>
          <w:tcPr>
            <w:tcW w:w="1256" w:type="dxa"/>
            <w:tcBorders>
              <w:top w:val="nil"/>
              <w:left w:val="nil"/>
              <w:bottom w:val="single" w:sz="4" w:space="0" w:color="000000"/>
              <w:right w:val="single" w:sz="4" w:space="0" w:color="000000"/>
            </w:tcBorders>
            <w:shd w:val="clear" w:color="000000" w:fill="BFBFBF"/>
            <w:vAlign w:val="center"/>
            <w:hideMark/>
          </w:tcPr>
          <w:p w14:paraId="2C789307" w14:textId="77777777" w:rsidR="00EA0576" w:rsidRPr="00EA0576" w:rsidRDefault="00EA0576" w:rsidP="00EA0576">
            <w:pPr>
              <w:spacing w:after="0" w:line="240" w:lineRule="auto"/>
              <w:jc w:val="center"/>
              <w:rPr>
                <w:rFonts w:eastAsia="Times New Roman" w:cs="Arial"/>
                <w:sz w:val="20"/>
                <w:szCs w:val="20"/>
                <w:lang w:eastAsia="fr-FR"/>
              </w:rPr>
            </w:pPr>
            <w:r w:rsidRPr="00EA0576">
              <w:rPr>
                <w:rFonts w:eastAsia="Times New Roman" w:cs="Arial"/>
                <w:sz w:val="20"/>
                <w:szCs w:val="20"/>
                <w:lang w:eastAsia="fr-FR"/>
              </w:rPr>
              <w:t>1602.49 non compris 1602.49.50</w:t>
            </w:r>
          </w:p>
        </w:tc>
        <w:tc>
          <w:tcPr>
            <w:tcW w:w="3779" w:type="dxa"/>
            <w:tcBorders>
              <w:top w:val="nil"/>
              <w:left w:val="nil"/>
              <w:bottom w:val="single" w:sz="4" w:space="0" w:color="000000"/>
              <w:right w:val="single" w:sz="4" w:space="0" w:color="000000"/>
            </w:tcBorders>
            <w:shd w:val="clear" w:color="000000" w:fill="BFBFBF"/>
            <w:vAlign w:val="center"/>
            <w:hideMark/>
          </w:tcPr>
          <w:p w14:paraId="28AD3508" w14:textId="73B9E730" w:rsidR="00EA0576" w:rsidRPr="00EA0576" w:rsidRDefault="00EA0576" w:rsidP="00EA0576">
            <w:pPr>
              <w:spacing w:after="0" w:line="240" w:lineRule="auto"/>
              <w:jc w:val="left"/>
              <w:rPr>
                <w:rFonts w:eastAsia="Times New Roman" w:cs="Arial"/>
                <w:b/>
                <w:bCs/>
                <w:sz w:val="20"/>
                <w:szCs w:val="20"/>
                <w:lang w:eastAsia="fr-FR"/>
              </w:rPr>
            </w:pPr>
            <w:r w:rsidRPr="00EA0576">
              <w:rPr>
                <w:rFonts w:eastAsia="Times New Roman" w:cs="Arial"/>
                <w:b/>
                <w:bCs/>
                <w:sz w:val="20"/>
                <w:szCs w:val="20"/>
                <w:lang w:eastAsia="fr-FR"/>
              </w:rPr>
              <w:t>Rillettes de porc / fritons, grattons, </w:t>
            </w:r>
            <w:r>
              <w:rPr>
                <w:rFonts w:eastAsia="Times New Roman" w:cs="Arial"/>
                <w:b/>
                <w:bCs/>
                <w:sz w:val="20"/>
                <w:szCs w:val="20"/>
                <w:lang w:eastAsia="fr-FR"/>
              </w:rPr>
              <w:br/>
            </w:r>
            <w:r w:rsidRPr="00EA0576">
              <w:rPr>
                <w:rFonts w:eastAsia="Times New Roman" w:cs="Arial"/>
                <w:b/>
                <w:bCs/>
                <w:sz w:val="20"/>
                <w:szCs w:val="20"/>
                <w:lang w:eastAsia="fr-FR"/>
              </w:rPr>
              <w:t>rillauds, grillons</w:t>
            </w:r>
          </w:p>
        </w:tc>
        <w:tc>
          <w:tcPr>
            <w:tcW w:w="1418" w:type="dxa"/>
            <w:tcBorders>
              <w:top w:val="nil"/>
              <w:left w:val="nil"/>
              <w:bottom w:val="single" w:sz="4" w:space="0" w:color="auto"/>
              <w:right w:val="single" w:sz="4" w:space="0" w:color="auto"/>
            </w:tcBorders>
            <w:shd w:val="clear" w:color="000000" w:fill="BFBFBF"/>
            <w:vAlign w:val="center"/>
            <w:hideMark/>
          </w:tcPr>
          <w:p w14:paraId="17D8444F" w14:textId="77777777" w:rsidR="00EA0576" w:rsidRPr="00EA0576" w:rsidRDefault="00EA0576" w:rsidP="00EA0576">
            <w:pPr>
              <w:spacing w:after="0" w:line="240" w:lineRule="auto"/>
              <w:jc w:val="center"/>
              <w:rPr>
                <w:rFonts w:eastAsia="Times New Roman" w:cs="Arial"/>
                <w:b/>
                <w:bCs/>
                <w:color w:val="000000"/>
                <w:sz w:val="20"/>
                <w:szCs w:val="20"/>
                <w:lang w:eastAsia="fr-FR"/>
              </w:rPr>
            </w:pPr>
            <w:r w:rsidRPr="00EA0576">
              <w:rPr>
                <w:rFonts w:eastAsia="Times New Roman" w:cs="Arial"/>
                <w:b/>
                <w:bCs/>
                <w:color w:val="000000"/>
                <w:sz w:val="20"/>
                <w:szCs w:val="20"/>
                <w:lang w:eastAsia="fr-FR"/>
              </w:rPr>
              <w:t xml:space="preserve">            16   </w:t>
            </w:r>
          </w:p>
        </w:tc>
        <w:tc>
          <w:tcPr>
            <w:tcW w:w="283" w:type="dxa"/>
            <w:tcBorders>
              <w:top w:val="nil"/>
              <w:left w:val="nil"/>
              <w:bottom w:val="nil"/>
              <w:right w:val="nil"/>
            </w:tcBorders>
            <w:shd w:val="clear" w:color="auto" w:fill="auto"/>
            <w:noWrap/>
            <w:vAlign w:val="center"/>
            <w:hideMark/>
          </w:tcPr>
          <w:p w14:paraId="5EC13A5A" w14:textId="77777777" w:rsidR="00EA0576" w:rsidRPr="00EA0576" w:rsidRDefault="00EA0576" w:rsidP="00EA0576">
            <w:pPr>
              <w:spacing w:after="0" w:line="240" w:lineRule="auto"/>
              <w:jc w:val="center"/>
              <w:rPr>
                <w:rFonts w:eastAsia="Times New Roman" w:cs="Arial"/>
                <w:b/>
                <w:bCs/>
                <w:color w:val="000000"/>
                <w:sz w:val="20"/>
                <w:szCs w:val="20"/>
                <w:lang w:eastAsia="fr-FR"/>
              </w:rPr>
            </w:pPr>
          </w:p>
        </w:tc>
        <w:tc>
          <w:tcPr>
            <w:tcW w:w="1418" w:type="dxa"/>
            <w:tcBorders>
              <w:top w:val="nil"/>
              <w:left w:val="nil"/>
              <w:bottom w:val="nil"/>
              <w:right w:val="nil"/>
            </w:tcBorders>
            <w:shd w:val="clear" w:color="auto" w:fill="auto"/>
            <w:noWrap/>
            <w:vAlign w:val="center"/>
            <w:hideMark/>
          </w:tcPr>
          <w:p w14:paraId="35E87C9E"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559" w:type="dxa"/>
            <w:tcBorders>
              <w:top w:val="nil"/>
              <w:left w:val="nil"/>
              <w:bottom w:val="nil"/>
              <w:right w:val="nil"/>
            </w:tcBorders>
            <w:shd w:val="clear" w:color="auto" w:fill="auto"/>
            <w:noWrap/>
            <w:vAlign w:val="center"/>
            <w:hideMark/>
          </w:tcPr>
          <w:p w14:paraId="33017EC8"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418" w:type="dxa"/>
            <w:tcBorders>
              <w:top w:val="nil"/>
              <w:left w:val="nil"/>
              <w:bottom w:val="nil"/>
              <w:right w:val="nil"/>
            </w:tcBorders>
            <w:shd w:val="clear" w:color="auto" w:fill="auto"/>
            <w:noWrap/>
            <w:vAlign w:val="center"/>
            <w:hideMark/>
          </w:tcPr>
          <w:p w14:paraId="5B69A023" w14:textId="77777777" w:rsidR="00EA0576" w:rsidRPr="00EA0576" w:rsidRDefault="00EA0576" w:rsidP="00EA0576">
            <w:pPr>
              <w:spacing w:after="0" w:line="240" w:lineRule="auto"/>
              <w:jc w:val="left"/>
              <w:rPr>
                <w:rFonts w:ascii="Times New Roman" w:eastAsia="Times New Roman" w:hAnsi="Times New Roman" w:cs="Times New Roman"/>
                <w:sz w:val="20"/>
                <w:szCs w:val="20"/>
                <w:lang w:eastAsia="fr-FR"/>
              </w:rPr>
            </w:pPr>
          </w:p>
        </w:tc>
        <w:tc>
          <w:tcPr>
            <w:tcW w:w="1275" w:type="dxa"/>
            <w:tcBorders>
              <w:top w:val="nil"/>
              <w:left w:val="nil"/>
              <w:bottom w:val="nil"/>
              <w:right w:val="nil"/>
            </w:tcBorders>
            <w:shd w:val="clear" w:color="auto" w:fill="auto"/>
            <w:noWrap/>
            <w:vAlign w:val="center"/>
            <w:hideMark/>
          </w:tcPr>
          <w:p w14:paraId="7E31449D"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c>
          <w:tcPr>
            <w:tcW w:w="1134" w:type="dxa"/>
            <w:tcBorders>
              <w:top w:val="nil"/>
              <w:left w:val="nil"/>
              <w:bottom w:val="nil"/>
              <w:right w:val="nil"/>
            </w:tcBorders>
            <w:shd w:val="clear" w:color="auto" w:fill="auto"/>
            <w:noWrap/>
            <w:vAlign w:val="center"/>
            <w:hideMark/>
          </w:tcPr>
          <w:p w14:paraId="43223C70" w14:textId="77777777" w:rsidR="00EA0576" w:rsidRPr="00EA0576" w:rsidRDefault="00EA0576" w:rsidP="00EA0576">
            <w:pPr>
              <w:spacing w:after="0" w:line="240" w:lineRule="auto"/>
              <w:jc w:val="center"/>
              <w:rPr>
                <w:rFonts w:ascii="Times New Roman" w:eastAsia="Times New Roman" w:hAnsi="Times New Roman" w:cs="Times New Roman"/>
                <w:sz w:val="20"/>
                <w:szCs w:val="20"/>
                <w:lang w:eastAsia="fr-FR"/>
              </w:rPr>
            </w:pPr>
          </w:p>
        </w:tc>
      </w:tr>
    </w:tbl>
    <w:p w14:paraId="1769AEDD" w14:textId="77777777" w:rsidR="00EA0576" w:rsidRDefault="00EA0576" w:rsidP="005B0175">
      <w:pPr>
        <w:rPr>
          <w:rFonts w:cs="Arial"/>
          <w:b/>
          <w:i/>
        </w:rPr>
      </w:pPr>
    </w:p>
    <w:p w14:paraId="414CA435" w14:textId="0D6C8652" w:rsidR="00AB30CB" w:rsidRPr="00E710C0" w:rsidRDefault="00E710C0" w:rsidP="005B0175">
      <w:pPr>
        <w:rPr>
          <w:rFonts w:cs="Arial"/>
          <w:b/>
          <w:i/>
        </w:rPr>
      </w:pPr>
      <w:r w:rsidRPr="00E710C0">
        <w:rPr>
          <w:rFonts w:cs="Arial"/>
          <w:b/>
          <w:i/>
        </w:rPr>
        <w:t xml:space="preserve">Annexe 6 </w:t>
      </w:r>
      <w:r w:rsidR="00DF1BFF" w:rsidRPr="00E710C0">
        <w:rPr>
          <w:rFonts w:cs="Arial"/>
          <w:b/>
          <w:i/>
        </w:rPr>
        <w:t xml:space="preserve">e/ </w:t>
      </w:r>
      <w:r w:rsidR="00F44BE7" w:rsidRPr="00E710C0">
        <w:rPr>
          <w:rFonts w:cs="Arial"/>
          <w:b/>
          <w:i/>
        </w:rPr>
        <w:t>Pâtés et préparations diverses à base de foie</w:t>
      </w:r>
    </w:p>
    <w:tbl>
      <w:tblPr>
        <w:tblW w:w="14700" w:type="dxa"/>
        <w:tblCellMar>
          <w:left w:w="70" w:type="dxa"/>
          <w:right w:w="70" w:type="dxa"/>
        </w:tblCellMar>
        <w:tblLook w:val="04A0" w:firstRow="1" w:lastRow="0" w:firstColumn="1" w:lastColumn="0" w:noHBand="0" w:noVBand="1"/>
      </w:tblPr>
      <w:tblGrid>
        <w:gridCol w:w="1200"/>
        <w:gridCol w:w="1196"/>
        <w:gridCol w:w="3269"/>
        <w:gridCol w:w="1276"/>
        <w:gridCol w:w="284"/>
        <w:gridCol w:w="1134"/>
        <w:gridCol w:w="2729"/>
        <w:gridCol w:w="1252"/>
        <w:gridCol w:w="1240"/>
        <w:gridCol w:w="1120"/>
      </w:tblGrid>
      <w:tr w:rsidR="00381493" w:rsidRPr="00326FB7" w14:paraId="117E97D5" w14:textId="77777777" w:rsidTr="00F44BE7">
        <w:trPr>
          <w:trHeight w:val="765"/>
        </w:trPr>
        <w:tc>
          <w:tcPr>
            <w:tcW w:w="1200"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0DD8D6F5" w14:textId="77777777" w:rsidR="00381493" w:rsidRPr="00326FB7" w:rsidRDefault="00381493" w:rsidP="00381493">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Code Prodcom </w:t>
            </w:r>
          </w:p>
        </w:tc>
        <w:tc>
          <w:tcPr>
            <w:tcW w:w="1196" w:type="dxa"/>
            <w:tcBorders>
              <w:top w:val="single" w:sz="4" w:space="0" w:color="auto"/>
              <w:left w:val="nil"/>
              <w:bottom w:val="single" w:sz="4" w:space="0" w:color="auto"/>
              <w:right w:val="single" w:sz="4" w:space="0" w:color="auto"/>
            </w:tcBorders>
            <w:shd w:val="clear" w:color="000000" w:fill="BFBFBF"/>
            <w:vAlign w:val="center"/>
            <w:hideMark/>
          </w:tcPr>
          <w:p w14:paraId="52BB2555" w14:textId="77777777" w:rsidR="00381493" w:rsidRPr="00326FB7" w:rsidRDefault="00381493" w:rsidP="00381493">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w:t>
            </w:r>
          </w:p>
        </w:tc>
        <w:tc>
          <w:tcPr>
            <w:tcW w:w="3269" w:type="dxa"/>
            <w:tcBorders>
              <w:top w:val="single" w:sz="4" w:space="0" w:color="auto"/>
              <w:left w:val="nil"/>
              <w:bottom w:val="single" w:sz="4" w:space="0" w:color="auto"/>
              <w:right w:val="single" w:sz="4" w:space="0" w:color="auto"/>
            </w:tcBorders>
            <w:shd w:val="clear" w:color="000000" w:fill="BFBFBF"/>
            <w:vAlign w:val="center"/>
            <w:hideMark/>
          </w:tcPr>
          <w:p w14:paraId="70940DC9" w14:textId="77777777" w:rsidR="00381493" w:rsidRPr="00326FB7" w:rsidRDefault="00381493" w:rsidP="00381493">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Catégories produits </w:t>
            </w:r>
          </w:p>
        </w:tc>
        <w:tc>
          <w:tcPr>
            <w:tcW w:w="1276" w:type="dxa"/>
            <w:tcBorders>
              <w:top w:val="single" w:sz="4" w:space="0" w:color="auto"/>
              <w:left w:val="nil"/>
              <w:bottom w:val="single" w:sz="4" w:space="0" w:color="auto"/>
              <w:right w:val="single" w:sz="4" w:space="0" w:color="auto"/>
            </w:tcBorders>
            <w:shd w:val="clear" w:color="000000" w:fill="BFBFBF"/>
            <w:vAlign w:val="center"/>
            <w:hideMark/>
          </w:tcPr>
          <w:p w14:paraId="7AE1C509" w14:textId="77777777" w:rsidR="00381493" w:rsidRPr="00326FB7" w:rsidRDefault="00381493" w:rsidP="00381493">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Production </w:t>
            </w:r>
          </w:p>
        </w:tc>
        <w:tc>
          <w:tcPr>
            <w:tcW w:w="284" w:type="dxa"/>
            <w:tcBorders>
              <w:top w:val="nil"/>
              <w:left w:val="nil"/>
              <w:bottom w:val="nil"/>
              <w:right w:val="nil"/>
            </w:tcBorders>
            <w:shd w:val="clear" w:color="auto" w:fill="auto"/>
            <w:noWrap/>
            <w:vAlign w:val="center"/>
            <w:hideMark/>
          </w:tcPr>
          <w:p w14:paraId="4250F590" w14:textId="77777777" w:rsidR="00381493" w:rsidRPr="00326FB7" w:rsidRDefault="00381493" w:rsidP="00381493">
            <w:pPr>
              <w:spacing w:after="0" w:line="240" w:lineRule="auto"/>
              <w:jc w:val="left"/>
              <w:rPr>
                <w:rFonts w:eastAsia="Times New Roman" w:cs="Arial"/>
                <w:b/>
                <w:color w:val="000000"/>
                <w:sz w:val="20"/>
                <w:szCs w:val="20"/>
                <w:lang w:eastAsia="fr-FR"/>
              </w:rPr>
            </w:pPr>
          </w:p>
        </w:tc>
        <w:tc>
          <w:tcPr>
            <w:tcW w:w="1134" w:type="dxa"/>
            <w:tcBorders>
              <w:top w:val="single" w:sz="4" w:space="0" w:color="auto"/>
              <w:left w:val="single" w:sz="4" w:space="0" w:color="auto"/>
              <w:bottom w:val="single" w:sz="4" w:space="0" w:color="auto"/>
              <w:right w:val="single" w:sz="4" w:space="0" w:color="auto"/>
            </w:tcBorders>
            <w:shd w:val="clear" w:color="000000" w:fill="A6A6A6"/>
            <w:vAlign w:val="center"/>
            <w:hideMark/>
          </w:tcPr>
          <w:p w14:paraId="36E96290"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Nom. comb (N.C.)</w:t>
            </w:r>
          </w:p>
        </w:tc>
        <w:tc>
          <w:tcPr>
            <w:tcW w:w="2729" w:type="dxa"/>
            <w:tcBorders>
              <w:top w:val="single" w:sz="4" w:space="0" w:color="auto"/>
              <w:left w:val="nil"/>
              <w:bottom w:val="single" w:sz="4" w:space="0" w:color="auto"/>
              <w:right w:val="single" w:sz="4" w:space="0" w:color="auto"/>
            </w:tcBorders>
            <w:shd w:val="clear" w:color="000000" w:fill="A6A6A6"/>
            <w:vAlign w:val="center"/>
            <w:hideMark/>
          </w:tcPr>
          <w:p w14:paraId="32771291"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Libellé produit</w:t>
            </w:r>
          </w:p>
        </w:tc>
        <w:tc>
          <w:tcPr>
            <w:tcW w:w="1252" w:type="dxa"/>
            <w:tcBorders>
              <w:top w:val="single" w:sz="4" w:space="0" w:color="auto"/>
              <w:left w:val="nil"/>
              <w:bottom w:val="single" w:sz="4" w:space="0" w:color="auto"/>
              <w:right w:val="single" w:sz="4" w:space="0" w:color="auto"/>
            </w:tcBorders>
            <w:shd w:val="clear" w:color="000000" w:fill="A6A6A6"/>
            <w:vAlign w:val="center"/>
            <w:hideMark/>
          </w:tcPr>
          <w:p w14:paraId="1D101FDE"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Exportation </w:t>
            </w:r>
          </w:p>
        </w:tc>
        <w:tc>
          <w:tcPr>
            <w:tcW w:w="1240" w:type="dxa"/>
            <w:tcBorders>
              <w:top w:val="single" w:sz="4" w:space="0" w:color="auto"/>
              <w:left w:val="nil"/>
              <w:bottom w:val="single" w:sz="4" w:space="0" w:color="auto"/>
              <w:right w:val="single" w:sz="4" w:space="0" w:color="auto"/>
            </w:tcBorders>
            <w:shd w:val="clear" w:color="000000" w:fill="A6A6A6"/>
            <w:vAlign w:val="center"/>
            <w:hideMark/>
          </w:tcPr>
          <w:p w14:paraId="0EA33D4D"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Importation </w:t>
            </w:r>
          </w:p>
        </w:tc>
        <w:tc>
          <w:tcPr>
            <w:tcW w:w="1120" w:type="dxa"/>
            <w:tcBorders>
              <w:top w:val="single" w:sz="4" w:space="0" w:color="auto"/>
              <w:left w:val="nil"/>
              <w:bottom w:val="single" w:sz="4" w:space="0" w:color="auto"/>
              <w:right w:val="single" w:sz="4" w:space="0" w:color="auto"/>
            </w:tcBorders>
            <w:shd w:val="clear" w:color="000000" w:fill="A6A6A6"/>
            <w:vAlign w:val="center"/>
            <w:hideMark/>
          </w:tcPr>
          <w:p w14:paraId="2773688C" w14:textId="77777777" w:rsidR="00381493" w:rsidRPr="00326FB7" w:rsidRDefault="00381493" w:rsidP="00DF1BFF">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 xml:space="preserve">Solde Net </w:t>
            </w:r>
          </w:p>
        </w:tc>
      </w:tr>
      <w:tr w:rsidR="00381493" w:rsidRPr="00326FB7" w14:paraId="7FE15985" w14:textId="77777777" w:rsidTr="00F44BE7">
        <w:trPr>
          <w:trHeight w:val="420"/>
        </w:trPr>
        <w:tc>
          <w:tcPr>
            <w:tcW w:w="1200" w:type="dxa"/>
            <w:tcBorders>
              <w:top w:val="nil"/>
              <w:left w:val="single" w:sz="4" w:space="0" w:color="000000"/>
              <w:bottom w:val="single" w:sz="4" w:space="0" w:color="000000"/>
              <w:right w:val="single" w:sz="4" w:space="0" w:color="000000"/>
            </w:tcBorders>
            <w:shd w:val="clear" w:color="000000" w:fill="BFBFBF"/>
            <w:vAlign w:val="center"/>
            <w:hideMark/>
          </w:tcPr>
          <w:p w14:paraId="4093791B"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96" w:type="dxa"/>
            <w:tcBorders>
              <w:top w:val="nil"/>
              <w:left w:val="nil"/>
              <w:bottom w:val="single" w:sz="4" w:space="0" w:color="000000"/>
              <w:right w:val="single" w:sz="4" w:space="0" w:color="000000"/>
            </w:tcBorders>
            <w:shd w:val="clear" w:color="000000" w:fill="BFBFBF"/>
            <w:vAlign w:val="center"/>
            <w:hideMark/>
          </w:tcPr>
          <w:p w14:paraId="7499D985"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3269" w:type="dxa"/>
            <w:tcBorders>
              <w:top w:val="nil"/>
              <w:left w:val="nil"/>
              <w:bottom w:val="single" w:sz="4" w:space="0" w:color="000000"/>
              <w:right w:val="single" w:sz="4" w:space="0" w:color="000000"/>
            </w:tcBorders>
            <w:shd w:val="clear" w:color="000000" w:fill="BFBFBF"/>
            <w:vAlign w:val="center"/>
            <w:hideMark/>
          </w:tcPr>
          <w:p w14:paraId="4D3AC5EA" w14:textId="77777777" w:rsidR="00381493" w:rsidRPr="00326FB7" w:rsidRDefault="00381493" w:rsidP="00381493">
            <w:pPr>
              <w:spacing w:after="0" w:line="240" w:lineRule="auto"/>
              <w:jc w:val="left"/>
              <w:rPr>
                <w:rFonts w:eastAsia="Times New Roman" w:cs="Arial"/>
                <w:b/>
                <w:bCs/>
                <w:sz w:val="20"/>
                <w:szCs w:val="20"/>
                <w:lang w:eastAsia="fr-FR"/>
              </w:rPr>
            </w:pPr>
            <w:r w:rsidRPr="00326FB7">
              <w:rPr>
                <w:rFonts w:eastAsia="Times New Roman" w:cs="Arial"/>
                <w:b/>
                <w:bCs/>
                <w:sz w:val="20"/>
                <w:szCs w:val="20"/>
                <w:lang w:eastAsia="fr-FR"/>
              </w:rPr>
              <w:t>Total Pâtés et préparations diverses à base de foie</w:t>
            </w:r>
          </w:p>
        </w:tc>
        <w:tc>
          <w:tcPr>
            <w:tcW w:w="1276" w:type="dxa"/>
            <w:tcBorders>
              <w:top w:val="nil"/>
              <w:left w:val="nil"/>
              <w:bottom w:val="nil"/>
              <w:right w:val="single" w:sz="4" w:space="0" w:color="000000"/>
            </w:tcBorders>
            <w:shd w:val="clear" w:color="000000" w:fill="BFBFBF"/>
            <w:vAlign w:val="center"/>
            <w:hideMark/>
          </w:tcPr>
          <w:p w14:paraId="62C792EC" w14:textId="4785CFE6"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88   </w:t>
            </w:r>
          </w:p>
        </w:tc>
        <w:tc>
          <w:tcPr>
            <w:tcW w:w="284" w:type="dxa"/>
            <w:tcBorders>
              <w:top w:val="nil"/>
              <w:left w:val="nil"/>
              <w:bottom w:val="nil"/>
              <w:right w:val="nil"/>
            </w:tcBorders>
            <w:shd w:val="clear" w:color="auto" w:fill="auto"/>
            <w:noWrap/>
            <w:vAlign w:val="center"/>
            <w:hideMark/>
          </w:tcPr>
          <w:p w14:paraId="1D5C5DAD" w14:textId="77777777" w:rsidR="00381493" w:rsidRPr="00326FB7" w:rsidRDefault="00381493" w:rsidP="00381493">
            <w:pPr>
              <w:spacing w:after="0" w:line="240" w:lineRule="auto"/>
              <w:jc w:val="center"/>
              <w:rPr>
                <w:rFonts w:eastAsia="Times New Roman" w:cs="Arial"/>
                <w:b/>
                <w:bCs/>
                <w:color w:val="000000"/>
                <w:sz w:val="20"/>
                <w:szCs w:val="20"/>
                <w:lang w:eastAsia="fr-FR"/>
              </w:rPr>
            </w:pPr>
          </w:p>
        </w:tc>
        <w:tc>
          <w:tcPr>
            <w:tcW w:w="1134" w:type="dxa"/>
            <w:tcBorders>
              <w:top w:val="nil"/>
              <w:left w:val="single" w:sz="4" w:space="0" w:color="000000"/>
              <w:bottom w:val="nil"/>
              <w:right w:val="single" w:sz="4" w:space="0" w:color="000000"/>
            </w:tcBorders>
            <w:shd w:val="clear" w:color="000000" w:fill="BFBFBF"/>
            <w:vAlign w:val="center"/>
            <w:hideMark/>
          </w:tcPr>
          <w:p w14:paraId="7B826593"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w:t>
            </w:r>
          </w:p>
        </w:tc>
        <w:tc>
          <w:tcPr>
            <w:tcW w:w="2729" w:type="dxa"/>
            <w:tcBorders>
              <w:top w:val="nil"/>
              <w:left w:val="nil"/>
              <w:bottom w:val="nil"/>
              <w:right w:val="single" w:sz="4" w:space="0" w:color="000000"/>
            </w:tcBorders>
            <w:shd w:val="clear" w:color="000000" w:fill="BFBFBF"/>
            <w:vAlign w:val="center"/>
            <w:hideMark/>
          </w:tcPr>
          <w:p w14:paraId="547FAD4A"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w:t>
            </w:r>
          </w:p>
        </w:tc>
        <w:tc>
          <w:tcPr>
            <w:tcW w:w="1252" w:type="dxa"/>
            <w:tcBorders>
              <w:top w:val="nil"/>
              <w:left w:val="nil"/>
              <w:bottom w:val="nil"/>
              <w:right w:val="single" w:sz="4" w:space="0" w:color="000000"/>
            </w:tcBorders>
            <w:shd w:val="clear" w:color="000000" w:fill="BFBFBF"/>
            <w:vAlign w:val="center"/>
            <w:hideMark/>
          </w:tcPr>
          <w:p w14:paraId="4127D782"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0,7   </w:t>
            </w:r>
          </w:p>
        </w:tc>
        <w:tc>
          <w:tcPr>
            <w:tcW w:w="1240" w:type="dxa"/>
            <w:tcBorders>
              <w:top w:val="nil"/>
              <w:left w:val="nil"/>
              <w:bottom w:val="nil"/>
              <w:right w:val="single" w:sz="4" w:space="0" w:color="000000"/>
            </w:tcBorders>
            <w:shd w:val="clear" w:color="000000" w:fill="BFBFBF"/>
            <w:vAlign w:val="center"/>
            <w:hideMark/>
          </w:tcPr>
          <w:p w14:paraId="30837816"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1,0   </w:t>
            </w:r>
          </w:p>
        </w:tc>
        <w:tc>
          <w:tcPr>
            <w:tcW w:w="1120" w:type="dxa"/>
            <w:tcBorders>
              <w:top w:val="nil"/>
              <w:left w:val="nil"/>
              <w:bottom w:val="nil"/>
              <w:right w:val="single" w:sz="4" w:space="0" w:color="000000"/>
            </w:tcBorders>
            <w:shd w:val="clear" w:color="000000" w:fill="BFBFBF"/>
            <w:vAlign w:val="center"/>
            <w:hideMark/>
          </w:tcPr>
          <w:p w14:paraId="3EA2A003"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89   </w:t>
            </w:r>
          </w:p>
        </w:tc>
      </w:tr>
      <w:tr w:rsidR="00381493" w:rsidRPr="00326FB7" w14:paraId="0241BF16" w14:textId="77777777" w:rsidTr="00F44BE7">
        <w:trPr>
          <w:trHeight w:val="330"/>
        </w:trPr>
        <w:tc>
          <w:tcPr>
            <w:tcW w:w="1200" w:type="dxa"/>
            <w:tcBorders>
              <w:top w:val="nil"/>
              <w:left w:val="single" w:sz="4" w:space="0" w:color="000000"/>
              <w:bottom w:val="single" w:sz="4" w:space="0" w:color="000000"/>
              <w:right w:val="single" w:sz="4" w:space="0" w:color="000000"/>
            </w:tcBorders>
            <w:shd w:val="clear" w:color="000000" w:fill="BFBFBF"/>
            <w:vAlign w:val="center"/>
            <w:hideMark/>
          </w:tcPr>
          <w:p w14:paraId="033439A2"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96" w:type="dxa"/>
            <w:tcBorders>
              <w:top w:val="nil"/>
              <w:left w:val="nil"/>
              <w:bottom w:val="single" w:sz="4" w:space="0" w:color="000000"/>
              <w:right w:val="single" w:sz="4" w:space="0" w:color="000000"/>
            </w:tcBorders>
            <w:shd w:val="clear" w:color="000000" w:fill="BFBFBF"/>
            <w:vAlign w:val="center"/>
            <w:hideMark/>
          </w:tcPr>
          <w:p w14:paraId="0593A823"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3269" w:type="dxa"/>
            <w:tcBorders>
              <w:top w:val="nil"/>
              <w:left w:val="nil"/>
              <w:bottom w:val="single" w:sz="4" w:space="0" w:color="000000"/>
              <w:right w:val="nil"/>
            </w:tcBorders>
            <w:shd w:val="clear" w:color="000000" w:fill="BFBFBF"/>
            <w:vAlign w:val="center"/>
            <w:hideMark/>
          </w:tcPr>
          <w:p w14:paraId="0CA6079C" w14:textId="77777777" w:rsidR="00381493" w:rsidRPr="00326FB7" w:rsidRDefault="00381493" w:rsidP="00381493">
            <w:pPr>
              <w:spacing w:after="0" w:line="240" w:lineRule="auto"/>
              <w:jc w:val="left"/>
              <w:rPr>
                <w:rFonts w:eastAsia="Times New Roman" w:cs="Arial"/>
                <w:b/>
                <w:bCs/>
                <w:sz w:val="20"/>
                <w:szCs w:val="20"/>
                <w:lang w:eastAsia="fr-FR"/>
              </w:rPr>
            </w:pPr>
            <w:r w:rsidRPr="00326FB7">
              <w:rPr>
                <w:rFonts w:eastAsia="Times New Roman" w:cs="Arial"/>
                <w:b/>
                <w:bCs/>
                <w:sz w:val="20"/>
                <w:szCs w:val="20"/>
                <w:lang w:eastAsia="fr-FR"/>
              </w:rPr>
              <w:t>Total hors produit avec volaille</w:t>
            </w:r>
          </w:p>
        </w:tc>
        <w:tc>
          <w:tcPr>
            <w:tcW w:w="1276"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587E9B51" w14:textId="0535B0EF"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77   </w:t>
            </w:r>
          </w:p>
        </w:tc>
        <w:tc>
          <w:tcPr>
            <w:tcW w:w="284" w:type="dxa"/>
            <w:tcBorders>
              <w:top w:val="nil"/>
              <w:left w:val="nil"/>
              <w:bottom w:val="nil"/>
              <w:right w:val="nil"/>
            </w:tcBorders>
            <w:shd w:val="clear" w:color="auto" w:fill="auto"/>
            <w:noWrap/>
            <w:vAlign w:val="center"/>
            <w:hideMark/>
          </w:tcPr>
          <w:p w14:paraId="0C195118" w14:textId="77777777" w:rsidR="00381493" w:rsidRPr="00326FB7" w:rsidRDefault="00381493" w:rsidP="00381493">
            <w:pPr>
              <w:spacing w:after="0" w:line="240" w:lineRule="auto"/>
              <w:jc w:val="center"/>
              <w:rPr>
                <w:rFonts w:eastAsia="Times New Roman" w:cs="Arial"/>
                <w:b/>
                <w:bCs/>
                <w:color w:val="000000"/>
                <w:sz w:val="20"/>
                <w:szCs w:val="20"/>
                <w:lang w:eastAsia="fr-FR"/>
              </w:rPr>
            </w:pPr>
          </w:p>
        </w:tc>
        <w:tc>
          <w:tcPr>
            <w:tcW w:w="1134" w:type="dxa"/>
            <w:tcBorders>
              <w:top w:val="single" w:sz="4" w:space="0" w:color="000000"/>
              <w:left w:val="single" w:sz="4" w:space="0" w:color="000000"/>
              <w:bottom w:val="nil"/>
              <w:right w:val="single" w:sz="4" w:space="0" w:color="000000"/>
            </w:tcBorders>
            <w:shd w:val="clear" w:color="000000" w:fill="BFBFBF"/>
            <w:vAlign w:val="center"/>
            <w:hideMark/>
          </w:tcPr>
          <w:p w14:paraId="4248AA0F"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w:t>
            </w:r>
          </w:p>
        </w:tc>
        <w:tc>
          <w:tcPr>
            <w:tcW w:w="2729" w:type="dxa"/>
            <w:tcBorders>
              <w:top w:val="single" w:sz="4" w:space="0" w:color="000000"/>
              <w:left w:val="nil"/>
              <w:bottom w:val="nil"/>
              <w:right w:val="single" w:sz="4" w:space="0" w:color="000000"/>
            </w:tcBorders>
            <w:shd w:val="clear" w:color="000000" w:fill="BFBFBF"/>
            <w:vAlign w:val="center"/>
            <w:hideMark/>
          </w:tcPr>
          <w:p w14:paraId="78B0DEF5"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w:t>
            </w:r>
          </w:p>
        </w:tc>
        <w:tc>
          <w:tcPr>
            <w:tcW w:w="1252" w:type="dxa"/>
            <w:tcBorders>
              <w:top w:val="single" w:sz="4" w:space="0" w:color="000000"/>
              <w:left w:val="nil"/>
              <w:bottom w:val="nil"/>
              <w:right w:val="single" w:sz="4" w:space="0" w:color="000000"/>
            </w:tcBorders>
            <w:shd w:val="clear" w:color="000000" w:fill="BFBFBF"/>
            <w:vAlign w:val="center"/>
            <w:hideMark/>
          </w:tcPr>
          <w:p w14:paraId="34665138"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0,7   </w:t>
            </w:r>
          </w:p>
        </w:tc>
        <w:tc>
          <w:tcPr>
            <w:tcW w:w="1240" w:type="dxa"/>
            <w:tcBorders>
              <w:top w:val="single" w:sz="4" w:space="0" w:color="000000"/>
              <w:left w:val="nil"/>
              <w:bottom w:val="nil"/>
              <w:right w:val="single" w:sz="4" w:space="0" w:color="000000"/>
            </w:tcBorders>
            <w:shd w:val="clear" w:color="000000" w:fill="BFBFBF"/>
            <w:vAlign w:val="center"/>
            <w:hideMark/>
          </w:tcPr>
          <w:p w14:paraId="5446A0B1"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1,0   </w:t>
            </w:r>
          </w:p>
        </w:tc>
        <w:tc>
          <w:tcPr>
            <w:tcW w:w="1120" w:type="dxa"/>
            <w:tcBorders>
              <w:top w:val="single" w:sz="4" w:space="0" w:color="000000"/>
              <w:left w:val="nil"/>
              <w:bottom w:val="nil"/>
              <w:right w:val="single" w:sz="4" w:space="0" w:color="000000"/>
            </w:tcBorders>
            <w:shd w:val="clear" w:color="000000" w:fill="BFBFBF"/>
            <w:vAlign w:val="center"/>
            <w:hideMark/>
          </w:tcPr>
          <w:p w14:paraId="348F8DDA" w14:textId="77777777" w:rsidR="00381493" w:rsidRPr="00326FB7" w:rsidRDefault="00381493" w:rsidP="00381493">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          77   </w:t>
            </w:r>
          </w:p>
        </w:tc>
      </w:tr>
      <w:tr w:rsidR="00DF1BFF" w:rsidRPr="00326FB7" w14:paraId="1BFCEC07" w14:textId="77777777" w:rsidTr="00F44BE7">
        <w:trPr>
          <w:trHeight w:val="570"/>
        </w:trPr>
        <w:tc>
          <w:tcPr>
            <w:tcW w:w="1200" w:type="dxa"/>
            <w:tcBorders>
              <w:top w:val="nil"/>
              <w:left w:val="single" w:sz="4" w:space="0" w:color="000000"/>
              <w:bottom w:val="single" w:sz="4" w:space="0" w:color="000000"/>
              <w:right w:val="single" w:sz="4" w:space="0" w:color="000000"/>
            </w:tcBorders>
            <w:shd w:val="clear" w:color="auto" w:fill="auto"/>
            <w:vAlign w:val="center"/>
            <w:hideMark/>
          </w:tcPr>
          <w:p w14:paraId="2F4C6F22"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96" w:type="dxa"/>
            <w:tcBorders>
              <w:top w:val="nil"/>
              <w:left w:val="nil"/>
              <w:bottom w:val="single" w:sz="4" w:space="0" w:color="000000"/>
              <w:right w:val="single" w:sz="4" w:space="0" w:color="000000"/>
            </w:tcBorders>
            <w:shd w:val="clear" w:color="auto" w:fill="auto"/>
            <w:vAlign w:val="center"/>
            <w:hideMark/>
          </w:tcPr>
          <w:p w14:paraId="2250316A"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3269" w:type="dxa"/>
            <w:tcBorders>
              <w:top w:val="nil"/>
              <w:left w:val="nil"/>
              <w:bottom w:val="single" w:sz="4" w:space="0" w:color="000000"/>
              <w:right w:val="single" w:sz="4" w:space="0" w:color="000000"/>
            </w:tcBorders>
            <w:shd w:val="clear" w:color="auto" w:fill="auto"/>
            <w:vAlign w:val="center"/>
            <w:hideMark/>
          </w:tcPr>
          <w:p w14:paraId="7984739D" w14:textId="77777777" w:rsidR="00381493" w:rsidRPr="00326FB7" w:rsidRDefault="00381493" w:rsidP="00381493">
            <w:pPr>
              <w:spacing w:after="0" w:line="240" w:lineRule="auto"/>
              <w:jc w:val="left"/>
              <w:rPr>
                <w:rFonts w:eastAsia="Times New Roman" w:cs="Arial"/>
                <w:sz w:val="20"/>
                <w:szCs w:val="20"/>
                <w:lang w:eastAsia="fr-FR"/>
              </w:rPr>
            </w:pPr>
            <w:r w:rsidRPr="00326FB7">
              <w:rPr>
                <w:rFonts w:eastAsia="Times New Roman" w:cs="Arial"/>
                <w:sz w:val="20"/>
                <w:szCs w:val="20"/>
                <w:lang w:eastAsia="fr-FR"/>
              </w:rPr>
              <w:t>Pâtés et préparations diverses à base de foie</w:t>
            </w:r>
          </w:p>
        </w:tc>
        <w:tc>
          <w:tcPr>
            <w:tcW w:w="1276" w:type="dxa"/>
            <w:tcBorders>
              <w:top w:val="nil"/>
              <w:left w:val="nil"/>
              <w:bottom w:val="single" w:sz="4" w:space="0" w:color="auto"/>
              <w:right w:val="single" w:sz="4" w:space="0" w:color="auto"/>
            </w:tcBorders>
            <w:shd w:val="clear" w:color="auto" w:fill="auto"/>
            <w:vAlign w:val="center"/>
            <w:hideMark/>
          </w:tcPr>
          <w:p w14:paraId="69545282" w14:textId="767F22FE"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23   </w:t>
            </w:r>
          </w:p>
        </w:tc>
        <w:tc>
          <w:tcPr>
            <w:tcW w:w="284" w:type="dxa"/>
            <w:tcBorders>
              <w:top w:val="nil"/>
              <w:left w:val="nil"/>
              <w:bottom w:val="nil"/>
              <w:right w:val="nil"/>
            </w:tcBorders>
            <w:shd w:val="clear" w:color="auto" w:fill="auto"/>
            <w:noWrap/>
            <w:vAlign w:val="center"/>
            <w:hideMark/>
          </w:tcPr>
          <w:p w14:paraId="62EE2475" w14:textId="77777777" w:rsidR="00381493" w:rsidRPr="00326FB7" w:rsidRDefault="00381493" w:rsidP="00381493">
            <w:pPr>
              <w:spacing w:after="0" w:line="240" w:lineRule="auto"/>
              <w:jc w:val="center"/>
              <w:rPr>
                <w:rFonts w:eastAsia="Times New Roman" w:cs="Arial"/>
                <w:color w:val="000000"/>
                <w:sz w:val="20"/>
                <w:szCs w:val="20"/>
                <w:lang w:eastAsia="fr-FR"/>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F99789" w14:textId="052F3F64" w:rsidR="00381493" w:rsidRPr="00326FB7" w:rsidRDefault="00381493" w:rsidP="00F44BE7">
            <w:pPr>
              <w:spacing w:after="0" w:line="240" w:lineRule="auto"/>
              <w:rPr>
                <w:rFonts w:eastAsia="Times New Roman" w:cs="Arial"/>
                <w:color w:val="000000"/>
                <w:sz w:val="20"/>
                <w:szCs w:val="20"/>
                <w:lang w:eastAsia="fr-FR"/>
              </w:rPr>
            </w:pPr>
            <w:r w:rsidRPr="00326FB7">
              <w:rPr>
                <w:rFonts w:eastAsia="Times New Roman" w:cs="Arial"/>
                <w:color w:val="000000"/>
                <w:sz w:val="20"/>
                <w:szCs w:val="20"/>
                <w:lang w:eastAsia="fr-FR"/>
              </w:rPr>
              <w:t>16 022 090</w:t>
            </w:r>
          </w:p>
        </w:tc>
        <w:tc>
          <w:tcPr>
            <w:tcW w:w="2729" w:type="dxa"/>
            <w:tcBorders>
              <w:top w:val="single" w:sz="4" w:space="0" w:color="auto"/>
              <w:left w:val="nil"/>
              <w:bottom w:val="single" w:sz="4" w:space="0" w:color="auto"/>
              <w:right w:val="single" w:sz="4" w:space="0" w:color="auto"/>
            </w:tcBorders>
            <w:shd w:val="clear" w:color="auto" w:fill="auto"/>
            <w:vAlign w:val="center"/>
            <w:hideMark/>
          </w:tcPr>
          <w:p w14:paraId="56374659"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 Prép. à base de foie </w:t>
            </w:r>
          </w:p>
        </w:tc>
        <w:tc>
          <w:tcPr>
            <w:tcW w:w="1252" w:type="dxa"/>
            <w:tcBorders>
              <w:top w:val="single" w:sz="4" w:space="0" w:color="auto"/>
              <w:left w:val="nil"/>
              <w:bottom w:val="single" w:sz="4" w:space="0" w:color="auto"/>
              <w:right w:val="single" w:sz="4" w:space="0" w:color="auto"/>
            </w:tcBorders>
            <w:shd w:val="clear" w:color="auto" w:fill="auto"/>
            <w:vAlign w:val="center"/>
            <w:hideMark/>
          </w:tcPr>
          <w:p w14:paraId="2192AD89"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         0,7   </w:t>
            </w:r>
          </w:p>
        </w:tc>
        <w:tc>
          <w:tcPr>
            <w:tcW w:w="1240" w:type="dxa"/>
            <w:tcBorders>
              <w:top w:val="single" w:sz="4" w:space="0" w:color="auto"/>
              <w:left w:val="nil"/>
              <w:bottom w:val="single" w:sz="4" w:space="0" w:color="auto"/>
              <w:right w:val="single" w:sz="4" w:space="0" w:color="auto"/>
            </w:tcBorders>
            <w:shd w:val="clear" w:color="auto" w:fill="auto"/>
            <w:vAlign w:val="center"/>
            <w:hideMark/>
          </w:tcPr>
          <w:p w14:paraId="13181526"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         1,0   </w:t>
            </w:r>
          </w:p>
        </w:tc>
        <w:tc>
          <w:tcPr>
            <w:tcW w:w="1120" w:type="dxa"/>
            <w:tcBorders>
              <w:top w:val="single" w:sz="4" w:space="0" w:color="auto"/>
              <w:left w:val="nil"/>
              <w:bottom w:val="single" w:sz="4" w:space="0" w:color="auto"/>
              <w:right w:val="single" w:sz="4" w:space="0" w:color="auto"/>
            </w:tcBorders>
            <w:shd w:val="clear" w:color="auto" w:fill="auto"/>
            <w:vAlign w:val="center"/>
            <w:hideMark/>
          </w:tcPr>
          <w:p w14:paraId="1DF00502"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r>
      <w:tr w:rsidR="00DF1BFF" w:rsidRPr="00326FB7" w14:paraId="0D79E374" w14:textId="77777777" w:rsidTr="00F44BE7">
        <w:trPr>
          <w:trHeight w:val="645"/>
        </w:trPr>
        <w:tc>
          <w:tcPr>
            <w:tcW w:w="1200" w:type="dxa"/>
            <w:tcBorders>
              <w:top w:val="nil"/>
              <w:left w:val="single" w:sz="4" w:space="0" w:color="000000"/>
              <w:bottom w:val="single" w:sz="4" w:space="0" w:color="000000"/>
              <w:right w:val="single" w:sz="4" w:space="0" w:color="000000"/>
            </w:tcBorders>
            <w:shd w:val="clear" w:color="000000" w:fill="BFBFBF"/>
            <w:hideMark/>
          </w:tcPr>
          <w:p w14:paraId="50F79B43"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10.13.15.05</w:t>
            </w:r>
          </w:p>
        </w:tc>
        <w:tc>
          <w:tcPr>
            <w:tcW w:w="1196" w:type="dxa"/>
            <w:tcBorders>
              <w:top w:val="nil"/>
              <w:left w:val="nil"/>
              <w:bottom w:val="single" w:sz="4" w:space="0" w:color="000000"/>
              <w:right w:val="single" w:sz="4" w:space="0" w:color="000000"/>
            </w:tcBorders>
            <w:shd w:val="clear" w:color="000000" w:fill="BFBFBF"/>
            <w:hideMark/>
          </w:tcPr>
          <w:p w14:paraId="460C478F"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1602.20.10</w:t>
            </w:r>
          </w:p>
        </w:tc>
        <w:tc>
          <w:tcPr>
            <w:tcW w:w="3269" w:type="dxa"/>
            <w:tcBorders>
              <w:top w:val="nil"/>
              <w:left w:val="nil"/>
              <w:bottom w:val="single" w:sz="4" w:space="0" w:color="000000"/>
              <w:right w:val="single" w:sz="4" w:space="0" w:color="000000"/>
            </w:tcBorders>
            <w:shd w:val="clear" w:color="000000" w:fill="BFBFBF"/>
            <w:hideMark/>
          </w:tcPr>
          <w:p w14:paraId="60221A34" w14:textId="77777777" w:rsidR="00381493" w:rsidRPr="00326FB7" w:rsidRDefault="00381493" w:rsidP="00381493">
            <w:pPr>
              <w:spacing w:after="0" w:line="240" w:lineRule="auto"/>
              <w:jc w:val="left"/>
              <w:rPr>
                <w:rFonts w:eastAsia="Times New Roman" w:cs="Arial"/>
                <w:sz w:val="20"/>
                <w:szCs w:val="20"/>
                <w:lang w:eastAsia="fr-FR"/>
              </w:rPr>
            </w:pPr>
            <w:r w:rsidRPr="00326FB7">
              <w:rPr>
                <w:rFonts w:eastAsia="Times New Roman" w:cs="Arial"/>
                <w:sz w:val="20"/>
                <w:szCs w:val="20"/>
                <w:lang w:eastAsia="fr-FR"/>
              </w:rPr>
              <w:t>Pâté, crème, mousse, terrine contenant du foie d'oie ou de canard (hors foie gras)</w:t>
            </w:r>
          </w:p>
        </w:tc>
        <w:tc>
          <w:tcPr>
            <w:tcW w:w="1276" w:type="dxa"/>
            <w:tcBorders>
              <w:top w:val="nil"/>
              <w:left w:val="nil"/>
              <w:bottom w:val="single" w:sz="4" w:space="0" w:color="auto"/>
              <w:right w:val="single" w:sz="4" w:space="0" w:color="auto"/>
            </w:tcBorders>
            <w:shd w:val="clear" w:color="000000" w:fill="BFBFBF"/>
            <w:vAlign w:val="center"/>
            <w:hideMark/>
          </w:tcPr>
          <w:p w14:paraId="17543441" w14:textId="4D9A900C" w:rsidR="00381493" w:rsidRPr="00326FB7" w:rsidRDefault="00381493" w:rsidP="00DF1BFF">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12</w:t>
            </w:r>
          </w:p>
        </w:tc>
        <w:tc>
          <w:tcPr>
            <w:tcW w:w="284" w:type="dxa"/>
            <w:tcBorders>
              <w:top w:val="nil"/>
              <w:left w:val="nil"/>
              <w:bottom w:val="nil"/>
              <w:right w:val="nil"/>
            </w:tcBorders>
            <w:shd w:val="clear" w:color="auto" w:fill="auto"/>
            <w:noWrap/>
            <w:vAlign w:val="center"/>
            <w:hideMark/>
          </w:tcPr>
          <w:p w14:paraId="146562A7" w14:textId="77777777" w:rsidR="00381493" w:rsidRPr="00326FB7" w:rsidRDefault="00381493" w:rsidP="00381493">
            <w:pPr>
              <w:spacing w:after="0" w:line="240" w:lineRule="auto"/>
              <w:jc w:val="center"/>
              <w:rPr>
                <w:rFonts w:eastAsia="Times New Roman" w:cs="Arial"/>
                <w:color w:val="000000"/>
                <w:sz w:val="20"/>
                <w:szCs w:val="20"/>
                <w:lang w:eastAsia="fr-FR"/>
              </w:rPr>
            </w:pPr>
          </w:p>
        </w:tc>
        <w:tc>
          <w:tcPr>
            <w:tcW w:w="1134" w:type="dxa"/>
            <w:tcBorders>
              <w:top w:val="nil"/>
              <w:left w:val="single" w:sz="4" w:space="0" w:color="auto"/>
              <w:bottom w:val="single" w:sz="4" w:space="0" w:color="auto"/>
              <w:right w:val="single" w:sz="4" w:space="0" w:color="auto"/>
            </w:tcBorders>
            <w:shd w:val="clear" w:color="auto" w:fill="auto"/>
            <w:hideMark/>
          </w:tcPr>
          <w:p w14:paraId="10866D9F" w14:textId="009F87B8" w:rsidR="00381493" w:rsidRPr="00326FB7" w:rsidRDefault="00381493" w:rsidP="00F44BE7">
            <w:pPr>
              <w:spacing w:after="0" w:line="240" w:lineRule="auto"/>
              <w:rPr>
                <w:rFonts w:eastAsia="Times New Roman" w:cs="Arial"/>
                <w:b/>
                <w:bCs/>
                <w:sz w:val="20"/>
                <w:szCs w:val="20"/>
                <w:lang w:eastAsia="fr-FR"/>
              </w:rPr>
            </w:pPr>
          </w:p>
        </w:tc>
        <w:tc>
          <w:tcPr>
            <w:tcW w:w="2729" w:type="dxa"/>
            <w:tcBorders>
              <w:top w:val="nil"/>
              <w:left w:val="nil"/>
              <w:bottom w:val="single" w:sz="4" w:space="0" w:color="auto"/>
              <w:right w:val="single" w:sz="4" w:space="0" w:color="auto"/>
            </w:tcBorders>
            <w:shd w:val="clear" w:color="auto" w:fill="auto"/>
            <w:hideMark/>
          </w:tcPr>
          <w:p w14:paraId="10283525" w14:textId="7795CD49" w:rsidR="00381493" w:rsidRPr="00326FB7" w:rsidRDefault="00381493" w:rsidP="00381493">
            <w:pPr>
              <w:spacing w:after="0" w:line="240" w:lineRule="auto"/>
              <w:jc w:val="center"/>
              <w:rPr>
                <w:rFonts w:eastAsia="Times New Roman" w:cs="Arial"/>
                <w:b/>
                <w:bCs/>
                <w:sz w:val="20"/>
                <w:szCs w:val="20"/>
                <w:lang w:eastAsia="fr-FR"/>
              </w:rPr>
            </w:pPr>
          </w:p>
        </w:tc>
        <w:tc>
          <w:tcPr>
            <w:tcW w:w="1252" w:type="dxa"/>
            <w:tcBorders>
              <w:top w:val="nil"/>
              <w:left w:val="nil"/>
              <w:bottom w:val="single" w:sz="4" w:space="0" w:color="auto"/>
              <w:right w:val="single" w:sz="4" w:space="0" w:color="auto"/>
            </w:tcBorders>
            <w:shd w:val="clear" w:color="auto" w:fill="auto"/>
            <w:noWrap/>
            <w:vAlign w:val="bottom"/>
            <w:hideMark/>
          </w:tcPr>
          <w:p w14:paraId="718B91BF" w14:textId="48F16108" w:rsidR="00381493" w:rsidRPr="00326FB7" w:rsidRDefault="00381493" w:rsidP="00F44BE7">
            <w:pPr>
              <w:spacing w:after="0" w:line="240" w:lineRule="auto"/>
              <w:rPr>
                <w:rFonts w:eastAsia="Times New Roman" w:cs="Arial"/>
                <w:color w:val="000000"/>
                <w:sz w:val="20"/>
                <w:szCs w:val="20"/>
                <w:lang w:eastAsia="fr-FR"/>
              </w:rPr>
            </w:pPr>
          </w:p>
        </w:tc>
        <w:tc>
          <w:tcPr>
            <w:tcW w:w="1240" w:type="dxa"/>
            <w:tcBorders>
              <w:top w:val="nil"/>
              <w:left w:val="nil"/>
              <w:bottom w:val="single" w:sz="4" w:space="0" w:color="auto"/>
              <w:right w:val="single" w:sz="4" w:space="0" w:color="auto"/>
            </w:tcBorders>
            <w:shd w:val="clear" w:color="auto" w:fill="auto"/>
            <w:noWrap/>
            <w:vAlign w:val="bottom"/>
            <w:hideMark/>
          </w:tcPr>
          <w:p w14:paraId="12634D44"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20" w:type="dxa"/>
            <w:tcBorders>
              <w:top w:val="nil"/>
              <w:left w:val="nil"/>
              <w:bottom w:val="single" w:sz="4" w:space="0" w:color="auto"/>
              <w:right w:val="single" w:sz="4" w:space="0" w:color="auto"/>
            </w:tcBorders>
            <w:shd w:val="clear" w:color="auto" w:fill="auto"/>
            <w:noWrap/>
            <w:vAlign w:val="bottom"/>
            <w:hideMark/>
          </w:tcPr>
          <w:p w14:paraId="0697ED5E"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r>
      <w:tr w:rsidR="00DF1BFF" w:rsidRPr="00326FB7" w14:paraId="308892D7" w14:textId="77777777" w:rsidTr="00F44BE7">
        <w:trPr>
          <w:trHeight w:val="555"/>
        </w:trPr>
        <w:tc>
          <w:tcPr>
            <w:tcW w:w="1200" w:type="dxa"/>
            <w:tcBorders>
              <w:top w:val="nil"/>
              <w:left w:val="single" w:sz="4" w:space="0" w:color="000000"/>
              <w:bottom w:val="single" w:sz="4" w:space="0" w:color="000000"/>
              <w:right w:val="single" w:sz="4" w:space="0" w:color="000000"/>
            </w:tcBorders>
            <w:shd w:val="clear" w:color="auto" w:fill="auto"/>
            <w:hideMark/>
          </w:tcPr>
          <w:p w14:paraId="18178461"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10.13.15.15</w:t>
            </w:r>
          </w:p>
        </w:tc>
        <w:tc>
          <w:tcPr>
            <w:tcW w:w="1196" w:type="dxa"/>
            <w:tcBorders>
              <w:top w:val="nil"/>
              <w:left w:val="nil"/>
              <w:bottom w:val="single" w:sz="4" w:space="0" w:color="000000"/>
              <w:right w:val="single" w:sz="4" w:space="0" w:color="000000"/>
            </w:tcBorders>
            <w:shd w:val="clear" w:color="auto" w:fill="auto"/>
            <w:hideMark/>
          </w:tcPr>
          <w:p w14:paraId="593E294B"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1602.20.90</w:t>
            </w:r>
          </w:p>
        </w:tc>
        <w:tc>
          <w:tcPr>
            <w:tcW w:w="3269" w:type="dxa"/>
            <w:tcBorders>
              <w:top w:val="nil"/>
              <w:left w:val="nil"/>
              <w:bottom w:val="single" w:sz="4" w:space="0" w:color="000000"/>
              <w:right w:val="single" w:sz="4" w:space="0" w:color="000000"/>
            </w:tcBorders>
            <w:shd w:val="clear" w:color="auto" w:fill="auto"/>
            <w:hideMark/>
          </w:tcPr>
          <w:p w14:paraId="40C31AF5" w14:textId="77777777" w:rsidR="00381493" w:rsidRPr="00326FB7" w:rsidRDefault="00381493" w:rsidP="00381493">
            <w:pPr>
              <w:spacing w:after="0" w:line="240" w:lineRule="auto"/>
              <w:jc w:val="left"/>
              <w:rPr>
                <w:rFonts w:eastAsia="Times New Roman" w:cs="Arial"/>
                <w:sz w:val="20"/>
                <w:szCs w:val="20"/>
                <w:lang w:eastAsia="fr-FR"/>
              </w:rPr>
            </w:pPr>
            <w:r w:rsidRPr="00326FB7">
              <w:rPr>
                <w:rFonts w:eastAsia="Times New Roman" w:cs="Arial"/>
                <w:sz w:val="20"/>
                <w:szCs w:val="20"/>
                <w:lang w:eastAsia="fr-FR"/>
              </w:rPr>
              <w:t>Préparations et conserves de foie de porc</w:t>
            </w:r>
          </w:p>
        </w:tc>
        <w:tc>
          <w:tcPr>
            <w:tcW w:w="1276" w:type="dxa"/>
            <w:tcBorders>
              <w:top w:val="nil"/>
              <w:left w:val="nil"/>
              <w:bottom w:val="single" w:sz="4" w:space="0" w:color="auto"/>
              <w:right w:val="single" w:sz="4" w:space="0" w:color="auto"/>
            </w:tcBorders>
            <w:shd w:val="clear" w:color="auto" w:fill="auto"/>
            <w:vAlign w:val="center"/>
            <w:hideMark/>
          </w:tcPr>
          <w:p w14:paraId="17EDF462" w14:textId="3D94EBEF"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12   </w:t>
            </w:r>
          </w:p>
        </w:tc>
        <w:tc>
          <w:tcPr>
            <w:tcW w:w="284" w:type="dxa"/>
            <w:tcBorders>
              <w:top w:val="nil"/>
              <w:left w:val="nil"/>
              <w:bottom w:val="nil"/>
              <w:right w:val="nil"/>
            </w:tcBorders>
            <w:shd w:val="clear" w:color="auto" w:fill="auto"/>
            <w:noWrap/>
            <w:vAlign w:val="center"/>
            <w:hideMark/>
          </w:tcPr>
          <w:p w14:paraId="1EC5231A" w14:textId="77777777" w:rsidR="00381493" w:rsidRPr="00326FB7" w:rsidRDefault="00381493" w:rsidP="00381493">
            <w:pPr>
              <w:spacing w:after="0" w:line="240" w:lineRule="auto"/>
              <w:jc w:val="center"/>
              <w:rPr>
                <w:rFonts w:eastAsia="Times New Roman" w:cs="Arial"/>
                <w:color w:val="000000"/>
                <w:sz w:val="20"/>
                <w:szCs w:val="20"/>
                <w:lang w:eastAsia="fr-FR"/>
              </w:rPr>
            </w:pPr>
          </w:p>
        </w:tc>
        <w:tc>
          <w:tcPr>
            <w:tcW w:w="1134" w:type="dxa"/>
            <w:tcBorders>
              <w:top w:val="nil"/>
              <w:left w:val="single" w:sz="4" w:space="0" w:color="auto"/>
              <w:bottom w:val="single" w:sz="4" w:space="0" w:color="auto"/>
              <w:right w:val="single" w:sz="4" w:space="0" w:color="auto"/>
            </w:tcBorders>
            <w:shd w:val="clear" w:color="auto" w:fill="auto"/>
            <w:vAlign w:val="center"/>
            <w:hideMark/>
          </w:tcPr>
          <w:p w14:paraId="0BE06B93" w14:textId="03264DA7" w:rsidR="00381493" w:rsidRPr="00326FB7" w:rsidRDefault="00381493" w:rsidP="00381493">
            <w:pPr>
              <w:spacing w:after="0" w:line="240" w:lineRule="auto"/>
              <w:jc w:val="center"/>
              <w:rPr>
                <w:rFonts w:eastAsia="Times New Roman" w:cs="Arial"/>
                <w:i/>
                <w:iCs/>
                <w:sz w:val="20"/>
                <w:szCs w:val="20"/>
                <w:lang w:eastAsia="fr-FR"/>
              </w:rPr>
            </w:pPr>
          </w:p>
        </w:tc>
        <w:tc>
          <w:tcPr>
            <w:tcW w:w="2729" w:type="dxa"/>
            <w:tcBorders>
              <w:top w:val="nil"/>
              <w:left w:val="nil"/>
              <w:bottom w:val="single" w:sz="4" w:space="0" w:color="auto"/>
              <w:right w:val="single" w:sz="4" w:space="0" w:color="auto"/>
            </w:tcBorders>
            <w:shd w:val="clear" w:color="auto" w:fill="auto"/>
            <w:vAlign w:val="center"/>
            <w:hideMark/>
          </w:tcPr>
          <w:p w14:paraId="3B8B92B0" w14:textId="77777777" w:rsidR="00381493" w:rsidRPr="00326FB7" w:rsidRDefault="00381493" w:rsidP="00F44BE7">
            <w:pPr>
              <w:spacing w:after="0" w:line="240" w:lineRule="auto"/>
              <w:rPr>
                <w:rFonts w:eastAsia="Times New Roman" w:cs="Arial"/>
                <w:i/>
                <w:iCs/>
                <w:sz w:val="20"/>
                <w:szCs w:val="20"/>
                <w:lang w:eastAsia="fr-FR"/>
              </w:rPr>
            </w:pPr>
            <w:r w:rsidRPr="00326FB7">
              <w:rPr>
                <w:rFonts w:eastAsia="Times New Roman" w:cs="Arial"/>
                <w:i/>
                <w:iCs/>
                <w:sz w:val="20"/>
                <w:szCs w:val="20"/>
                <w:lang w:eastAsia="fr-FR"/>
              </w:rPr>
              <w:t> </w:t>
            </w:r>
          </w:p>
        </w:tc>
        <w:tc>
          <w:tcPr>
            <w:tcW w:w="1252" w:type="dxa"/>
            <w:tcBorders>
              <w:top w:val="nil"/>
              <w:left w:val="nil"/>
              <w:bottom w:val="single" w:sz="4" w:space="0" w:color="auto"/>
              <w:right w:val="single" w:sz="4" w:space="0" w:color="auto"/>
            </w:tcBorders>
            <w:shd w:val="clear" w:color="auto" w:fill="auto"/>
            <w:noWrap/>
            <w:vAlign w:val="bottom"/>
            <w:hideMark/>
          </w:tcPr>
          <w:p w14:paraId="74872AD3"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240" w:type="dxa"/>
            <w:tcBorders>
              <w:top w:val="nil"/>
              <w:left w:val="nil"/>
              <w:bottom w:val="single" w:sz="4" w:space="0" w:color="auto"/>
              <w:right w:val="single" w:sz="4" w:space="0" w:color="auto"/>
            </w:tcBorders>
            <w:shd w:val="clear" w:color="auto" w:fill="auto"/>
            <w:noWrap/>
            <w:vAlign w:val="bottom"/>
            <w:hideMark/>
          </w:tcPr>
          <w:p w14:paraId="0082C609"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20" w:type="dxa"/>
            <w:tcBorders>
              <w:top w:val="nil"/>
              <w:left w:val="nil"/>
              <w:bottom w:val="single" w:sz="4" w:space="0" w:color="auto"/>
              <w:right w:val="single" w:sz="4" w:space="0" w:color="auto"/>
            </w:tcBorders>
            <w:shd w:val="clear" w:color="auto" w:fill="auto"/>
            <w:noWrap/>
            <w:vAlign w:val="bottom"/>
            <w:hideMark/>
          </w:tcPr>
          <w:p w14:paraId="33F3F19B"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r>
      <w:tr w:rsidR="00DF1BFF" w:rsidRPr="00326FB7" w14:paraId="5F51047B" w14:textId="77777777" w:rsidTr="00F44BE7">
        <w:trPr>
          <w:trHeight w:val="540"/>
        </w:trPr>
        <w:tc>
          <w:tcPr>
            <w:tcW w:w="1200" w:type="dxa"/>
            <w:tcBorders>
              <w:top w:val="nil"/>
              <w:left w:val="single" w:sz="4" w:space="0" w:color="000000"/>
              <w:bottom w:val="single" w:sz="4" w:space="0" w:color="000000"/>
              <w:right w:val="single" w:sz="4" w:space="0" w:color="000000"/>
            </w:tcBorders>
            <w:shd w:val="clear" w:color="000000" w:fill="BFBFBF"/>
            <w:vAlign w:val="center"/>
            <w:hideMark/>
          </w:tcPr>
          <w:p w14:paraId="027604AF"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96" w:type="dxa"/>
            <w:tcBorders>
              <w:top w:val="nil"/>
              <w:left w:val="nil"/>
              <w:bottom w:val="single" w:sz="4" w:space="0" w:color="000000"/>
              <w:right w:val="single" w:sz="4" w:space="0" w:color="000000"/>
            </w:tcBorders>
            <w:shd w:val="clear" w:color="000000" w:fill="BFBFBF"/>
            <w:vAlign w:val="center"/>
            <w:hideMark/>
          </w:tcPr>
          <w:p w14:paraId="049E5CBF" w14:textId="77777777" w:rsidR="00381493" w:rsidRPr="00326FB7" w:rsidRDefault="00381493" w:rsidP="00381493">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3269" w:type="dxa"/>
            <w:tcBorders>
              <w:top w:val="nil"/>
              <w:left w:val="nil"/>
              <w:bottom w:val="single" w:sz="4" w:space="0" w:color="000000"/>
              <w:right w:val="single" w:sz="4" w:space="0" w:color="000000"/>
            </w:tcBorders>
            <w:shd w:val="clear" w:color="000000" w:fill="BFBFBF"/>
            <w:hideMark/>
          </w:tcPr>
          <w:p w14:paraId="4A58B8D5" w14:textId="77777777" w:rsidR="00381493" w:rsidRPr="00326FB7" w:rsidRDefault="00381493" w:rsidP="00381493">
            <w:pPr>
              <w:spacing w:after="0" w:line="240" w:lineRule="auto"/>
              <w:jc w:val="left"/>
              <w:rPr>
                <w:rFonts w:eastAsia="Times New Roman" w:cs="Arial"/>
                <w:b/>
                <w:bCs/>
                <w:sz w:val="20"/>
                <w:szCs w:val="20"/>
                <w:lang w:eastAsia="fr-FR"/>
              </w:rPr>
            </w:pPr>
            <w:r w:rsidRPr="00326FB7">
              <w:rPr>
                <w:rFonts w:eastAsia="Times New Roman" w:cs="Arial"/>
                <w:b/>
                <w:bCs/>
                <w:sz w:val="20"/>
                <w:szCs w:val="20"/>
                <w:lang w:eastAsia="fr-FR"/>
              </w:rPr>
              <w:t>Autres préparations et conserves à base de porc, y compris les mélanges</w:t>
            </w:r>
          </w:p>
        </w:tc>
        <w:tc>
          <w:tcPr>
            <w:tcW w:w="1276" w:type="dxa"/>
            <w:tcBorders>
              <w:top w:val="nil"/>
              <w:left w:val="nil"/>
              <w:bottom w:val="single" w:sz="4" w:space="0" w:color="auto"/>
              <w:right w:val="single" w:sz="4" w:space="0" w:color="auto"/>
            </w:tcBorders>
            <w:shd w:val="clear" w:color="000000" w:fill="BFBFBF"/>
            <w:vAlign w:val="center"/>
            <w:hideMark/>
          </w:tcPr>
          <w:p w14:paraId="48B7A75C" w14:textId="6E2D8EB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xml:space="preserve">65   </w:t>
            </w:r>
          </w:p>
        </w:tc>
        <w:tc>
          <w:tcPr>
            <w:tcW w:w="284" w:type="dxa"/>
            <w:tcBorders>
              <w:top w:val="nil"/>
              <w:left w:val="nil"/>
              <w:bottom w:val="nil"/>
              <w:right w:val="nil"/>
            </w:tcBorders>
            <w:shd w:val="clear" w:color="auto" w:fill="auto"/>
            <w:noWrap/>
            <w:vAlign w:val="center"/>
            <w:hideMark/>
          </w:tcPr>
          <w:p w14:paraId="489C6184" w14:textId="77777777" w:rsidR="00381493" w:rsidRPr="00326FB7" w:rsidRDefault="00381493" w:rsidP="00381493">
            <w:pPr>
              <w:spacing w:after="0" w:line="240" w:lineRule="auto"/>
              <w:jc w:val="center"/>
              <w:rPr>
                <w:rFonts w:eastAsia="Times New Roman" w:cs="Arial"/>
                <w:color w:val="000000"/>
                <w:sz w:val="20"/>
                <w:szCs w:val="20"/>
                <w:lang w:eastAsia="fr-FR"/>
              </w:rPr>
            </w:pPr>
          </w:p>
        </w:tc>
        <w:tc>
          <w:tcPr>
            <w:tcW w:w="1134" w:type="dxa"/>
            <w:tcBorders>
              <w:top w:val="nil"/>
              <w:left w:val="single" w:sz="4" w:space="0" w:color="auto"/>
              <w:bottom w:val="single" w:sz="4" w:space="0" w:color="auto"/>
              <w:right w:val="single" w:sz="4" w:space="0" w:color="auto"/>
            </w:tcBorders>
            <w:shd w:val="clear" w:color="auto" w:fill="auto"/>
            <w:hideMark/>
          </w:tcPr>
          <w:p w14:paraId="1428AD87" w14:textId="77777777" w:rsidR="00381493" w:rsidRPr="00326FB7" w:rsidRDefault="00381493" w:rsidP="00381493">
            <w:pPr>
              <w:spacing w:after="0" w:line="240" w:lineRule="auto"/>
              <w:jc w:val="center"/>
              <w:rPr>
                <w:rFonts w:eastAsia="Times New Roman" w:cs="Arial"/>
                <w:sz w:val="20"/>
                <w:szCs w:val="20"/>
                <w:lang w:eastAsia="fr-FR"/>
              </w:rPr>
            </w:pPr>
          </w:p>
          <w:p w14:paraId="3255F0C7" w14:textId="43A7B71D" w:rsidR="00F44BE7" w:rsidRPr="00326FB7" w:rsidRDefault="00F44BE7" w:rsidP="00381493">
            <w:pPr>
              <w:spacing w:after="0" w:line="240" w:lineRule="auto"/>
              <w:jc w:val="center"/>
              <w:rPr>
                <w:rFonts w:eastAsia="Times New Roman" w:cs="Arial"/>
                <w:sz w:val="20"/>
                <w:szCs w:val="20"/>
                <w:lang w:eastAsia="fr-FR"/>
              </w:rPr>
            </w:pPr>
          </w:p>
        </w:tc>
        <w:tc>
          <w:tcPr>
            <w:tcW w:w="2729" w:type="dxa"/>
            <w:tcBorders>
              <w:top w:val="nil"/>
              <w:left w:val="nil"/>
              <w:bottom w:val="single" w:sz="4" w:space="0" w:color="auto"/>
              <w:right w:val="single" w:sz="4" w:space="0" w:color="auto"/>
            </w:tcBorders>
            <w:shd w:val="clear" w:color="auto" w:fill="auto"/>
            <w:hideMark/>
          </w:tcPr>
          <w:p w14:paraId="2602C462" w14:textId="77777777" w:rsidR="00381493" w:rsidRPr="00326FB7" w:rsidRDefault="00381493" w:rsidP="00381493">
            <w:pPr>
              <w:spacing w:after="0" w:line="240" w:lineRule="auto"/>
              <w:jc w:val="center"/>
              <w:rPr>
                <w:rFonts w:eastAsia="Times New Roman" w:cs="Arial"/>
                <w:sz w:val="20"/>
                <w:szCs w:val="20"/>
                <w:lang w:eastAsia="fr-FR"/>
              </w:rPr>
            </w:pPr>
            <w:r w:rsidRPr="00326FB7">
              <w:rPr>
                <w:rFonts w:eastAsia="Times New Roman" w:cs="Arial"/>
                <w:sz w:val="20"/>
                <w:szCs w:val="20"/>
                <w:lang w:eastAsia="fr-FR"/>
              </w:rPr>
              <w:t> </w:t>
            </w:r>
          </w:p>
        </w:tc>
        <w:tc>
          <w:tcPr>
            <w:tcW w:w="1252" w:type="dxa"/>
            <w:tcBorders>
              <w:top w:val="nil"/>
              <w:left w:val="nil"/>
              <w:bottom w:val="single" w:sz="4" w:space="0" w:color="auto"/>
              <w:right w:val="single" w:sz="4" w:space="0" w:color="auto"/>
            </w:tcBorders>
            <w:shd w:val="clear" w:color="auto" w:fill="auto"/>
            <w:noWrap/>
            <w:vAlign w:val="bottom"/>
            <w:hideMark/>
          </w:tcPr>
          <w:p w14:paraId="53349F05"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240" w:type="dxa"/>
            <w:tcBorders>
              <w:top w:val="nil"/>
              <w:left w:val="nil"/>
              <w:bottom w:val="single" w:sz="4" w:space="0" w:color="auto"/>
              <w:right w:val="single" w:sz="4" w:space="0" w:color="auto"/>
            </w:tcBorders>
            <w:shd w:val="clear" w:color="auto" w:fill="auto"/>
            <w:noWrap/>
            <w:vAlign w:val="bottom"/>
            <w:hideMark/>
          </w:tcPr>
          <w:p w14:paraId="24C55E3B"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c>
          <w:tcPr>
            <w:tcW w:w="1120" w:type="dxa"/>
            <w:tcBorders>
              <w:top w:val="nil"/>
              <w:left w:val="nil"/>
              <w:bottom w:val="single" w:sz="4" w:space="0" w:color="auto"/>
              <w:right w:val="single" w:sz="4" w:space="0" w:color="auto"/>
            </w:tcBorders>
            <w:shd w:val="clear" w:color="auto" w:fill="auto"/>
            <w:noWrap/>
            <w:vAlign w:val="bottom"/>
            <w:hideMark/>
          </w:tcPr>
          <w:p w14:paraId="42BCC7FD" w14:textId="77777777" w:rsidR="00381493" w:rsidRPr="00326FB7" w:rsidRDefault="00381493" w:rsidP="00381493">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 </w:t>
            </w:r>
          </w:p>
        </w:tc>
      </w:tr>
    </w:tbl>
    <w:p w14:paraId="3F12011B" w14:textId="30C13A55" w:rsidR="00AB30CB" w:rsidRPr="00326FB7" w:rsidRDefault="00AB30CB" w:rsidP="005B0175">
      <w:pPr>
        <w:rPr>
          <w:rFonts w:cs="Arial"/>
          <w:sz w:val="20"/>
          <w:szCs w:val="20"/>
        </w:rPr>
      </w:pPr>
    </w:p>
    <w:p w14:paraId="7FE79A54" w14:textId="73188558" w:rsidR="00AB30CB" w:rsidRDefault="00AB30CB" w:rsidP="005B0175">
      <w:pPr>
        <w:rPr>
          <w:rFonts w:cs="Arial"/>
        </w:rPr>
      </w:pPr>
    </w:p>
    <w:p w14:paraId="0EC0727D" w14:textId="07F4E015" w:rsidR="00AB30CB" w:rsidRDefault="00AB30CB" w:rsidP="005B0175">
      <w:pPr>
        <w:rPr>
          <w:rFonts w:cs="Arial"/>
        </w:rPr>
      </w:pPr>
    </w:p>
    <w:p w14:paraId="584541B8" w14:textId="73F7239B" w:rsidR="00AB30CB" w:rsidRDefault="00AB30CB" w:rsidP="005B0175">
      <w:pPr>
        <w:rPr>
          <w:rFonts w:cs="Arial"/>
        </w:rPr>
      </w:pPr>
    </w:p>
    <w:p w14:paraId="6B1DE37F" w14:textId="74AD7871" w:rsidR="00AB30CB" w:rsidRDefault="00AB30CB" w:rsidP="005B0175">
      <w:pPr>
        <w:rPr>
          <w:rFonts w:cs="Arial"/>
        </w:rPr>
      </w:pPr>
    </w:p>
    <w:p w14:paraId="3DF28A40" w14:textId="1CAE9531" w:rsidR="00AB30CB" w:rsidRDefault="00AB30CB" w:rsidP="005B0175">
      <w:pPr>
        <w:rPr>
          <w:rFonts w:cs="Arial"/>
        </w:rPr>
      </w:pPr>
    </w:p>
    <w:p w14:paraId="709E2767" w14:textId="7E5A99DE" w:rsidR="00AB30CB" w:rsidRDefault="00AB30CB" w:rsidP="005B0175">
      <w:pPr>
        <w:rPr>
          <w:rFonts w:cs="Arial"/>
        </w:rPr>
      </w:pPr>
    </w:p>
    <w:p w14:paraId="74CDD8CD" w14:textId="180313C1" w:rsidR="00AB30CB" w:rsidRDefault="00AB30CB" w:rsidP="005B0175">
      <w:pPr>
        <w:rPr>
          <w:rFonts w:cs="Arial"/>
        </w:rPr>
      </w:pPr>
    </w:p>
    <w:p w14:paraId="4919A084" w14:textId="772FB3C7" w:rsidR="00AB30CB" w:rsidRDefault="00AB30CB" w:rsidP="005B0175">
      <w:pPr>
        <w:rPr>
          <w:rFonts w:cs="Arial"/>
        </w:rPr>
      </w:pPr>
    </w:p>
    <w:p w14:paraId="27560FDD" w14:textId="77777777" w:rsidR="00DA07BA" w:rsidRDefault="00DA07BA" w:rsidP="00DA07BA">
      <w:pPr>
        <w:jc w:val="left"/>
        <w:rPr>
          <w:rFonts w:cs="Arial"/>
        </w:rPr>
        <w:sectPr w:rsidR="00DA07BA" w:rsidSect="00B73F4D">
          <w:pgSz w:w="16838" w:h="11906" w:orient="landscape"/>
          <w:pgMar w:top="1417" w:right="1417" w:bottom="1133" w:left="1417" w:header="708" w:footer="708" w:gutter="0"/>
          <w:pgNumType w:start="0"/>
          <w:cols w:space="708"/>
          <w:docGrid w:linePitch="360"/>
        </w:sectPr>
      </w:pPr>
    </w:p>
    <w:p w14:paraId="71420ADA" w14:textId="0DC7EEC4" w:rsidR="00AB30CB" w:rsidRDefault="00AB30CB" w:rsidP="00326FB7">
      <w:pPr>
        <w:jc w:val="left"/>
        <w:rPr>
          <w:rFonts w:cs="Arial"/>
        </w:rPr>
      </w:pPr>
      <w:r w:rsidRPr="00326FB7">
        <w:rPr>
          <w:rFonts w:cs="Arial"/>
          <w:b/>
          <w:i/>
        </w:rPr>
        <w:lastRenderedPageBreak/>
        <w:t xml:space="preserve">Annexe 7 </w:t>
      </w:r>
      <w:r w:rsidR="00D50BBB" w:rsidRPr="00326FB7">
        <w:rPr>
          <w:rFonts w:cs="Arial"/>
          <w:b/>
          <w:i/>
        </w:rPr>
        <w:t xml:space="preserve">a/ Volumes d’achat des ménages </w:t>
      </w:r>
      <w:r w:rsidR="00326FB7" w:rsidRPr="00326FB7">
        <w:rPr>
          <w:rFonts w:cs="Arial"/>
          <w:b/>
          <w:i/>
        </w:rPr>
        <w:t xml:space="preserve">à domicile </w:t>
      </w:r>
      <w:r w:rsidR="00D50BBB" w:rsidRPr="00326FB7">
        <w:rPr>
          <w:rFonts w:cs="Arial"/>
          <w:b/>
          <w:i/>
        </w:rPr>
        <w:t>en porc frais (</w:t>
      </w:r>
      <w:r w:rsidR="004E3334">
        <w:rPr>
          <w:rFonts w:cs="Arial"/>
          <w:b/>
          <w:i/>
        </w:rPr>
        <w:t>KWP</w:t>
      </w:r>
      <w:r w:rsidR="00D50BBB" w:rsidRPr="00326FB7">
        <w:rPr>
          <w:rFonts w:cs="Arial"/>
          <w:b/>
          <w:i/>
        </w:rPr>
        <w:t>).</w:t>
      </w:r>
    </w:p>
    <w:tbl>
      <w:tblPr>
        <w:tblW w:w="9200" w:type="dxa"/>
        <w:tblCellMar>
          <w:left w:w="70" w:type="dxa"/>
          <w:right w:w="70" w:type="dxa"/>
        </w:tblCellMar>
        <w:tblLook w:val="04A0" w:firstRow="1" w:lastRow="0" w:firstColumn="1" w:lastColumn="0" w:noHBand="0" w:noVBand="1"/>
      </w:tblPr>
      <w:tblGrid>
        <w:gridCol w:w="4140"/>
        <w:gridCol w:w="1480"/>
        <w:gridCol w:w="2040"/>
        <w:gridCol w:w="1540"/>
      </w:tblGrid>
      <w:tr w:rsidR="00D50BBB" w:rsidRPr="00326FB7" w14:paraId="0D9F731B"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2E84E7B3" w14:textId="77777777" w:rsidR="00D50BBB" w:rsidRPr="00326FB7" w:rsidRDefault="00D50BBB" w:rsidP="00326FB7">
            <w:pPr>
              <w:spacing w:after="0" w:line="240" w:lineRule="auto"/>
              <w:jc w:val="left"/>
              <w:rPr>
                <w:rFonts w:eastAsia="Times New Roman" w:cs="Arial"/>
                <w:b/>
                <w:bCs/>
                <w:color w:val="000000"/>
                <w:sz w:val="20"/>
                <w:szCs w:val="20"/>
                <w:lang w:eastAsia="fr-FR"/>
              </w:rPr>
            </w:pPr>
          </w:p>
        </w:tc>
        <w:tc>
          <w:tcPr>
            <w:tcW w:w="148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3BB98C1A" w14:textId="3F2A9FD6" w:rsidR="00D50BBB" w:rsidRPr="00326FB7" w:rsidRDefault="00D50BBB"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Vol </w:t>
            </w:r>
            <w:r w:rsidR="00957F11">
              <w:rPr>
                <w:rFonts w:eastAsia="Times New Roman" w:cs="Arial"/>
                <w:b/>
                <w:bCs/>
                <w:color w:val="000000"/>
                <w:sz w:val="20"/>
                <w:szCs w:val="20"/>
                <w:lang w:eastAsia="fr-FR"/>
              </w:rPr>
              <w:t>kt</w:t>
            </w:r>
          </w:p>
        </w:tc>
        <w:tc>
          <w:tcPr>
            <w:tcW w:w="204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5840A5A0" w14:textId="77777777" w:rsidR="00D50BBB" w:rsidRPr="00326FB7" w:rsidRDefault="00D50BBB"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Part du segment en%</w:t>
            </w:r>
          </w:p>
        </w:tc>
        <w:tc>
          <w:tcPr>
            <w:tcW w:w="1540"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431EBF58" w14:textId="77777777" w:rsidR="00D50BBB" w:rsidRPr="00326FB7" w:rsidRDefault="00D50BBB"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Evol. 18/17</w:t>
            </w:r>
          </w:p>
        </w:tc>
      </w:tr>
      <w:tr w:rsidR="00D50BBB" w:rsidRPr="00326FB7" w14:paraId="531BA8C8"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90F8802"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Viande de porc frais </w:t>
            </w:r>
          </w:p>
        </w:tc>
        <w:tc>
          <w:tcPr>
            <w:tcW w:w="148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3E18D38"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182</w:t>
            </w:r>
          </w:p>
        </w:tc>
        <w:tc>
          <w:tcPr>
            <w:tcW w:w="20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EF364AE"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100%</w:t>
            </w:r>
          </w:p>
        </w:tc>
        <w:tc>
          <w:tcPr>
            <w:tcW w:w="15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A6A17B0"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-3%</w:t>
            </w:r>
          </w:p>
        </w:tc>
      </w:tr>
      <w:tr w:rsidR="00D50BBB" w:rsidRPr="00326FB7" w14:paraId="45524BFE"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726E595"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Dont Longe</w:t>
            </w:r>
          </w:p>
        </w:tc>
        <w:tc>
          <w:tcPr>
            <w:tcW w:w="148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A4278AB"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154</w:t>
            </w:r>
          </w:p>
        </w:tc>
        <w:tc>
          <w:tcPr>
            <w:tcW w:w="20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31C1568"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84%</w:t>
            </w:r>
          </w:p>
        </w:tc>
        <w:tc>
          <w:tcPr>
            <w:tcW w:w="15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76E1618"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-3%</w:t>
            </w:r>
          </w:p>
        </w:tc>
      </w:tr>
      <w:tr w:rsidR="00D50BBB" w:rsidRPr="00326FB7" w14:paraId="6452DF3B"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13A2EBC"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 xml:space="preserve">Dont escalope </w:t>
            </w:r>
          </w:p>
        </w:tc>
        <w:tc>
          <w:tcPr>
            <w:tcW w:w="148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01FA582"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19</w:t>
            </w:r>
          </w:p>
        </w:tc>
        <w:tc>
          <w:tcPr>
            <w:tcW w:w="20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91D4372"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12%</w:t>
            </w:r>
          </w:p>
        </w:tc>
        <w:tc>
          <w:tcPr>
            <w:tcW w:w="15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2B13BE1"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w:t>
            </w:r>
          </w:p>
        </w:tc>
      </w:tr>
      <w:tr w:rsidR="00D50BBB" w:rsidRPr="00326FB7" w14:paraId="45FA0EE7"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A4AD8FD"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Côte, Côtelette</w:t>
            </w:r>
          </w:p>
        </w:tc>
        <w:tc>
          <w:tcPr>
            <w:tcW w:w="148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4734ABD"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58</w:t>
            </w:r>
          </w:p>
        </w:tc>
        <w:tc>
          <w:tcPr>
            <w:tcW w:w="20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606EC8E"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38%</w:t>
            </w:r>
          </w:p>
        </w:tc>
        <w:tc>
          <w:tcPr>
            <w:tcW w:w="15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2ADF0C1"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w:t>
            </w:r>
          </w:p>
        </w:tc>
      </w:tr>
      <w:tr w:rsidR="00D50BBB" w:rsidRPr="00326FB7" w14:paraId="0340DFBE"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51A9840"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 xml:space="preserve">Dont Filet </w:t>
            </w:r>
          </w:p>
        </w:tc>
        <w:tc>
          <w:tcPr>
            <w:tcW w:w="148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84F8B0C"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24</w:t>
            </w:r>
          </w:p>
        </w:tc>
        <w:tc>
          <w:tcPr>
            <w:tcW w:w="20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E95FCE2"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16%</w:t>
            </w:r>
          </w:p>
        </w:tc>
        <w:tc>
          <w:tcPr>
            <w:tcW w:w="15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B136CC8"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-4%</w:t>
            </w:r>
          </w:p>
        </w:tc>
      </w:tr>
      <w:tr w:rsidR="00D50BBB" w:rsidRPr="00326FB7" w14:paraId="05BE6B45"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AD44081"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 xml:space="preserve">Dont Rôti </w:t>
            </w:r>
          </w:p>
        </w:tc>
        <w:tc>
          <w:tcPr>
            <w:tcW w:w="148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BBB95D1"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33</w:t>
            </w:r>
          </w:p>
        </w:tc>
        <w:tc>
          <w:tcPr>
            <w:tcW w:w="20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66F548F"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21%</w:t>
            </w:r>
          </w:p>
        </w:tc>
        <w:tc>
          <w:tcPr>
            <w:tcW w:w="15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80BBF80"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-4%</w:t>
            </w:r>
          </w:p>
        </w:tc>
      </w:tr>
      <w:tr w:rsidR="00D50BBB" w:rsidRPr="00326FB7" w14:paraId="4934F5A4"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525DA67"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autres</w:t>
            </w:r>
          </w:p>
        </w:tc>
        <w:tc>
          <w:tcPr>
            <w:tcW w:w="148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838A54B"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20</w:t>
            </w:r>
          </w:p>
        </w:tc>
        <w:tc>
          <w:tcPr>
            <w:tcW w:w="20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029FC19"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13%</w:t>
            </w:r>
          </w:p>
        </w:tc>
        <w:tc>
          <w:tcPr>
            <w:tcW w:w="154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5B91A5C" w14:textId="77777777" w:rsidR="00D50BBB" w:rsidRPr="00326FB7" w:rsidRDefault="00D50BBB"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-5%</w:t>
            </w:r>
          </w:p>
        </w:tc>
      </w:tr>
      <w:tr w:rsidR="00D50BBB" w:rsidRPr="00326FB7" w14:paraId="3D158D97" w14:textId="77777777" w:rsidTr="00326FB7">
        <w:trPr>
          <w:trHeight w:val="300"/>
        </w:trPr>
        <w:tc>
          <w:tcPr>
            <w:tcW w:w="41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FC07397"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Dont Autre que longe</w:t>
            </w:r>
          </w:p>
        </w:tc>
        <w:tc>
          <w:tcPr>
            <w:tcW w:w="148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51F279E"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28</w:t>
            </w:r>
          </w:p>
        </w:tc>
        <w:tc>
          <w:tcPr>
            <w:tcW w:w="20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73FC857" w14:textId="77777777" w:rsidR="00D50BBB" w:rsidRPr="00326FB7" w:rsidRDefault="00D50BBB" w:rsidP="00326FB7">
            <w:pPr>
              <w:spacing w:after="0" w:line="240" w:lineRule="auto"/>
              <w:jc w:val="left"/>
              <w:rPr>
                <w:rFonts w:eastAsia="Times New Roman" w:cs="Arial"/>
                <w:b/>
                <w:bCs/>
                <w:color w:val="000000"/>
                <w:sz w:val="20"/>
                <w:szCs w:val="20"/>
                <w:lang w:eastAsia="fr-FR"/>
              </w:rPr>
            </w:pPr>
            <w:r w:rsidRPr="00326FB7">
              <w:rPr>
                <w:rFonts w:eastAsia="Times New Roman" w:cs="Arial"/>
                <w:b/>
                <w:bCs/>
                <w:color w:val="000000"/>
                <w:sz w:val="20"/>
                <w:szCs w:val="20"/>
                <w:lang w:eastAsia="fr-FR"/>
              </w:rPr>
              <w:t>16%</w:t>
            </w:r>
          </w:p>
        </w:tc>
        <w:tc>
          <w:tcPr>
            <w:tcW w:w="154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4F599AE" w14:textId="77777777" w:rsidR="00D50BBB" w:rsidRPr="00326FB7" w:rsidRDefault="00D50BBB" w:rsidP="00326FB7">
            <w:pPr>
              <w:spacing w:after="0" w:line="240" w:lineRule="auto"/>
              <w:jc w:val="right"/>
              <w:rPr>
                <w:rFonts w:eastAsia="Times New Roman" w:cs="Arial"/>
                <w:b/>
                <w:bCs/>
                <w:color w:val="000000"/>
                <w:sz w:val="20"/>
                <w:szCs w:val="20"/>
                <w:lang w:eastAsia="fr-FR"/>
              </w:rPr>
            </w:pPr>
            <w:r w:rsidRPr="00326FB7">
              <w:rPr>
                <w:rFonts w:eastAsia="Times New Roman" w:cs="Arial"/>
                <w:b/>
                <w:bCs/>
                <w:color w:val="000000"/>
                <w:sz w:val="20"/>
                <w:szCs w:val="20"/>
                <w:lang w:eastAsia="fr-FR"/>
              </w:rPr>
              <w:t>-7%</w:t>
            </w:r>
          </w:p>
        </w:tc>
      </w:tr>
    </w:tbl>
    <w:p w14:paraId="5F7691FF" w14:textId="3A5A83E3" w:rsidR="00326FB7" w:rsidRDefault="004E3334" w:rsidP="00326FB7">
      <w:pPr>
        <w:jc w:val="left"/>
        <w:rPr>
          <w:rFonts w:cs="Arial"/>
        </w:rPr>
      </w:pPr>
      <w:r>
        <w:rPr>
          <w:rFonts w:cs="Arial"/>
        </w:rPr>
        <w:br/>
      </w:r>
      <w:r w:rsidR="00326FB7" w:rsidRPr="00326FB7">
        <w:rPr>
          <w:rFonts w:cs="Arial"/>
          <w:b/>
          <w:i/>
        </w:rPr>
        <w:t>Annexe 7 b/ Volumes d’achat des ménages à domicile en porc frais élaboré (</w:t>
      </w:r>
      <w:r>
        <w:rPr>
          <w:rFonts w:cs="Arial"/>
          <w:b/>
          <w:i/>
        </w:rPr>
        <w:t>KWP</w:t>
      </w:r>
      <w:r w:rsidR="00326FB7" w:rsidRPr="00326FB7">
        <w:rPr>
          <w:rFonts w:cs="Arial"/>
          <w:b/>
          <w:i/>
        </w:rPr>
        <w:t>).</w:t>
      </w:r>
    </w:p>
    <w:tbl>
      <w:tblPr>
        <w:tblW w:w="9209" w:type="dxa"/>
        <w:tblCellMar>
          <w:left w:w="70" w:type="dxa"/>
          <w:right w:w="70" w:type="dxa"/>
        </w:tblCellMar>
        <w:tblLook w:val="04A0" w:firstRow="1" w:lastRow="0" w:firstColumn="1" w:lastColumn="0" w:noHBand="0" w:noVBand="1"/>
      </w:tblPr>
      <w:tblGrid>
        <w:gridCol w:w="4106"/>
        <w:gridCol w:w="1559"/>
        <w:gridCol w:w="1985"/>
        <w:gridCol w:w="1559"/>
      </w:tblGrid>
      <w:tr w:rsidR="00326FB7" w:rsidRPr="00326FB7" w14:paraId="247A164A"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62CBD05B" w14:textId="77777777" w:rsidR="00326FB7" w:rsidRPr="00326FB7" w:rsidRDefault="00326FB7" w:rsidP="00326FB7">
            <w:pPr>
              <w:spacing w:after="0" w:line="240" w:lineRule="auto"/>
              <w:jc w:val="left"/>
              <w:rPr>
                <w:rFonts w:eastAsia="Times New Roman" w:cs="Arial"/>
                <w:b/>
                <w:bCs/>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40052267" w14:textId="53649C01" w:rsidR="00326FB7" w:rsidRPr="00326FB7" w:rsidRDefault="00326FB7"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 xml:space="preserve">Vol </w:t>
            </w:r>
            <w:r w:rsidR="00957F11">
              <w:rPr>
                <w:rFonts w:eastAsia="Times New Roman" w:cs="Arial"/>
                <w:b/>
                <w:bCs/>
                <w:color w:val="000000"/>
                <w:sz w:val="20"/>
                <w:szCs w:val="20"/>
                <w:lang w:eastAsia="fr-FR"/>
              </w:rPr>
              <w:t>kt</w:t>
            </w:r>
          </w:p>
        </w:tc>
        <w:tc>
          <w:tcPr>
            <w:tcW w:w="198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2005A01D" w14:textId="77777777" w:rsidR="00326FB7" w:rsidRPr="00326FB7" w:rsidRDefault="00326FB7"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Part du segment en%</w:t>
            </w:r>
          </w:p>
        </w:tc>
        <w:tc>
          <w:tcPr>
            <w:tcW w:w="155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12DC3215" w14:textId="77777777" w:rsidR="00326FB7" w:rsidRPr="00326FB7" w:rsidRDefault="00326FB7"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Evol. 18/17</w:t>
            </w:r>
          </w:p>
        </w:tc>
      </w:tr>
      <w:tr w:rsidR="00326FB7" w:rsidRPr="00326FB7" w14:paraId="087BFAF2"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AB5D35F" w14:textId="4824A5EC" w:rsidR="00326FB7" w:rsidRPr="00326FB7" w:rsidRDefault="00326FB7" w:rsidP="00326FB7">
            <w:pPr>
              <w:spacing w:after="0" w:line="240" w:lineRule="auto"/>
              <w:jc w:val="left"/>
              <w:rPr>
                <w:rFonts w:eastAsia="Times New Roman" w:cs="Arial"/>
                <w:b/>
                <w:color w:val="000000"/>
                <w:sz w:val="20"/>
                <w:szCs w:val="20"/>
                <w:lang w:eastAsia="fr-FR"/>
              </w:rPr>
            </w:pPr>
            <w:r w:rsidRPr="00326FB7">
              <w:rPr>
                <w:rFonts w:eastAsia="Times New Roman" w:cs="Arial"/>
                <w:b/>
                <w:color w:val="000000"/>
                <w:sz w:val="20"/>
                <w:szCs w:val="20"/>
                <w:lang w:eastAsia="fr-FR"/>
              </w:rPr>
              <w:t>Viande de porc frais « élaborée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2C7AD016" w14:textId="77777777" w:rsidR="00326FB7" w:rsidRPr="00326FB7" w:rsidRDefault="00326FB7" w:rsidP="00326FB7">
            <w:pPr>
              <w:spacing w:after="0" w:line="240" w:lineRule="auto"/>
              <w:jc w:val="center"/>
              <w:rPr>
                <w:rFonts w:eastAsia="Times New Roman" w:cs="Arial"/>
                <w:b/>
                <w:bCs/>
                <w:color w:val="000000"/>
                <w:sz w:val="20"/>
                <w:szCs w:val="20"/>
                <w:lang w:eastAsia="fr-FR"/>
              </w:rPr>
            </w:pPr>
            <w:r w:rsidRPr="00326FB7">
              <w:rPr>
                <w:rFonts w:eastAsia="Times New Roman" w:cs="Arial"/>
                <w:b/>
                <w:bCs/>
                <w:color w:val="000000"/>
                <w:sz w:val="20"/>
                <w:szCs w:val="20"/>
                <w:lang w:eastAsia="fr-FR"/>
              </w:rPr>
              <w:t>52,7</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7E8D971B" w14:textId="77777777" w:rsidR="00326FB7" w:rsidRPr="00326FB7" w:rsidRDefault="00326FB7" w:rsidP="00326FB7">
            <w:pPr>
              <w:spacing w:after="0" w:line="240" w:lineRule="auto"/>
              <w:jc w:val="center"/>
              <w:rPr>
                <w:rFonts w:eastAsia="Times New Roman" w:cs="Arial"/>
                <w:b/>
                <w:color w:val="000000"/>
                <w:sz w:val="20"/>
                <w:szCs w:val="20"/>
                <w:lang w:eastAsia="fr-FR"/>
              </w:rPr>
            </w:pPr>
            <w:r w:rsidRPr="00326FB7">
              <w:rPr>
                <w:rFonts w:eastAsia="Times New Roman" w:cs="Arial"/>
                <w:b/>
                <w:color w:val="000000"/>
                <w:sz w:val="20"/>
                <w:szCs w:val="20"/>
                <w:lang w:eastAsia="fr-FR"/>
              </w:rPr>
              <w:t>100%</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8EAF314" w14:textId="77777777" w:rsidR="00326FB7" w:rsidRPr="00326FB7" w:rsidRDefault="00326FB7" w:rsidP="00326FB7">
            <w:pPr>
              <w:spacing w:after="0" w:line="240" w:lineRule="auto"/>
              <w:jc w:val="center"/>
              <w:rPr>
                <w:rFonts w:eastAsia="Times New Roman" w:cs="Arial"/>
                <w:b/>
                <w:color w:val="000000"/>
                <w:sz w:val="20"/>
                <w:szCs w:val="20"/>
                <w:lang w:eastAsia="fr-FR"/>
              </w:rPr>
            </w:pPr>
            <w:r w:rsidRPr="00326FB7">
              <w:rPr>
                <w:rFonts w:eastAsia="Times New Roman" w:cs="Arial"/>
                <w:b/>
                <w:color w:val="000000"/>
                <w:sz w:val="20"/>
                <w:szCs w:val="20"/>
                <w:lang w:eastAsia="fr-FR"/>
              </w:rPr>
              <w:t>1%</w:t>
            </w:r>
          </w:p>
        </w:tc>
      </w:tr>
      <w:tr w:rsidR="00326FB7" w:rsidRPr="00326FB7" w14:paraId="4711E068"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756BDA1"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Viande Marinée</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5B5874D"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11,0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0148F8E"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21%</w:t>
            </w:r>
          </w:p>
        </w:tc>
        <w:tc>
          <w:tcPr>
            <w:tcW w:w="1559"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3FD41AB8"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10%</w:t>
            </w:r>
          </w:p>
        </w:tc>
      </w:tr>
      <w:tr w:rsidR="00326FB7" w:rsidRPr="00326FB7" w14:paraId="1391A3DE"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3DACE46"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Paupiette</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C281AC3"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4,6</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399781AF"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9%</w:t>
            </w:r>
          </w:p>
        </w:tc>
        <w:tc>
          <w:tcPr>
            <w:tcW w:w="1559"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0456DE0F"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16%</w:t>
            </w:r>
          </w:p>
        </w:tc>
      </w:tr>
      <w:tr w:rsidR="00326FB7" w:rsidRPr="00326FB7" w14:paraId="4FDCBCC2"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55483AE3"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Rôtis farcis</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F07FBFE"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3,8</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05B1DD6"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7%</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94570F"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-7%</w:t>
            </w:r>
          </w:p>
        </w:tc>
      </w:tr>
      <w:tr w:rsidR="00326FB7" w:rsidRPr="00326FB7" w14:paraId="232644CA"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62422C53"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Plateau/Grill</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1FAB61CB"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3,7</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CD362F8"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7%</w:t>
            </w:r>
          </w:p>
        </w:tc>
        <w:tc>
          <w:tcPr>
            <w:tcW w:w="1559" w:type="dxa"/>
            <w:tcBorders>
              <w:top w:val="single" w:sz="4" w:space="0" w:color="000000"/>
              <w:left w:val="single" w:sz="4" w:space="0" w:color="000000"/>
              <w:bottom w:val="single" w:sz="4" w:space="0" w:color="000000"/>
              <w:right w:val="single" w:sz="4" w:space="0" w:color="000000"/>
            </w:tcBorders>
            <w:shd w:val="clear" w:color="000000" w:fill="A6A6A6"/>
            <w:noWrap/>
            <w:vAlign w:val="center"/>
            <w:hideMark/>
          </w:tcPr>
          <w:p w14:paraId="24887CBE"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10%</w:t>
            </w:r>
          </w:p>
        </w:tc>
      </w:tr>
      <w:tr w:rsidR="00326FB7" w:rsidRPr="00326FB7" w14:paraId="41BF2029"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0E29C2F7"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Brochette</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73293F71"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2,0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073B75B"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4%</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24DE7B7"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-3%</w:t>
            </w:r>
          </w:p>
        </w:tc>
      </w:tr>
      <w:tr w:rsidR="00326FB7" w:rsidRPr="00326FB7" w14:paraId="37D6FC58"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C41A613"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Pierrade</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5D8D174B"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1,8</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08C383C6"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3%</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center"/>
            <w:hideMark/>
          </w:tcPr>
          <w:p w14:paraId="4FA2E924"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3%</w:t>
            </w:r>
          </w:p>
        </w:tc>
      </w:tr>
      <w:tr w:rsidR="00326FB7" w:rsidRPr="00326FB7" w14:paraId="25A0BD11"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4D9B95E2" w14:textId="77777777" w:rsidR="00326FB7" w:rsidRPr="00326FB7" w:rsidRDefault="00326FB7" w:rsidP="004E3334">
            <w:pPr>
              <w:spacing w:after="0" w:line="240" w:lineRule="auto"/>
              <w:jc w:val="center"/>
              <w:rPr>
                <w:rFonts w:eastAsia="Times New Roman" w:cs="Arial"/>
                <w:color w:val="000000"/>
                <w:sz w:val="20"/>
                <w:szCs w:val="20"/>
                <w:lang w:eastAsia="fr-FR"/>
              </w:rPr>
            </w:pPr>
            <w:r w:rsidRPr="00326FB7">
              <w:rPr>
                <w:rFonts w:eastAsia="Times New Roman" w:cs="Arial"/>
                <w:color w:val="000000"/>
                <w:sz w:val="20"/>
                <w:szCs w:val="20"/>
                <w:lang w:eastAsia="fr-FR"/>
              </w:rPr>
              <w:t>Dont Porc demi sel</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4D1D7BD"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25,9</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614E694A" w14:textId="77777777" w:rsidR="00326FB7" w:rsidRPr="00326FB7" w:rsidRDefault="00326FB7" w:rsidP="00326FB7">
            <w:pPr>
              <w:spacing w:after="0" w:line="240" w:lineRule="auto"/>
              <w:jc w:val="left"/>
              <w:rPr>
                <w:rFonts w:eastAsia="Times New Roman" w:cs="Arial"/>
                <w:bCs/>
                <w:color w:val="000000"/>
                <w:sz w:val="20"/>
                <w:szCs w:val="20"/>
                <w:lang w:eastAsia="fr-FR"/>
              </w:rPr>
            </w:pPr>
            <w:r w:rsidRPr="00326FB7">
              <w:rPr>
                <w:rFonts w:eastAsia="Times New Roman" w:cs="Arial"/>
                <w:bCs/>
                <w:color w:val="000000"/>
                <w:sz w:val="20"/>
                <w:szCs w:val="20"/>
                <w:lang w:eastAsia="fr-FR"/>
              </w:rPr>
              <w:t>49%</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82A30D9" w14:textId="77777777" w:rsidR="00326FB7" w:rsidRPr="00326FB7" w:rsidRDefault="00326FB7" w:rsidP="00326FB7">
            <w:pPr>
              <w:spacing w:after="0" w:line="240" w:lineRule="auto"/>
              <w:jc w:val="left"/>
              <w:rPr>
                <w:rFonts w:eastAsia="Times New Roman" w:cs="Arial"/>
                <w:color w:val="000000"/>
                <w:sz w:val="20"/>
                <w:szCs w:val="20"/>
                <w:lang w:eastAsia="fr-FR"/>
              </w:rPr>
            </w:pPr>
            <w:r w:rsidRPr="00326FB7">
              <w:rPr>
                <w:rFonts w:eastAsia="Times New Roman" w:cs="Arial"/>
                <w:color w:val="000000"/>
                <w:sz w:val="20"/>
                <w:szCs w:val="20"/>
                <w:lang w:eastAsia="fr-FR"/>
              </w:rPr>
              <w:t>-4%</w:t>
            </w:r>
          </w:p>
        </w:tc>
      </w:tr>
      <w:tr w:rsidR="00326FB7" w:rsidRPr="00326FB7" w14:paraId="7A0D0F18"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281EC8D" w14:textId="604E63AE"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Palette de porc</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D5C999D"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9,3</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47E0550"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36%</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19E897B"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-6%</w:t>
            </w:r>
          </w:p>
        </w:tc>
      </w:tr>
      <w:tr w:rsidR="00326FB7" w:rsidRPr="00326FB7" w14:paraId="1C23AF4D"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208FCA2" w14:textId="1E6E1F00"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Poitrine Lard Petit salé</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DD0C8DE"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9,9</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DB6A359"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38%</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2A557BD"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0%</w:t>
            </w:r>
          </w:p>
        </w:tc>
      </w:tr>
      <w:tr w:rsidR="00326FB7" w:rsidRPr="00326FB7" w14:paraId="657B69F9" w14:textId="77777777" w:rsidTr="00326FB7">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008D4F3" w14:textId="794B14B9"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Dont Jambonneau Jarret</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DDE2CB2"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6,7</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F6567E8"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26%</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04FEE73" w14:textId="77777777" w:rsidR="00326FB7" w:rsidRPr="00326FB7" w:rsidRDefault="00326FB7" w:rsidP="00326FB7">
            <w:pPr>
              <w:spacing w:after="0" w:line="240" w:lineRule="auto"/>
              <w:jc w:val="right"/>
              <w:rPr>
                <w:rFonts w:eastAsia="Times New Roman" w:cs="Arial"/>
                <w:color w:val="000000"/>
                <w:sz w:val="20"/>
                <w:szCs w:val="20"/>
                <w:lang w:eastAsia="fr-FR"/>
              </w:rPr>
            </w:pPr>
            <w:r w:rsidRPr="00326FB7">
              <w:rPr>
                <w:rFonts w:eastAsia="Times New Roman" w:cs="Arial"/>
                <w:color w:val="000000"/>
                <w:sz w:val="20"/>
                <w:szCs w:val="20"/>
                <w:lang w:eastAsia="fr-FR"/>
              </w:rPr>
              <w:t>-6%</w:t>
            </w:r>
          </w:p>
        </w:tc>
      </w:tr>
    </w:tbl>
    <w:p w14:paraId="0497B857" w14:textId="56AE5B5F" w:rsidR="004E3334" w:rsidRDefault="00326FB7" w:rsidP="004E3334">
      <w:pPr>
        <w:pStyle w:val="figure"/>
        <w:jc w:val="left"/>
      </w:pPr>
      <w:r>
        <w:t xml:space="preserve">Annexe 7 c/ Volumes d’achat des ménages à domicile en </w:t>
      </w:r>
      <w:r w:rsidR="004E3334">
        <w:t>charcuterie salaison</w:t>
      </w:r>
      <w:r>
        <w:t xml:space="preserve"> </w:t>
      </w:r>
      <w:r w:rsidRPr="00326FB7">
        <w:t>(</w:t>
      </w:r>
      <w:r w:rsidR="004E3334">
        <w:t>KWp</w:t>
      </w:r>
      <w:r w:rsidRPr="00326FB7">
        <w:t>).</w:t>
      </w:r>
      <w:r w:rsidRPr="00326FB7">
        <w:br/>
      </w:r>
    </w:p>
    <w:tbl>
      <w:tblPr>
        <w:tblW w:w="9209" w:type="dxa"/>
        <w:tblCellMar>
          <w:left w:w="70" w:type="dxa"/>
          <w:right w:w="70" w:type="dxa"/>
        </w:tblCellMar>
        <w:tblLook w:val="04A0" w:firstRow="1" w:lastRow="0" w:firstColumn="1" w:lastColumn="0" w:noHBand="0" w:noVBand="1"/>
      </w:tblPr>
      <w:tblGrid>
        <w:gridCol w:w="4106"/>
        <w:gridCol w:w="1559"/>
        <w:gridCol w:w="1985"/>
        <w:gridCol w:w="1559"/>
      </w:tblGrid>
      <w:tr w:rsidR="004E3334" w:rsidRPr="002554D4" w14:paraId="01A193DC"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4B879250" w14:textId="77777777" w:rsidR="004E3334" w:rsidRPr="009223C6" w:rsidRDefault="004E3334" w:rsidP="00F8404F">
            <w:pPr>
              <w:spacing w:after="0" w:line="240" w:lineRule="auto"/>
              <w:jc w:val="left"/>
              <w:rPr>
                <w:rFonts w:eastAsia="Times New Roman" w:cs="Arial"/>
                <w:b/>
                <w:bCs/>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2B04D415" w14:textId="00740A07" w:rsidR="004E3334" w:rsidRPr="009223C6" w:rsidRDefault="004E3334" w:rsidP="00F8404F">
            <w:pPr>
              <w:spacing w:after="0" w:line="240" w:lineRule="auto"/>
              <w:jc w:val="center"/>
              <w:rPr>
                <w:rFonts w:eastAsia="Times New Roman" w:cs="Arial"/>
                <w:b/>
                <w:bCs/>
                <w:color w:val="000000"/>
                <w:sz w:val="20"/>
                <w:szCs w:val="20"/>
                <w:lang w:eastAsia="fr-FR"/>
              </w:rPr>
            </w:pPr>
            <w:r w:rsidRPr="009223C6">
              <w:rPr>
                <w:rFonts w:eastAsia="Times New Roman" w:cs="Arial"/>
                <w:b/>
                <w:bCs/>
                <w:color w:val="000000"/>
                <w:sz w:val="20"/>
                <w:szCs w:val="20"/>
                <w:lang w:eastAsia="fr-FR"/>
              </w:rPr>
              <w:t xml:space="preserve">Vol </w:t>
            </w:r>
            <w:r w:rsidR="00957F11">
              <w:rPr>
                <w:rFonts w:eastAsia="Times New Roman" w:cs="Arial"/>
                <w:b/>
                <w:bCs/>
                <w:color w:val="000000"/>
                <w:sz w:val="20"/>
                <w:szCs w:val="20"/>
                <w:lang w:eastAsia="fr-FR"/>
              </w:rPr>
              <w:t>kt</w:t>
            </w:r>
          </w:p>
        </w:tc>
        <w:tc>
          <w:tcPr>
            <w:tcW w:w="1985"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7348E9B1" w14:textId="77777777" w:rsidR="004E3334" w:rsidRPr="009223C6" w:rsidRDefault="004E3334" w:rsidP="00F8404F">
            <w:pPr>
              <w:spacing w:after="0" w:line="240" w:lineRule="auto"/>
              <w:jc w:val="center"/>
              <w:rPr>
                <w:rFonts w:eastAsia="Times New Roman" w:cs="Arial"/>
                <w:b/>
                <w:bCs/>
                <w:color w:val="000000"/>
                <w:sz w:val="20"/>
                <w:szCs w:val="20"/>
                <w:lang w:eastAsia="fr-FR"/>
              </w:rPr>
            </w:pPr>
            <w:r w:rsidRPr="009223C6">
              <w:rPr>
                <w:rFonts w:eastAsia="Times New Roman" w:cs="Arial"/>
                <w:b/>
                <w:bCs/>
                <w:color w:val="000000"/>
                <w:sz w:val="20"/>
                <w:szCs w:val="20"/>
                <w:lang w:eastAsia="fr-FR"/>
              </w:rPr>
              <w:t>Part du segment en%</w:t>
            </w:r>
          </w:p>
        </w:tc>
        <w:tc>
          <w:tcPr>
            <w:tcW w:w="1559"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noWrap/>
            <w:vAlign w:val="center"/>
            <w:hideMark/>
          </w:tcPr>
          <w:p w14:paraId="4F3A10C1" w14:textId="77777777" w:rsidR="004E3334" w:rsidRPr="009223C6" w:rsidRDefault="004E3334" w:rsidP="00F8404F">
            <w:pPr>
              <w:spacing w:after="0" w:line="240" w:lineRule="auto"/>
              <w:jc w:val="center"/>
              <w:rPr>
                <w:rFonts w:eastAsia="Times New Roman" w:cs="Arial"/>
                <w:b/>
                <w:bCs/>
                <w:color w:val="000000"/>
                <w:sz w:val="20"/>
                <w:szCs w:val="20"/>
                <w:lang w:eastAsia="fr-FR"/>
              </w:rPr>
            </w:pPr>
            <w:r w:rsidRPr="009223C6">
              <w:rPr>
                <w:rFonts w:eastAsia="Times New Roman" w:cs="Arial"/>
                <w:b/>
                <w:bCs/>
                <w:color w:val="000000"/>
                <w:sz w:val="20"/>
                <w:szCs w:val="20"/>
                <w:lang w:eastAsia="fr-FR"/>
              </w:rPr>
              <w:t>Evol. 18/17</w:t>
            </w:r>
          </w:p>
        </w:tc>
      </w:tr>
      <w:tr w:rsidR="004E3334" w:rsidRPr="00205EDC" w14:paraId="1DF594AB"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EB206EF" w14:textId="77777777" w:rsidR="004E3334" w:rsidRPr="00205EDC" w:rsidRDefault="004E3334" w:rsidP="00F8404F">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 xml:space="preserve">Charcuterie Salaison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EC0D883" w14:textId="77777777" w:rsidR="004E3334" w:rsidRPr="00205EDC" w:rsidRDefault="004E3334" w:rsidP="004E3334">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660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73F0F31" w14:textId="77777777" w:rsidR="004E3334" w:rsidRPr="00205EDC" w:rsidRDefault="004E3334" w:rsidP="00F8404F">
            <w:pPr>
              <w:spacing w:after="0" w:line="240" w:lineRule="auto"/>
              <w:jc w:val="right"/>
              <w:rPr>
                <w:rFonts w:eastAsia="Times New Roman" w:cs="Arial"/>
                <w:b/>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93694C1" w14:textId="77777777" w:rsidR="004E3334" w:rsidRPr="00205EDC" w:rsidRDefault="004E3334" w:rsidP="00F8404F">
            <w:pPr>
              <w:spacing w:after="0" w:line="240" w:lineRule="auto"/>
              <w:jc w:val="right"/>
              <w:rPr>
                <w:rFonts w:eastAsia="Times New Roman" w:cs="Arial"/>
                <w:b/>
                <w:color w:val="000000"/>
                <w:sz w:val="20"/>
                <w:szCs w:val="20"/>
                <w:lang w:eastAsia="fr-FR"/>
              </w:rPr>
            </w:pPr>
            <w:r w:rsidRPr="00205EDC">
              <w:rPr>
                <w:rFonts w:eastAsia="Times New Roman" w:cs="Arial"/>
                <w:b/>
                <w:color w:val="000000"/>
                <w:sz w:val="20"/>
                <w:szCs w:val="20"/>
                <w:lang w:eastAsia="fr-FR"/>
              </w:rPr>
              <w:t>-2%</w:t>
            </w:r>
          </w:p>
        </w:tc>
      </w:tr>
      <w:tr w:rsidR="004E3334" w:rsidRPr="00205EDC" w14:paraId="13F61B64"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15534D1" w14:textId="77777777" w:rsidR="004E3334" w:rsidRPr="00205EDC" w:rsidRDefault="004E3334" w:rsidP="00F8404F">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 xml:space="preserve">Salaison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CD827D0" w14:textId="77777777" w:rsidR="004E3334" w:rsidRPr="00205EDC" w:rsidRDefault="004E3334" w:rsidP="004E3334">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221</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B7C5A5D" w14:textId="77777777" w:rsidR="004E3334" w:rsidRPr="00205EDC" w:rsidRDefault="004E3334" w:rsidP="00F8404F">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33%</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CA368BE" w14:textId="77777777" w:rsidR="004E3334" w:rsidRPr="00205EDC" w:rsidRDefault="004E3334" w:rsidP="00F8404F">
            <w:pPr>
              <w:spacing w:after="0" w:line="240" w:lineRule="auto"/>
              <w:jc w:val="right"/>
              <w:rPr>
                <w:rFonts w:eastAsia="Times New Roman" w:cs="Arial"/>
                <w:b/>
                <w:color w:val="000000"/>
                <w:sz w:val="20"/>
                <w:szCs w:val="20"/>
                <w:lang w:eastAsia="fr-FR"/>
              </w:rPr>
            </w:pPr>
            <w:r w:rsidRPr="00205EDC">
              <w:rPr>
                <w:rFonts w:eastAsia="Times New Roman" w:cs="Arial"/>
                <w:b/>
                <w:color w:val="000000"/>
                <w:sz w:val="20"/>
                <w:szCs w:val="20"/>
                <w:lang w:eastAsia="fr-FR"/>
              </w:rPr>
              <w:t>-2%</w:t>
            </w:r>
          </w:p>
        </w:tc>
      </w:tr>
      <w:tr w:rsidR="004E3334" w:rsidRPr="00205EDC" w14:paraId="6DEEF3F2"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385810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jambon cuit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3B4B2A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178</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6359B57"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81%</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1950BB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w:t>
            </w:r>
          </w:p>
        </w:tc>
      </w:tr>
      <w:tr w:rsidR="004E3334" w:rsidRPr="00205EDC" w14:paraId="2C25FDD3"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31178EA"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épaule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0584EF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9</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6DB69F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4%</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A7E58E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w:t>
            </w:r>
          </w:p>
        </w:tc>
      </w:tr>
      <w:tr w:rsidR="004E3334" w:rsidRPr="00205EDC" w14:paraId="27526A38"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88741F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Dont jambon sec</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7F9C6E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33</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44FFAD6"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15%</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B56ADB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w:t>
            </w:r>
          </w:p>
        </w:tc>
      </w:tr>
      <w:tr w:rsidR="004E3334" w:rsidRPr="00205EDC" w14:paraId="5E8E7B0D"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FC1B70B" w14:textId="77777777" w:rsidR="004E3334" w:rsidRPr="00205EDC" w:rsidRDefault="004E3334" w:rsidP="00F8404F">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 xml:space="preserve">Charcuterie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597EC86" w14:textId="77777777" w:rsidR="004E3334" w:rsidRPr="00205EDC" w:rsidRDefault="004E3334" w:rsidP="004E3334">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440</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059AE1E" w14:textId="77777777" w:rsidR="004E3334" w:rsidRPr="00205EDC" w:rsidRDefault="004E3334" w:rsidP="004E3334">
            <w:pPr>
              <w:spacing w:after="0" w:line="240" w:lineRule="auto"/>
              <w:jc w:val="left"/>
              <w:rPr>
                <w:rFonts w:eastAsia="Times New Roman" w:cs="Arial"/>
                <w:b/>
                <w:color w:val="000000"/>
                <w:sz w:val="20"/>
                <w:szCs w:val="20"/>
                <w:lang w:eastAsia="fr-FR"/>
              </w:rPr>
            </w:pPr>
            <w:r w:rsidRPr="00205EDC">
              <w:rPr>
                <w:rFonts w:eastAsia="Times New Roman" w:cs="Arial"/>
                <w:b/>
                <w:color w:val="000000"/>
                <w:sz w:val="20"/>
                <w:szCs w:val="20"/>
                <w:lang w:eastAsia="fr-FR"/>
              </w:rPr>
              <w:t>67%</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B797BC7" w14:textId="77777777" w:rsidR="004E3334" w:rsidRPr="00205EDC" w:rsidRDefault="004E3334" w:rsidP="00F8404F">
            <w:pPr>
              <w:spacing w:after="0" w:line="240" w:lineRule="auto"/>
              <w:jc w:val="right"/>
              <w:rPr>
                <w:rFonts w:eastAsia="Times New Roman" w:cs="Arial"/>
                <w:b/>
                <w:color w:val="000000"/>
                <w:sz w:val="20"/>
                <w:szCs w:val="20"/>
                <w:lang w:eastAsia="fr-FR"/>
              </w:rPr>
            </w:pPr>
            <w:r w:rsidRPr="00205EDC">
              <w:rPr>
                <w:rFonts w:eastAsia="Times New Roman" w:cs="Arial"/>
                <w:b/>
                <w:color w:val="000000"/>
                <w:sz w:val="20"/>
                <w:szCs w:val="20"/>
                <w:lang w:eastAsia="fr-FR"/>
              </w:rPr>
              <w:t>-4%</w:t>
            </w:r>
          </w:p>
        </w:tc>
      </w:tr>
      <w:tr w:rsidR="004E3334" w:rsidRPr="00205EDC" w14:paraId="7F5AA19F"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B1381EF"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Rillettes</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66C69FE"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82B09A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4%</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61DC6A6"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0%</w:t>
            </w:r>
          </w:p>
        </w:tc>
      </w:tr>
      <w:tr w:rsidR="004E3334" w:rsidRPr="00205EDC" w14:paraId="6E7C1E57"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2F7505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8138FC">
              <w:rPr>
                <w:rFonts w:eastAsia="Times New Roman" w:cs="Arial"/>
                <w:color w:val="000000"/>
                <w:sz w:val="20"/>
                <w:szCs w:val="20"/>
                <w:lang w:eastAsia="fr-FR"/>
              </w:rPr>
              <w:t>D</w:t>
            </w:r>
            <w:r w:rsidRPr="00205EDC">
              <w:rPr>
                <w:rFonts w:eastAsia="Times New Roman" w:cs="Arial"/>
                <w:color w:val="000000"/>
                <w:sz w:val="20"/>
                <w:szCs w:val="20"/>
                <w:lang w:eastAsia="fr-FR"/>
              </w:rPr>
              <w:t>ont rillettes pur porc</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4D2E68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12</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9E20A8D"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FBBB0D8"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w:t>
            </w:r>
          </w:p>
        </w:tc>
      </w:tr>
      <w:tr w:rsidR="004E3334" w:rsidRPr="00205EDC" w14:paraId="2EC4D7CA"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AA4E193" w14:textId="77777777" w:rsidR="004E3334" w:rsidRPr="00205EDC" w:rsidRDefault="004E3334" w:rsidP="00F8404F">
            <w:pPr>
              <w:spacing w:after="0" w:line="240" w:lineRule="auto"/>
              <w:jc w:val="right"/>
              <w:rPr>
                <w:rFonts w:eastAsia="Times New Roman" w:cs="Arial"/>
                <w:color w:val="000000"/>
                <w:sz w:val="20"/>
                <w:szCs w:val="20"/>
                <w:lang w:eastAsia="fr-FR"/>
              </w:rPr>
            </w:pPr>
            <w:r w:rsidRPr="008138FC">
              <w:rPr>
                <w:rFonts w:eastAsia="Times New Roman" w:cs="Arial"/>
                <w:color w:val="000000"/>
                <w:sz w:val="20"/>
                <w:szCs w:val="20"/>
                <w:lang w:eastAsia="fr-FR"/>
              </w:rPr>
              <w:t>D</w:t>
            </w:r>
            <w:r w:rsidRPr="00205EDC">
              <w:rPr>
                <w:rFonts w:eastAsia="Times New Roman" w:cs="Arial"/>
                <w:color w:val="000000"/>
                <w:sz w:val="20"/>
                <w:szCs w:val="20"/>
                <w:lang w:eastAsia="fr-FR"/>
              </w:rPr>
              <w:t>ont autres rillettes</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26E828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8</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491F20C"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DFF860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w:t>
            </w:r>
          </w:p>
        </w:tc>
      </w:tr>
      <w:tr w:rsidR="004E3334" w:rsidRPr="00205EDC" w14:paraId="2A6A7839"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0972AC9"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Lardons poitrine bacon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251490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85</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36B2327"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19%</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0305CF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w:t>
            </w:r>
          </w:p>
        </w:tc>
      </w:tr>
      <w:tr w:rsidR="004E3334" w:rsidRPr="00205EDC" w14:paraId="53DC10A6"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192E10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poitrine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AD067F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13</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83264EB"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0568FEB"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w:t>
            </w:r>
          </w:p>
        </w:tc>
      </w:tr>
      <w:tr w:rsidR="004E3334" w:rsidRPr="00205EDC" w14:paraId="1826E578"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C7787D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Lardons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0A2631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62</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0C18251"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AB1200A"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w:t>
            </w:r>
          </w:p>
        </w:tc>
      </w:tr>
      <w:tr w:rsidR="004E3334" w:rsidRPr="00205EDC" w14:paraId="18AD211C"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73DF6AA"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bacon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F2C8D39"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B327B0B"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AA72117"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w:t>
            </w:r>
          </w:p>
        </w:tc>
      </w:tr>
      <w:tr w:rsidR="004E3334" w:rsidRPr="00205EDC" w14:paraId="1BCF9D5A"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4DBFA06"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Pâté</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613A3A0"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54</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A791D18"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12%</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35E181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r>
      <w:tr w:rsidR="004E3334" w:rsidRPr="00205EDC" w14:paraId="3F91C40F"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6D43B7F"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 xml:space="preserve">Dont Pâté de campagne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6FB3AA6"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12</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3F05BF08"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A7E6FBE"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w:t>
            </w:r>
          </w:p>
        </w:tc>
      </w:tr>
      <w:tr w:rsidR="004E3334" w:rsidRPr="00205EDC" w14:paraId="7F3501C4"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61B4CD6"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lastRenderedPageBreak/>
              <w:t xml:space="preserve">Dont Pâté de foie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05FA254"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9</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FE362A2"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714BACE7"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w:t>
            </w:r>
          </w:p>
        </w:tc>
      </w:tr>
      <w:tr w:rsidR="004E3334" w:rsidRPr="00205EDC" w14:paraId="6780F620"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F91B31E"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Dont autre pâté</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391439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32</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6D9D7F5" w14:textId="77777777" w:rsidR="004E3334" w:rsidRPr="00205EDC" w:rsidRDefault="004E3334" w:rsidP="00F8404F">
            <w:pPr>
              <w:spacing w:after="0" w:line="240" w:lineRule="auto"/>
              <w:jc w:val="right"/>
              <w:rPr>
                <w:rFonts w:eastAsia="Times New Roman" w:cs="Arial"/>
                <w:color w:val="000000"/>
                <w:sz w:val="20"/>
                <w:szCs w:val="20"/>
                <w:lang w:eastAsia="fr-FR"/>
              </w:rPr>
            </w:pP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E3EBA6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-9%</w:t>
            </w:r>
          </w:p>
        </w:tc>
      </w:tr>
      <w:tr w:rsidR="004E3334" w:rsidRPr="00205EDC" w14:paraId="00E93137"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596F1020"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Boudin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4CA880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26</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38D207D5"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C833731"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w:t>
            </w:r>
          </w:p>
        </w:tc>
      </w:tr>
      <w:tr w:rsidR="004E3334" w:rsidRPr="00205EDC" w14:paraId="4D157826"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D11B95D"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Andouille</w:t>
            </w:r>
            <w:r>
              <w:rPr>
                <w:rFonts w:eastAsia="Times New Roman" w:cs="Arial"/>
                <w:color w:val="000000"/>
                <w:sz w:val="20"/>
                <w:szCs w:val="20"/>
                <w:lang w:eastAsia="fr-FR"/>
              </w:rPr>
              <w:t xml:space="preserve"> </w:t>
            </w:r>
            <w:r w:rsidRPr="00205EDC">
              <w:rPr>
                <w:rFonts w:eastAsia="Times New Roman" w:cs="Arial"/>
                <w:color w:val="000000"/>
                <w:sz w:val="20"/>
                <w:szCs w:val="20"/>
                <w:lang w:eastAsia="fr-FR"/>
              </w:rPr>
              <w:t>/</w:t>
            </w:r>
            <w:r>
              <w:rPr>
                <w:rFonts w:eastAsia="Times New Roman" w:cs="Arial"/>
                <w:color w:val="000000"/>
                <w:sz w:val="20"/>
                <w:szCs w:val="20"/>
                <w:lang w:eastAsia="fr-FR"/>
              </w:rPr>
              <w:t xml:space="preserve"> </w:t>
            </w:r>
            <w:r w:rsidRPr="00205EDC">
              <w:rPr>
                <w:rFonts w:eastAsia="Times New Roman" w:cs="Arial"/>
                <w:color w:val="000000"/>
                <w:sz w:val="20"/>
                <w:szCs w:val="20"/>
                <w:lang w:eastAsia="fr-FR"/>
              </w:rPr>
              <w:t>Andouillette</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C00E8F8"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10</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9F662A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0C344A5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-4%</w:t>
            </w:r>
          </w:p>
        </w:tc>
      </w:tr>
      <w:tr w:rsidR="004E3334" w:rsidRPr="00205EDC" w14:paraId="20C7CB68"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BAF23A5"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Saucisson sec / salami </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18F7429E"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71</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60C35A6C"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16%</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170D5D3"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w:t>
            </w:r>
          </w:p>
        </w:tc>
      </w:tr>
      <w:tr w:rsidR="004E3334" w:rsidRPr="00205EDC" w14:paraId="20A3B43F"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BD320C3"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Saucisson cuit / A cuire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D9C935B"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28</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ACE04F1"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CA0673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w:t>
            </w:r>
          </w:p>
        </w:tc>
      </w:tr>
      <w:tr w:rsidR="004E3334" w:rsidRPr="00205EDC" w14:paraId="6D28BC5C"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43468883"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Saucisse</w:t>
            </w:r>
            <w:r>
              <w:rPr>
                <w:rFonts w:eastAsia="Times New Roman" w:cs="Arial"/>
                <w:color w:val="000000"/>
                <w:sz w:val="20"/>
                <w:szCs w:val="20"/>
                <w:lang w:eastAsia="fr-FR"/>
              </w:rPr>
              <w:t>s</w:t>
            </w:r>
            <w:r w:rsidRPr="00205EDC">
              <w:rPr>
                <w:rFonts w:eastAsia="Times New Roman" w:cs="Arial"/>
                <w:color w:val="000000"/>
                <w:sz w:val="20"/>
                <w:szCs w:val="20"/>
                <w:lang w:eastAsia="fr-FR"/>
              </w:rPr>
              <w:t xml:space="preserve"> pâte</w:t>
            </w:r>
            <w:r>
              <w:rPr>
                <w:rFonts w:eastAsia="Times New Roman" w:cs="Arial"/>
                <w:color w:val="000000"/>
                <w:sz w:val="20"/>
                <w:szCs w:val="20"/>
                <w:lang w:eastAsia="fr-FR"/>
              </w:rPr>
              <w:t>s</w:t>
            </w:r>
            <w:r w:rsidRPr="00205EDC">
              <w:rPr>
                <w:rFonts w:eastAsia="Times New Roman" w:cs="Arial"/>
                <w:color w:val="000000"/>
                <w:sz w:val="20"/>
                <w:szCs w:val="20"/>
                <w:lang w:eastAsia="fr-FR"/>
              </w:rPr>
              <w:t xml:space="preserve"> fines</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3EFE934"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52</w:t>
            </w:r>
          </w:p>
        </w:tc>
        <w:tc>
          <w:tcPr>
            <w:tcW w:w="1985"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25D21AAD"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12%</w:t>
            </w:r>
          </w:p>
        </w:tc>
        <w:tc>
          <w:tcPr>
            <w:tcW w:w="155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14:paraId="08562DD3"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r>
      <w:tr w:rsidR="004E3334" w:rsidRPr="00205EDC" w14:paraId="07027AC8" w14:textId="77777777" w:rsidTr="00F8404F">
        <w:trPr>
          <w:trHeight w:val="300"/>
        </w:trPr>
        <w:tc>
          <w:tcPr>
            <w:tcW w:w="410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ECF04EA" w14:textId="77777777" w:rsidR="004E3334" w:rsidRPr="00205EDC" w:rsidRDefault="004E3334" w:rsidP="00F8404F">
            <w:pPr>
              <w:spacing w:after="0" w:line="240" w:lineRule="auto"/>
              <w:jc w:val="left"/>
              <w:rPr>
                <w:rFonts w:eastAsia="Times New Roman" w:cs="Arial"/>
                <w:color w:val="000000"/>
                <w:sz w:val="20"/>
                <w:szCs w:val="20"/>
                <w:lang w:eastAsia="fr-FR"/>
              </w:rPr>
            </w:pPr>
            <w:r w:rsidRPr="00205EDC">
              <w:rPr>
                <w:rFonts w:eastAsia="Times New Roman" w:cs="Arial"/>
                <w:color w:val="000000"/>
                <w:sz w:val="20"/>
                <w:szCs w:val="20"/>
                <w:lang w:eastAsia="fr-FR"/>
              </w:rPr>
              <w:t xml:space="preserve">Autres charcuterie </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76FC69A2"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96</w:t>
            </w:r>
          </w:p>
        </w:tc>
        <w:tc>
          <w:tcPr>
            <w:tcW w:w="1985"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C6D69E1"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22%</w:t>
            </w:r>
          </w:p>
        </w:tc>
        <w:tc>
          <w:tcPr>
            <w:tcW w:w="155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C83CAA9" w14:textId="77777777" w:rsidR="004E3334" w:rsidRPr="00205EDC" w:rsidRDefault="004E3334" w:rsidP="00F8404F">
            <w:pPr>
              <w:spacing w:after="0" w:line="240" w:lineRule="auto"/>
              <w:jc w:val="right"/>
              <w:rPr>
                <w:rFonts w:eastAsia="Times New Roman" w:cs="Arial"/>
                <w:color w:val="000000"/>
                <w:sz w:val="20"/>
                <w:szCs w:val="20"/>
                <w:lang w:eastAsia="fr-FR"/>
              </w:rPr>
            </w:pPr>
            <w:r w:rsidRPr="00205EDC">
              <w:rPr>
                <w:rFonts w:eastAsia="Times New Roman" w:cs="Arial"/>
                <w:color w:val="000000"/>
                <w:sz w:val="20"/>
                <w:szCs w:val="20"/>
                <w:lang w:eastAsia="fr-FR"/>
              </w:rPr>
              <w:t>-6%</w:t>
            </w:r>
          </w:p>
        </w:tc>
      </w:tr>
    </w:tbl>
    <w:p w14:paraId="1B5115C1" w14:textId="77777777" w:rsidR="00326FB7" w:rsidRDefault="00326FB7" w:rsidP="00326FB7">
      <w:pPr>
        <w:rPr>
          <w:rFonts w:cs="Arial"/>
        </w:rPr>
      </w:pPr>
    </w:p>
    <w:p w14:paraId="2E0646A4" w14:textId="79E74D72" w:rsidR="00DA07BA" w:rsidRDefault="00CD7919" w:rsidP="00326FB7">
      <w:pPr>
        <w:jc w:val="left"/>
        <w:rPr>
          <w:rFonts w:cs="Arial"/>
        </w:rPr>
      </w:pPr>
      <w:r>
        <w:rPr>
          <w:rFonts w:cs="Arial"/>
        </w:rPr>
        <w:br/>
      </w:r>
    </w:p>
    <w:p w14:paraId="3992F78A" w14:textId="562F3CFA" w:rsidR="00DA07BA" w:rsidRDefault="00DA07BA">
      <w:pPr>
        <w:jc w:val="left"/>
        <w:rPr>
          <w:rFonts w:cs="Arial"/>
        </w:rPr>
      </w:pPr>
      <w:r>
        <w:rPr>
          <w:rFonts w:cs="Arial"/>
        </w:rPr>
        <w:br w:type="page"/>
      </w:r>
    </w:p>
    <w:p w14:paraId="02E35C0A" w14:textId="10A42285" w:rsidR="00AB30CB" w:rsidRDefault="00654407" w:rsidP="00CD7919">
      <w:pPr>
        <w:jc w:val="left"/>
        <w:rPr>
          <w:rFonts w:cs="Arial"/>
        </w:rPr>
      </w:pPr>
      <w:r>
        <w:rPr>
          <w:noProof/>
        </w:rPr>
        <w:lastRenderedPageBreak/>
        <w:drawing>
          <wp:anchor distT="0" distB="0" distL="0" distR="0" simplePos="0" relativeHeight="251658240" behindDoc="0" locked="0" layoutInCell="1" allowOverlap="1" wp14:anchorId="4DCD33A5" wp14:editId="073503C0">
            <wp:simplePos x="0" y="0"/>
            <wp:positionH relativeFrom="margin">
              <wp:posOffset>276225</wp:posOffset>
            </wp:positionH>
            <wp:positionV relativeFrom="margin">
              <wp:posOffset>231775</wp:posOffset>
            </wp:positionV>
            <wp:extent cx="4924425" cy="3235265"/>
            <wp:effectExtent l="0" t="0" r="0" b="3810"/>
            <wp:wrapNone/>
            <wp:docPr id="309" name="image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0.png"/>
                    <pic:cNvPicPr/>
                  </pic:nvPicPr>
                  <pic:blipFill>
                    <a:blip r:embed="rId82" cstate="print"/>
                    <a:stretch>
                      <a:fillRect/>
                    </a:stretch>
                  </pic:blipFill>
                  <pic:spPr>
                    <a:xfrm>
                      <a:off x="0" y="0"/>
                      <a:ext cx="4924425" cy="3235265"/>
                    </a:xfrm>
                    <a:prstGeom prst="rect">
                      <a:avLst/>
                    </a:prstGeom>
                  </pic:spPr>
                </pic:pic>
              </a:graphicData>
            </a:graphic>
            <wp14:sizeRelH relativeFrom="margin">
              <wp14:pctWidth>0</wp14:pctWidth>
            </wp14:sizeRelH>
            <wp14:sizeRelV relativeFrom="margin">
              <wp14:pctHeight>0</wp14:pctHeight>
            </wp14:sizeRelV>
          </wp:anchor>
        </w:drawing>
      </w:r>
      <w:r w:rsidR="00CD7919">
        <w:t>Annexe 8 : Conditions de présentation des porcs à la pesée (source FranceAgrimer, 2021)</w:t>
      </w:r>
      <w:r w:rsidR="00CD7919" w:rsidRPr="00326FB7">
        <w:br/>
      </w:r>
    </w:p>
    <w:p w14:paraId="23523163" w14:textId="6B355C47" w:rsidR="00654407" w:rsidRDefault="00654407" w:rsidP="00CD7919">
      <w:pPr>
        <w:jc w:val="left"/>
        <w:rPr>
          <w:rFonts w:cs="Arial"/>
        </w:rPr>
      </w:pPr>
    </w:p>
    <w:p w14:paraId="075D0E5C" w14:textId="1E8AFFF4" w:rsidR="00654407" w:rsidRDefault="00654407" w:rsidP="00CD7919">
      <w:pPr>
        <w:jc w:val="left"/>
        <w:rPr>
          <w:rFonts w:cs="Arial"/>
        </w:rPr>
      </w:pPr>
    </w:p>
    <w:p w14:paraId="4E885FA4" w14:textId="60C9FBF4" w:rsidR="00654407" w:rsidRDefault="00654407" w:rsidP="00CD7919">
      <w:pPr>
        <w:jc w:val="left"/>
        <w:rPr>
          <w:rFonts w:cs="Arial"/>
        </w:rPr>
      </w:pPr>
    </w:p>
    <w:p w14:paraId="3FD3B6A1" w14:textId="09655CC2" w:rsidR="00654407" w:rsidRDefault="00654407" w:rsidP="00CD7919">
      <w:pPr>
        <w:jc w:val="left"/>
        <w:rPr>
          <w:rFonts w:cs="Arial"/>
        </w:rPr>
      </w:pPr>
    </w:p>
    <w:p w14:paraId="260BC4EB" w14:textId="2C8E31E1" w:rsidR="00654407" w:rsidRDefault="00654407" w:rsidP="00CD7919">
      <w:pPr>
        <w:jc w:val="left"/>
        <w:rPr>
          <w:rFonts w:cs="Arial"/>
        </w:rPr>
      </w:pPr>
    </w:p>
    <w:p w14:paraId="661C5BA7" w14:textId="68F50A7B" w:rsidR="00654407" w:rsidRDefault="00654407" w:rsidP="00CD7919">
      <w:pPr>
        <w:jc w:val="left"/>
        <w:rPr>
          <w:rFonts w:cs="Arial"/>
        </w:rPr>
      </w:pPr>
    </w:p>
    <w:p w14:paraId="1B9FF158" w14:textId="61FA7C95" w:rsidR="00654407" w:rsidRDefault="00654407" w:rsidP="00CD7919">
      <w:pPr>
        <w:jc w:val="left"/>
        <w:rPr>
          <w:rFonts w:cs="Arial"/>
        </w:rPr>
      </w:pPr>
    </w:p>
    <w:p w14:paraId="618A4222" w14:textId="101802AC" w:rsidR="00654407" w:rsidRDefault="00654407" w:rsidP="00CD7919">
      <w:pPr>
        <w:jc w:val="left"/>
        <w:rPr>
          <w:rFonts w:cs="Arial"/>
        </w:rPr>
      </w:pPr>
    </w:p>
    <w:p w14:paraId="042B3EAE" w14:textId="0A10438D" w:rsidR="00654407" w:rsidRDefault="00654407" w:rsidP="00CD7919">
      <w:pPr>
        <w:jc w:val="left"/>
        <w:rPr>
          <w:rFonts w:cs="Arial"/>
        </w:rPr>
      </w:pPr>
    </w:p>
    <w:p w14:paraId="2CFC1D63" w14:textId="5F003C66" w:rsidR="00654407" w:rsidRDefault="00654407" w:rsidP="00CD7919">
      <w:pPr>
        <w:jc w:val="left"/>
        <w:rPr>
          <w:rFonts w:cs="Arial"/>
        </w:rPr>
      </w:pPr>
    </w:p>
    <w:p w14:paraId="271A024D" w14:textId="2BD7175F" w:rsidR="00654407" w:rsidRDefault="00654407" w:rsidP="00CD7919">
      <w:pPr>
        <w:jc w:val="left"/>
        <w:rPr>
          <w:rFonts w:cs="Arial"/>
        </w:rPr>
      </w:pPr>
    </w:p>
    <w:p w14:paraId="75A8515A" w14:textId="03CD09F5" w:rsidR="00654407" w:rsidRDefault="00654407" w:rsidP="00CD7919">
      <w:pPr>
        <w:jc w:val="left"/>
        <w:rPr>
          <w:rFonts w:cs="Arial"/>
        </w:rPr>
      </w:pPr>
    </w:p>
    <w:p w14:paraId="6CBD00B2" w14:textId="77777777" w:rsidR="002724DF" w:rsidRDefault="002724DF" w:rsidP="00CD7919">
      <w:pPr>
        <w:jc w:val="left"/>
        <w:rPr>
          <w:rFonts w:cs="Arial"/>
        </w:rPr>
        <w:sectPr w:rsidR="002724DF" w:rsidSect="00B73F4D">
          <w:pgSz w:w="11906" w:h="16838"/>
          <w:pgMar w:top="1417" w:right="1133" w:bottom="1417" w:left="1417" w:header="708" w:footer="708" w:gutter="0"/>
          <w:pgNumType w:start="0"/>
          <w:cols w:space="708"/>
          <w:docGrid w:linePitch="360"/>
        </w:sectPr>
      </w:pPr>
    </w:p>
    <w:p w14:paraId="34B3EFB5" w14:textId="77777777" w:rsidR="00DD31F5" w:rsidRPr="00035C46" w:rsidRDefault="00DD31F5" w:rsidP="00DD31F5">
      <w:pPr>
        <w:jc w:val="left"/>
        <w:rPr>
          <w:rFonts w:cs="Arial"/>
        </w:rPr>
      </w:pPr>
      <w:r w:rsidRPr="00035C46">
        <w:rPr>
          <w:rFonts w:cs="Arial"/>
        </w:rPr>
        <w:lastRenderedPageBreak/>
        <w:t>Annexe 9 : Typologie et opérateurs enquêtés dans le cadre de l’enquête des flux de marché</w:t>
      </w:r>
      <w:r>
        <w:rPr>
          <w:rFonts w:cs="Arial"/>
        </w:rPr>
        <w:t xml:space="preserve"> sur le périmètre de la consommation </w:t>
      </w:r>
      <w:r>
        <w:rPr>
          <w:rFonts w:cs="Arial"/>
        </w:rPr>
        <w:br/>
        <w:t>A Domicile et Hors Domicile (Source Ifip, Gira Food Service, Linéaires Distribook)</w:t>
      </w:r>
    </w:p>
    <w:tbl>
      <w:tblPr>
        <w:tblW w:w="10320" w:type="dxa"/>
        <w:jc w:val="center"/>
        <w:tblCellMar>
          <w:left w:w="70" w:type="dxa"/>
          <w:right w:w="70" w:type="dxa"/>
        </w:tblCellMar>
        <w:tblLook w:val="0600" w:firstRow="0" w:lastRow="0" w:firstColumn="0" w:lastColumn="0" w:noHBand="1" w:noVBand="1"/>
      </w:tblPr>
      <w:tblGrid>
        <w:gridCol w:w="2336"/>
        <w:gridCol w:w="3160"/>
        <w:gridCol w:w="3127"/>
        <w:gridCol w:w="1697"/>
      </w:tblGrid>
      <w:tr w:rsidR="00DD31F5" w:rsidRPr="00DD31F5" w14:paraId="3873B56B" w14:textId="77777777" w:rsidTr="008421B6">
        <w:trPr>
          <w:trHeight w:val="495"/>
          <w:jc w:val="center"/>
        </w:trPr>
        <w:tc>
          <w:tcPr>
            <w:tcW w:w="2340" w:type="dxa"/>
            <w:tcBorders>
              <w:top w:val="single" w:sz="4" w:space="0" w:color="auto"/>
              <w:left w:val="single" w:sz="4" w:space="0" w:color="auto"/>
              <w:bottom w:val="single" w:sz="8" w:space="0" w:color="FFFFFF"/>
              <w:right w:val="single" w:sz="8" w:space="0" w:color="FFFFFF"/>
            </w:tcBorders>
            <w:shd w:val="clear" w:color="auto" w:fill="A6A6A6" w:themeFill="background1" w:themeFillShade="A6"/>
            <w:vAlign w:val="center"/>
            <w:hideMark/>
          </w:tcPr>
          <w:p w14:paraId="249ACFC4" w14:textId="77777777" w:rsidR="00DD31F5" w:rsidRPr="00DD31F5" w:rsidRDefault="00DD31F5" w:rsidP="008421B6">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 xml:space="preserve">Segment de marché </w:t>
            </w:r>
          </w:p>
        </w:tc>
        <w:tc>
          <w:tcPr>
            <w:tcW w:w="3240" w:type="dxa"/>
            <w:tcBorders>
              <w:top w:val="single" w:sz="4" w:space="0" w:color="auto"/>
              <w:left w:val="nil"/>
              <w:bottom w:val="single" w:sz="8" w:space="0" w:color="FFFFFF"/>
              <w:right w:val="single" w:sz="8" w:space="0" w:color="FFFFFF"/>
            </w:tcBorders>
            <w:shd w:val="clear" w:color="auto" w:fill="A6A6A6" w:themeFill="background1" w:themeFillShade="A6"/>
            <w:vAlign w:val="center"/>
            <w:hideMark/>
          </w:tcPr>
          <w:p w14:paraId="62215676" w14:textId="77777777" w:rsidR="00DD31F5" w:rsidRPr="00DD31F5" w:rsidRDefault="00DD31F5" w:rsidP="008421B6">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 xml:space="preserve">Typologie / Interlocuteurs </w:t>
            </w:r>
          </w:p>
        </w:tc>
        <w:tc>
          <w:tcPr>
            <w:tcW w:w="3200" w:type="dxa"/>
            <w:tcBorders>
              <w:top w:val="single" w:sz="4" w:space="0" w:color="auto"/>
              <w:left w:val="nil"/>
              <w:bottom w:val="single" w:sz="8" w:space="0" w:color="FFFFFF"/>
              <w:right w:val="single" w:sz="8" w:space="0" w:color="FFFFFF"/>
            </w:tcBorders>
            <w:shd w:val="clear" w:color="auto" w:fill="A6A6A6" w:themeFill="background1" w:themeFillShade="A6"/>
            <w:vAlign w:val="center"/>
            <w:hideMark/>
          </w:tcPr>
          <w:p w14:paraId="33FED8EA" w14:textId="77777777" w:rsidR="00DD31F5" w:rsidRPr="00DD31F5" w:rsidRDefault="00DD31F5" w:rsidP="008421B6">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Opérateurs enquêtés</w:t>
            </w:r>
          </w:p>
        </w:tc>
        <w:tc>
          <w:tcPr>
            <w:tcW w:w="1540" w:type="dxa"/>
            <w:tcBorders>
              <w:top w:val="single" w:sz="4" w:space="0" w:color="auto"/>
              <w:left w:val="nil"/>
              <w:bottom w:val="single" w:sz="8" w:space="0" w:color="FFFFFF"/>
              <w:right w:val="single" w:sz="4" w:space="0" w:color="auto"/>
            </w:tcBorders>
            <w:shd w:val="clear" w:color="auto" w:fill="A6A6A6" w:themeFill="background1" w:themeFillShade="A6"/>
            <w:vAlign w:val="center"/>
            <w:hideMark/>
          </w:tcPr>
          <w:p w14:paraId="52D46000" w14:textId="77777777" w:rsidR="00DD31F5" w:rsidRPr="00DD31F5" w:rsidRDefault="00DD31F5" w:rsidP="008421B6">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Représentativité</w:t>
            </w:r>
          </w:p>
        </w:tc>
      </w:tr>
      <w:tr w:rsidR="00DD31F5" w:rsidRPr="00405009" w14:paraId="54897991" w14:textId="77777777" w:rsidTr="008421B6">
        <w:trPr>
          <w:trHeight w:val="765"/>
          <w:jc w:val="center"/>
        </w:trPr>
        <w:tc>
          <w:tcPr>
            <w:tcW w:w="2340" w:type="dxa"/>
            <w:tcBorders>
              <w:top w:val="nil"/>
              <w:left w:val="single" w:sz="4" w:space="0" w:color="auto"/>
              <w:bottom w:val="single" w:sz="8" w:space="0" w:color="FFFFFF"/>
              <w:right w:val="single" w:sz="8" w:space="0" w:color="FFFFFF"/>
            </w:tcBorders>
            <w:shd w:val="clear" w:color="000000" w:fill="F1F1F1"/>
            <w:vAlign w:val="center"/>
            <w:hideMark/>
          </w:tcPr>
          <w:p w14:paraId="4A03A668"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Traitement des coproduits animaux </w:t>
            </w:r>
          </w:p>
        </w:tc>
        <w:tc>
          <w:tcPr>
            <w:tcW w:w="3240" w:type="dxa"/>
            <w:tcBorders>
              <w:top w:val="nil"/>
              <w:left w:val="nil"/>
              <w:bottom w:val="single" w:sz="8" w:space="0" w:color="FFFFFF"/>
              <w:right w:val="single" w:sz="8" w:space="0" w:color="FFFFFF"/>
            </w:tcBorders>
            <w:shd w:val="clear" w:color="000000" w:fill="F1F1F1"/>
            <w:vAlign w:val="center"/>
            <w:hideMark/>
          </w:tcPr>
          <w:p w14:paraId="0913CA23"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_</w:t>
            </w:r>
          </w:p>
        </w:tc>
        <w:tc>
          <w:tcPr>
            <w:tcW w:w="3200" w:type="dxa"/>
            <w:tcBorders>
              <w:top w:val="nil"/>
              <w:left w:val="nil"/>
              <w:bottom w:val="single" w:sz="8" w:space="0" w:color="FFFFFF"/>
              <w:right w:val="single" w:sz="8" w:space="0" w:color="FFFFFF"/>
            </w:tcBorders>
            <w:shd w:val="clear" w:color="000000" w:fill="F1F1F1"/>
            <w:vAlign w:val="center"/>
            <w:hideMark/>
          </w:tcPr>
          <w:p w14:paraId="573E58D6"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SIFCO (Syndicat des Industries Françaises de Traitement des Coproduits Animaux)</w:t>
            </w:r>
          </w:p>
        </w:tc>
        <w:tc>
          <w:tcPr>
            <w:tcW w:w="1540" w:type="dxa"/>
            <w:tcBorders>
              <w:top w:val="nil"/>
              <w:left w:val="nil"/>
              <w:bottom w:val="single" w:sz="8" w:space="0" w:color="FFFFFF"/>
              <w:right w:val="single" w:sz="4" w:space="0" w:color="auto"/>
            </w:tcBorders>
            <w:shd w:val="clear" w:color="000000" w:fill="F1F1F1"/>
            <w:vAlign w:val="center"/>
            <w:hideMark/>
          </w:tcPr>
          <w:p w14:paraId="0DE2E575"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&gt;90%</w:t>
            </w:r>
          </w:p>
        </w:tc>
      </w:tr>
      <w:tr w:rsidR="00DD31F5" w:rsidRPr="00405009" w14:paraId="5D5415A8" w14:textId="77777777" w:rsidTr="008421B6">
        <w:trPr>
          <w:trHeight w:val="885"/>
          <w:jc w:val="center"/>
        </w:trPr>
        <w:tc>
          <w:tcPr>
            <w:tcW w:w="2340" w:type="dxa"/>
            <w:tcBorders>
              <w:top w:val="nil"/>
              <w:left w:val="single" w:sz="4" w:space="0" w:color="auto"/>
              <w:bottom w:val="single" w:sz="8" w:space="0" w:color="FFFFFF"/>
              <w:right w:val="single" w:sz="8" w:space="0" w:color="FFFFFF"/>
            </w:tcBorders>
            <w:shd w:val="clear" w:color="000000" w:fill="A6A6A6"/>
            <w:vAlign w:val="center"/>
            <w:hideMark/>
          </w:tcPr>
          <w:p w14:paraId="39099521"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Amont : Abattoirs et Transformateurs </w:t>
            </w:r>
          </w:p>
        </w:tc>
        <w:tc>
          <w:tcPr>
            <w:tcW w:w="3240" w:type="dxa"/>
            <w:tcBorders>
              <w:top w:val="nil"/>
              <w:left w:val="nil"/>
              <w:bottom w:val="single" w:sz="8" w:space="0" w:color="FFFFFF"/>
              <w:right w:val="single" w:sz="8" w:space="0" w:color="FFFFFF"/>
            </w:tcBorders>
            <w:shd w:val="clear" w:color="000000" w:fill="A6A6A6"/>
            <w:vAlign w:val="center"/>
            <w:hideMark/>
          </w:tcPr>
          <w:p w14:paraId="3FAAEA94"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Responsable ou Directeur des achats ou Directeur établissement ou Directeur commerciaux </w:t>
            </w:r>
          </w:p>
        </w:tc>
        <w:tc>
          <w:tcPr>
            <w:tcW w:w="3200" w:type="dxa"/>
            <w:tcBorders>
              <w:top w:val="nil"/>
              <w:left w:val="nil"/>
              <w:bottom w:val="single" w:sz="8" w:space="0" w:color="FFFFFF"/>
              <w:right w:val="single" w:sz="8" w:space="0" w:color="FFFFFF"/>
            </w:tcBorders>
            <w:shd w:val="clear" w:color="000000" w:fill="A6A6A6"/>
            <w:vAlign w:val="center"/>
            <w:hideMark/>
          </w:tcPr>
          <w:p w14:paraId="1AF61692" w14:textId="77777777" w:rsidR="00DD31F5" w:rsidRPr="00405009" w:rsidRDefault="00DD31F5" w:rsidP="008421B6">
            <w:pPr>
              <w:spacing w:after="0" w:line="240" w:lineRule="auto"/>
              <w:jc w:val="center"/>
              <w:rPr>
                <w:rFonts w:eastAsia="Times New Roman" w:cs="Arial"/>
                <w:color w:val="000000"/>
                <w:sz w:val="20"/>
                <w:szCs w:val="20"/>
                <w:lang w:val="en-US" w:eastAsia="fr-FR"/>
              </w:rPr>
            </w:pPr>
            <w:r w:rsidRPr="00405009">
              <w:rPr>
                <w:rFonts w:eastAsia="Times New Roman" w:cs="Arial"/>
                <w:color w:val="000000"/>
                <w:sz w:val="20"/>
                <w:szCs w:val="20"/>
                <w:lang w:val="en-US" w:eastAsia="fr-FR"/>
              </w:rPr>
              <w:t>Sicarev, Carel, Fipso, Fleury Michon, Cooperl, Schmidt, Berni, Ets Philip., Ets Lucien</w:t>
            </w:r>
          </w:p>
        </w:tc>
        <w:tc>
          <w:tcPr>
            <w:tcW w:w="1540" w:type="dxa"/>
            <w:tcBorders>
              <w:top w:val="nil"/>
              <w:left w:val="nil"/>
              <w:bottom w:val="single" w:sz="8" w:space="0" w:color="FFFFFF"/>
              <w:right w:val="single" w:sz="4" w:space="0" w:color="auto"/>
            </w:tcBorders>
            <w:shd w:val="clear" w:color="000000" w:fill="A6A6A6"/>
            <w:vAlign w:val="center"/>
            <w:hideMark/>
          </w:tcPr>
          <w:p w14:paraId="6DCC9A9B"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&gt;30%</w:t>
            </w:r>
          </w:p>
        </w:tc>
      </w:tr>
      <w:tr w:rsidR="00DD31F5" w:rsidRPr="00405009" w14:paraId="40FC2A56" w14:textId="77777777" w:rsidTr="008421B6">
        <w:trPr>
          <w:trHeight w:val="945"/>
          <w:jc w:val="center"/>
        </w:trPr>
        <w:tc>
          <w:tcPr>
            <w:tcW w:w="2340" w:type="dxa"/>
            <w:tcBorders>
              <w:top w:val="nil"/>
              <w:left w:val="single" w:sz="4" w:space="0" w:color="auto"/>
              <w:bottom w:val="single" w:sz="8" w:space="0" w:color="FFFFFF"/>
              <w:right w:val="single" w:sz="8" w:space="0" w:color="FFFFFF"/>
            </w:tcBorders>
            <w:shd w:val="clear" w:color="000000" w:fill="F1F1F1"/>
            <w:vAlign w:val="center"/>
            <w:hideMark/>
          </w:tcPr>
          <w:p w14:paraId="7DCFB6DA"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GMS</w:t>
            </w:r>
          </w:p>
        </w:tc>
        <w:tc>
          <w:tcPr>
            <w:tcW w:w="3240" w:type="dxa"/>
            <w:tcBorders>
              <w:top w:val="nil"/>
              <w:left w:val="nil"/>
              <w:bottom w:val="single" w:sz="8" w:space="0" w:color="FFFFFF"/>
              <w:right w:val="single" w:sz="8" w:space="0" w:color="FFFFFF"/>
            </w:tcBorders>
            <w:shd w:val="clear" w:color="000000" w:fill="F1F1F1"/>
            <w:vAlign w:val="center"/>
            <w:hideMark/>
          </w:tcPr>
          <w:p w14:paraId="24A6CDD2"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Acheteurs Charcuterie LS, Acheteur Charcuterie Coupe, Acheteur Boucherie, Acheteur Traiteur</w:t>
            </w:r>
          </w:p>
        </w:tc>
        <w:tc>
          <w:tcPr>
            <w:tcW w:w="3200" w:type="dxa"/>
            <w:tcBorders>
              <w:top w:val="nil"/>
              <w:left w:val="nil"/>
              <w:bottom w:val="single" w:sz="8" w:space="0" w:color="FFFFFF"/>
              <w:right w:val="single" w:sz="8" w:space="0" w:color="FFFFFF"/>
            </w:tcBorders>
            <w:shd w:val="clear" w:color="000000" w:fill="F1F1F1"/>
            <w:vAlign w:val="center"/>
            <w:hideMark/>
          </w:tcPr>
          <w:p w14:paraId="2E32B83F"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Auchan (3), Carrefour (2), Cora (2), Système U (3), Intermarché (3), Leclerc (2), Grandfrais (1)</w:t>
            </w:r>
          </w:p>
        </w:tc>
        <w:tc>
          <w:tcPr>
            <w:tcW w:w="1540" w:type="dxa"/>
            <w:tcBorders>
              <w:top w:val="nil"/>
              <w:left w:val="nil"/>
              <w:bottom w:val="single" w:sz="8" w:space="0" w:color="FFFFFF"/>
              <w:right w:val="single" w:sz="4" w:space="0" w:color="auto"/>
            </w:tcBorders>
            <w:shd w:val="clear" w:color="000000" w:fill="F1F1F1"/>
            <w:vAlign w:val="center"/>
            <w:hideMark/>
          </w:tcPr>
          <w:p w14:paraId="6AD3233F"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&gt;50% PDM </w:t>
            </w:r>
          </w:p>
        </w:tc>
      </w:tr>
      <w:tr w:rsidR="00DD31F5" w:rsidRPr="00405009" w14:paraId="4D7CA4DC" w14:textId="77777777" w:rsidTr="008421B6">
        <w:trPr>
          <w:trHeight w:val="810"/>
          <w:jc w:val="center"/>
        </w:trPr>
        <w:tc>
          <w:tcPr>
            <w:tcW w:w="2340" w:type="dxa"/>
            <w:tcBorders>
              <w:top w:val="nil"/>
              <w:left w:val="single" w:sz="4" w:space="0" w:color="auto"/>
              <w:bottom w:val="nil"/>
              <w:right w:val="single" w:sz="8" w:space="0" w:color="FFFFFF"/>
            </w:tcBorders>
            <w:shd w:val="clear" w:color="000000" w:fill="A6A6A6"/>
            <w:vAlign w:val="center"/>
            <w:hideMark/>
          </w:tcPr>
          <w:p w14:paraId="24F10839"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Restauration</w:t>
            </w:r>
          </w:p>
        </w:tc>
        <w:tc>
          <w:tcPr>
            <w:tcW w:w="3240" w:type="dxa"/>
            <w:tcBorders>
              <w:top w:val="nil"/>
              <w:left w:val="nil"/>
              <w:bottom w:val="single" w:sz="8" w:space="0" w:color="FFFFFF"/>
              <w:right w:val="single" w:sz="8" w:space="0" w:color="FFFFFF"/>
            </w:tcBorders>
            <w:shd w:val="clear" w:color="000000" w:fill="A6A6A6"/>
            <w:vAlign w:val="center"/>
            <w:hideMark/>
          </w:tcPr>
          <w:p w14:paraId="4DD54A86"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Acheteurs Viande, Acheteurs Charcuterie </w:t>
            </w:r>
          </w:p>
        </w:tc>
        <w:tc>
          <w:tcPr>
            <w:tcW w:w="3200" w:type="dxa"/>
            <w:tcBorders>
              <w:top w:val="nil"/>
              <w:left w:val="nil"/>
              <w:bottom w:val="single" w:sz="8" w:space="0" w:color="FFFFFF"/>
              <w:right w:val="single" w:sz="8" w:space="0" w:color="FFFFFF"/>
            </w:tcBorders>
            <w:shd w:val="clear" w:color="000000" w:fill="A6A6A6"/>
            <w:vAlign w:val="center"/>
            <w:hideMark/>
          </w:tcPr>
          <w:p w14:paraId="0A98CC07" w14:textId="77777777" w:rsidR="00DD31F5" w:rsidRPr="00405009" w:rsidRDefault="00DD31F5" w:rsidP="008421B6">
            <w:pPr>
              <w:spacing w:after="0" w:line="240" w:lineRule="auto"/>
              <w:jc w:val="center"/>
              <w:rPr>
                <w:rFonts w:eastAsia="Times New Roman" w:cs="Arial"/>
                <w:color w:val="000000"/>
                <w:sz w:val="20"/>
                <w:szCs w:val="20"/>
                <w:lang w:val="en-US" w:eastAsia="fr-FR"/>
              </w:rPr>
            </w:pPr>
            <w:r w:rsidRPr="00405009">
              <w:rPr>
                <w:rFonts w:eastAsia="Times New Roman" w:cs="Arial"/>
                <w:color w:val="000000"/>
                <w:sz w:val="20"/>
                <w:szCs w:val="20"/>
                <w:lang w:val="en-US" w:eastAsia="fr-FR"/>
              </w:rPr>
              <w:t>Sysco (Brake/Davigel), Metro (2), Pomona</w:t>
            </w:r>
          </w:p>
        </w:tc>
        <w:tc>
          <w:tcPr>
            <w:tcW w:w="1540" w:type="dxa"/>
            <w:tcBorders>
              <w:top w:val="nil"/>
              <w:left w:val="nil"/>
              <w:bottom w:val="single" w:sz="8" w:space="0" w:color="FFFFFF"/>
              <w:right w:val="single" w:sz="4" w:space="0" w:color="auto"/>
            </w:tcBorders>
            <w:shd w:val="clear" w:color="000000" w:fill="A6A6A6"/>
            <w:vAlign w:val="center"/>
            <w:hideMark/>
          </w:tcPr>
          <w:p w14:paraId="22D7D7C0"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&gt;20%</w:t>
            </w:r>
          </w:p>
        </w:tc>
      </w:tr>
      <w:tr w:rsidR="00DD31F5" w:rsidRPr="00405009" w14:paraId="58A5DA64" w14:textId="77777777" w:rsidTr="008421B6">
        <w:trPr>
          <w:trHeight w:val="855"/>
          <w:jc w:val="center"/>
        </w:trPr>
        <w:tc>
          <w:tcPr>
            <w:tcW w:w="2340" w:type="dxa"/>
            <w:tcBorders>
              <w:top w:val="nil"/>
              <w:left w:val="single" w:sz="4" w:space="0" w:color="auto"/>
              <w:bottom w:val="nil"/>
              <w:right w:val="single" w:sz="8" w:space="0" w:color="FFFFFF"/>
            </w:tcBorders>
            <w:shd w:val="clear" w:color="auto" w:fill="F2F2F2" w:themeFill="background1" w:themeFillShade="F2"/>
            <w:vAlign w:val="center"/>
            <w:hideMark/>
          </w:tcPr>
          <w:p w14:paraId="41CD6A08"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Société de restauration commerciale </w:t>
            </w:r>
          </w:p>
        </w:tc>
        <w:tc>
          <w:tcPr>
            <w:tcW w:w="3240" w:type="dxa"/>
            <w:tcBorders>
              <w:top w:val="nil"/>
              <w:left w:val="nil"/>
              <w:bottom w:val="nil"/>
              <w:right w:val="single" w:sz="8" w:space="0" w:color="FFFFFF"/>
            </w:tcBorders>
            <w:shd w:val="clear" w:color="000000" w:fill="F1F1F1"/>
            <w:vAlign w:val="center"/>
            <w:hideMark/>
          </w:tcPr>
          <w:p w14:paraId="00699425"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Opérateurs finaux SDR (Sociétés de restauration), Responsable / Directeur achat </w:t>
            </w:r>
          </w:p>
        </w:tc>
        <w:tc>
          <w:tcPr>
            <w:tcW w:w="3200" w:type="dxa"/>
            <w:tcBorders>
              <w:top w:val="nil"/>
              <w:left w:val="nil"/>
              <w:bottom w:val="nil"/>
              <w:right w:val="single" w:sz="8" w:space="0" w:color="FFFFFF"/>
            </w:tcBorders>
            <w:shd w:val="clear" w:color="000000" w:fill="F1F1F1"/>
            <w:vAlign w:val="center"/>
            <w:hideMark/>
          </w:tcPr>
          <w:p w14:paraId="6D64FDBF"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Flunch, Casino, La Mie Câline, Boulangeries Paul, Mac Donald </w:t>
            </w:r>
          </w:p>
        </w:tc>
        <w:tc>
          <w:tcPr>
            <w:tcW w:w="1540" w:type="dxa"/>
            <w:tcBorders>
              <w:top w:val="nil"/>
              <w:left w:val="nil"/>
              <w:bottom w:val="nil"/>
              <w:right w:val="single" w:sz="4" w:space="0" w:color="auto"/>
            </w:tcBorders>
            <w:shd w:val="clear" w:color="000000" w:fill="F1F1F1"/>
            <w:vAlign w:val="center"/>
            <w:hideMark/>
          </w:tcPr>
          <w:p w14:paraId="56676BF8"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&lt;20%</w:t>
            </w:r>
          </w:p>
        </w:tc>
      </w:tr>
      <w:tr w:rsidR="00DD31F5" w:rsidRPr="00405009" w14:paraId="5FC52EF9" w14:textId="77777777" w:rsidTr="008421B6">
        <w:trPr>
          <w:trHeight w:val="1005"/>
          <w:jc w:val="center"/>
        </w:trPr>
        <w:tc>
          <w:tcPr>
            <w:tcW w:w="2340" w:type="dxa"/>
            <w:tcBorders>
              <w:top w:val="nil"/>
              <w:left w:val="single" w:sz="4" w:space="0" w:color="auto"/>
              <w:bottom w:val="single" w:sz="8" w:space="0" w:color="FFFFFF"/>
              <w:right w:val="single" w:sz="8" w:space="0" w:color="FFFFFF"/>
            </w:tcBorders>
            <w:shd w:val="clear" w:color="000000" w:fill="D9D9D9"/>
            <w:vAlign w:val="center"/>
            <w:hideMark/>
          </w:tcPr>
          <w:p w14:paraId="6DB80B3D"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Boucherie charcuterie traiteur </w:t>
            </w:r>
          </w:p>
        </w:tc>
        <w:tc>
          <w:tcPr>
            <w:tcW w:w="3240" w:type="dxa"/>
            <w:tcBorders>
              <w:top w:val="single" w:sz="8" w:space="0" w:color="FFFFFF"/>
              <w:left w:val="nil"/>
              <w:bottom w:val="single" w:sz="8" w:space="0" w:color="FFFFFF"/>
              <w:right w:val="single" w:sz="8" w:space="0" w:color="FFFFFF"/>
            </w:tcBorders>
            <w:shd w:val="clear" w:color="000000" w:fill="D9D9D9"/>
            <w:vAlign w:val="center"/>
            <w:hideMark/>
          </w:tcPr>
          <w:p w14:paraId="489405FE"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Dirigeant établissement, représentant organisation</w:t>
            </w:r>
          </w:p>
        </w:tc>
        <w:tc>
          <w:tcPr>
            <w:tcW w:w="3200" w:type="dxa"/>
            <w:tcBorders>
              <w:top w:val="single" w:sz="8" w:space="0" w:color="FFFFFF"/>
              <w:left w:val="nil"/>
              <w:bottom w:val="single" w:sz="8" w:space="0" w:color="FFFFFF"/>
              <w:right w:val="single" w:sz="8" w:space="0" w:color="FFFFFF"/>
            </w:tcBorders>
            <w:shd w:val="clear" w:color="000000" w:fill="D9D9D9"/>
            <w:vAlign w:val="center"/>
            <w:hideMark/>
          </w:tcPr>
          <w:p w14:paraId="71B6AB3A"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Les bouchers du terroir, Les Eleveurs de la Charentonne (e commerce), Stalaven</w:t>
            </w:r>
          </w:p>
        </w:tc>
        <w:tc>
          <w:tcPr>
            <w:tcW w:w="1540" w:type="dxa"/>
            <w:tcBorders>
              <w:top w:val="single" w:sz="8" w:space="0" w:color="FFFFFF"/>
              <w:left w:val="nil"/>
              <w:bottom w:val="single" w:sz="8" w:space="0" w:color="FFFFFF"/>
              <w:right w:val="single" w:sz="4" w:space="0" w:color="auto"/>
            </w:tcBorders>
            <w:shd w:val="clear" w:color="000000" w:fill="D9D9D9"/>
            <w:vAlign w:val="center"/>
            <w:hideMark/>
          </w:tcPr>
          <w:p w14:paraId="07D3B4A1"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&lt;10%</w:t>
            </w:r>
          </w:p>
        </w:tc>
      </w:tr>
      <w:tr w:rsidR="00DD31F5" w:rsidRPr="00405009" w14:paraId="2CFCCBFA" w14:textId="77777777" w:rsidTr="008421B6">
        <w:trPr>
          <w:trHeight w:val="660"/>
          <w:jc w:val="center"/>
        </w:trPr>
        <w:tc>
          <w:tcPr>
            <w:tcW w:w="2340" w:type="dxa"/>
            <w:tcBorders>
              <w:top w:val="nil"/>
              <w:left w:val="single" w:sz="4" w:space="0" w:color="auto"/>
              <w:bottom w:val="single" w:sz="4" w:space="0" w:color="auto"/>
              <w:right w:val="single" w:sz="8" w:space="0" w:color="FFFFFF"/>
            </w:tcBorders>
            <w:shd w:val="clear" w:color="000000" w:fill="A6A6A6"/>
            <w:vAlign w:val="center"/>
            <w:hideMark/>
          </w:tcPr>
          <w:p w14:paraId="2AA7DFEC"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Opérateur Etranger et Importateur/Exportateur </w:t>
            </w:r>
          </w:p>
        </w:tc>
        <w:tc>
          <w:tcPr>
            <w:tcW w:w="3240" w:type="dxa"/>
            <w:tcBorders>
              <w:top w:val="nil"/>
              <w:left w:val="nil"/>
              <w:bottom w:val="single" w:sz="4" w:space="0" w:color="auto"/>
              <w:right w:val="single" w:sz="8" w:space="0" w:color="FFFFFF"/>
            </w:tcBorders>
            <w:shd w:val="clear" w:color="000000" w:fill="A6A6A6"/>
            <w:vAlign w:val="center"/>
            <w:hideMark/>
          </w:tcPr>
          <w:p w14:paraId="054635EF"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 xml:space="preserve">Directeurs commerciaux </w:t>
            </w:r>
          </w:p>
        </w:tc>
        <w:tc>
          <w:tcPr>
            <w:tcW w:w="3200" w:type="dxa"/>
            <w:tcBorders>
              <w:top w:val="nil"/>
              <w:left w:val="nil"/>
              <w:bottom w:val="single" w:sz="4" w:space="0" w:color="auto"/>
              <w:right w:val="single" w:sz="8" w:space="0" w:color="FFFFFF"/>
            </w:tcBorders>
            <w:shd w:val="clear" w:color="000000" w:fill="A6A6A6"/>
            <w:vAlign w:val="center"/>
            <w:hideMark/>
          </w:tcPr>
          <w:p w14:paraId="718FB317"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Rivasam, Copraf</w:t>
            </w:r>
          </w:p>
        </w:tc>
        <w:tc>
          <w:tcPr>
            <w:tcW w:w="1540" w:type="dxa"/>
            <w:tcBorders>
              <w:top w:val="nil"/>
              <w:left w:val="nil"/>
              <w:bottom w:val="single" w:sz="4" w:space="0" w:color="auto"/>
              <w:right w:val="single" w:sz="4" w:space="0" w:color="auto"/>
            </w:tcBorders>
            <w:shd w:val="clear" w:color="000000" w:fill="A6A6A6"/>
            <w:vAlign w:val="center"/>
            <w:hideMark/>
          </w:tcPr>
          <w:p w14:paraId="30D66C12" w14:textId="77777777" w:rsidR="00DD31F5" w:rsidRPr="00405009" w:rsidRDefault="00DD31F5" w:rsidP="008421B6">
            <w:pPr>
              <w:spacing w:after="0" w:line="240" w:lineRule="auto"/>
              <w:jc w:val="center"/>
              <w:rPr>
                <w:rFonts w:eastAsia="Times New Roman" w:cs="Arial"/>
                <w:color w:val="000000"/>
                <w:sz w:val="20"/>
                <w:szCs w:val="20"/>
                <w:lang w:eastAsia="fr-FR"/>
              </w:rPr>
            </w:pPr>
            <w:r w:rsidRPr="00405009">
              <w:rPr>
                <w:rFonts w:eastAsia="Times New Roman" w:cs="Arial"/>
                <w:color w:val="000000"/>
                <w:sz w:val="20"/>
                <w:szCs w:val="20"/>
                <w:lang w:eastAsia="fr-FR"/>
              </w:rPr>
              <w:t>_</w:t>
            </w:r>
          </w:p>
        </w:tc>
      </w:tr>
    </w:tbl>
    <w:p w14:paraId="7929FCB3" w14:textId="77777777" w:rsidR="00DD31F5" w:rsidRDefault="00DD31F5" w:rsidP="00DD31F5">
      <w:pPr>
        <w:jc w:val="left"/>
        <w:rPr>
          <w:rFonts w:cs="Arial"/>
        </w:rPr>
      </w:pPr>
    </w:p>
    <w:p w14:paraId="2FFD0D95" w14:textId="19FECF98" w:rsidR="00DD31F5" w:rsidRDefault="00DD31F5" w:rsidP="002724DF">
      <w:pPr>
        <w:jc w:val="left"/>
        <w:rPr>
          <w:rFonts w:cs="Arial"/>
        </w:rPr>
      </w:pPr>
    </w:p>
    <w:p w14:paraId="5F6EB21D" w14:textId="77777777" w:rsidR="00DD31F5" w:rsidRDefault="00DD31F5" w:rsidP="002724DF">
      <w:pPr>
        <w:jc w:val="left"/>
        <w:rPr>
          <w:rFonts w:cs="Arial"/>
        </w:rPr>
      </w:pPr>
    </w:p>
    <w:p w14:paraId="77785F4C" w14:textId="45E13BB9" w:rsidR="00654407" w:rsidRDefault="00654407" w:rsidP="00CD7919">
      <w:pPr>
        <w:jc w:val="left"/>
        <w:rPr>
          <w:rFonts w:cs="Arial"/>
        </w:rPr>
      </w:pPr>
    </w:p>
    <w:p w14:paraId="40468598" w14:textId="40F26763" w:rsidR="002A791C" w:rsidRDefault="002A791C" w:rsidP="00CD7919">
      <w:pPr>
        <w:jc w:val="left"/>
        <w:rPr>
          <w:rFonts w:cs="Arial"/>
        </w:rPr>
      </w:pPr>
    </w:p>
    <w:p w14:paraId="2E752585" w14:textId="1F956A2E" w:rsidR="00DD31F5" w:rsidRDefault="00DD31F5" w:rsidP="00CD7919">
      <w:pPr>
        <w:jc w:val="left"/>
        <w:rPr>
          <w:rFonts w:cs="Arial"/>
        </w:rPr>
      </w:pPr>
      <w:r w:rsidRPr="00035C46">
        <w:rPr>
          <w:rFonts w:cs="Arial"/>
        </w:rPr>
        <w:lastRenderedPageBreak/>
        <w:t xml:space="preserve">Annexe </w:t>
      </w:r>
      <w:r>
        <w:rPr>
          <w:rFonts w:cs="Arial"/>
        </w:rPr>
        <w:t>10</w:t>
      </w:r>
      <w:r w:rsidRPr="00035C46">
        <w:rPr>
          <w:rFonts w:cs="Arial"/>
        </w:rPr>
        <w:t> : Typologie et opérateurs enquêtés dans le cadre de l’enquête des flux de marché</w:t>
      </w:r>
      <w:r>
        <w:rPr>
          <w:rFonts w:cs="Arial"/>
        </w:rPr>
        <w:t xml:space="preserve"> sur le périmètre de la consommation A Domicile et Hors Domicile (Source Ifip, Gira Food Service)</w:t>
      </w:r>
    </w:p>
    <w:tbl>
      <w:tblPr>
        <w:tblW w:w="12895" w:type="dxa"/>
        <w:jc w:val="center"/>
        <w:tblCellMar>
          <w:left w:w="70" w:type="dxa"/>
          <w:right w:w="70" w:type="dxa"/>
        </w:tblCellMar>
        <w:tblLook w:val="0600" w:firstRow="0" w:lastRow="0" w:firstColumn="0" w:lastColumn="0" w:noHBand="1" w:noVBand="1"/>
      </w:tblPr>
      <w:tblGrid>
        <w:gridCol w:w="2320"/>
        <w:gridCol w:w="2460"/>
        <w:gridCol w:w="3640"/>
        <w:gridCol w:w="4475"/>
      </w:tblGrid>
      <w:tr w:rsidR="00797105" w:rsidRPr="00DD31F5" w14:paraId="798B45B6" w14:textId="77777777" w:rsidTr="00DD31F5">
        <w:trPr>
          <w:trHeight w:val="510"/>
          <w:jc w:val="center"/>
        </w:trPr>
        <w:tc>
          <w:tcPr>
            <w:tcW w:w="2320" w:type="dxa"/>
            <w:tcBorders>
              <w:top w:val="single" w:sz="4" w:space="0" w:color="auto"/>
              <w:left w:val="single" w:sz="4" w:space="0" w:color="auto"/>
              <w:bottom w:val="single" w:sz="4" w:space="0" w:color="auto"/>
              <w:right w:val="single" w:sz="4" w:space="0" w:color="auto"/>
            </w:tcBorders>
            <w:shd w:val="clear" w:color="auto" w:fill="A6A6A6" w:themeFill="background1" w:themeFillShade="A6"/>
            <w:vAlign w:val="center"/>
            <w:hideMark/>
          </w:tcPr>
          <w:p w14:paraId="17878CA2" w14:textId="77777777" w:rsidR="00797105" w:rsidRPr="00DD31F5" w:rsidRDefault="00797105" w:rsidP="00DD31F5">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Source de données</w:t>
            </w:r>
          </w:p>
        </w:tc>
        <w:tc>
          <w:tcPr>
            <w:tcW w:w="246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462AEBE8" w14:textId="77777777" w:rsidR="00797105" w:rsidRPr="00DD31F5" w:rsidRDefault="00797105" w:rsidP="00DD31F5">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Type d'acteur</w:t>
            </w:r>
          </w:p>
        </w:tc>
        <w:tc>
          <w:tcPr>
            <w:tcW w:w="3640"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77A900F0" w14:textId="7863EB33" w:rsidR="00797105" w:rsidRPr="00DD31F5" w:rsidRDefault="00797105" w:rsidP="00DD31F5">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Secteur d'activité de la restauration collective couvert</w:t>
            </w:r>
          </w:p>
        </w:tc>
        <w:tc>
          <w:tcPr>
            <w:tcW w:w="4475" w:type="dxa"/>
            <w:tcBorders>
              <w:top w:val="single" w:sz="4" w:space="0" w:color="auto"/>
              <w:left w:val="nil"/>
              <w:bottom w:val="single" w:sz="4" w:space="0" w:color="auto"/>
              <w:right w:val="single" w:sz="4" w:space="0" w:color="auto"/>
            </w:tcBorders>
            <w:shd w:val="clear" w:color="auto" w:fill="A6A6A6" w:themeFill="background1" w:themeFillShade="A6"/>
            <w:vAlign w:val="center"/>
            <w:hideMark/>
          </w:tcPr>
          <w:p w14:paraId="2995F957" w14:textId="2C4307C7" w:rsidR="00797105" w:rsidRPr="00DD31F5" w:rsidRDefault="00797105" w:rsidP="00DD31F5">
            <w:pPr>
              <w:spacing w:after="0" w:line="240" w:lineRule="auto"/>
              <w:jc w:val="center"/>
              <w:rPr>
                <w:rFonts w:eastAsia="Times New Roman" w:cs="Arial"/>
                <w:b/>
                <w:color w:val="000000"/>
                <w:sz w:val="20"/>
                <w:szCs w:val="20"/>
                <w:lang w:eastAsia="fr-FR"/>
              </w:rPr>
            </w:pPr>
            <w:r w:rsidRPr="00DD31F5">
              <w:rPr>
                <w:rFonts w:eastAsia="Times New Roman" w:cs="Arial"/>
                <w:b/>
                <w:color w:val="000000"/>
                <w:sz w:val="20"/>
                <w:szCs w:val="20"/>
                <w:lang w:eastAsia="fr-FR"/>
              </w:rPr>
              <w:t>Représentativité part de marché</w:t>
            </w:r>
          </w:p>
        </w:tc>
      </w:tr>
      <w:tr w:rsidR="00797105" w:rsidRPr="006E07CB" w14:paraId="0235A1D4" w14:textId="77777777" w:rsidTr="00DD31F5">
        <w:trPr>
          <w:trHeight w:val="603"/>
          <w:jc w:val="center"/>
        </w:trPr>
        <w:tc>
          <w:tcPr>
            <w:tcW w:w="23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EFE3F6A" w14:textId="228E27B3"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Pomona Passion Froid</w:t>
            </w:r>
          </w:p>
        </w:tc>
        <w:tc>
          <w:tcPr>
            <w:tcW w:w="24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AD3BFB8"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Distributeur généraliste</w:t>
            </w:r>
          </w:p>
        </w:tc>
        <w:tc>
          <w:tcPr>
            <w:tcW w:w="36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86EB336"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Tous segments de marché</w:t>
            </w:r>
          </w:p>
        </w:tc>
        <w:tc>
          <w:tcPr>
            <w:tcW w:w="447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9DDEF63" w14:textId="4295BFAA"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12-14% de la distribution en restauration collective</w:t>
            </w:r>
          </w:p>
        </w:tc>
      </w:tr>
      <w:tr w:rsidR="00797105" w:rsidRPr="006E07CB" w14:paraId="3ECA856B" w14:textId="77777777" w:rsidTr="00DD31F5">
        <w:trPr>
          <w:trHeight w:val="413"/>
          <w:jc w:val="center"/>
        </w:trPr>
        <w:tc>
          <w:tcPr>
            <w:tcW w:w="23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E8DF4F7"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Sysco / Brake</w:t>
            </w:r>
          </w:p>
        </w:tc>
        <w:tc>
          <w:tcPr>
            <w:tcW w:w="24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6FB955B"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Distributeur généraliste</w:t>
            </w:r>
          </w:p>
        </w:tc>
        <w:tc>
          <w:tcPr>
            <w:tcW w:w="364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C9D8492"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Tous segments de marché</w:t>
            </w:r>
          </w:p>
        </w:tc>
        <w:tc>
          <w:tcPr>
            <w:tcW w:w="4475"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1F3BDF0" w14:textId="05E6BB19"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5% en frais et 14% en surgelés</w:t>
            </w:r>
          </w:p>
        </w:tc>
      </w:tr>
      <w:tr w:rsidR="00797105" w:rsidRPr="006E07CB" w14:paraId="532C3527" w14:textId="77777777" w:rsidTr="00DD31F5">
        <w:trPr>
          <w:trHeight w:val="646"/>
          <w:jc w:val="center"/>
        </w:trPr>
        <w:tc>
          <w:tcPr>
            <w:tcW w:w="23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7A6D1C8E"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UNIHA</w:t>
            </w:r>
          </w:p>
        </w:tc>
        <w:tc>
          <w:tcPr>
            <w:tcW w:w="246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46ED66C0" w14:textId="7FA4557E"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Centrale d'achat</w:t>
            </w:r>
          </w:p>
        </w:tc>
        <w:tc>
          <w:tcPr>
            <w:tcW w:w="364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1C8BB4A3"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Hospitalier</w:t>
            </w:r>
          </w:p>
        </w:tc>
        <w:tc>
          <w:tcPr>
            <w:tcW w:w="4475"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369D7F5F"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20% (79 346 lits vs sur un total de 396 000 lits en 2018) (*)</w:t>
            </w:r>
          </w:p>
        </w:tc>
      </w:tr>
      <w:tr w:rsidR="00797105" w:rsidRPr="006E07CB" w14:paraId="56388290" w14:textId="77777777" w:rsidTr="00DD31F5">
        <w:trPr>
          <w:trHeight w:val="659"/>
          <w:jc w:val="center"/>
        </w:trPr>
        <w:tc>
          <w:tcPr>
            <w:tcW w:w="23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2000A9C"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AMI2</w:t>
            </w:r>
          </w:p>
        </w:tc>
        <w:tc>
          <w:tcPr>
            <w:tcW w:w="24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6A3DCA9" w14:textId="5E70B171"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Centrale de référencement</w:t>
            </w:r>
          </w:p>
        </w:tc>
        <w:tc>
          <w:tcPr>
            <w:tcW w:w="36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7551F01" w14:textId="245420D5"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Médico</w:t>
            </w:r>
            <w:r w:rsidR="00DD31F5">
              <w:rPr>
                <w:rFonts w:eastAsia="Times New Roman" w:cs="Arial"/>
                <w:color w:val="000000"/>
                <w:sz w:val="20"/>
                <w:szCs w:val="20"/>
                <w:lang w:eastAsia="fr-FR"/>
              </w:rPr>
              <w:t>-</w:t>
            </w:r>
            <w:r w:rsidRPr="0067143F">
              <w:rPr>
                <w:rFonts w:eastAsia="Times New Roman" w:cs="Arial"/>
                <w:color w:val="000000"/>
                <w:sz w:val="20"/>
                <w:szCs w:val="20"/>
                <w:lang w:eastAsia="fr-FR"/>
              </w:rPr>
              <w:t>social (EPHAD majoritaire)</w:t>
            </w:r>
          </w:p>
        </w:tc>
        <w:tc>
          <w:tcPr>
            <w:tcW w:w="447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7933A83" w14:textId="4B7A4CE3"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env.17% (120 000 lits sur 685 000 lits en 2018)</w:t>
            </w:r>
          </w:p>
        </w:tc>
      </w:tr>
      <w:tr w:rsidR="00797105" w:rsidRPr="006E07CB" w14:paraId="446EA647" w14:textId="77777777" w:rsidTr="00DD31F5">
        <w:trPr>
          <w:trHeight w:val="765"/>
          <w:jc w:val="center"/>
        </w:trPr>
        <w:tc>
          <w:tcPr>
            <w:tcW w:w="23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0F5B962"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Prestarest</w:t>
            </w:r>
          </w:p>
        </w:tc>
        <w:tc>
          <w:tcPr>
            <w:tcW w:w="24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DD5D417"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Centrale de référencement (Imestia) E.S.S.</w:t>
            </w:r>
          </w:p>
        </w:tc>
        <w:tc>
          <w:tcPr>
            <w:tcW w:w="364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0F36815A"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Entreprises, Administrations, Loisirs,</w:t>
            </w:r>
          </w:p>
        </w:tc>
        <w:tc>
          <w:tcPr>
            <w:tcW w:w="4475"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390D0B13" w14:textId="1D4774EE" w:rsidR="00797105" w:rsidRPr="0067143F" w:rsidRDefault="00797105" w:rsidP="00DD31F5">
            <w:pPr>
              <w:spacing w:after="0" w:line="240" w:lineRule="auto"/>
              <w:jc w:val="center"/>
              <w:rPr>
                <w:rFonts w:eastAsia="Times New Roman" w:cs="Arial"/>
                <w:color w:val="000000"/>
                <w:sz w:val="20"/>
                <w:szCs w:val="20"/>
                <w:lang w:eastAsia="fr-FR"/>
              </w:rPr>
            </w:pPr>
          </w:p>
        </w:tc>
      </w:tr>
      <w:tr w:rsidR="00797105" w:rsidRPr="006E07CB" w14:paraId="4A640D38" w14:textId="77777777" w:rsidTr="00DD31F5">
        <w:trPr>
          <w:trHeight w:val="750"/>
          <w:jc w:val="center"/>
        </w:trPr>
        <w:tc>
          <w:tcPr>
            <w:tcW w:w="2320"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center"/>
            <w:hideMark/>
          </w:tcPr>
          <w:p w14:paraId="63EDCB7B" w14:textId="595D86A8"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CNOUS</w:t>
            </w:r>
          </w:p>
        </w:tc>
        <w:tc>
          <w:tcPr>
            <w:tcW w:w="246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34A417C8"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Centrale d'achat nationale universités (28 CROUS)</w:t>
            </w:r>
          </w:p>
        </w:tc>
        <w:tc>
          <w:tcPr>
            <w:tcW w:w="3640"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1631354A" w14:textId="7403BDB5"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Enseignement supérieur</w:t>
            </w:r>
          </w:p>
        </w:tc>
        <w:tc>
          <w:tcPr>
            <w:tcW w:w="4475" w:type="dxa"/>
            <w:tcBorders>
              <w:top w:val="single" w:sz="4" w:space="0" w:color="auto"/>
              <w:left w:val="nil"/>
              <w:bottom w:val="single" w:sz="4" w:space="0" w:color="auto"/>
              <w:right w:val="single" w:sz="4" w:space="0" w:color="auto"/>
            </w:tcBorders>
            <w:shd w:val="clear" w:color="auto" w:fill="808080" w:themeFill="background1" w:themeFillShade="80"/>
            <w:vAlign w:val="center"/>
            <w:hideMark/>
          </w:tcPr>
          <w:p w14:paraId="78D6255B" w14:textId="4E91D16C"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69 Mios repas / 750 structures</w:t>
            </w:r>
          </w:p>
        </w:tc>
      </w:tr>
      <w:tr w:rsidR="00797105" w:rsidRPr="006E07CB" w14:paraId="74823131" w14:textId="77777777" w:rsidTr="00DD31F5">
        <w:trPr>
          <w:trHeight w:val="660"/>
          <w:jc w:val="center"/>
        </w:trPr>
        <w:tc>
          <w:tcPr>
            <w:tcW w:w="23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B5BEC3D"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EDA</w:t>
            </w:r>
          </w:p>
        </w:tc>
        <w:tc>
          <w:tcPr>
            <w:tcW w:w="24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082EAA1"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Economat des armées (gestion directe)</w:t>
            </w:r>
          </w:p>
        </w:tc>
        <w:tc>
          <w:tcPr>
            <w:tcW w:w="364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96FEFBE"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Captifs / Armée</w:t>
            </w:r>
          </w:p>
        </w:tc>
        <w:tc>
          <w:tcPr>
            <w:tcW w:w="4475"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264D09EB"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37,7 mios de repas en 2018</w:t>
            </w:r>
          </w:p>
        </w:tc>
      </w:tr>
      <w:tr w:rsidR="00797105" w:rsidRPr="006E07CB" w14:paraId="0AB45138" w14:textId="77777777" w:rsidTr="00DD31F5">
        <w:trPr>
          <w:trHeight w:val="810"/>
          <w:jc w:val="center"/>
        </w:trPr>
        <w:tc>
          <w:tcPr>
            <w:tcW w:w="232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1A6272D"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SCA</w:t>
            </w:r>
          </w:p>
        </w:tc>
        <w:tc>
          <w:tcPr>
            <w:tcW w:w="246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E39C549"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Groupement d'achat</w:t>
            </w:r>
          </w:p>
        </w:tc>
        <w:tc>
          <w:tcPr>
            <w:tcW w:w="3640"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2952567D" w14:textId="14B8A5B4"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Multi activités (scolaire, EPHAD</w:t>
            </w:r>
            <w:r>
              <w:rPr>
                <w:rFonts w:eastAsia="Times New Roman" w:cs="Arial"/>
                <w:color w:val="000000"/>
                <w:sz w:val="20"/>
                <w:szCs w:val="20"/>
                <w:lang w:eastAsia="fr-FR"/>
              </w:rPr>
              <w:t>…</w:t>
            </w:r>
            <w:r w:rsidRPr="0067143F">
              <w:rPr>
                <w:rFonts w:eastAsia="Times New Roman" w:cs="Arial"/>
                <w:color w:val="000000"/>
                <w:sz w:val="20"/>
                <w:szCs w:val="20"/>
                <w:lang w:eastAsia="fr-FR"/>
              </w:rPr>
              <w:t>)</w:t>
            </w:r>
          </w:p>
        </w:tc>
        <w:tc>
          <w:tcPr>
            <w:tcW w:w="4475" w:type="dxa"/>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6CCD280" w14:textId="77777777" w:rsidR="00797105" w:rsidRPr="0067143F" w:rsidRDefault="00797105" w:rsidP="00DD31F5">
            <w:pPr>
              <w:spacing w:after="0" w:line="240" w:lineRule="auto"/>
              <w:jc w:val="center"/>
              <w:rPr>
                <w:rFonts w:eastAsia="Times New Roman" w:cs="Arial"/>
                <w:color w:val="000000"/>
                <w:sz w:val="20"/>
                <w:szCs w:val="20"/>
                <w:lang w:eastAsia="fr-FR"/>
              </w:rPr>
            </w:pPr>
            <w:r w:rsidRPr="0067143F">
              <w:rPr>
                <w:rFonts w:eastAsia="Times New Roman" w:cs="Arial"/>
                <w:color w:val="000000"/>
                <w:sz w:val="20"/>
                <w:szCs w:val="20"/>
                <w:lang w:eastAsia="fr-FR"/>
              </w:rPr>
              <w:t>10 millions de repas annuel pour 250 ets</w:t>
            </w:r>
          </w:p>
        </w:tc>
      </w:tr>
    </w:tbl>
    <w:p w14:paraId="77FB5B19" w14:textId="70E6C155" w:rsidR="002A791C" w:rsidRDefault="002A791C" w:rsidP="00CD7919">
      <w:pPr>
        <w:jc w:val="left"/>
        <w:rPr>
          <w:rFonts w:cs="Arial"/>
        </w:rPr>
      </w:pPr>
    </w:p>
    <w:p w14:paraId="5F93D030" w14:textId="2CACF523" w:rsidR="00DD31F5" w:rsidRDefault="00DD31F5" w:rsidP="00CD7919">
      <w:pPr>
        <w:jc w:val="left"/>
        <w:rPr>
          <w:rFonts w:cs="Arial"/>
        </w:rPr>
      </w:pPr>
    </w:p>
    <w:p w14:paraId="02451057" w14:textId="2E909E2B" w:rsidR="00DD31F5" w:rsidRDefault="00DD31F5" w:rsidP="00CD7919">
      <w:pPr>
        <w:jc w:val="left"/>
        <w:rPr>
          <w:rFonts w:cs="Arial"/>
        </w:rPr>
      </w:pPr>
    </w:p>
    <w:p w14:paraId="7D1092D0" w14:textId="7FDD396F" w:rsidR="00DD31F5" w:rsidRDefault="00DD31F5" w:rsidP="00CD7919">
      <w:pPr>
        <w:jc w:val="left"/>
        <w:rPr>
          <w:rFonts w:cs="Arial"/>
        </w:rPr>
      </w:pPr>
    </w:p>
    <w:p w14:paraId="64F14B89" w14:textId="17EBBC7C" w:rsidR="00DD31F5" w:rsidRDefault="00DD31F5" w:rsidP="00CD7919">
      <w:pPr>
        <w:jc w:val="left"/>
        <w:rPr>
          <w:rFonts w:cs="Arial"/>
        </w:rPr>
      </w:pPr>
    </w:p>
    <w:p w14:paraId="036AAF26" w14:textId="77777777" w:rsidR="00524C32" w:rsidRDefault="00524C32" w:rsidP="00CD7919">
      <w:pPr>
        <w:jc w:val="left"/>
        <w:rPr>
          <w:rFonts w:cs="Arial"/>
        </w:rPr>
        <w:sectPr w:rsidR="00524C32" w:rsidSect="00B73F4D">
          <w:pgSz w:w="16838" w:h="11906" w:orient="landscape"/>
          <w:pgMar w:top="1417" w:right="1417" w:bottom="1133" w:left="1417" w:header="708" w:footer="708" w:gutter="0"/>
          <w:pgNumType w:start="0"/>
          <w:cols w:space="708"/>
          <w:docGrid w:linePitch="360"/>
        </w:sectPr>
      </w:pPr>
    </w:p>
    <w:p w14:paraId="68D57165" w14:textId="1FC1EB74" w:rsidR="002F2E11" w:rsidRPr="009E05F4" w:rsidRDefault="002A791C" w:rsidP="00CD7919">
      <w:pPr>
        <w:jc w:val="left"/>
        <w:rPr>
          <w:rFonts w:cs="Arial"/>
          <w:b/>
        </w:rPr>
      </w:pPr>
      <w:r w:rsidRPr="00983B01">
        <w:rPr>
          <w:rFonts w:cs="Arial"/>
          <w:b/>
        </w:rPr>
        <w:lastRenderedPageBreak/>
        <w:t>Annexe 1</w:t>
      </w:r>
      <w:r w:rsidR="00DD31F5" w:rsidRPr="00983B01">
        <w:rPr>
          <w:rFonts w:cs="Arial"/>
          <w:b/>
        </w:rPr>
        <w:t>1</w:t>
      </w:r>
      <w:r w:rsidRPr="00983B01">
        <w:rPr>
          <w:rFonts w:cs="Arial"/>
          <w:b/>
        </w:rPr>
        <w:t> :</w:t>
      </w:r>
      <w:r w:rsidR="0076398F" w:rsidRPr="00983B01">
        <w:rPr>
          <w:rFonts w:cs="Arial"/>
          <w:b/>
        </w:rPr>
        <w:t xml:space="preserve"> </w:t>
      </w:r>
      <w:r w:rsidR="009E05F4" w:rsidRPr="009E05F4">
        <w:rPr>
          <w:rFonts w:cs="Arial"/>
          <w:b/>
          <w:bCs/>
          <w:color w:val="191717"/>
          <w:shd w:val="clear" w:color="auto" w:fill="FFFFFF"/>
        </w:rPr>
        <w:t>Les mesures de la loi EG</w:t>
      </w:r>
      <w:r w:rsidR="003E7ED4">
        <w:rPr>
          <w:rFonts w:cs="Arial"/>
          <w:b/>
          <w:bCs/>
          <w:color w:val="191717"/>
          <w:shd w:val="clear" w:color="auto" w:fill="FFFFFF"/>
        </w:rPr>
        <w:t>ALIM</w:t>
      </w:r>
      <w:r w:rsidR="009E05F4" w:rsidRPr="009E05F4">
        <w:rPr>
          <w:rFonts w:cs="Arial"/>
          <w:b/>
          <w:bCs/>
          <w:color w:val="191717"/>
          <w:shd w:val="clear" w:color="auto" w:fill="FFFFFF"/>
        </w:rPr>
        <w:t xml:space="preserve"> concernant la restauration collective</w:t>
      </w:r>
      <w:r w:rsidR="009E05F4">
        <w:rPr>
          <w:rFonts w:cs="Arial"/>
          <w:b/>
          <w:bCs/>
          <w:color w:val="191717"/>
          <w:shd w:val="clear" w:color="auto" w:fill="FFFFFF"/>
        </w:rPr>
        <w:t xml:space="preserve"> (agriculture.gouv.fr)</w:t>
      </w:r>
    </w:p>
    <w:p w14:paraId="6ACD004A" w14:textId="5AB276AE"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Aux termes de la</w:t>
      </w:r>
      <w:r w:rsidR="001F18CA">
        <w:rPr>
          <w:rFonts w:ascii="Arial" w:hAnsi="Arial" w:cs="Arial"/>
          <w:sz w:val="21"/>
          <w:szCs w:val="21"/>
        </w:rPr>
        <w:t xml:space="preserve"> </w:t>
      </w:r>
      <w:r w:rsidRPr="0007581F">
        <w:rPr>
          <w:rFonts w:ascii="Arial" w:hAnsi="Arial" w:cs="Arial"/>
          <w:sz w:val="21"/>
          <w:szCs w:val="21"/>
        </w:rPr>
        <w:t>loi EGALIM du 30 octobre 2018, les repas servis en restauration collective compteront, </w:t>
      </w:r>
      <w:r w:rsidRPr="0002537E">
        <w:t>à partir du 1er janvier 2022</w:t>
      </w:r>
      <w:r w:rsidRPr="00ED22A4">
        <w:rPr>
          <w:rFonts w:ascii="Arial" w:hAnsi="Arial" w:cs="Arial"/>
          <w:sz w:val="21"/>
          <w:szCs w:val="21"/>
        </w:rPr>
        <w:t>,</w:t>
      </w:r>
      <w:r w:rsidRPr="0007581F">
        <w:rPr>
          <w:rFonts w:ascii="Arial" w:hAnsi="Arial" w:cs="Arial"/>
          <w:sz w:val="21"/>
          <w:szCs w:val="21"/>
        </w:rPr>
        <w:t xml:space="preserve"> 50 % de produits alimentaires durables de qualité dont au moins 20 % de produits issus de l'agriculture biologique.</w:t>
      </w:r>
    </w:p>
    <w:p w14:paraId="5590FB23" w14:textId="77777777"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Deux décrets parus au mois d’avril apportent des précisions sur le sujet et initient une expérimentation relative à l’information des usagers.</w:t>
      </w:r>
    </w:p>
    <w:p w14:paraId="35FF490E" w14:textId="64FC2262"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Pour atteindre les objectifs prévus par la loi EGALIM, le décret du 23 avril 2019 fixe les catégories de produits utilisés dans la restauration collective qui devront être issus de l’agriculture biologique ou bénéficier de mentions ou de signes comme le label rouge, l’appellation d’origine, l’indication géographique ou la spécialité traditionnelle garantie. Le décret fixe également les modalités de suivi et de mise en œuvre de ces objectifs.</w:t>
      </w:r>
    </w:p>
    <w:p w14:paraId="1DA261AC" w14:textId="62D8613B"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Par ailleurs, dans l’attente de cette échéance, le décret du 15 avril 2019 précise que les collectivités locales peuvent participer à une expérimentation menée dans ce domaine jusqu'au 30 octobre 2021. Elle consiste à rendre obligatoire l'affichage de la nature des produits entrant dans la composition des menus. La collectivité qui souhaite participer à cette opération en informe le préfet en précisant la liste des services de restauration collective concernés, la durée de l'expérimentation ainsi que le mode d'affichage et le contenu des menus présentés.</w:t>
      </w:r>
    </w:p>
    <w:p w14:paraId="7989D72D" w14:textId="5BBB2739"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Il peut être également signalé sur les affiches, le fournisseur des produits comme le lieu de production, le mode de transformation du produit ou les apports nutritionnels. La notion de "fait maison" sera précisée si le plat est élaboré sur place à partir de produits bruts (article L. 122-20 du code de la consommation).</w:t>
      </w:r>
    </w:p>
    <w:p w14:paraId="3810D56E" w14:textId="77777777"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Enfin ces informations peuvent être diffusées sur le site Internet de la commune ou sur tout autre support numérique. </w:t>
      </w:r>
    </w:p>
    <w:p w14:paraId="78D8AF01" w14:textId="77777777" w:rsidR="00606EF5" w:rsidRPr="0007581F" w:rsidRDefault="00606EF5" w:rsidP="0007581F">
      <w:pPr>
        <w:pStyle w:val="NormalWeb"/>
        <w:spacing w:before="0" w:beforeAutospacing="0" w:after="150" w:afterAutospacing="0"/>
        <w:rPr>
          <w:rFonts w:ascii="Arial" w:hAnsi="Arial" w:cs="Arial"/>
          <w:sz w:val="21"/>
          <w:szCs w:val="21"/>
        </w:rPr>
      </w:pPr>
      <w:r w:rsidRPr="0007581F">
        <w:rPr>
          <w:rFonts w:ascii="Arial" w:hAnsi="Arial" w:cs="Arial"/>
          <w:sz w:val="21"/>
          <w:szCs w:val="21"/>
        </w:rPr>
        <w:t>Dans les 6 mois précédant la fin de l'expérimentation, la collectivité transmet au préfet une évaluation de la mise en oeuvre de cet affichage de la composition des menus.</w:t>
      </w:r>
    </w:p>
    <w:p w14:paraId="53F7BB8D" w14:textId="77777777" w:rsidR="002F2E11" w:rsidRDefault="002F2E11" w:rsidP="00CD7919">
      <w:pPr>
        <w:jc w:val="left"/>
        <w:rPr>
          <w:rFonts w:cs="Arial"/>
        </w:rPr>
      </w:pPr>
    </w:p>
    <w:p w14:paraId="5D564A26" w14:textId="77777777" w:rsidR="002F2E11" w:rsidRDefault="002F2E11" w:rsidP="00CD7919">
      <w:pPr>
        <w:jc w:val="left"/>
        <w:rPr>
          <w:rFonts w:cs="Arial"/>
        </w:rPr>
      </w:pPr>
    </w:p>
    <w:p w14:paraId="68C2F81F" w14:textId="77777777" w:rsidR="002F2E11" w:rsidRDefault="002F2E11" w:rsidP="00CD7919">
      <w:pPr>
        <w:jc w:val="left"/>
        <w:rPr>
          <w:rFonts w:cs="Arial"/>
        </w:rPr>
      </w:pPr>
    </w:p>
    <w:p w14:paraId="38B2633C" w14:textId="2E95B4F0" w:rsidR="00654407" w:rsidRDefault="00654407" w:rsidP="00CD7919">
      <w:pPr>
        <w:jc w:val="left"/>
        <w:rPr>
          <w:rFonts w:cs="Arial"/>
        </w:rPr>
      </w:pPr>
    </w:p>
    <w:p w14:paraId="404B213F" w14:textId="1D47415C" w:rsidR="00654407" w:rsidRDefault="00654407" w:rsidP="00CD7919">
      <w:pPr>
        <w:jc w:val="left"/>
        <w:rPr>
          <w:rFonts w:cs="Arial"/>
        </w:rPr>
      </w:pPr>
    </w:p>
    <w:p w14:paraId="51A3273C" w14:textId="7B250734" w:rsidR="00654407" w:rsidRDefault="00654407" w:rsidP="00CD7919">
      <w:pPr>
        <w:jc w:val="left"/>
        <w:rPr>
          <w:rFonts w:cs="Arial"/>
        </w:rPr>
      </w:pPr>
    </w:p>
    <w:p w14:paraId="569250FF" w14:textId="463A3142" w:rsidR="00654407" w:rsidRDefault="00654407" w:rsidP="00CD7919">
      <w:pPr>
        <w:jc w:val="left"/>
        <w:rPr>
          <w:rFonts w:cs="Arial"/>
        </w:rPr>
      </w:pPr>
    </w:p>
    <w:p w14:paraId="41809D06" w14:textId="7E14C62B" w:rsidR="00654407" w:rsidRDefault="00654407" w:rsidP="00CD7919">
      <w:pPr>
        <w:jc w:val="left"/>
        <w:rPr>
          <w:rFonts w:cs="Arial"/>
        </w:rPr>
      </w:pPr>
    </w:p>
    <w:p w14:paraId="2C9D0743" w14:textId="2ECE05EB" w:rsidR="00524C32" w:rsidRDefault="00524C32" w:rsidP="0096466D">
      <w:pPr>
        <w:rPr>
          <w:rFonts w:cs="Arial"/>
        </w:rPr>
      </w:pPr>
    </w:p>
    <w:p w14:paraId="30C5DC4B" w14:textId="31A0ED82" w:rsidR="00524C32" w:rsidRDefault="00524C32" w:rsidP="0096466D">
      <w:pPr>
        <w:rPr>
          <w:rFonts w:cs="Arial"/>
        </w:rPr>
      </w:pPr>
    </w:p>
    <w:p w14:paraId="05C459EA" w14:textId="58BA16A3" w:rsidR="00524C32" w:rsidRDefault="00524C32" w:rsidP="0096466D">
      <w:pPr>
        <w:rPr>
          <w:rFonts w:cs="Arial"/>
        </w:rPr>
      </w:pPr>
    </w:p>
    <w:p w14:paraId="760340A1" w14:textId="75D36363" w:rsidR="00524C32" w:rsidRDefault="00524C32" w:rsidP="0096466D">
      <w:pPr>
        <w:rPr>
          <w:rFonts w:cs="Arial"/>
        </w:rPr>
      </w:pPr>
    </w:p>
    <w:p w14:paraId="4998B364" w14:textId="0226E8DC" w:rsidR="00524C32" w:rsidRDefault="00524C32" w:rsidP="0096466D">
      <w:pPr>
        <w:rPr>
          <w:rFonts w:cs="Arial"/>
        </w:rPr>
      </w:pPr>
    </w:p>
    <w:p w14:paraId="29BFF81F" w14:textId="4CC20F29" w:rsidR="00524C32" w:rsidRDefault="00524C32" w:rsidP="0096466D">
      <w:pPr>
        <w:rPr>
          <w:rFonts w:cs="Arial"/>
        </w:rPr>
      </w:pPr>
    </w:p>
    <w:p w14:paraId="4BCC67B1" w14:textId="77777777" w:rsidR="00336AD0" w:rsidRDefault="00336AD0" w:rsidP="0096466D">
      <w:pPr>
        <w:rPr>
          <w:rFonts w:cs="Arial"/>
        </w:rPr>
      </w:pPr>
    </w:p>
    <w:p w14:paraId="468FA68E" w14:textId="6FF88897" w:rsidR="002426AC" w:rsidRPr="0002537E" w:rsidRDefault="008150C6" w:rsidP="0096466D">
      <w:pPr>
        <w:rPr>
          <w:rFonts w:cs="Arial"/>
          <w:b/>
        </w:rPr>
      </w:pPr>
      <w:r w:rsidRPr="0002537E">
        <w:rPr>
          <w:rFonts w:cs="Arial"/>
          <w:b/>
        </w:rPr>
        <w:lastRenderedPageBreak/>
        <w:t>Bibliographie</w:t>
      </w:r>
      <w:r w:rsidRPr="0002537E">
        <w:rPr>
          <w:rFonts w:cs="Arial"/>
          <w:b/>
        </w:rPr>
        <w:tab/>
      </w:r>
    </w:p>
    <w:p w14:paraId="28592B72" w14:textId="0F168ED5"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Adepale, chiffres clés statistiques 2020, base enquête statistique 2018, </w:t>
      </w:r>
    </w:p>
    <w:p w14:paraId="6F7235D3" w14:textId="4C0639D0"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Ademe, Etat des lieux des masses de gaspillages alimentaires et de sa gestion aux différentes étapes de la chaîne alimentaire, 2016.</w:t>
      </w:r>
    </w:p>
    <w:p w14:paraId="66660246" w14:textId="77777777"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Anses, Étude individuelle nationale des consommations alimentaires 3 (INCA 3). Avis de l’Anses. Rapport d’expertise collective. 2017 </w:t>
      </w:r>
      <w:hyperlink r:id="rId83" w:history="1">
        <w:r w:rsidRPr="00E45B0C">
          <w:rPr>
            <w:color w:val="222222"/>
            <w:shd w:val="clear" w:color="auto" w:fill="FFFFFF"/>
          </w:rPr>
          <w:t>www.anses.fr</w:t>
        </w:r>
      </w:hyperlink>
    </w:p>
    <w:p w14:paraId="4F59888B" w14:textId="77777777"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Bareille N., Gésan-Guiziou G., Foucras G., Coudurier B, Randriamampita B. et al.. Les pertes alimentaires en filière laitière. Innovations Agronomiques, INRAE, 2015, 48, pp.143 160. </w:t>
      </w:r>
      <w:hyperlink r:id="rId84"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10.15454 / 1.4622711884167021E12</w:t>
        </w:r>
        <w:r w:rsidRPr="00E45B0C">
          <w:rPr>
            <w:rFonts w:ascii="Cambria Math" w:hAnsi="Cambria Math" w:cs="Cambria Math"/>
            <w:color w:val="222222"/>
            <w:sz w:val="20"/>
            <w:szCs w:val="20"/>
            <w:shd w:val="clear" w:color="auto" w:fill="FFFFFF"/>
          </w:rPr>
          <w:t>⟩</w:t>
        </w:r>
      </w:hyperlink>
      <w:r w:rsidRPr="00E45B0C">
        <w:rPr>
          <w:rFonts w:cs="Arial"/>
          <w:color w:val="222222"/>
          <w:sz w:val="20"/>
          <w:szCs w:val="20"/>
          <w:shd w:val="clear" w:color="auto" w:fill="FFFFFF"/>
        </w:rPr>
        <w:t>. </w:t>
      </w:r>
      <w:hyperlink r:id="rId85"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hal-02635036</w:t>
        </w:r>
        <w:r w:rsidRPr="00E45B0C">
          <w:rPr>
            <w:rFonts w:ascii="Cambria Math" w:hAnsi="Cambria Math" w:cs="Cambria Math"/>
            <w:color w:val="222222"/>
            <w:sz w:val="20"/>
            <w:szCs w:val="20"/>
            <w:shd w:val="clear" w:color="auto" w:fill="FFFFFF"/>
          </w:rPr>
          <w:t>⟩</w:t>
        </w:r>
      </w:hyperlink>
    </w:p>
    <w:p w14:paraId="798991D2" w14:textId="77777777" w:rsidR="00397983" w:rsidRDefault="00397983" w:rsidP="0077557D">
      <w:pPr>
        <w:rPr>
          <w:rFonts w:cs="Arial"/>
          <w:color w:val="222222"/>
          <w:sz w:val="20"/>
          <w:szCs w:val="20"/>
          <w:shd w:val="clear" w:color="auto" w:fill="FFFFFF"/>
        </w:rPr>
      </w:pPr>
      <w:r w:rsidRPr="00397983">
        <w:rPr>
          <w:rFonts w:cs="Arial"/>
          <w:color w:val="222222"/>
          <w:sz w:val="20"/>
          <w:szCs w:val="20"/>
          <w:shd w:val="clear" w:color="auto" w:fill="FFFFFF"/>
        </w:rPr>
        <w:t>Barles, S. (2009). Urban Metabolism of Paris and Its Region. Journal of Industrial Ecology, 13(6), 898-913.</w:t>
      </w:r>
    </w:p>
    <w:p w14:paraId="0C1A29AA" w14:textId="4CB291A0"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Blezat, 2013, Étude sur la valorisation du 5e quartier des filières bovine, ovine et porcine en France, FranceAgrimer, </w:t>
      </w:r>
    </w:p>
    <w:p w14:paraId="71BE4639" w14:textId="3E2D3B48" w:rsidR="002426AC" w:rsidRPr="00397983" w:rsidRDefault="002426AC" w:rsidP="0096466D">
      <w:pPr>
        <w:rPr>
          <w:rFonts w:cs="Arial"/>
          <w:color w:val="222222"/>
          <w:sz w:val="20"/>
          <w:szCs w:val="20"/>
          <w:shd w:val="clear" w:color="auto" w:fill="FFFFFF"/>
          <w:lang w:val="en-US"/>
        </w:rPr>
      </w:pPr>
      <w:r w:rsidRPr="00397983">
        <w:rPr>
          <w:rFonts w:cs="Arial"/>
          <w:color w:val="222222"/>
          <w:sz w:val="20"/>
          <w:szCs w:val="20"/>
          <w:shd w:val="clear" w:color="auto" w:fill="FFFFFF"/>
          <w:lang w:val="en-US"/>
        </w:rPr>
        <w:t>Bittmann M., 2007, How to Cook Everything Vegetarian</w:t>
      </w:r>
      <w:r w:rsidR="00397983" w:rsidRPr="00397983">
        <w:rPr>
          <w:rFonts w:cs="Arial"/>
          <w:color w:val="222222"/>
          <w:sz w:val="20"/>
          <w:szCs w:val="20"/>
          <w:shd w:val="clear" w:color="auto" w:fill="FFFFFF"/>
          <w:lang w:val="en-US"/>
        </w:rPr>
        <w:t xml:space="preserve"> </w:t>
      </w:r>
      <w:r w:rsidRPr="00397983">
        <w:rPr>
          <w:rFonts w:cs="Arial"/>
          <w:color w:val="222222"/>
          <w:sz w:val="20"/>
          <w:szCs w:val="20"/>
          <w:shd w:val="clear" w:color="auto" w:fill="FFFFFF"/>
          <w:lang w:val="en-US"/>
        </w:rPr>
        <w:t>: Simple Meatless Recipes for Great Food Hardcover, n° 14, pp. 44-47.</w:t>
      </w:r>
    </w:p>
    <w:p w14:paraId="065AF55F" w14:textId="4A784722" w:rsidR="006F41D3" w:rsidRPr="00E45B0C" w:rsidRDefault="006F41D3" w:rsidP="006F41D3">
      <w:pPr>
        <w:rPr>
          <w:rFonts w:cs="Arial"/>
          <w:color w:val="222222"/>
          <w:sz w:val="20"/>
          <w:szCs w:val="20"/>
          <w:shd w:val="clear" w:color="auto" w:fill="FFFFFF"/>
        </w:rPr>
      </w:pPr>
      <w:r w:rsidRPr="00E45B0C">
        <w:rPr>
          <w:rFonts w:cs="Arial"/>
          <w:color w:val="222222"/>
          <w:sz w:val="20"/>
          <w:szCs w:val="20"/>
          <w:shd w:val="clear" w:color="auto" w:fill="FFFFFF"/>
        </w:rPr>
        <w:t xml:space="preserve">Boizot-Szantai C., Hamza O., Soler L.G., 2017. Organic consumption and diet choice: An analysis based on food purchase data in France. Appetite, 117: 17-28. </w:t>
      </w:r>
    </w:p>
    <w:p w14:paraId="53D2BDBB" w14:textId="6DBD4456" w:rsidR="0077557D" w:rsidRPr="00E45B0C" w:rsidRDefault="0077557D" w:rsidP="006F41D3">
      <w:pPr>
        <w:rPr>
          <w:rFonts w:cs="Arial"/>
          <w:color w:val="222222"/>
          <w:sz w:val="20"/>
          <w:szCs w:val="20"/>
          <w:shd w:val="clear" w:color="auto" w:fill="FFFFFF"/>
        </w:rPr>
      </w:pPr>
      <w:r w:rsidRPr="009044D1">
        <w:rPr>
          <w:rFonts w:cs="Arial"/>
          <w:color w:val="222222"/>
          <w:sz w:val="20"/>
          <w:szCs w:val="20"/>
          <w:shd w:val="clear" w:color="auto" w:fill="FFFFFF"/>
          <w:lang w:val="en-US"/>
        </w:rPr>
        <w:t xml:space="preserve">Buder F., Feldmann C., Hamm U., 2014. Why regular buyers of organic food still buy many conventional products: Product-specific purchase barriers for organic food consumers. </w:t>
      </w:r>
      <w:r w:rsidRPr="00E45B0C">
        <w:rPr>
          <w:rFonts w:cs="Arial"/>
          <w:color w:val="222222"/>
          <w:sz w:val="20"/>
          <w:szCs w:val="20"/>
          <w:shd w:val="clear" w:color="auto" w:fill="FFFFFF"/>
        </w:rPr>
        <w:t>British Food Journal, 116(3): 390-404.</w:t>
      </w:r>
    </w:p>
    <w:p w14:paraId="336C6056" w14:textId="647A77AB" w:rsidR="0077557D" w:rsidRPr="00E45B0C" w:rsidRDefault="00000000" w:rsidP="00E45B0C">
      <w:pPr>
        <w:rPr>
          <w:rFonts w:cs="Arial"/>
          <w:color w:val="222222"/>
          <w:sz w:val="20"/>
          <w:szCs w:val="20"/>
          <w:shd w:val="clear" w:color="auto" w:fill="FFFFFF"/>
        </w:rPr>
      </w:pPr>
      <w:hyperlink r:id="rId86" w:history="1">
        <w:r w:rsidR="0077557D" w:rsidRPr="00E45B0C">
          <w:rPr>
            <w:rFonts w:cs="Arial"/>
            <w:color w:val="222222"/>
            <w:sz w:val="20"/>
            <w:szCs w:val="20"/>
            <w:shd w:val="clear" w:color="auto" w:fill="FFFFFF"/>
          </w:rPr>
          <w:t>Cardon</w:t>
        </w:r>
      </w:hyperlink>
      <w:r w:rsidR="0077557D" w:rsidRPr="00E45B0C">
        <w:rPr>
          <w:rFonts w:cs="Arial"/>
          <w:color w:val="222222"/>
          <w:sz w:val="20"/>
          <w:szCs w:val="20"/>
          <w:shd w:val="clear" w:color="auto" w:fill="FFFFFF"/>
        </w:rPr>
        <w:t xml:space="preserve"> P., </w:t>
      </w:r>
      <w:hyperlink r:id="rId87" w:history="1">
        <w:r w:rsidR="0077557D" w:rsidRPr="00E45B0C">
          <w:rPr>
            <w:rFonts w:cs="Arial"/>
            <w:color w:val="222222"/>
            <w:sz w:val="20"/>
            <w:szCs w:val="20"/>
            <w:shd w:val="clear" w:color="auto" w:fill="FFFFFF"/>
          </w:rPr>
          <w:t>Depecker</w:t>
        </w:r>
      </w:hyperlink>
      <w:r w:rsidR="0077557D" w:rsidRPr="00E45B0C">
        <w:rPr>
          <w:rFonts w:cs="Arial"/>
          <w:color w:val="222222"/>
          <w:sz w:val="20"/>
          <w:szCs w:val="20"/>
          <w:shd w:val="clear" w:color="auto" w:fill="FFFFFF"/>
        </w:rPr>
        <w:t xml:space="preserve"> T., </w:t>
      </w:r>
      <w:hyperlink r:id="rId88" w:history="1">
        <w:r w:rsidR="0077557D" w:rsidRPr="00E45B0C">
          <w:rPr>
            <w:rFonts w:cs="Arial"/>
            <w:color w:val="222222"/>
            <w:sz w:val="20"/>
            <w:szCs w:val="20"/>
            <w:shd w:val="clear" w:color="auto" w:fill="FFFFFF"/>
          </w:rPr>
          <w:t>Plessz</w:t>
        </w:r>
      </w:hyperlink>
      <w:r w:rsidR="0077557D" w:rsidRPr="00E45B0C">
        <w:rPr>
          <w:rFonts w:cs="Arial"/>
          <w:color w:val="222222"/>
          <w:sz w:val="20"/>
          <w:szCs w:val="20"/>
          <w:shd w:val="clear" w:color="auto" w:fill="FFFFFF"/>
        </w:rPr>
        <w:t xml:space="preserve"> M., </w:t>
      </w:r>
      <w:hyperlink r:id="rId89" w:history="1">
        <w:r w:rsidR="0077557D" w:rsidRPr="00E45B0C">
          <w:rPr>
            <w:rFonts w:cs="Arial"/>
            <w:color w:val="222222"/>
            <w:sz w:val="20"/>
            <w:szCs w:val="20"/>
            <w:shd w:val="clear" w:color="auto" w:fill="FFFFFF"/>
          </w:rPr>
          <w:t>Sociologie de l'alimentation</w:t>
        </w:r>
      </w:hyperlink>
      <w:r w:rsidR="0077557D" w:rsidRPr="00E45B0C">
        <w:rPr>
          <w:rFonts w:cs="Arial"/>
          <w:color w:val="222222"/>
          <w:sz w:val="20"/>
          <w:szCs w:val="20"/>
          <w:shd w:val="clear" w:color="auto" w:fill="FFFFFF"/>
        </w:rPr>
        <w:t> </w:t>
      </w:r>
      <w:hyperlink r:id="rId90" w:history="1">
        <w:r w:rsidR="0077557D" w:rsidRPr="00E45B0C">
          <w:rPr>
            <w:rFonts w:cs="Arial"/>
            <w:color w:val="222222"/>
            <w:sz w:val="20"/>
            <w:szCs w:val="20"/>
            <w:shd w:val="clear" w:color="auto" w:fill="FFFFFF"/>
          </w:rPr>
          <w:t>(2019)</w:t>
        </w:r>
      </w:hyperlink>
      <w:r w:rsidR="0077557D" w:rsidRPr="00E45B0C">
        <w:rPr>
          <w:rFonts w:cs="Arial"/>
          <w:color w:val="222222"/>
          <w:sz w:val="20"/>
          <w:szCs w:val="20"/>
          <w:shd w:val="clear" w:color="auto" w:fill="FFFFFF"/>
        </w:rPr>
        <w:t>, Chapitre 6. Alimentation et vie quotidienne, pages 157 à 181.</w:t>
      </w:r>
    </w:p>
    <w:p w14:paraId="05C59E7F" w14:textId="1D65C778" w:rsidR="00EC6C5C" w:rsidRPr="001A5091"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Carlhian B., Les circuits de commercialisation des viandes en consommation hors domicile. Panorama des fournisseurs de viandes fraiches, surgelées, charcuteries et salaisons de la consommation hors domicile,  2020.</w:t>
      </w:r>
    </w:p>
    <w:p w14:paraId="50BC9BCC" w14:textId="6D7A3EBC"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Credoc, Deloitte Développement Durable, FranceAgrimer, Ministère de l'agriculture et de l'alimentation (MAA), comportements alimentaires déclarés versus réels, Mesurer et comprendre les écarts pour améliorer l'action publique, Mai 2020, Paris</w:t>
      </w:r>
    </w:p>
    <w:p w14:paraId="76086AFF" w14:textId="22DD8B17"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Dourmad, J. Y., Nassy G., Salaun Y., Riquet J., Lebret B. Estimation des pertes alimentaires dans la filière porcine entre la sortie de l’élevage et la commercialisation des produits. Innovations Agronomiques, INRAE, 2015, 48, pp.115-125. </w:t>
      </w:r>
      <w:hyperlink r:id="rId91"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10.15454/1.4622710500090479E12</w:t>
        </w:r>
        <w:r w:rsidRPr="00E45B0C">
          <w:rPr>
            <w:rFonts w:ascii="Cambria Math" w:hAnsi="Cambria Math" w:cs="Cambria Math"/>
            <w:color w:val="222222"/>
            <w:sz w:val="20"/>
            <w:szCs w:val="20"/>
            <w:shd w:val="clear" w:color="auto" w:fill="FFFFFF"/>
          </w:rPr>
          <w:t>⟩</w:t>
        </w:r>
      </w:hyperlink>
      <w:r w:rsidRPr="00E45B0C">
        <w:rPr>
          <w:rFonts w:cs="Arial"/>
          <w:color w:val="222222"/>
          <w:sz w:val="20"/>
          <w:szCs w:val="20"/>
          <w:shd w:val="clear" w:color="auto" w:fill="FFFFFF"/>
        </w:rPr>
        <w:t>. </w:t>
      </w:r>
      <w:hyperlink r:id="rId92"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hal-02630037</w:t>
        </w:r>
        <w:r w:rsidRPr="00E45B0C">
          <w:rPr>
            <w:rFonts w:ascii="Cambria Math" w:hAnsi="Cambria Math" w:cs="Cambria Math"/>
            <w:color w:val="222222"/>
            <w:sz w:val="20"/>
            <w:szCs w:val="20"/>
            <w:shd w:val="clear" w:color="auto" w:fill="FFFFFF"/>
          </w:rPr>
          <w:t>⟩</w:t>
        </w:r>
      </w:hyperlink>
    </w:p>
    <w:p w14:paraId="4747C3AA" w14:textId="77777777" w:rsidR="002B19D5" w:rsidRPr="00E45B0C" w:rsidRDefault="002B19D5" w:rsidP="002B19D5">
      <w:pPr>
        <w:rPr>
          <w:rFonts w:cs="Arial"/>
          <w:color w:val="222222"/>
          <w:sz w:val="20"/>
          <w:szCs w:val="20"/>
          <w:shd w:val="clear" w:color="auto" w:fill="FFFFFF"/>
        </w:rPr>
      </w:pPr>
      <w:r w:rsidRPr="00E45B0C">
        <w:rPr>
          <w:rFonts w:cs="Arial"/>
          <w:color w:val="222222"/>
          <w:sz w:val="20"/>
          <w:szCs w:val="20"/>
          <w:shd w:val="clear" w:color="auto" w:fill="FFFFFF"/>
        </w:rPr>
        <w:t>Demoly, E., &amp; Schweitzer, C. (2020). Les ménages les plus modestes dépensent davantage pour leur logement et les plus aisés pour les transports.</w:t>
      </w:r>
    </w:p>
    <w:p w14:paraId="43494C63" w14:textId="503E5104" w:rsidR="0077557D" w:rsidRPr="00E45B0C" w:rsidRDefault="0077557D" w:rsidP="0096466D">
      <w:pPr>
        <w:rPr>
          <w:rFonts w:cs="Arial"/>
          <w:color w:val="222222"/>
          <w:sz w:val="20"/>
          <w:szCs w:val="20"/>
          <w:shd w:val="clear" w:color="auto" w:fill="FFFFFF"/>
        </w:rPr>
      </w:pPr>
      <w:r w:rsidRPr="00E45B0C">
        <w:rPr>
          <w:rFonts w:cs="Arial"/>
          <w:color w:val="222222"/>
          <w:sz w:val="20"/>
          <w:szCs w:val="20"/>
          <w:shd w:val="clear" w:color="auto" w:fill="FFFFFF"/>
        </w:rPr>
        <w:t>DGE, La croissance de la consommation touristique en France se confirme en 2018, n° 87 « Consommation touristique record en France en 2017 ».</w:t>
      </w:r>
    </w:p>
    <w:p w14:paraId="2869D0E7" w14:textId="2421E48A" w:rsidR="002B19D5" w:rsidRPr="00E45B0C" w:rsidRDefault="002B19D5" w:rsidP="0096466D">
      <w:pPr>
        <w:rPr>
          <w:rFonts w:cs="Arial"/>
          <w:color w:val="222222"/>
          <w:sz w:val="20"/>
          <w:szCs w:val="20"/>
          <w:shd w:val="clear" w:color="auto" w:fill="FFFFFF"/>
        </w:rPr>
      </w:pPr>
      <w:r w:rsidRPr="00E45B0C">
        <w:rPr>
          <w:rFonts w:cs="Arial"/>
          <w:color w:val="222222"/>
          <w:sz w:val="20"/>
          <w:szCs w:val="20"/>
          <w:shd w:val="clear" w:color="auto" w:fill="FFFFFF"/>
        </w:rPr>
        <w:t>Dubuisson-Quellier, S., Gojard, S., &amp; Plessz, M. (2019). Dispositifs et dispositions de la consommation. Retour sur une enquête contemporaine articulant méthodes qualitatives et quantitatives. Les Etudes Sociales, (1), 133-152.</w:t>
      </w:r>
    </w:p>
    <w:p w14:paraId="79CD7E68" w14:textId="76A89FA6" w:rsidR="001B3CD7" w:rsidRPr="00E45B0C" w:rsidRDefault="00005B6E" w:rsidP="0096466D">
      <w:pPr>
        <w:rPr>
          <w:rFonts w:cs="Arial"/>
          <w:color w:val="222222"/>
          <w:sz w:val="20"/>
          <w:szCs w:val="20"/>
          <w:shd w:val="clear" w:color="auto" w:fill="FFFFFF"/>
        </w:rPr>
      </w:pPr>
      <w:r w:rsidRPr="00E45B0C">
        <w:rPr>
          <w:rFonts w:cs="Arial"/>
          <w:color w:val="222222"/>
          <w:sz w:val="20"/>
          <w:szCs w:val="20"/>
          <w:shd w:val="clear" w:color="auto" w:fill="FFFFFF"/>
        </w:rPr>
        <w:t xml:space="preserve">FAO. 2017a. The future of food and agriculture – trends and challenges. Rome. </w:t>
      </w:r>
      <w:hyperlink r:id="rId93" w:history="1">
        <w:r w:rsidR="00D14F18" w:rsidRPr="00E45B0C">
          <w:rPr>
            <w:rFonts w:cs="Arial"/>
            <w:color w:val="222222"/>
            <w:sz w:val="20"/>
            <w:szCs w:val="20"/>
            <w:shd w:val="clear" w:color="auto" w:fill="FFFFFF"/>
          </w:rPr>
          <w:t>http://www.fao.org/3/ai6583e.pdf</w:t>
        </w:r>
      </w:hyperlink>
    </w:p>
    <w:p w14:paraId="00B865EF" w14:textId="77777777"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 xml:space="preserve">Guide technique et réglementaire PCM (Pesée, Classement, Marquage), 2010 FranceAgrimer. </w:t>
      </w:r>
    </w:p>
    <w:p w14:paraId="33677E45" w14:textId="2940E91C"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Gueblez R., Le Maitre C., Jacquet B., Zert P.: Qualité Technologique du Jambon de porc : relations entre les rendements de transformation en jambon cuit et en jambon sec » parue dans actes de Journées de la Recherche Porcine, 1993</w:t>
      </w:r>
    </w:p>
    <w:p w14:paraId="42783C36" w14:textId="77777777" w:rsidR="0077557D" w:rsidRPr="00E45B0C" w:rsidRDefault="0077557D" w:rsidP="0077557D">
      <w:pPr>
        <w:rPr>
          <w:rFonts w:cs="Arial"/>
          <w:color w:val="222222"/>
          <w:sz w:val="20"/>
          <w:szCs w:val="20"/>
          <w:shd w:val="clear" w:color="auto" w:fill="FFFFFF"/>
        </w:rPr>
      </w:pPr>
    </w:p>
    <w:p w14:paraId="62F027EE" w14:textId="1F029E1B" w:rsidR="0077557D" w:rsidRPr="00E45B0C" w:rsidRDefault="0077557D" w:rsidP="0077557D">
      <w:pPr>
        <w:rPr>
          <w:rFonts w:cs="Arial"/>
          <w:color w:val="222222"/>
          <w:sz w:val="20"/>
          <w:szCs w:val="20"/>
          <w:shd w:val="clear" w:color="auto" w:fill="FFFFFF"/>
        </w:rPr>
      </w:pPr>
      <w:r w:rsidRPr="00E45B0C">
        <w:rPr>
          <w:rFonts w:cs="Arial"/>
          <w:color w:val="222222"/>
          <w:sz w:val="20"/>
          <w:szCs w:val="20"/>
          <w:shd w:val="clear" w:color="auto" w:fill="FFFFFF"/>
        </w:rPr>
        <w:t>Hubert J.P., Meissonnier J., Madre J.L., Roux.S., La pause méridienne : un facteur clé de l’évolution de la mobilité en France depuis 35 ans. Économie et statistiques, 2013, pp 35-56. </w:t>
      </w:r>
      <w:hyperlink r:id="rId94" w:tgtFrame="_blank" w:history="1">
        <w:r w:rsidRPr="00E45B0C">
          <w:rPr>
            <w:rFonts w:ascii="Cambria Math" w:hAnsi="Cambria Math" w:cs="Cambria Math"/>
            <w:color w:val="222222"/>
            <w:sz w:val="20"/>
            <w:szCs w:val="20"/>
            <w:shd w:val="clear" w:color="auto" w:fill="FFFFFF"/>
          </w:rPr>
          <w:t>⟨</w:t>
        </w:r>
        <w:r w:rsidRPr="00E45B0C">
          <w:rPr>
            <w:rFonts w:cs="Arial"/>
            <w:color w:val="222222"/>
            <w:sz w:val="20"/>
            <w:szCs w:val="20"/>
            <w:shd w:val="clear" w:color="auto" w:fill="FFFFFF"/>
          </w:rPr>
          <w:t>hal-00851376</w:t>
        </w:r>
        <w:r w:rsidRPr="00E45B0C">
          <w:rPr>
            <w:rFonts w:ascii="Cambria Math" w:hAnsi="Cambria Math" w:cs="Cambria Math"/>
            <w:color w:val="222222"/>
            <w:sz w:val="20"/>
            <w:szCs w:val="20"/>
            <w:shd w:val="clear" w:color="auto" w:fill="FFFFFF"/>
          </w:rPr>
          <w:t>⟩</w:t>
        </w:r>
      </w:hyperlink>
    </w:p>
    <w:p w14:paraId="3E01A47B" w14:textId="7E25F664" w:rsidR="00360DDE" w:rsidRPr="00E45B0C" w:rsidRDefault="00360DDE" w:rsidP="0096466D">
      <w:pPr>
        <w:rPr>
          <w:rFonts w:cs="Arial"/>
          <w:color w:val="222222"/>
          <w:sz w:val="20"/>
          <w:szCs w:val="20"/>
          <w:shd w:val="clear" w:color="auto" w:fill="FFFFFF"/>
        </w:rPr>
      </w:pPr>
      <w:r w:rsidRPr="00E45B0C">
        <w:rPr>
          <w:rFonts w:cs="Arial"/>
          <w:color w:val="222222"/>
          <w:sz w:val="20"/>
          <w:szCs w:val="20"/>
          <w:shd w:val="clear" w:color="auto" w:fill="FFFFFF"/>
        </w:rPr>
        <w:t>IFIP, 2014b. Mémento viandes et charcuteries. Table de composition massique des pièces d’une carcasse de porc.</w:t>
      </w:r>
    </w:p>
    <w:p w14:paraId="300BE8A8" w14:textId="13752CA2" w:rsidR="001A5091" w:rsidRPr="001A5091" w:rsidRDefault="001A5091" w:rsidP="001A5091">
      <w:pPr>
        <w:rPr>
          <w:rFonts w:cs="Arial"/>
          <w:color w:val="222222"/>
          <w:sz w:val="20"/>
          <w:szCs w:val="20"/>
          <w:shd w:val="clear" w:color="auto" w:fill="FFFFFF"/>
          <w:lang w:val="en-US"/>
        </w:rPr>
      </w:pPr>
      <w:bookmarkStart w:id="429" w:name="bau2"/>
      <w:r w:rsidRPr="001A5091">
        <w:rPr>
          <w:rFonts w:cs="Arial"/>
          <w:color w:val="222222"/>
          <w:sz w:val="20"/>
          <w:szCs w:val="20"/>
          <w:shd w:val="clear" w:color="auto" w:fill="FFFFFF"/>
          <w:lang w:val="en-US"/>
        </w:rPr>
        <w:t>L</w:t>
      </w:r>
      <w:r>
        <w:rPr>
          <w:rFonts w:cs="Arial"/>
          <w:color w:val="222222"/>
          <w:sz w:val="20"/>
          <w:szCs w:val="20"/>
          <w:shd w:val="clear" w:color="auto" w:fill="FFFFFF"/>
          <w:lang w:val="en-US"/>
        </w:rPr>
        <w:t>englet J.</w:t>
      </w:r>
      <w:r w:rsidRPr="001A5091">
        <w:rPr>
          <w:rFonts w:cs="Arial"/>
          <w:color w:val="222222"/>
          <w:sz w:val="20"/>
          <w:szCs w:val="20"/>
          <w:shd w:val="clear" w:color="auto" w:fill="FFFFFF"/>
          <w:lang w:val="en-US"/>
        </w:rPr>
        <w:t>,</w:t>
      </w:r>
      <w:bookmarkStart w:id="430" w:name="bau3"/>
      <w:bookmarkEnd w:id="429"/>
      <w:r>
        <w:rPr>
          <w:rFonts w:cs="Arial"/>
          <w:color w:val="222222"/>
          <w:sz w:val="20"/>
          <w:szCs w:val="20"/>
          <w:shd w:val="clear" w:color="auto" w:fill="FFFFFF"/>
          <w:lang w:val="en-US"/>
        </w:rPr>
        <w:t xml:space="preserve"> Courtonne J.Y., </w:t>
      </w:r>
      <w:hyperlink r:id="rId95" w:anchor="!" w:history="1">
        <w:r w:rsidRPr="001A5091">
          <w:rPr>
            <w:rFonts w:cs="Arial"/>
            <w:color w:val="222222"/>
            <w:sz w:val="20"/>
            <w:szCs w:val="20"/>
            <w:shd w:val="clear" w:color="auto" w:fill="FFFFFF"/>
            <w:lang w:val="en-US"/>
          </w:rPr>
          <w:t>Caurlae</w:t>
        </w:r>
      </w:hyperlink>
      <w:bookmarkEnd w:id="430"/>
      <w:r w:rsidRPr="001A5091">
        <w:rPr>
          <w:rFonts w:cs="Arial"/>
          <w:color w:val="222222"/>
          <w:sz w:val="20"/>
          <w:szCs w:val="20"/>
          <w:shd w:val="clear" w:color="auto" w:fill="FFFFFF"/>
          <w:lang w:val="en-US"/>
        </w:rPr>
        <w:t xml:space="preserve"> </w:t>
      </w:r>
      <w:r>
        <w:rPr>
          <w:rFonts w:cs="Arial"/>
          <w:color w:val="222222"/>
          <w:sz w:val="20"/>
          <w:szCs w:val="20"/>
          <w:shd w:val="clear" w:color="auto" w:fill="FFFFFF"/>
          <w:lang w:val="en-US"/>
        </w:rPr>
        <w:t>S.</w:t>
      </w:r>
      <w:r w:rsidRPr="001A5091">
        <w:rPr>
          <w:rFonts w:cs="Arial"/>
          <w:color w:val="222222"/>
          <w:sz w:val="20"/>
          <w:szCs w:val="20"/>
          <w:shd w:val="clear" w:color="auto" w:fill="FFFFFF"/>
          <w:lang w:val="en-US"/>
        </w:rPr>
        <w:t>, Material flow analysis of the forest-wood supply chain: A consequential approach for log export policies in France</w:t>
      </w:r>
      <w:r>
        <w:rPr>
          <w:rFonts w:cs="Arial"/>
          <w:color w:val="222222"/>
          <w:sz w:val="20"/>
          <w:szCs w:val="20"/>
          <w:shd w:val="clear" w:color="auto" w:fill="FFFFFF"/>
          <w:lang w:val="en-US"/>
        </w:rPr>
        <w:t xml:space="preserve">, </w:t>
      </w:r>
      <w:hyperlink r:id="rId96" w:tooltip="Go to Journal of Cleaner Production on ScienceDirect" w:history="1">
        <w:r w:rsidRPr="001A5091">
          <w:rPr>
            <w:rFonts w:cs="Arial"/>
            <w:color w:val="222222"/>
            <w:sz w:val="20"/>
            <w:szCs w:val="20"/>
            <w:shd w:val="clear" w:color="auto" w:fill="FFFFFF"/>
            <w:lang w:val="en-US"/>
          </w:rPr>
          <w:t>Journal of Cleaner Production</w:t>
        </w:r>
      </w:hyperlink>
      <w:r>
        <w:rPr>
          <w:rFonts w:cs="Arial"/>
          <w:color w:val="222222"/>
          <w:sz w:val="20"/>
          <w:szCs w:val="20"/>
          <w:shd w:val="clear" w:color="auto" w:fill="FFFFFF"/>
          <w:lang w:val="en-US"/>
        </w:rPr>
        <w:t xml:space="preserve">, </w:t>
      </w:r>
      <w:hyperlink r:id="rId97" w:tooltip="Go to table of contents for this volume/issue" w:history="1">
        <w:r w:rsidRPr="001A5091">
          <w:rPr>
            <w:rFonts w:cs="Arial"/>
            <w:color w:val="222222"/>
            <w:sz w:val="20"/>
            <w:szCs w:val="20"/>
            <w:shd w:val="clear" w:color="auto" w:fill="FFFFFF"/>
            <w:lang w:val="en-US"/>
          </w:rPr>
          <w:t>Volume 165</w:t>
        </w:r>
      </w:hyperlink>
      <w:r w:rsidRPr="001A5091">
        <w:rPr>
          <w:rFonts w:cs="Arial"/>
          <w:color w:val="222222"/>
          <w:sz w:val="20"/>
          <w:szCs w:val="20"/>
          <w:shd w:val="clear" w:color="auto" w:fill="FFFFFF"/>
          <w:lang w:val="en-US"/>
        </w:rPr>
        <w:t>, 1 November 2017, Pages 1296-1305</w:t>
      </w:r>
      <w:r>
        <w:rPr>
          <w:rFonts w:cs="Arial"/>
          <w:color w:val="222222"/>
          <w:sz w:val="20"/>
          <w:szCs w:val="20"/>
          <w:shd w:val="clear" w:color="auto" w:fill="FFFFFF"/>
          <w:lang w:val="en-US"/>
        </w:rPr>
        <w:t xml:space="preserve">. </w:t>
      </w:r>
    </w:p>
    <w:p w14:paraId="272A347D" w14:textId="64A20FDF" w:rsidR="0077557D" w:rsidRPr="00E45B0C" w:rsidRDefault="0077557D" w:rsidP="0002537E">
      <w:pPr>
        <w:rPr>
          <w:rFonts w:cs="Arial"/>
          <w:color w:val="222222"/>
          <w:sz w:val="20"/>
          <w:szCs w:val="20"/>
          <w:shd w:val="clear" w:color="auto" w:fill="FFFFFF"/>
        </w:rPr>
      </w:pPr>
      <w:r w:rsidRPr="00E45B0C">
        <w:rPr>
          <w:rFonts w:cs="Arial"/>
          <w:color w:val="222222"/>
          <w:sz w:val="20"/>
          <w:szCs w:val="20"/>
          <w:shd w:val="clear" w:color="auto" w:fill="FFFFFF"/>
        </w:rPr>
        <w:t xml:space="preserve">Malher X., Coudurier B., </w:t>
      </w:r>
      <w:hyperlink r:id="rId98" w:history="1">
        <w:r w:rsidRPr="00E45B0C">
          <w:rPr>
            <w:rFonts w:cs="Arial"/>
            <w:color w:val="222222"/>
            <w:sz w:val="20"/>
            <w:szCs w:val="20"/>
            <w:shd w:val="clear" w:color="auto" w:fill="FFFFFF"/>
          </w:rPr>
          <w:t>Les pertes alimentaires dans la filière poulet de chair</w:t>
        </w:r>
      </w:hyperlink>
      <w:r w:rsidRPr="00E45B0C">
        <w:rPr>
          <w:rFonts w:cs="Arial"/>
          <w:color w:val="222222"/>
          <w:sz w:val="20"/>
          <w:szCs w:val="20"/>
          <w:shd w:val="clear" w:color="auto" w:fill="FFFFFF"/>
        </w:rPr>
        <w:t>, Innovations …, 2015 - angers-nantes.inrae.fr</w:t>
      </w:r>
    </w:p>
    <w:p w14:paraId="5F54D8D6" w14:textId="3A3BA5C6" w:rsidR="00D14F18" w:rsidRPr="00E45B0C" w:rsidRDefault="00D14F18" w:rsidP="0096466D">
      <w:pPr>
        <w:rPr>
          <w:rFonts w:cs="Arial"/>
          <w:color w:val="222222"/>
          <w:sz w:val="20"/>
          <w:szCs w:val="20"/>
          <w:shd w:val="clear" w:color="auto" w:fill="FFFFFF"/>
        </w:rPr>
      </w:pPr>
      <w:r w:rsidRPr="00E45B0C">
        <w:rPr>
          <w:rFonts w:cs="Arial"/>
          <w:color w:val="222222"/>
          <w:sz w:val="20"/>
          <w:szCs w:val="20"/>
          <w:shd w:val="clear" w:color="auto" w:fill="FFFFFF"/>
        </w:rPr>
        <w:t>Manski, CF (2015). Communiquer l'incertitude dans les statistiques économiques officielles</w:t>
      </w:r>
      <w:r w:rsidR="008C2479" w:rsidRPr="00E45B0C">
        <w:rPr>
          <w:rFonts w:cs="Arial"/>
          <w:color w:val="222222"/>
          <w:sz w:val="20"/>
          <w:szCs w:val="20"/>
          <w:shd w:val="clear" w:color="auto" w:fill="FFFFFF"/>
        </w:rPr>
        <w:t xml:space="preserve"> </w:t>
      </w:r>
      <w:r w:rsidRPr="00E45B0C">
        <w:rPr>
          <w:rFonts w:cs="Arial"/>
          <w:color w:val="222222"/>
          <w:sz w:val="20"/>
          <w:szCs w:val="20"/>
          <w:shd w:val="clear" w:color="auto" w:fill="FFFFFF"/>
        </w:rPr>
        <w:t>: une évaluation cinquante ans après Morgenstern. Journal of Economic Literature, 53 (3), 631-53.</w:t>
      </w:r>
    </w:p>
    <w:p w14:paraId="13FC3259" w14:textId="77777777" w:rsidR="0013216B" w:rsidRDefault="0013216B" w:rsidP="0096466D">
      <w:pPr>
        <w:rPr>
          <w:rFonts w:cs="Arial"/>
          <w:color w:val="222222"/>
          <w:sz w:val="20"/>
          <w:szCs w:val="20"/>
          <w:shd w:val="clear" w:color="auto" w:fill="FFFFFF"/>
        </w:rPr>
      </w:pPr>
      <w:r w:rsidRPr="0013216B">
        <w:rPr>
          <w:rFonts w:cs="Arial"/>
          <w:color w:val="222222"/>
          <w:sz w:val="20"/>
          <w:szCs w:val="20"/>
          <w:shd w:val="clear" w:color="auto" w:fill="FFFFFF"/>
        </w:rPr>
        <w:t>Massard G., 2011, Les symbioses industrielles : une nouvelle stratégie pour l’amélioration de l’utilisation des ressources matérielles et énergétiques par les activités économiques, thèse doctorale, Université de Lausanne</w:t>
      </w:r>
      <w:r w:rsidRPr="00E45B0C">
        <w:rPr>
          <w:rFonts w:cs="Arial"/>
          <w:color w:val="222222"/>
          <w:sz w:val="20"/>
          <w:szCs w:val="20"/>
          <w:shd w:val="clear" w:color="auto" w:fill="FFFFFF"/>
        </w:rPr>
        <w:t xml:space="preserve"> </w:t>
      </w:r>
    </w:p>
    <w:p w14:paraId="192C7030" w14:textId="56ABB2EE" w:rsidR="0077557D" w:rsidRPr="00E45B0C" w:rsidRDefault="0077557D" w:rsidP="0096466D">
      <w:pPr>
        <w:rPr>
          <w:rFonts w:cs="Arial"/>
          <w:color w:val="222222"/>
          <w:sz w:val="20"/>
          <w:szCs w:val="20"/>
          <w:shd w:val="clear" w:color="auto" w:fill="FFFFFF"/>
        </w:rPr>
      </w:pPr>
      <w:r w:rsidRPr="00E45B0C">
        <w:rPr>
          <w:rFonts w:cs="Arial"/>
          <w:color w:val="222222"/>
          <w:sz w:val="20"/>
          <w:szCs w:val="20"/>
          <w:shd w:val="clear" w:color="auto" w:fill="FFFFFF"/>
        </w:rPr>
        <w:t>NPD Crest, 2018, Congrès du snacking</w:t>
      </w:r>
    </w:p>
    <w:p w14:paraId="3E269DAC" w14:textId="77777777" w:rsidR="00E45B0C" w:rsidRPr="00E45B0C" w:rsidRDefault="00E45B0C" w:rsidP="00E45B0C">
      <w:pPr>
        <w:rPr>
          <w:rFonts w:cs="Arial"/>
          <w:color w:val="222222"/>
          <w:sz w:val="20"/>
          <w:szCs w:val="20"/>
          <w:shd w:val="clear" w:color="auto" w:fill="FFFFFF"/>
        </w:rPr>
      </w:pPr>
      <w:r w:rsidRPr="00E45B0C">
        <w:rPr>
          <w:rFonts w:cs="Arial"/>
          <w:color w:val="222222"/>
          <w:sz w:val="20"/>
          <w:szCs w:val="20"/>
          <w:shd w:val="clear" w:color="auto" w:fill="FFFFFF"/>
        </w:rPr>
        <w:t xml:space="preserve">Brunner, P. H. et Rechberger, H. (2004). </w:t>
      </w:r>
      <w:r w:rsidRPr="009044D1">
        <w:rPr>
          <w:rFonts w:cs="Arial"/>
          <w:color w:val="222222"/>
          <w:sz w:val="20"/>
          <w:szCs w:val="20"/>
          <w:shd w:val="clear" w:color="auto" w:fill="FFFFFF"/>
          <w:lang w:val="en-US"/>
        </w:rPr>
        <w:t xml:space="preserve">Practical handbook of material flow analysis. </w:t>
      </w:r>
      <w:r w:rsidRPr="00E45B0C">
        <w:rPr>
          <w:rFonts w:cs="Arial"/>
          <w:color w:val="222222"/>
          <w:sz w:val="20"/>
          <w:szCs w:val="20"/>
          <w:shd w:val="clear" w:color="auto" w:fill="FFFFFF"/>
        </w:rPr>
        <w:t>Boca Raton, Fla. : Lewis.</w:t>
      </w:r>
    </w:p>
    <w:p w14:paraId="76429CFE" w14:textId="5B53EFE2" w:rsidR="0077557D" w:rsidRPr="00E45B0C" w:rsidRDefault="0077557D" w:rsidP="00E45B0C">
      <w:pPr>
        <w:rPr>
          <w:rFonts w:cs="Arial"/>
          <w:color w:val="222222"/>
          <w:sz w:val="20"/>
          <w:szCs w:val="20"/>
          <w:shd w:val="clear" w:color="auto" w:fill="FFFFFF"/>
        </w:rPr>
      </w:pPr>
      <w:r w:rsidRPr="00E45B0C">
        <w:rPr>
          <w:rFonts w:cs="Arial"/>
          <w:color w:val="222222"/>
          <w:sz w:val="20"/>
          <w:szCs w:val="20"/>
          <w:shd w:val="clear" w:color="auto" w:fill="FFFFFF"/>
        </w:rPr>
        <w:t>Sans P., Boizot-Szantai C, Consumption of organic meat products in France: An analysis based on panel data (scanner dataset) 2020, DOI: 10.30682/nm2001f JEL codes: Q130, Q180.</w:t>
      </w:r>
    </w:p>
    <w:p w14:paraId="447DDD61" w14:textId="64B45C37" w:rsidR="0033037B" w:rsidRPr="00E45B0C" w:rsidRDefault="00E95400" w:rsidP="0096466D">
      <w:pPr>
        <w:rPr>
          <w:rFonts w:cs="Arial"/>
          <w:color w:val="222222"/>
          <w:sz w:val="20"/>
          <w:szCs w:val="20"/>
          <w:shd w:val="clear" w:color="auto" w:fill="FFFFFF"/>
        </w:rPr>
      </w:pPr>
      <w:r w:rsidRPr="00E45B0C">
        <w:rPr>
          <w:rFonts w:cs="Arial"/>
          <w:color w:val="222222"/>
          <w:sz w:val="20"/>
          <w:szCs w:val="20"/>
          <w:shd w:val="clear" w:color="auto" w:fill="FFFFFF"/>
        </w:rPr>
        <w:t>Santé publique France. Recommandations relatives à l’alimentation, à l’activité physique et à la sédentarité pour les adultes. 2017. </w:t>
      </w:r>
      <w:hyperlink r:id="rId99" w:history="1">
        <w:r w:rsidR="0033037B" w:rsidRPr="00E45B0C">
          <w:rPr>
            <w:rFonts w:cs="Arial"/>
            <w:color w:val="222222"/>
            <w:sz w:val="20"/>
            <w:szCs w:val="20"/>
            <w:shd w:val="clear" w:color="auto" w:fill="FFFFFF"/>
          </w:rPr>
          <w:t>https://www.santepubliquefrance.fr</w:t>
        </w:r>
      </w:hyperlink>
    </w:p>
    <w:p w14:paraId="3866404D" w14:textId="77777777" w:rsidR="00A77B2E" w:rsidRPr="00E45B0C" w:rsidRDefault="00000000" w:rsidP="0096466D">
      <w:pPr>
        <w:rPr>
          <w:rFonts w:cs="Arial"/>
          <w:color w:val="222222"/>
          <w:sz w:val="20"/>
          <w:szCs w:val="20"/>
          <w:shd w:val="clear" w:color="auto" w:fill="FFFFFF"/>
        </w:rPr>
      </w:pPr>
      <w:hyperlink r:id="rId100" w:history="1">
        <w:r w:rsidR="00A77B2E" w:rsidRPr="00E45B0C">
          <w:rPr>
            <w:rFonts w:cs="Arial"/>
            <w:color w:val="222222"/>
            <w:sz w:val="20"/>
            <w:szCs w:val="20"/>
            <w:shd w:val="clear" w:color="auto" w:fill="FFFFFF"/>
          </w:rPr>
          <w:t>https://www.entreprises.gouv.fr/files/files/directions_services/etudes-et-statistiques/4p-DGE/2019-07-4Pn88-EVE.pdf</w:t>
        </w:r>
      </w:hyperlink>
    </w:p>
    <w:p w14:paraId="2E803A28" w14:textId="06A1407F" w:rsidR="00142D07" w:rsidRPr="00E45B0C" w:rsidRDefault="0077557D" w:rsidP="0096466D">
      <w:pPr>
        <w:rPr>
          <w:rFonts w:cs="Arial"/>
          <w:color w:val="222222"/>
          <w:sz w:val="20"/>
          <w:szCs w:val="20"/>
          <w:shd w:val="clear" w:color="auto" w:fill="FFFFFF"/>
        </w:rPr>
      </w:pPr>
      <w:r w:rsidRPr="00E45B0C">
        <w:rPr>
          <w:rFonts w:cs="Arial"/>
          <w:color w:val="222222"/>
          <w:sz w:val="20"/>
          <w:szCs w:val="20"/>
          <w:shd w:val="clear" w:color="auto" w:fill="FFFFFF"/>
        </w:rPr>
        <w:t xml:space="preserve">Selmane D., </w:t>
      </w:r>
      <w:r w:rsidR="00997CA0" w:rsidRPr="00E45B0C">
        <w:rPr>
          <w:rFonts w:cs="Arial"/>
          <w:color w:val="222222"/>
          <w:sz w:val="20"/>
          <w:szCs w:val="20"/>
          <w:shd w:val="clear" w:color="auto" w:fill="FFFFFF"/>
        </w:rPr>
        <w:t>Etude de l'extraction des protéines de coproduits d'abattage et de leur valorisation comme ingrédients fonctionnels, 2010.</w:t>
      </w:r>
    </w:p>
    <w:p w14:paraId="1B421DC5" w14:textId="20CDFB81" w:rsidR="006F41D3" w:rsidRPr="00E45B0C" w:rsidRDefault="0077557D" w:rsidP="00EE4B55">
      <w:pPr>
        <w:rPr>
          <w:rFonts w:cs="Arial"/>
          <w:color w:val="222222"/>
          <w:sz w:val="20"/>
          <w:szCs w:val="20"/>
          <w:shd w:val="clear" w:color="auto" w:fill="FFFFFF"/>
        </w:rPr>
      </w:pPr>
      <w:r w:rsidRPr="00E45B0C">
        <w:rPr>
          <w:rFonts w:cs="Arial"/>
          <w:color w:val="222222"/>
          <w:sz w:val="20"/>
          <w:szCs w:val="20"/>
          <w:shd w:val="clear" w:color="auto" w:fill="FFFFFF"/>
        </w:rPr>
        <w:t>SIFCO (Syndicat des Industries Françaises des Coproduits animaux), rapport d’activité 2018.</w:t>
      </w:r>
    </w:p>
    <w:p w14:paraId="17C82AB0" w14:textId="6E43692C" w:rsidR="006F41D3" w:rsidRPr="001421A6" w:rsidRDefault="006F41D3" w:rsidP="0077557D">
      <w:pPr>
        <w:rPr>
          <w:rFonts w:cs="Arial"/>
          <w:color w:val="222222"/>
          <w:sz w:val="20"/>
          <w:szCs w:val="20"/>
          <w:shd w:val="clear" w:color="auto" w:fill="FFFFFF"/>
        </w:rPr>
      </w:pPr>
    </w:p>
    <w:sectPr w:rsidR="006F41D3" w:rsidRPr="001421A6" w:rsidSect="00B73F4D">
      <w:pgSz w:w="11906" w:h="16838"/>
      <w:pgMar w:top="1417" w:right="1133" w:bottom="1417" w:left="1417" w:header="708" w:footer="708"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3B90B5" w14:textId="77777777" w:rsidR="00B73F4D" w:rsidRDefault="00B73F4D" w:rsidP="008150C6">
      <w:pPr>
        <w:spacing w:after="0" w:line="240" w:lineRule="auto"/>
      </w:pPr>
      <w:r>
        <w:separator/>
      </w:r>
    </w:p>
  </w:endnote>
  <w:endnote w:type="continuationSeparator" w:id="0">
    <w:p w14:paraId="54690F4B" w14:textId="77777777" w:rsidR="00B73F4D" w:rsidRDefault="00B73F4D" w:rsidP="008150C6">
      <w:pPr>
        <w:spacing w:after="0" w:line="240" w:lineRule="auto"/>
      </w:pPr>
      <w:r>
        <w:continuationSeparator/>
      </w:r>
    </w:p>
  </w:endnote>
  <w:endnote w:type="continuationNotice" w:id="1">
    <w:p w14:paraId="0DECBE1E" w14:textId="77777777" w:rsidR="00B73F4D" w:rsidRDefault="00B73F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alibri"/>
    <w:panose1 w:val="05010000000000000000"/>
    <w:charset w:val="00"/>
    <w:family w:val="auto"/>
    <w:pitch w:val="variable"/>
    <w:sig w:usb0="800000AF" w:usb1="1001ECEA" w:usb2="00000000" w:usb3="00000000" w:csb0="8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MT">
    <w:altName w:val="Arial"/>
    <w:charset w:val="01"/>
    <w:family w:val="swiss"/>
    <w:pitch w:val="variable"/>
  </w:font>
  <w:font w:name="MyriadPro-Semibold">
    <w:altName w:val="Malgun Gothic"/>
    <w:panose1 w:val="00000000000000000000"/>
    <w:charset w:val="4D"/>
    <w:family w:val="auto"/>
    <w:notTrueType/>
    <w:pitch w:val="default"/>
    <w:sig w:usb0="00000003" w:usb1="00000000" w:usb2="00000000" w:usb3="00000000" w:csb0="00000001" w:csb1="00000000"/>
  </w:font>
  <w:font w:name="MyriadPro-Light">
    <w:altName w:val="Calibri"/>
    <w:panose1 w:val="00000000000000000000"/>
    <w:charset w:val="4D"/>
    <w:family w:val="auto"/>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337797" w14:textId="3ACFDB8E" w:rsidR="00741BFF" w:rsidRDefault="00741BFF" w:rsidP="00CC116D">
    <w:pPr>
      <w:pStyle w:val="Pieddepage"/>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42452528"/>
      <w:docPartObj>
        <w:docPartGallery w:val="Page Numbers (Bottom of Page)"/>
        <w:docPartUnique/>
      </w:docPartObj>
    </w:sdtPr>
    <w:sdtContent>
      <w:p w14:paraId="4DD703FE" w14:textId="269621B4" w:rsidR="00741BFF" w:rsidRDefault="00741BFF">
        <w:pPr>
          <w:pStyle w:val="Pieddepage"/>
          <w:jc w:val="center"/>
        </w:pPr>
        <w:r>
          <w:fldChar w:fldCharType="begin"/>
        </w:r>
        <w:r>
          <w:instrText>PAGE   \* MERGEFORMAT</w:instrText>
        </w:r>
        <w:r>
          <w:fldChar w:fldCharType="separate"/>
        </w:r>
        <w: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4BAC2A" w14:textId="77777777" w:rsidR="00741BFF" w:rsidRDefault="00000000">
    <w:pPr>
      <w:pStyle w:val="Corpsdetexte"/>
      <w:spacing w:line="14" w:lineRule="auto"/>
      <w:rPr>
        <w:sz w:val="20"/>
      </w:rPr>
    </w:pPr>
    <w:r>
      <w:pict w14:anchorId="56EBE903">
        <v:shapetype id="_x0000_t202" coordsize="21600,21600" o:spt="202" path="m,l,21600r21600,l21600,xe">
          <v:stroke joinstyle="miter"/>
          <v:path gradientshapeok="t" o:connecttype="rect"/>
        </v:shapetype>
        <v:shape id="_x0000_s1028" type="#_x0000_t202" style="position:absolute;left:0;text-align:left;margin-left:67.9pt;margin-top:793.05pt;width:18.25pt;height:14.3pt;z-index:-251658239;mso-position-horizontal-relative:page;mso-position-vertical-relative:page" filled="f" stroked="f">
          <v:textbox style="mso-next-textbox:#_x0000_s1028" inset="0,0,0,0">
            <w:txbxContent>
              <w:p w14:paraId="731E593B" w14:textId="77777777" w:rsidR="00741BFF" w:rsidRDefault="00741BFF">
                <w:pPr>
                  <w:pStyle w:val="Corpsdetexte"/>
                  <w:spacing w:before="12"/>
                  <w:ind w:left="60"/>
                </w:pPr>
                <w:r>
                  <w:fldChar w:fldCharType="begin"/>
                </w:r>
                <w:r>
                  <w:instrText xml:space="preserve"> PAGE </w:instrText>
                </w:r>
                <w:r>
                  <w:fldChar w:fldCharType="separate"/>
                </w:r>
                <w:r>
                  <w:t>40</w:t>
                </w:r>
                <w:r>
                  <w:fldChar w:fldCharType="end"/>
                </w:r>
              </w:p>
            </w:txbxContent>
          </v:textbox>
          <w10:wrap anchorx="page" anchory="page"/>
        </v:shape>
      </w:pict>
    </w:r>
  </w:p>
  <w:p w14:paraId="10A7DA5B" w14:textId="77777777" w:rsidR="00741BFF" w:rsidRDefault="00741BFF"/>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71E357" w14:textId="1E73212F" w:rsidR="00741BFF" w:rsidRDefault="00741BFF" w:rsidP="0002537E">
    <w:pPr>
      <w:pStyle w:val="Pieddepage"/>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44CFC3" w14:textId="77777777" w:rsidR="00B73F4D" w:rsidRDefault="00B73F4D" w:rsidP="008150C6">
      <w:pPr>
        <w:spacing w:after="0" w:line="240" w:lineRule="auto"/>
      </w:pPr>
      <w:r>
        <w:separator/>
      </w:r>
    </w:p>
  </w:footnote>
  <w:footnote w:type="continuationSeparator" w:id="0">
    <w:p w14:paraId="11487DA5" w14:textId="77777777" w:rsidR="00B73F4D" w:rsidRDefault="00B73F4D" w:rsidP="008150C6">
      <w:pPr>
        <w:spacing w:after="0" w:line="240" w:lineRule="auto"/>
      </w:pPr>
      <w:r>
        <w:continuationSeparator/>
      </w:r>
    </w:p>
  </w:footnote>
  <w:footnote w:type="continuationNotice" w:id="1">
    <w:p w14:paraId="6194BBD5" w14:textId="77777777" w:rsidR="00B73F4D" w:rsidRDefault="00B73F4D">
      <w:pPr>
        <w:spacing w:after="0" w:line="240" w:lineRule="auto"/>
      </w:pPr>
    </w:p>
  </w:footnote>
  <w:footnote w:id="2">
    <w:p w14:paraId="24A82F7B" w14:textId="4639D20A" w:rsidR="00741BFF" w:rsidRDefault="00741BFF" w:rsidP="00E042B5">
      <w:r>
        <w:rPr>
          <w:rStyle w:val="Appelnotedebasdep"/>
        </w:rPr>
        <w:footnoteRef/>
      </w:r>
      <w:r>
        <w:t xml:space="preserve"> </w:t>
      </w:r>
      <w:r w:rsidRPr="00E042B5">
        <w:rPr>
          <w:i/>
          <w:sz w:val="20"/>
          <w:szCs w:val="20"/>
        </w:rPr>
        <w:t>Journal Officiel de l'Union européenne, "Règlement d'exécution modifiant l'annexe I du règlement (CEE) n ° 2658/87 du Conseil relatif à la nomenclature tarifaire et statistique et au tarif douanier commun".</w:t>
      </w:r>
    </w:p>
  </w:footnote>
  <w:footnote w:id="3">
    <w:p w14:paraId="38012AB0" w14:textId="536950A4" w:rsidR="00741BFF" w:rsidRDefault="00741BFF">
      <w:pPr>
        <w:pStyle w:val="Notedebasdepage"/>
      </w:pPr>
      <w:r>
        <w:rPr>
          <w:rStyle w:val="Appelnotedebasdep"/>
        </w:rPr>
        <w:footnoteRef/>
      </w:r>
      <w:r>
        <w:t xml:space="preserve"> Salaison, voir Lexique</w:t>
      </w:r>
    </w:p>
  </w:footnote>
  <w:footnote w:id="4">
    <w:p w14:paraId="48709FC6" w14:textId="77777777" w:rsidR="00741BFF" w:rsidRDefault="00741BFF" w:rsidP="00020BE1">
      <w:pPr>
        <w:pStyle w:val="Notedebasdepage"/>
      </w:pPr>
      <w:r>
        <w:rPr>
          <w:rStyle w:val="Appelnotedebasdep"/>
        </w:rPr>
        <w:footnoteRef/>
      </w:r>
      <w:r>
        <w:t xml:space="preserve"> Coproduits : terme défini dans le Lexique. </w:t>
      </w:r>
    </w:p>
  </w:footnote>
  <w:footnote w:id="5">
    <w:p w14:paraId="43A231F8" w14:textId="77777777" w:rsidR="00741BFF" w:rsidRDefault="00741BFF" w:rsidP="00A7045B">
      <w:pPr>
        <w:pStyle w:val="Notedebasdepage"/>
      </w:pPr>
      <w:r>
        <w:rPr>
          <w:rStyle w:val="Appelnotedebasdep"/>
        </w:rPr>
        <w:footnoteRef/>
      </w:r>
      <w:r>
        <w:t xml:space="preserve"> Données estimatives, la fraction intégrant également de la viande de porc d’origine non domestique.</w:t>
      </w:r>
    </w:p>
  </w:footnote>
  <w:footnote w:id="6">
    <w:p w14:paraId="600072E8" w14:textId="77777777" w:rsidR="00741BFF" w:rsidRDefault="00741BFF" w:rsidP="00FE112D">
      <w:pPr>
        <w:pStyle w:val="Notedebasdepage"/>
      </w:pPr>
      <w:r>
        <w:rPr>
          <w:rStyle w:val="Appelnotedebasdep"/>
        </w:rPr>
        <w:footnoteRef/>
      </w:r>
      <w:r>
        <w:t xml:space="preserve"> Données estimatives, la fraction intégrant également de la viande de porc d’origine non domestique.</w:t>
      </w:r>
    </w:p>
  </w:footnote>
  <w:footnote w:id="7">
    <w:p w14:paraId="641527E4" w14:textId="77777777" w:rsidR="00741BFF" w:rsidRPr="00EC4550" w:rsidRDefault="00741BFF" w:rsidP="00A47019">
      <w:pPr>
        <w:spacing w:after="0"/>
        <w:rPr>
          <w:sz w:val="16"/>
          <w:szCs w:val="16"/>
        </w:rPr>
      </w:pPr>
      <w:r w:rsidRPr="00EC4550">
        <w:rPr>
          <w:rStyle w:val="Appelnotedebasdep"/>
          <w:sz w:val="16"/>
          <w:szCs w:val="16"/>
        </w:rPr>
        <w:footnoteRef/>
      </w:r>
      <w:r w:rsidRPr="00EC4550">
        <w:rPr>
          <w:sz w:val="16"/>
          <w:szCs w:val="16"/>
        </w:rPr>
        <w:t xml:space="preserve"> Les taux de consommateurs sont calculés sur la base des 2 ou 3 jours de rappel disponibles pour chacun des individus.</w:t>
      </w:r>
    </w:p>
  </w:footnote>
  <w:footnote w:id="8">
    <w:p w14:paraId="1AA83AFC" w14:textId="77777777" w:rsidR="00741BFF" w:rsidRPr="00EC4550" w:rsidRDefault="00741BFF" w:rsidP="00A47019">
      <w:pPr>
        <w:spacing w:after="0"/>
        <w:rPr>
          <w:sz w:val="16"/>
          <w:szCs w:val="16"/>
        </w:rPr>
      </w:pPr>
      <w:r w:rsidRPr="00EC4550">
        <w:rPr>
          <w:rStyle w:val="Appelnotedebasdep"/>
          <w:sz w:val="16"/>
          <w:szCs w:val="16"/>
        </w:rPr>
        <w:footnoteRef/>
      </w:r>
      <w:r w:rsidRPr="00EC4550">
        <w:rPr>
          <w:sz w:val="16"/>
          <w:szCs w:val="16"/>
        </w:rPr>
        <w:t>Pour un groupe d’aliment donné, les « seuls consommateurs » correspondent aux individus qui ont consommé au moins 1 aliment de la catégorie de produit sur les 2 ou 3 jours de recueil.</w:t>
      </w:r>
    </w:p>
  </w:footnote>
  <w:footnote w:id="9">
    <w:p w14:paraId="42EB9144" w14:textId="77777777" w:rsidR="00741BFF" w:rsidRPr="00EC4550" w:rsidRDefault="00741BFF" w:rsidP="00A47019">
      <w:pPr>
        <w:spacing w:after="0"/>
        <w:rPr>
          <w:sz w:val="16"/>
          <w:szCs w:val="16"/>
        </w:rPr>
      </w:pPr>
      <w:r w:rsidRPr="00EC4550">
        <w:rPr>
          <w:rStyle w:val="Appelnotedebasdep"/>
          <w:sz w:val="16"/>
          <w:szCs w:val="16"/>
        </w:rPr>
        <w:footnoteRef/>
      </w:r>
      <w:r w:rsidRPr="00EC4550">
        <w:rPr>
          <w:sz w:val="16"/>
          <w:szCs w:val="16"/>
        </w:rPr>
        <w:t xml:space="preserve"> Effectif interrogé par tranche d’âge : 0 à 10 (1035)</w:t>
      </w:r>
      <w:r>
        <w:rPr>
          <w:sz w:val="16"/>
          <w:szCs w:val="16"/>
        </w:rPr>
        <w:t xml:space="preserve">, </w:t>
      </w:r>
      <w:r w:rsidRPr="00EC4550">
        <w:rPr>
          <w:sz w:val="16"/>
          <w:szCs w:val="16"/>
        </w:rPr>
        <w:t>11 à 17 ans (949</w:t>
      </w:r>
      <w:r>
        <w:rPr>
          <w:sz w:val="16"/>
          <w:szCs w:val="16"/>
        </w:rPr>
        <w:t>),</w:t>
      </w:r>
      <w:r w:rsidRPr="00EC4550">
        <w:rPr>
          <w:sz w:val="16"/>
          <w:szCs w:val="16"/>
        </w:rPr>
        <w:t xml:space="preserve"> 18 à 79 ans (2121).</w:t>
      </w:r>
    </w:p>
  </w:footnote>
  <w:footnote w:id="10">
    <w:p w14:paraId="21943DCB" w14:textId="137FC480" w:rsidR="00741BFF" w:rsidRDefault="00741BFF" w:rsidP="00D1113F">
      <w:pPr>
        <w:pStyle w:val="Notedebasdepage"/>
      </w:pPr>
      <w:r>
        <w:rPr>
          <w:rStyle w:val="Appelnotedebasdep"/>
        </w:rPr>
        <w:footnoteRef/>
      </w:r>
      <w:r>
        <w:t xml:space="preserve"> Voir lexique, termes de coproduit et sous-produit</w:t>
      </w:r>
    </w:p>
  </w:footnote>
  <w:footnote w:id="11">
    <w:p w14:paraId="4C0F170F" w14:textId="5B2E347C" w:rsidR="00741BFF" w:rsidRDefault="00741BFF">
      <w:pPr>
        <w:pStyle w:val="Notedebasdepage"/>
      </w:pPr>
      <w:r>
        <w:rPr>
          <w:rStyle w:val="Appelnotedebasdep"/>
        </w:rPr>
        <w:footnoteRef/>
      </w:r>
      <w:r>
        <w:t xml:space="preserve"> n°1234/2007 article 42-1-b et annexe V et par la décision 2006/784/CE modifiée</w:t>
      </w:r>
    </w:p>
  </w:footnote>
  <w:footnote w:id="12">
    <w:p w14:paraId="17D4DAC2" w14:textId="77777777" w:rsidR="00741BFF" w:rsidRDefault="00741BFF" w:rsidP="00A65851">
      <w:pPr>
        <w:pStyle w:val="Notedebasdepage"/>
      </w:pPr>
      <w:r>
        <w:rPr>
          <w:rStyle w:val="Appelnotedebasdep"/>
        </w:rPr>
        <w:footnoteRef/>
      </w:r>
      <w:r>
        <w:t xml:space="preserve"> Décision de la Commission 2006/784/CE (CE) du 14 novembre 2006 modifiée.</w:t>
      </w:r>
    </w:p>
  </w:footnote>
  <w:footnote w:id="13">
    <w:p w14:paraId="1CBF39FA" w14:textId="04AC0CF6" w:rsidR="00741BFF" w:rsidRDefault="00741BFF">
      <w:pPr>
        <w:pStyle w:val="Notedebasdepage"/>
      </w:pPr>
      <w:r>
        <w:rPr>
          <w:rStyle w:val="Appelnotedebasdep"/>
        </w:rPr>
        <w:footnoteRef/>
      </w:r>
      <w:r>
        <w:t xml:space="preserve"> Voir Lexique</w:t>
      </w:r>
    </w:p>
  </w:footnote>
  <w:footnote w:id="14">
    <w:p w14:paraId="7BD753FE" w14:textId="78687C57" w:rsidR="00741BFF" w:rsidRDefault="00741BFF">
      <w:pPr>
        <w:pStyle w:val="Notedebasdepage"/>
      </w:pPr>
      <w:r>
        <w:rPr>
          <w:rStyle w:val="Appelnotedebasdep"/>
        </w:rPr>
        <w:footnoteRef/>
      </w:r>
      <w:r>
        <w:t xml:space="preserve"> Voir Lexique</w:t>
      </w:r>
    </w:p>
  </w:footnote>
  <w:footnote w:id="15">
    <w:p w14:paraId="5DED2437" w14:textId="7D3DA8A4" w:rsidR="00741BFF" w:rsidRDefault="00741BFF">
      <w:pPr>
        <w:pStyle w:val="Notedebasdepage"/>
      </w:pPr>
      <w:r>
        <w:rPr>
          <w:rStyle w:val="Appelnotedebasdep"/>
        </w:rPr>
        <w:footnoteRef/>
      </w:r>
      <w:r>
        <w:t xml:space="preserve"> Voir Lexique</w:t>
      </w:r>
    </w:p>
  </w:footnote>
  <w:footnote w:id="16">
    <w:p w14:paraId="254AFC72" w14:textId="387238F6" w:rsidR="00741BFF" w:rsidRDefault="00741BFF">
      <w:pPr>
        <w:pStyle w:val="Notedebasdepage"/>
      </w:pPr>
      <w:r>
        <w:rPr>
          <w:rStyle w:val="Appelnotedebasdep"/>
        </w:rPr>
        <w:footnoteRef/>
      </w:r>
      <w:r>
        <w:t xml:space="preserve"> Voir Lexique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B06781" w14:textId="696F00EA" w:rsidR="00741BFF" w:rsidRPr="00481071" w:rsidRDefault="00741BFF">
    <w:pPr>
      <w:pStyle w:val="En-tte"/>
      <w:rPr>
        <w:rFonts w:cs="Arial"/>
        <w:i/>
        <w:iCs/>
        <w:sz w:val="20"/>
        <w:szCs w:val="20"/>
      </w:rPr>
    </w:pPr>
    <w:r>
      <w:rPr>
        <w:rFonts w:cs="Arial"/>
        <w:i/>
        <w:iCs/>
        <w:sz w:val="20"/>
        <w:szCs w:val="20"/>
      </w:rPr>
      <w:t>Introduction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267347" w14:textId="35228DCE" w:rsidR="00741BFF" w:rsidRPr="00481071" w:rsidRDefault="00741BFF">
    <w:pPr>
      <w:pStyle w:val="En-tte"/>
      <w:rPr>
        <w:rFonts w:cs="Arial"/>
        <w:i/>
        <w:iCs/>
        <w:sz w:val="20"/>
        <w:szCs w:val="20"/>
      </w:rPr>
    </w:pPr>
    <w:r>
      <w:rPr>
        <w:rFonts w:cs="Arial"/>
        <w:i/>
        <w:iCs/>
        <w:sz w:val="20"/>
        <w:szCs w:val="20"/>
      </w:rPr>
      <w:t>Partie 1 : Etat de l’art, sources de données de quantification de consommation et limites de validité</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5FA1C" w14:textId="77777777" w:rsidR="00741BFF" w:rsidRDefault="00000000">
    <w:pPr>
      <w:pStyle w:val="Corpsdetexte"/>
      <w:spacing w:line="14" w:lineRule="auto"/>
      <w:rPr>
        <w:sz w:val="20"/>
      </w:rPr>
    </w:pPr>
    <w:r>
      <w:pict w14:anchorId="4916B445">
        <v:shapetype id="_x0000_t202" coordsize="21600,21600" o:spt="202" path="m,l,21600r21600,l21600,xe">
          <v:stroke joinstyle="miter"/>
          <v:path gradientshapeok="t" o:connecttype="rect"/>
        </v:shapetype>
        <v:shape id="_x0000_s1026" type="#_x0000_t202" style="position:absolute;left:0;text-align:left;margin-left:283.6pt;margin-top:34.65pt;width:241.9pt;height:12.1pt;z-index:-251658240;mso-position-horizontal-relative:page;mso-position-vertical-relative:page" filled="f" stroked="f">
          <v:textbox style="mso-next-textbox:#_x0000_s1026" inset="0,0,0,0">
            <w:txbxContent>
              <w:p w14:paraId="29106EB2" w14:textId="77777777" w:rsidR="00741BFF" w:rsidRDefault="00741BFF">
                <w:pPr>
                  <w:spacing w:before="14"/>
                  <w:ind w:left="20"/>
                  <w:rPr>
                    <w:sz w:val="18"/>
                  </w:rPr>
                </w:pPr>
                <w:r>
                  <w:rPr>
                    <w:sz w:val="18"/>
                  </w:rPr>
                  <w:t>Les</w:t>
                </w:r>
                <w:r>
                  <w:rPr>
                    <w:spacing w:val="-4"/>
                    <w:sz w:val="18"/>
                  </w:rPr>
                  <w:t xml:space="preserve"> </w:t>
                </w:r>
                <w:r>
                  <w:rPr>
                    <w:sz w:val="18"/>
                  </w:rPr>
                  <w:t>produits</w:t>
                </w:r>
                <w:r>
                  <w:rPr>
                    <w:spacing w:val="-3"/>
                    <w:sz w:val="18"/>
                  </w:rPr>
                  <w:t xml:space="preserve"> </w:t>
                </w:r>
                <w:r>
                  <w:rPr>
                    <w:sz w:val="18"/>
                  </w:rPr>
                  <w:t>commercialisés</w:t>
                </w:r>
                <w:r>
                  <w:rPr>
                    <w:spacing w:val="-3"/>
                    <w:sz w:val="18"/>
                  </w:rPr>
                  <w:t xml:space="preserve"> </w:t>
                </w:r>
                <w:r>
                  <w:rPr>
                    <w:sz w:val="18"/>
                  </w:rPr>
                  <w:t>à</w:t>
                </w:r>
                <w:r>
                  <w:rPr>
                    <w:spacing w:val="-2"/>
                    <w:sz w:val="18"/>
                  </w:rPr>
                  <w:t xml:space="preserve"> </w:t>
                </w:r>
                <w:r>
                  <w:rPr>
                    <w:sz w:val="18"/>
                  </w:rPr>
                  <w:t>l'issue</w:t>
                </w:r>
                <w:r>
                  <w:rPr>
                    <w:spacing w:val="-3"/>
                    <w:sz w:val="18"/>
                  </w:rPr>
                  <w:t xml:space="preserve"> </w:t>
                </w:r>
                <w:r>
                  <w:rPr>
                    <w:sz w:val="18"/>
                  </w:rPr>
                  <w:t>de</w:t>
                </w:r>
                <w:r>
                  <w:rPr>
                    <w:spacing w:val="-3"/>
                    <w:sz w:val="18"/>
                  </w:rPr>
                  <w:t xml:space="preserve"> </w:t>
                </w:r>
                <w:r>
                  <w:rPr>
                    <w:sz w:val="18"/>
                  </w:rPr>
                  <w:t>la</w:t>
                </w:r>
                <w:r>
                  <w:rPr>
                    <w:spacing w:val="-4"/>
                    <w:sz w:val="18"/>
                  </w:rPr>
                  <w:t xml:space="preserve"> </w:t>
                </w:r>
                <w:r>
                  <w:rPr>
                    <w:sz w:val="18"/>
                  </w:rPr>
                  <w:t>découpe</w:t>
                </w:r>
                <w:r>
                  <w:rPr>
                    <w:spacing w:val="-3"/>
                    <w:sz w:val="18"/>
                  </w:rPr>
                  <w:t xml:space="preserve"> </w:t>
                </w:r>
                <w:r>
                  <w:rPr>
                    <w:sz w:val="18"/>
                  </w:rPr>
                  <w:t>du</w:t>
                </w:r>
                <w:r>
                  <w:rPr>
                    <w:spacing w:val="-4"/>
                    <w:sz w:val="18"/>
                  </w:rPr>
                  <w:t xml:space="preserve"> </w:t>
                </w:r>
                <w:r>
                  <w:rPr>
                    <w:sz w:val="18"/>
                  </w:rPr>
                  <w:t>porc</w:t>
                </w:r>
              </w:p>
            </w:txbxContent>
          </v:textbox>
          <w10:wrap anchorx="page" anchory="page"/>
        </v:shape>
      </w:pict>
    </w:r>
  </w:p>
  <w:p w14:paraId="59805F51" w14:textId="77777777" w:rsidR="00741BFF" w:rsidRDefault="00741BFF"/>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9F4D0A" w14:textId="46D4519C" w:rsidR="00741BFF" w:rsidRPr="00943C62" w:rsidRDefault="00741BFF" w:rsidP="00943C62">
    <w:pPr>
      <w:pStyle w:val="En-tte"/>
      <w:rPr>
        <w:rFonts w:cs="Arial"/>
        <w:i/>
        <w:iCs/>
        <w:sz w:val="20"/>
        <w:szCs w:val="20"/>
      </w:rPr>
    </w:pPr>
    <w:r>
      <w:rPr>
        <w:rFonts w:cs="Arial"/>
        <w:i/>
        <w:iCs/>
        <w:sz w:val="20"/>
        <w:szCs w:val="20"/>
      </w:rPr>
      <w:t>Partie 1 : Etat de l’art, sources de données de quantification de consommation et limites de validité</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7E922B" w14:textId="19526E6C" w:rsidR="00741BFF" w:rsidRPr="00943C62" w:rsidRDefault="00741BFF" w:rsidP="00943C62">
    <w:pPr>
      <w:pStyle w:val="En-tte"/>
      <w:rPr>
        <w:rFonts w:cs="Arial"/>
        <w:i/>
        <w:iCs/>
        <w:sz w:val="20"/>
        <w:szCs w:val="20"/>
      </w:rPr>
    </w:pPr>
    <w:r>
      <w:rPr>
        <w:rFonts w:cs="Arial"/>
        <w:i/>
        <w:iCs/>
        <w:sz w:val="20"/>
        <w:szCs w:val="20"/>
      </w:rPr>
      <w:t>Partie 2 : Méthodologie de quantification des produits du porc</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E098AD" w14:textId="32B51730" w:rsidR="00741BFF" w:rsidRPr="00943C62" w:rsidRDefault="00741BFF" w:rsidP="00943C62">
    <w:pPr>
      <w:pStyle w:val="En-tte"/>
      <w:rPr>
        <w:rFonts w:cs="Arial"/>
        <w:i/>
        <w:iCs/>
        <w:sz w:val="20"/>
        <w:szCs w:val="20"/>
      </w:rPr>
    </w:pPr>
    <w:r>
      <w:rPr>
        <w:rFonts w:cs="Arial"/>
        <w:i/>
        <w:iCs/>
        <w:sz w:val="20"/>
        <w:szCs w:val="20"/>
      </w:rPr>
      <w:t>Partie 3 : Première approche de cartographie des pièces primaires selon la méthode des flux de substance</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1B3571" w14:textId="5F2BDC9F" w:rsidR="00741BFF" w:rsidRPr="00943C62" w:rsidRDefault="00741BFF" w:rsidP="00943C62">
    <w:pPr>
      <w:pStyle w:val="En-tte"/>
      <w:rPr>
        <w:rFonts w:cs="Arial"/>
        <w:i/>
        <w:iCs/>
        <w:sz w:val="20"/>
        <w:szCs w:val="20"/>
      </w:rPr>
    </w:pPr>
    <w:r>
      <w:rPr>
        <w:rFonts w:cs="Arial"/>
        <w:i/>
        <w:iCs/>
        <w:sz w:val="20"/>
        <w:szCs w:val="20"/>
      </w:rPr>
      <w:t>Annexe, Lexique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E"/>
    <w:multiLevelType w:val="multilevel"/>
    <w:tmpl w:val="65D866AE"/>
    <w:lvl w:ilvl="0">
      <w:start w:val="1"/>
      <w:numFmt w:val="bullet"/>
      <w:pStyle w:val="Point"/>
      <w:lvlText w:val=""/>
      <w:lvlJc w:val="left"/>
      <w:pPr>
        <w:tabs>
          <w:tab w:val="num" w:pos="420"/>
        </w:tabs>
        <w:ind w:left="420" w:hanging="360"/>
      </w:pPr>
      <w:rPr>
        <w:rFonts w:ascii="Symbol" w:hAnsi="Symbol" w:cs="OpenSymbol"/>
        <w:sz w:val="22"/>
        <w:szCs w:val="22"/>
      </w:rPr>
    </w:lvl>
    <w:lvl w:ilvl="1">
      <w:start w:val="1"/>
      <w:numFmt w:val="bullet"/>
      <w:lvlText w:val="◦"/>
      <w:lvlJc w:val="left"/>
      <w:pPr>
        <w:tabs>
          <w:tab w:val="num" w:pos="780"/>
        </w:tabs>
        <w:ind w:left="780" w:hanging="360"/>
      </w:pPr>
      <w:rPr>
        <w:rFonts w:ascii="OpenSymbol" w:hAnsi="OpenSymbol" w:cs="OpenSymbol"/>
      </w:rPr>
    </w:lvl>
    <w:lvl w:ilvl="2">
      <w:start w:val="1"/>
      <w:numFmt w:val="bullet"/>
      <w:lvlText w:val="▪"/>
      <w:lvlJc w:val="left"/>
      <w:pPr>
        <w:tabs>
          <w:tab w:val="num" w:pos="1140"/>
        </w:tabs>
        <w:ind w:left="1140" w:hanging="360"/>
      </w:pPr>
      <w:rPr>
        <w:rFonts w:ascii="OpenSymbol" w:hAnsi="OpenSymbol" w:cs="OpenSymbol"/>
      </w:rPr>
    </w:lvl>
    <w:lvl w:ilvl="3">
      <w:start w:val="1"/>
      <w:numFmt w:val="bullet"/>
      <w:lvlText w:val=""/>
      <w:lvlJc w:val="left"/>
      <w:pPr>
        <w:tabs>
          <w:tab w:val="num" w:pos="1500"/>
        </w:tabs>
        <w:ind w:left="1500" w:hanging="360"/>
      </w:pPr>
      <w:rPr>
        <w:rFonts w:ascii="Symbol" w:hAnsi="Symbol" w:cs="OpenSymbol"/>
        <w:sz w:val="22"/>
        <w:szCs w:val="22"/>
      </w:rPr>
    </w:lvl>
    <w:lvl w:ilvl="4">
      <w:start w:val="1"/>
      <w:numFmt w:val="bullet"/>
      <w:lvlText w:val="◦"/>
      <w:lvlJc w:val="left"/>
      <w:pPr>
        <w:tabs>
          <w:tab w:val="num" w:pos="1860"/>
        </w:tabs>
        <w:ind w:left="1860" w:hanging="360"/>
      </w:pPr>
      <w:rPr>
        <w:rFonts w:ascii="OpenSymbol" w:hAnsi="OpenSymbol" w:cs="OpenSymbol"/>
      </w:rPr>
    </w:lvl>
    <w:lvl w:ilvl="5">
      <w:start w:val="1"/>
      <w:numFmt w:val="bullet"/>
      <w:lvlText w:val="▪"/>
      <w:lvlJc w:val="left"/>
      <w:pPr>
        <w:tabs>
          <w:tab w:val="num" w:pos="2220"/>
        </w:tabs>
        <w:ind w:left="2220" w:hanging="360"/>
      </w:pPr>
      <w:rPr>
        <w:rFonts w:ascii="OpenSymbol" w:hAnsi="OpenSymbol" w:cs="OpenSymbol"/>
      </w:rPr>
    </w:lvl>
    <w:lvl w:ilvl="6">
      <w:start w:val="1"/>
      <w:numFmt w:val="bullet"/>
      <w:lvlText w:val=""/>
      <w:lvlJc w:val="left"/>
      <w:pPr>
        <w:tabs>
          <w:tab w:val="num" w:pos="2580"/>
        </w:tabs>
        <w:ind w:left="2580" w:hanging="360"/>
      </w:pPr>
      <w:rPr>
        <w:rFonts w:ascii="Symbol" w:hAnsi="Symbol" w:cs="OpenSymbol"/>
        <w:sz w:val="22"/>
        <w:szCs w:val="22"/>
      </w:rPr>
    </w:lvl>
    <w:lvl w:ilvl="7">
      <w:start w:val="1"/>
      <w:numFmt w:val="bullet"/>
      <w:lvlText w:val="◦"/>
      <w:lvlJc w:val="left"/>
      <w:pPr>
        <w:tabs>
          <w:tab w:val="num" w:pos="2940"/>
        </w:tabs>
        <w:ind w:left="2940" w:hanging="360"/>
      </w:pPr>
      <w:rPr>
        <w:rFonts w:ascii="OpenSymbol" w:hAnsi="OpenSymbol" w:cs="OpenSymbol"/>
      </w:rPr>
    </w:lvl>
    <w:lvl w:ilvl="8">
      <w:start w:val="1"/>
      <w:numFmt w:val="bullet"/>
      <w:lvlText w:val="▪"/>
      <w:lvlJc w:val="left"/>
      <w:pPr>
        <w:tabs>
          <w:tab w:val="num" w:pos="3300"/>
        </w:tabs>
        <w:ind w:left="3300" w:hanging="360"/>
      </w:pPr>
      <w:rPr>
        <w:rFonts w:ascii="OpenSymbol" w:hAnsi="OpenSymbol" w:cs="OpenSymbol"/>
      </w:rPr>
    </w:lvl>
  </w:abstractNum>
  <w:abstractNum w:abstractNumId="1" w15:restartNumberingAfterBreak="0">
    <w:nsid w:val="01B05D86"/>
    <w:multiLevelType w:val="multilevel"/>
    <w:tmpl w:val="D1B0DEF6"/>
    <w:lvl w:ilvl="0">
      <w:start w:val="3"/>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2" w15:restartNumberingAfterBreak="0">
    <w:nsid w:val="02CC096B"/>
    <w:multiLevelType w:val="hybridMultilevel"/>
    <w:tmpl w:val="166A43FA"/>
    <w:lvl w:ilvl="0" w:tplc="3D2AF5FE">
      <w:start w:val="1"/>
      <w:numFmt w:val="bullet"/>
      <w:lvlText w:val=""/>
      <w:lvlJc w:val="left"/>
      <w:pPr>
        <w:tabs>
          <w:tab w:val="num" w:pos="720"/>
        </w:tabs>
        <w:ind w:left="720" w:hanging="360"/>
      </w:pPr>
      <w:rPr>
        <w:rFonts w:ascii="Wingdings" w:hAnsi="Wingdings" w:hint="default"/>
      </w:rPr>
    </w:lvl>
    <w:lvl w:ilvl="1" w:tplc="9D705994" w:tentative="1">
      <w:start w:val="1"/>
      <w:numFmt w:val="bullet"/>
      <w:lvlText w:val=""/>
      <w:lvlJc w:val="left"/>
      <w:pPr>
        <w:tabs>
          <w:tab w:val="num" w:pos="1440"/>
        </w:tabs>
        <w:ind w:left="1440" w:hanging="360"/>
      </w:pPr>
      <w:rPr>
        <w:rFonts w:ascii="Wingdings" w:hAnsi="Wingdings" w:hint="default"/>
      </w:rPr>
    </w:lvl>
    <w:lvl w:ilvl="2" w:tplc="E5A0E0A4" w:tentative="1">
      <w:start w:val="1"/>
      <w:numFmt w:val="bullet"/>
      <w:lvlText w:val=""/>
      <w:lvlJc w:val="left"/>
      <w:pPr>
        <w:tabs>
          <w:tab w:val="num" w:pos="2160"/>
        </w:tabs>
        <w:ind w:left="2160" w:hanging="360"/>
      </w:pPr>
      <w:rPr>
        <w:rFonts w:ascii="Wingdings" w:hAnsi="Wingdings" w:hint="default"/>
      </w:rPr>
    </w:lvl>
    <w:lvl w:ilvl="3" w:tplc="A7D4E102" w:tentative="1">
      <w:start w:val="1"/>
      <w:numFmt w:val="bullet"/>
      <w:lvlText w:val=""/>
      <w:lvlJc w:val="left"/>
      <w:pPr>
        <w:tabs>
          <w:tab w:val="num" w:pos="2880"/>
        </w:tabs>
        <w:ind w:left="2880" w:hanging="360"/>
      </w:pPr>
      <w:rPr>
        <w:rFonts w:ascii="Wingdings" w:hAnsi="Wingdings" w:hint="default"/>
      </w:rPr>
    </w:lvl>
    <w:lvl w:ilvl="4" w:tplc="AA9C9E6E" w:tentative="1">
      <w:start w:val="1"/>
      <w:numFmt w:val="bullet"/>
      <w:lvlText w:val=""/>
      <w:lvlJc w:val="left"/>
      <w:pPr>
        <w:tabs>
          <w:tab w:val="num" w:pos="3600"/>
        </w:tabs>
        <w:ind w:left="3600" w:hanging="360"/>
      </w:pPr>
      <w:rPr>
        <w:rFonts w:ascii="Wingdings" w:hAnsi="Wingdings" w:hint="default"/>
      </w:rPr>
    </w:lvl>
    <w:lvl w:ilvl="5" w:tplc="66123A70" w:tentative="1">
      <w:start w:val="1"/>
      <w:numFmt w:val="bullet"/>
      <w:lvlText w:val=""/>
      <w:lvlJc w:val="left"/>
      <w:pPr>
        <w:tabs>
          <w:tab w:val="num" w:pos="4320"/>
        </w:tabs>
        <w:ind w:left="4320" w:hanging="360"/>
      </w:pPr>
      <w:rPr>
        <w:rFonts w:ascii="Wingdings" w:hAnsi="Wingdings" w:hint="default"/>
      </w:rPr>
    </w:lvl>
    <w:lvl w:ilvl="6" w:tplc="429CE1AE" w:tentative="1">
      <w:start w:val="1"/>
      <w:numFmt w:val="bullet"/>
      <w:lvlText w:val=""/>
      <w:lvlJc w:val="left"/>
      <w:pPr>
        <w:tabs>
          <w:tab w:val="num" w:pos="5040"/>
        </w:tabs>
        <w:ind w:left="5040" w:hanging="360"/>
      </w:pPr>
      <w:rPr>
        <w:rFonts w:ascii="Wingdings" w:hAnsi="Wingdings" w:hint="default"/>
      </w:rPr>
    </w:lvl>
    <w:lvl w:ilvl="7" w:tplc="790C4DB6" w:tentative="1">
      <w:start w:val="1"/>
      <w:numFmt w:val="bullet"/>
      <w:lvlText w:val=""/>
      <w:lvlJc w:val="left"/>
      <w:pPr>
        <w:tabs>
          <w:tab w:val="num" w:pos="5760"/>
        </w:tabs>
        <w:ind w:left="5760" w:hanging="360"/>
      </w:pPr>
      <w:rPr>
        <w:rFonts w:ascii="Wingdings" w:hAnsi="Wingdings" w:hint="default"/>
      </w:rPr>
    </w:lvl>
    <w:lvl w:ilvl="8" w:tplc="B4F6D2CC"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82414C"/>
    <w:multiLevelType w:val="hybridMultilevel"/>
    <w:tmpl w:val="A8E6F576"/>
    <w:lvl w:ilvl="0" w:tplc="6EB8EBA6">
      <w:start w:val="1"/>
      <w:numFmt w:val="bullet"/>
      <w:lvlText w:val=""/>
      <w:lvlJc w:val="left"/>
      <w:pPr>
        <w:tabs>
          <w:tab w:val="num" w:pos="720"/>
        </w:tabs>
        <w:ind w:left="720" w:hanging="360"/>
      </w:pPr>
      <w:rPr>
        <w:rFonts w:ascii="Wingdings" w:hAnsi="Wingdings" w:hint="default"/>
      </w:rPr>
    </w:lvl>
    <w:lvl w:ilvl="1" w:tplc="F4C26788" w:tentative="1">
      <w:start w:val="1"/>
      <w:numFmt w:val="bullet"/>
      <w:lvlText w:val=""/>
      <w:lvlJc w:val="left"/>
      <w:pPr>
        <w:tabs>
          <w:tab w:val="num" w:pos="1440"/>
        </w:tabs>
        <w:ind w:left="1440" w:hanging="360"/>
      </w:pPr>
      <w:rPr>
        <w:rFonts w:ascii="Wingdings" w:hAnsi="Wingdings" w:hint="default"/>
      </w:rPr>
    </w:lvl>
    <w:lvl w:ilvl="2" w:tplc="50FAED86" w:tentative="1">
      <w:start w:val="1"/>
      <w:numFmt w:val="bullet"/>
      <w:lvlText w:val=""/>
      <w:lvlJc w:val="left"/>
      <w:pPr>
        <w:tabs>
          <w:tab w:val="num" w:pos="2160"/>
        </w:tabs>
        <w:ind w:left="2160" w:hanging="360"/>
      </w:pPr>
      <w:rPr>
        <w:rFonts w:ascii="Wingdings" w:hAnsi="Wingdings" w:hint="default"/>
      </w:rPr>
    </w:lvl>
    <w:lvl w:ilvl="3" w:tplc="E0407BAC" w:tentative="1">
      <w:start w:val="1"/>
      <w:numFmt w:val="bullet"/>
      <w:lvlText w:val=""/>
      <w:lvlJc w:val="left"/>
      <w:pPr>
        <w:tabs>
          <w:tab w:val="num" w:pos="2880"/>
        </w:tabs>
        <w:ind w:left="2880" w:hanging="360"/>
      </w:pPr>
      <w:rPr>
        <w:rFonts w:ascii="Wingdings" w:hAnsi="Wingdings" w:hint="default"/>
      </w:rPr>
    </w:lvl>
    <w:lvl w:ilvl="4" w:tplc="FBA82868" w:tentative="1">
      <w:start w:val="1"/>
      <w:numFmt w:val="bullet"/>
      <w:lvlText w:val=""/>
      <w:lvlJc w:val="left"/>
      <w:pPr>
        <w:tabs>
          <w:tab w:val="num" w:pos="3600"/>
        </w:tabs>
        <w:ind w:left="3600" w:hanging="360"/>
      </w:pPr>
      <w:rPr>
        <w:rFonts w:ascii="Wingdings" w:hAnsi="Wingdings" w:hint="default"/>
      </w:rPr>
    </w:lvl>
    <w:lvl w:ilvl="5" w:tplc="678CEAA2" w:tentative="1">
      <w:start w:val="1"/>
      <w:numFmt w:val="bullet"/>
      <w:lvlText w:val=""/>
      <w:lvlJc w:val="left"/>
      <w:pPr>
        <w:tabs>
          <w:tab w:val="num" w:pos="4320"/>
        </w:tabs>
        <w:ind w:left="4320" w:hanging="360"/>
      </w:pPr>
      <w:rPr>
        <w:rFonts w:ascii="Wingdings" w:hAnsi="Wingdings" w:hint="default"/>
      </w:rPr>
    </w:lvl>
    <w:lvl w:ilvl="6" w:tplc="CCA68FC8" w:tentative="1">
      <w:start w:val="1"/>
      <w:numFmt w:val="bullet"/>
      <w:lvlText w:val=""/>
      <w:lvlJc w:val="left"/>
      <w:pPr>
        <w:tabs>
          <w:tab w:val="num" w:pos="5040"/>
        </w:tabs>
        <w:ind w:left="5040" w:hanging="360"/>
      </w:pPr>
      <w:rPr>
        <w:rFonts w:ascii="Wingdings" w:hAnsi="Wingdings" w:hint="default"/>
      </w:rPr>
    </w:lvl>
    <w:lvl w:ilvl="7" w:tplc="5A76E302" w:tentative="1">
      <w:start w:val="1"/>
      <w:numFmt w:val="bullet"/>
      <w:lvlText w:val=""/>
      <w:lvlJc w:val="left"/>
      <w:pPr>
        <w:tabs>
          <w:tab w:val="num" w:pos="5760"/>
        </w:tabs>
        <w:ind w:left="5760" w:hanging="360"/>
      </w:pPr>
      <w:rPr>
        <w:rFonts w:ascii="Wingdings" w:hAnsi="Wingdings" w:hint="default"/>
      </w:rPr>
    </w:lvl>
    <w:lvl w:ilvl="8" w:tplc="46CA4AD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50C3F13"/>
    <w:multiLevelType w:val="hybridMultilevel"/>
    <w:tmpl w:val="F712107E"/>
    <w:lvl w:ilvl="0" w:tplc="288CE82E">
      <w:start w:val="1"/>
      <w:numFmt w:val="bullet"/>
      <w:lvlText w:val=""/>
      <w:lvlJc w:val="left"/>
      <w:pPr>
        <w:tabs>
          <w:tab w:val="num" w:pos="720"/>
        </w:tabs>
        <w:ind w:left="720" w:hanging="360"/>
      </w:pPr>
      <w:rPr>
        <w:rFonts w:ascii="Wingdings" w:hAnsi="Wingdings" w:hint="default"/>
      </w:rPr>
    </w:lvl>
    <w:lvl w:ilvl="1" w:tplc="B066AE94" w:tentative="1">
      <w:start w:val="1"/>
      <w:numFmt w:val="bullet"/>
      <w:lvlText w:val=""/>
      <w:lvlJc w:val="left"/>
      <w:pPr>
        <w:tabs>
          <w:tab w:val="num" w:pos="1440"/>
        </w:tabs>
        <w:ind w:left="1440" w:hanging="360"/>
      </w:pPr>
      <w:rPr>
        <w:rFonts w:ascii="Wingdings" w:hAnsi="Wingdings" w:hint="default"/>
      </w:rPr>
    </w:lvl>
    <w:lvl w:ilvl="2" w:tplc="FFA861A8" w:tentative="1">
      <w:start w:val="1"/>
      <w:numFmt w:val="bullet"/>
      <w:lvlText w:val=""/>
      <w:lvlJc w:val="left"/>
      <w:pPr>
        <w:tabs>
          <w:tab w:val="num" w:pos="2160"/>
        </w:tabs>
        <w:ind w:left="2160" w:hanging="360"/>
      </w:pPr>
      <w:rPr>
        <w:rFonts w:ascii="Wingdings" w:hAnsi="Wingdings" w:hint="default"/>
      </w:rPr>
    </w:lvl>
    <w:lvl w:ilvl="3" w:tplc="D4C07DFE" w:tentative="1">
      <w:start w:val="1"/>
      <w:numFmt w:val="bullet"/>
      <w:lvlText w:val=""/>
      <w:lvlJc w:val="left"/>
      <w:pPr>
        <w:tabs>
          <w:tab w:val="num" w:pos="2880"/>
        </w:tabs>
        <w:ind w:left="2880" w:hanging="360"/>
      </w:pPr>
      <w:rPr>
        <w:rFonts w:ascii="Wingdings" w:hAnsi="Wingdings" w:hint="default"/>
      </w:rPr>
    </w:lvl>
    <w:lvl w:ilvl="4" w:tplc="F800BC16" w:tentative="1">
      <w:start w:val="1"/>
      <w:numFmt w:val="bullet"/>
      <w:lvlText w:val=""/>
      <w:lvlJc w:val="left"/>
      <w:pPr>
        <w:tabs>
          <w:tab w:val="num" w:pos="3600"/>
        </w:tabs>
        <w:ind w:left="3600" w:hanging="360"/>
      </w:pPr>
      <w:rPr>
        <w:rFonts w:ascii="Wingdings" w:hAnsi="Wingdings" w:hint="default"/>
      </w:rPr>
    </w:lvl>
    <w:lvl w:ilvl="5" w:tplc="0A68ACC0" w:tentative="1">
      <w:start w:val="1"/>
      <w:numFmt w:val="bullet"/>
      <w:lvlText w:val=""/>
      <w:lvlJc w:val="left"/>
      <w:pPr>
        <w:tabs>
          <w:tab w:val="num" w:pos="4320"/>
        </w:tabs>
        <w:ind w:left="4320" w:hanging="360"/>
      </w:pPr>
      <w:rPr>
        <w:rFonts w:ascii="Wingdings" w:hAnsi="Wingdings" w:hint="default"/>
      </w:rPr>
    </w:lvl>
    <w:lvl w:ilvl="6" w:tplc="EC0C3492" w:tentative="1">
      <w:start w:val="1"/>
      <w:numFmt w:val="bullet"/>
      <w:lvlText w:val=""/>
      <w:lvlJc w:val="left"/>
      <w:pPr>
        <w:tabs>
          <w:tab w:val="num" w:pos="5040"/>
        </w:tabs>
        <w:ind w:left="5040" w:hanging="360"/>
      </w:pPr>
      <w:rPr>
        <w:rFonts w:ascii="Wingdings" w:hAnsi="Wingdings" w:hint="default"/>
      </w:rPr>
    </w:lvl>
    <w:lvl w:ilvl="7" w:tplc="4622F26E" w:tentative="1">
      <w:start w:val="1"/>
      <w:numFmt w:val="bullet"/>
      <w:lvlText w:val=""/>
      <w:lvlJc w:val="left"/>
      <w:pPr>
        <w:tabs>
          <w:tab w:val="num" w:pos="5760"/>
        </w:tabs>
        <w:ind w:left="5760" w:hanging="360"/>
      </w:pPr>
      <w:rPr>
        <w:rFonts w:ascii="Wingdings" w:hAnsi="Wingdings" w:hint="default"/>
      </w:rPr>
    </w:lvl>
    <w:lvl w:ilvl="8" w:tplc="EE1C2A4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5762E4A"/>
    <w:multiLevelType w:val="hybridMultilevel"/>
    <w:tmpl w:val="E8AA8244"/>
    <w:lvl w:ilvl="0" w:tplc="040C0001">
      <w:start w:val="1"/>
      <w:numFmt w:val="bullet"/>
      <w:lvlText w:val=""/>
      <w:lvlJc w:val="left"/>
      <w:pPr>
        <w:tabs>
          <w:tab w:val="num" w:pos="720"/>
        </w:tabs>
        <w:ind w:left="720" w:hanging="360"/>
      </w:pPr>
      <w:rPr>
        <w:rFonts w:ascii="Symbol" w:hAnsi="Symbol" w:hint="default"/>
      </w:rPr>
    </w:lvl>
    <w:lvl w:ilvl="1" w:tplc="F20A2076">
      <w:start w:val="1"/>
      <w:numFmt w:val="bullet"/>
      <w:pStyle w:val="Puce2"/>
      <w:lvlText w:val="o"/>
      <w:lvlJc w:val="left"/>
      <w:pPr>
        <w:tabs>
          <w:tab w:val="num" w:pos="1440"/>
        </w:tabs>
        <w:ind w:left="1440" w:hanging="360"/>
      </w:pPr>
      <w:rPr>
        <w:rFonts w:ascii="Courier New" w:hAnsi="Courier New" w:hint="default"/>
      </w:rPr>
    </w:lvl>
    <w:lvl w:ilvl="2" w:tplc="1B82B822">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985767A"/>
    <w:multiLevelType w:val="hybridMultilevel"/>
    <w:tmpl w:val="CF1E34B4"/>
    <w:lvl w:ilvl="0" w:tplc="2B14FB80">
      <w:start w:val="1"/>
      <w:numFmt w:val="bullet"/>
      <w:lvlText w:val=""/>
      <w:lvlJc w:val="left"/>
      <w:pPr>
        <w:tabs>
          <w:tab w:val="num" w:pos="720"/>
        </w:tabs>
        <w:ind w:left="720" w:hanging="360"/>
      </w:pPr>
      <w:rPr>
        <w:rFonts w:ascii="Wingdings" w:hAnsi="Wingdings" w:hint="default"/>
      </w:rPr>
    </w:lvl>
    <w:lvl w:ilvl="1" w:tplc="1FCEA0B0" w:tentative="1">
      <w:start w:val="1"/>
      <w:numFmt w:val="bullet"/>
      <w:lvlText w:val=""/>
      <w:lvlJc w:val="left"/>
      <w:pPr>
        <w:tabs>
          <w:tab w:val="num" w:pos="1440"/>
        </w:tabs>
        <w:ind w:left="1440" w:hanging="360"/>
      </w:pPr>
      <w:rPr>
        <w:rFonts w:ascii="Wingdings" w:hAnsi="Wingdings" w:hint="default"/>
      </w:rPr>
    </w:lvl>
    <w:lvl w:ilvl="2" w:tplc="FA4E0D80" w:tentative="1">
      <w:start w:val="1"/>
      <w:numFmt w:val="bullet"/>
      <w:lvlText w:val=""/>
      <w:lvlJc w:val="left"/>
      <w:pPr>
        <w:tabs>
          <w:tab w:val="num" w:pos="2160"/>
        </w:tabs>
        <w:ind w:left="2160" w:hanging="360"/>
      </w:pPr>
      <w:rPr>
        <w:rFonts w:ascii="Wingdings" w:hAnsi="Wingdings" w:hint="default"/>
      </w:rPr>
    </w:lvl>
    <w:lvl w:ilvl="3" w:tplc="2386559E" w:tentative="1">
      <w:start w:val="1"/>
      <w:numFmt w:val="bullet"/>
      <w:lvlText w:val=""/>
      <w:lvlJc w:val="left"/>
      <w:pPr>
        <w:tabs>
          <w:tab w:val="num" w:pos="2880"/>
        </w:tabs>
        <w:ind w:left="2880" w:hanging="360"/>
      </w:pPr>
      <w:rPr>
        <w:rFonts w:ascii="Wingdings" w:hAnsi="Wingdings" w:hint="default"/>
      </w:rPr>
    </w:lvl>
    <w:lvl w:ilvl="4" w:tplc="1E724932" w:tentative="1">
      <w:start w:val="1"/>
      <w:numFmt w:val="bullet"/>
      <w:lvlText w:val=""/>
      <w:lvlJc w:val="left"/>
      <w:pPr>
        <w:tabs>
          <w:tab w:val="num" w:pos="3600"/>
        </w:tabs>
        <w:ind w:left="3600" w:hanging="360"/>
      </w:pPr>
      <w:rPr>
        <w:rFonts w:ascii="Wingdings" w:hAnsi="Wingdings" w:hint="default"/>
      </w:rPr>
    </w:lvl>
    <w:lvl w:ilvl="5" w:tplc="95044B3C" w:tentative="1">
      <w:start w:val="1"/>
      <w:numFmt w:val="bullet"/>
      <w:lvlText w:val=""/>
      <w:lvlJc w:val="left"/>
      <w:pPr>
        <w:tabs>
          <w:tab w:val="num" w:pos="4320"/>
        </w:tabs>
        <w:ind w:left="4320" w:hanging="360"/>
      </w:pPr>
      <w:rPr>
        <w:rFonts w:ascii="Wingdings" w:hAnsi="Wingdings" w:hint="default"/>
      </w:rPr>
    </w:lvl>
    <w:lvl w:ilvl="6" w:tplc="AB324D88" w:tentative="1">
      <w:start w:val="1"/>
      <w:numFmt w:val="bullet"/>
      <w:lvlText w:val=""/>
      <w:lvlJc w:val="left"/>
      <w:pPr>
        <w:tabs>
          <w:tab w:val="num" w:pos="5040"/>
        </w:tabs>
        <w:ind w:left="5040" w:hanging="360"/>
      </w:pPr>
      <w:rPr>
        <w:rFonts w:ascii="Wingdings" w:hAnsi="Wingdings" w:hint="default"/>
      </w:rPr>
    </w:lvl>
    <w:lvl w:ilvl="7" w:tplc="AA9A4B44" w:tentative="1">
      <w:start w:val="1"/>
      <w:numFmt w:val="bullet"/>
      <w:lvlText w:val=""/>
      <w:lvlJc w:val="left"/>
      <w:pPr>
        <w:tabs>
          <w:tab w:val="num" w:pos="5760"/>
        </w:tabs>
        <w:ind w:left="5760" w:hanging="360"/>
      </w:pPr>
      <w:rPr>
        <w:rFonts w:ascii="Wingdings" w:hAnsi="Wingdings" w:hint="default"/>
      </w:rPr>
    </w:lvl>
    <w:lvl w:ilvl="8" w:tplc="FB70921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A4A59A7"/>
    <w:multiLevelType w:val="multilevel"/>
    <w:tmpl w:val="6ED0A09C"/>
    <w:lvl w:ilvl="0">
      <w:start w:val="2"/>
      <w:numFmt w:val="decimal"/>
      <w:lvlText w:val="%1."/>
      <w:lvlJc w:val="left"/>
      <w:pPr>
        <w:ind w:left="660" w:hanging="660"/>
      </w:pPr>
      <w:rPr>
        <w:rFonts w:hint="default"/>
      </w:rPr>
    </w:lvl>
    <w:lvl w:ilvl="1">
      <w:start w:val="2"/>
      <w:numFmt w:val="decimal"/>
      <w:lvlText w:val="%1.%2."/>
      <w:lvlJc w:val="left"/>
      <w:pPr>
        <w:ind w:left="1019" w:hanging="660"/>
      </w:pPr>
      <w:rPr>
        <w:rFonts w:hint="default"/>
      </w:rPr>
    </w:lvl>
    <w:lvl w:ilvl="2">
      <w:start w:val="2"/>
      <w:numFmt w:val="decimal"/>
      <w:lvlText w:val="%1.%2.%3."/>
      <w:lvlJc w:val="left"/>
      <w:pPr>
        <w:ind w:left="1438" w:hanging="720"/>
      </w:pPr>
      <w:rPr>
        <w:rFonts w:hint="default"/>
      </w:rPr>
    </w:lvl>
    <w:lvl w:ilvl="3">
      <w:start w:val="1"/>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8" w15:restartNumberingAfterBreak="0">
    <w:nsid w:val="0B48726D"/>
    <w:multiLevelType w:val="hybridMultilevel"/>
    <w:tmpl w:val="052267DE"/>
    <w:lvl w:ilvl="0" w:tplc="056AF51C">
      <w:start w:val="1"/>
      <w:numFmt w:val="bullet"/>
      <w:lvlText w:val=""/>
      <w:lvlJc w:val="left"/>
      <w:pPr>
        <w:tabs>
          <w:tab w:val="num" w:pos="720"/>
        </w:tabs>
        <w:ind w:left="720" w:hanging="360"/>
      </w:pPr>
      <w:rPr>
        <w:rFonts w:ascii="Wingdings" w:hAnsi="Wingdings" w:hint="default"/>
      </w:rPr>
    </w:lvl>
    <w:lvl w:ilvl="1" w:tplc="BE6CB0EE" w:tentative="1">
      <w:start w:val="1"/>
      <w:numFmt w:val="bullet"/>
      <w:lvlText w:val=""/>
      <w:lvlJc w:val="left"/>
      <w:pPr>
        <w:tabs>
          <w:tab w:val="num" w:pos="1440"/>
        </w:tabs>
        <w:ind w:left="1440" w:hanging="360"/>
      </w:pPr>
      <w:rPr>
        <w:rFonts w:ascii="Wingdings" w:hAnsi="Wingdings" w:hint="default"/>
      </w:rPr>
    </w:lvl>
    <w:lvl w:ilvl="2" w:tplc="44B8D010" w:tentative="1">
      <w:start w:val="1"/>
      <w:numFmt w:val="bullet"/>
      <w:lvlText w:val=""/>
      <w:lvlJc w:val="left"/>
      <w:pPr>
        <w:tabs>
          <w:tab w:val="num" w:pos="2160"/>
        </w:tabs>
        <w:ind w:left="2160" w:hanging="360"/>
      </w:pPr>
      <w:rPr>
        <w:rFonts w:ascii="Wingdings" w:hAnsi="Wingdings" w:hint="default"/>
      </w:rPr>
    </w:lvl>
    <w:lvl w:ilvl="3" w:tplc="A07E8E44" w:tentative="1">
      <w:start w:val="1"/>
      <w:numFmt w:val="bullet"/>
      <w:lvlText w:val=""/>
      <w:lvlJc w:val="left"/>
      <w:pPr>
        <w:tabs>
          <w:tab w:val="num" w:pos="2880"/>
        </w:tabs>
        <w:ind w:left="2880" w:hanging="360"/>
      </w:pPr>
      <w:rPr>
        <w:rFonts w:ascii="Wingdings" w:hAnsi="Wingdings" w:hint="default"/>
      </w:rPr>
    </w:lvl>
    <w:lvl w:ilvl="4" w:tplc="48EE3624" w:tentative="1">
      <w:start w:val="1"/>
      <w:numFmt w:val="bullet"/>
      <w:lvlText w:val=""/>
      <w:lvlJc w:val="left"/>
      <w:pPr>
        <w:tabs>
          <w:tab w:val="num" w:pos="3600"/>
        </w:tabs>
        <w:ind w:left="3600" w:hanging="360"/>
      </w:pPr>
      <w:rPr>
        <w:rFonts w:ascii="Wingdings" w:hAnsi="Wingdings" w:hint="default"/>
      </w:rPr>
    </w:lvl>
    <w:lvl w:ilvl="5" w:tplc="7B783A10" w:tentative="1">
      <w:start w:val="1"/>
      <w:numFmt w:val="bullet"/>
      <w:lvlText w:val=""/>
      <w:lvlJc w:val="left"/>
      <w:pPr>
        <w:tabs>
          <w:tab w:val="num" w:pos="4320"/>
        </w:tabs>
        <w:ind w:left="4320" w:hanging="360"/>
      </w:pPr>
      <w:rPr>
        <w:rFonts w:ascii="Wingdings" w:hAnsi="Wingdings" w:hint="default"/>
      </w:rPr>
    </w:lvl>
    <w:lvl w:ilvl="6" w:tplc="E0547E92" w:tentative="1">
      <w:start w:val="1"/>
      <w:numFmt w:val="bullet"/>
      <w:lvlText w:val=""/>
      <w:lvlJc w:val="left"/>
      <w:pPr>
        <w:tabs>
          <w:tab w:val="num" w:pos="5040"/>
        </w:tabs>
        <w:ind w:left="5040" w:hanging="360"/>
      </w:pPr>
      <w:rPr>
        <w:rFonts w:ascii="Wingdings" w:hAnsi="Wingdings" w:hint="default"/>
      </w:rPr>
    </w:lvl>
    <w:lvl w:ilvl="7" w:tplc="1A3E1CA6" w:tentative="1">
      <w:start w:val="1"/>
      <w:numFmt w:val="bullet"/>
      <w:lvlText w:val=""/>
      <w:lvlJc w:val="left"/>
      <w:pPr>
        <w:tabs>
          <w:tab w:val="num" w:pos="5760"/>
        </w:tabs>
        <w:ind w:left="5760" w:hanging="360"/>
      </w:pPr>
      <w:rPr>
        <w:rFonts w:ascii="Wingdings" w:hAnsi="Wingdings" w:hint="default"/>
      </w:rPr>
    </w:lvl>
    <w:lvl w:ilvl="8" w:tplc="4E8A54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CC51511"/>
    <w:multiLevelType w:val="hybridMultilevel"/>
    <w:tmpl w:val="A44C906C"/>
    <w:lvl w:ilvl="0" w:tplc="E47290D6">
      <w:start w:val="1"/>
      <w:numFmt w:val="bullet"/>
      <w:lvlText w:val=""/>
      <w:lvlJc w:val="left"/>
      <w:pPr>
        <w:tabs>
          <w:tab w:val="num" w:pos="720"/>
        </w:tabs>
        <w:ind w:left="720" w:hanging="360"/>
      </w:pPr>
      <w:rPr>
        <w:rFonts w:ascii="Wingdings" w:hAnsi="Wingdings" w:hint="default"/>
      </w:rPr>
    </w:lvl>
    <w:lvl w:ilvl="1" w:tplc="FC7A76C8" w:tentative="1">
      <w:start w:val="1"/>
      <w:numFmt w:val="bullet"/>
      <w:lvlText w:val=""/>
      <w:lvlJc w:val="left"/>
      <w:pPr>
        <w:tabs>
          <w:tab w:val="num" w:pos="1440"/>
        </w:tabs>
        <w:ind w:left="1440" w:hanging="360"/>
      </w:pPr>
      <w:rPr>
        <w:rFonts w:ascii="Wingdings" w:hAnsi="Wingdings" w:hint="default"/>
      </w:rPr>
    </w:lvl>
    <w:lvl w:ilvl="2" w:tplc="63682190" w:tentative="1">
      <w:start w:val="1"/>
      <w:numFmt w:val="bullet"/>
      <w:lvlText w:val=""/>
      <w:lvlJc w:val="left"/>
      <w:pPr>
        <w:tabs>
          <w:tab w:val="num" w:pos="2160"/>
        </w:tabs>
        <w:ind w:left="2160" w:hanging="360"/>
      </w:pPr>
      <w:rPr>
        <w:rFonts w:ascii="Wingdings" w:hAnsi="Wingdings" w:hint="default"/>
      </w:rPr>
    </w:lvl>
    <w:lvl w:ilvl="3" w:tplc="EB62986E" w:tentative="1">
      <w:start w:val="1"/>
      <w:numFmt w:val="bullet"/>
      <w:lvlText w:val=""/>
      <w:lvlJc w:val="left"/>
      <w:pPr>
        <w:tabs>
          <w:tab w:val="num" w:pos="2880"/>
        </w:tabs>
        <w:ind w:left="2880" w:hanging="360"/>
      </w:pPr>
      <w:rPr>
        <w:rFonts w:ascii="Wingdings" w:hAnsi="Wingdings" w:hint="default"/>
      </w:rPr>
    </w:lvl>
    <w:lvl w:ilvl="4" w:tplc="368ABDBC" w:tentative="1">
      <w:start w:val="1"/>
      <w:numFmt w:val="bullet"/>
      <w:lvlText w:val=""/>
      <w:lvlJc w:val="left"/>
      <w:pPr>
        <w:tabs>
          <w:tab w:val="num" w:pos="3600"/>
        </w:tabs>
        <w:ind w:left="3600" w:hanging="360"/>
      </w:pPr>
      <w:rPr>
        <w:rFonts w:ascii="Wingdings" w:hAnsi="Wingdings" w:hint="default"/>
      </w:rPr>
    </w:lvl>
    <w:lvl w:ilvl="5" w:tplc="5896E794" w:tentative="1">
      <w:start w:val="1"/>
      <w:numFmt w:val="bullet"/>
      <w:lvlText w:val=""/>
      <w:lvlJc w:val="left"/>
      <w:pPr>
        <w:tabs>
          <w:tab w:val="num" w:pos="4320"/>
        </w:tabs>
        <w:ind w:left="4320" w:hanging="360"/>
      </w:pPr>
      <w:rPr>
        <w:rFonts w:ascii="Wingdings" w:hAnsi="Wingdings" w:hint="default"/>
      </w:rPr>
    </w:lvl>
    <w:lvl w:ilvl="6" w:tplc="CA8ACB10" w:tentative="1">
      <w:start w:val="1"/>
      <w:numFmt w:val="bullet"/>
      <w:lvlText w:val=""/>
      <w:lvlJc w:val="left"/>
      <w:pPr>
        <w:tabs>
          <w:tab w:val="num" w:pos="5040"/>
        </w:tabs>
        <w:ind w:left="5040" w:hanging="360"/>
      </w:pPr>
      <w:rPr>
        <w:rFonts w:ascii="Wingdings" w:hAnsi="Wingdings" w:hint="default"/>
      </w:rPr>
    </w:lvl>
    <w:lvl w:ilvl="7" w:tplc="B0C61018" w:tentative="1">
      <w:start w:val="1"/>
      <w:numFmt w:val="bullet"/>
      <w:lvlText w:val=""/>
      <w:lvlJc w:val="left"/>
      <w:pPr>
        <w:tabs>
          <w:tab w:val="num" w:pos="5760"/>
        </w:tabs>
        <w:ind w:left="5760" w:hanging="360"/>
      </w:pPr>
      <w:rPr>
        <w:rFonts w:ascii="Wingdings" w:hAnsi="Wingdings" w:hint="default"/>
      </w:rPr>
    </w:lvl>
    <w:lvl w:ilvl="8" w:tplc="D0EC9174"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D896953"/>
    <w:multiLevelType w:val="multilevel"/>
    <w:tmpl w:val="DFEA9EC6"/>
    <w:lvl w:ilvl="0">
      <w:start w:val="3"/>
      <w:numFmt w:val="decimal"/>
      <w:lvlText w:val="%1."/>
      <w:lvlJc w:val="left"/>
      <w:pPr>
        <w:ind w:left="720" w:hanging="720"/>
      </w:pPr>
      <w:rPr>
        <w:rFonts w:hint="default"/>
      </w:rPr>
    </w:lvl>
    <w:lvl w:ilvl="1">
      <w:start w:val="2"/>
      <w:numFmt w:val="decimal"/>
      <w:lvlText w:val="%1.%2."/>
      <w:lvlJc w:val="left"/>
      <w:pPr>
        <w:ind w:left="1180" w:hanging="720"/>
      </w:pPr>
      <w:rPr>
        <w:rFonts w:hint="default"/>
      </w:rPr>
    </w:lvl>
    <w:lvl w:ilvl="2">
      <w:start w:val="2"/>
      <w:numFmt w:val="decimal"/>
      <w:lvlText w:val="%1.%2.%3."/>
      <w:lvlJc w:val="left"/>
      <w:pPr>
        <w:ind w:left="1640" w:hanging="720"/>
      </w:pPr>
      <w:rPr>
        <w:rFonts w:hint="default"/>
      </w:rPr>
    </w:lvl>
    <w:lvl w:ilvl="3">
      <w:start w:val="1"/>
      <w:numFmt w:val="decimal"/>
      <w:lvlText w:val="%1.%2.%3.%4."/>
      <w:lvlJc w:val="left"/>
      <w:pPr>
        <w:ind w:left="2460" w:hanging="1080"/>
      </w:pPr>
      <w:rPr>
        <w:rFonts w:hint="default"/>
      </w:rPr>
    </w:lvl>
    <w:lvl w:ilvl="4">
      <w:start w:val="1"/>
      <w:numFmt w:val="decimal"/>
      <w:lvlText w:val="%1.%2.%3.%4.%5."/>
      <w:lvlJc w:val="left"/>
      <w:pPr>
        <w:ind w:left="2920" w:hanging="1080"/>
      </w:pPr>
      <w:rPr>
        <w:rFonts w:hint="default"/>
      </w:rPr>
    </w:lvl>
    <w:lvl w:ilvl="5">
      <w:start w:val="1"/>
      <w:numFmt w:val="decimal"/>
      <w:lvlText w:val="%1.%2.%3.%4.%5.%6."/>
      <w:lvlJc w:val="left"/>
      <w:pPr>
        <w:ind w:left="3740" w:hanging="1440"/>
      </w:pPr>
      <w:rPr>
        <w:rFonts w:hint="default"/>
      </w:rPr>
    </w:lvl>
    <w:lvl w:ilvl="6">
      <w:start w:val="1"/>
      <w:numFmt w:val="decimal"/>
      <w:lvlText w:val="%1.%2.%3.%4.%5.%6.%7."/>
      <w:lvlJc w:val="left"/>
      <w:pPr>
        <w:ind w:left="4200" w:hanging="1440"/>
      </w:pPr>
      <w:rPr>
        <w:rFonts w:hint="default"/>
      </w:rPr>
    </w:lvl>
    <w:lvl w:ilvl="7">
      <w:start w:val="1"/>
      <w:numFmt w:val="decimal"/>
      <w:lvlText w:val="%1.%2.%3.%4.%5.%6.%7.%8."/>
      <w:lvlJc w:val="left"/>
      <w:pPr>
        <w:ind w:left="5020" w:hanging="1800"/>
      </w:pPr>
      <w:rPr>
        <w:rFonts w:hint="default"/>
      </w:rPr>
    </w:lvl>
    <w:lvl w:ilvl="8">
      <w:start w:val="1"/>
      <w:numFmt w:val="decimal"/>
      <w:lvlText w:val="%1.%2.%3.%4.%5.%6.%7.%8.%9."/>
      <w:lvlJc w:val="left"/>
      <w:pPr>
        <w:ind w:left="5480" w:hanging="1800"/>
      </w:pPr>
      <w:rPr>
        <w:rFonts w:hint="default"/>
      </w:rPr>
    </w:lvl>
  </w:abstractNum>
  <w:abstractNum w:abstractNumId="11" w15:restartNumberingAfterBreak="0">
    <w:nsid w:val="0F751FBD"/>
    <w:multiLevelType w:val="multilevel"/>
    <w:tmpl w:val="B4FCA4DC"/>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12" w15:restartNumberingAfterBreak="0">
    <w:nsid w:val="10071E69"/>
    <w:multiLevelType w:val="multilevel"/>
    <w:tmpl w:val="1D9C5B50"/>
    <w:lvl w:ilvl="0">
      <w:start w:val="1"/>
      <w:numFmt w:val="decimal"/>
      <w:lvlText w:val="%1."/>
      <w:lvlJc w:val="left"/>
      <w:pPr>
        <w:ind w:left="720" w:hanging="360"/>
      </w:pPr>
    </w:lvl>
    <w:lvl w:ilvl="1">
      <w:start w:val="2"/>
      <w:numFmt w:val="decimal"/>
      <w:isLgl/>
      <w:lvlText w:val="%1.%2."/>
      <w:lvlJc w:val="left"/>
      <w:pPr>
        <w:ind w:left="1080" w:hanging="720"/>
      </w:pPr>
      <w:rPr>
        <w:rFonts w:hint="default"/>
        <w:sz w:val="24"/>
      </w:rPr>
    </w:lvl>
    <w:lvl w:ilvl="2">
      <w:start w:val="1"/>
      <w:numFmt w:val="decimal"/>
      <w:isLgl/>
      <w:lvlText w:val="%1.%2.%3."/>
      <w:lvlJc w:val="left"/>
      <w:pPr>
        <w:ind w:left="1080" w:hanging="720"/>
      </w:pPr>
      <w:rPr>
        <w:rFonts w:hint="default"/>
        <w:sz w:val="24"/>
      </w:rPr>
    </w:lvl>
    <w:lvl w:ilvl="3">
      <w:start w:val="1"/>
      <w:numFmt w:val="decimal"/>
      <w:isLgl/>
      <w:lvlText w:val="%1.%2.%3.%4."/>
      <w:lvlJc w:val="left"/>
      <w:pPr>
        <w:ind w:left="1440" w:hanging="108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800" w:hanging="144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2160" w:hanging="1800"/>
      </w:pPr>
      <w:rPr>
        <w:rFonts w:hint="default"/>
        <w:sz w:val="24"/>
      </w:rPr>
    </w:lvl>
    <w:lvl w:ilvl="8">
      <w:start w:val="1"/>
      <w:numFmt w:val="decimal"/>
      <w:isLgl/>
      <w:lvlText w:val="%1.%2.%3.%4.%5.%6.%7.%8.%9."/>
      <w:lvlJc w:val="left"/>
      <w:pPr>
        <w:ind w:left="2160" w:hanging="1800"/>
      </w:pPr>
      <w:rPr>
        <w:rFonts w:hint="default"/>
        <w:sz w:val="24"/>
      </w:rPr>
    </w:lvl>
  </w:abstractNum>
  <w:abstractNum w:abstractNumId="13" w15:restartNumberingAfterBreak="0">
    <w:nsid w:val="10DF63B9"/>
    <w:multiLevelType w:val="multilevel"/>
    <w:tmpl w:val="FA923A30"/>
    <w:lvl w:ilvl="0">
      <w:start w:val="1"/>
      <w:numFmt w:val="decimal"/>
      <w:pStyle w:val="Titre6"/>
      <w:lvlText w:val="%1."/>
      <w:lvlJc w:val="left"/>
      <w:pPr>
        <w:ind w:left="1481" w:hanging="360"/>
        <w:jc w:val="right"/>
      </w:pPr>
      <w:rPr>
        <w:rFonts w:ascii="Arial" w:eastAsia="Arial" w:hAnsi="Arial" w:cs="Arial" w:hint="default"/>
        <w:b/>
        <w:bCs/>
        <w:spacing w:val="-1"/>
        <w:w w:val="100"/>
        <w:sz w:val="28"/>
        <w:szCs w:val="28"/>
        <w:lang w:val="fr-FR" w:eastAsia="fr-FR" w:bidi="fr-FR"/>
      </w:rPr>
    </w:lvl>
    <w:lvl w:ilvl="1">
      <w:start w:val="1"/>
      <w:numFmt w:val="decimal"/>
      <w:lvlText w:val="%1.%2."/>
      <w:lvlJc w:val="left"/>
      <w:pPr>
        <w:ind w:left="2266" w:hanging="720"/>
      </w:pPr>
      <w:rPr>
        <w:rFonts w:ascii="Arial" w:eastAsia="Arial" w:hAnsi="Arial" w:cs="Arial" w:hint="default"/>
        <w:b/>
        <w:bCs/>
        <w:i/>
        <w:spacing w:val="0"/>
        <w:w w:val="99"/>
        <w:sz w:val="24"/>
        <w:szCs w:val="24"/>
        <w:lang w:val="fr-FR" w:eastAsia="fr-FR" w:bidi="fr-FR"/>
      </w:rPr>
    </w:lvl>
    <w:lvl w:ilvl="2">
      <w:numFmt w:val="bullet"/>
      <w:lvlText w:val="•"/>
      <w:lvlJc w:val="left"/>
      <w:pPr>
        <w:ind w:left="2260" w:hanging="720"/>
      </w:pPr>
      <w:rPr>
        <w:rFonts w:hint="default"/>
        <w:lang w:val="fr-FR" w:eastAsia="fr-FR" w:bidi="fr-FR"/>
      </w:rPr>
    </w:lvl>
    <w:lvl w:ilvl="3">
      <w:numFmt w:val="bullet"/>
      <w:lvlText w:val="•"/>
      <w:lvlJc w:val="left"/>
      <w:pPr>
        <w:ind w:left="3330" w:hanging="720"/>
      </w:pPr>
      <w:rPr>
        <w:rFonts w:hint="default"/>
        <w:lang w:val="fr-FR" w:eastAsia="fr-FR" w:bidi="fr-FR"/>
      </w:rPr>
    </w:lvl>
    <w:lvl w:ilvl="4">
      <w:numFmt w:val="bullet"/>
      <w:lvlText w:val="•"/>
      <w:lvlJc w:val="left"/>
      <w:pPr>
        <w:ind w:left="4400" w:hanging="720"/>
      </w:pPr>
      <w:rPr>
        <w:rFonts w:hint="default"/>
        <w:lang w:val="fr-FR" w:eastAsia="fr-FR" w:bidi="fr-FR"/>
      </w:rPr>
    </w:lvl>
    <w:lvl w:ilvl="5">
      <w:numFmt w:val="bullet"/>
      <w:lvlText w:val="•"/>
      <w:lvlJc w:val="left"/>
      <w:pPr>
        <w:ind w:left="5470" w:hanging="720"/>
      </w:pPr>
      <w:rPr>
        <w:rFonts w:hint="default"/>
        <w:lang w:val="fr-FR" w:eastAsia="fr-FR" w:bidi="fr-FR"/>
      </w:rPr>
    </w:lvl>
    <w:lvl w:ilvl="6">
      <w:numFmt w:val="bullet"/>
      <w:lvlText w:val="•"/>
      <w:lvlJc w:val="left"/>
      <w:pPr>
        <w:ind w:left="6540" w:hanging="720"/>
      </w:pPr>
      <w:rPr>
        <w:rFonts w:hint="default"/>
        <w:lang w:val="fr-FR" w:eastAsia="fr-FR" w:bidi="fr-FR"/>
      </w:rPr>
    </w:lvl>
    <w:lvl w:ilvl="7">
      <w:numFmt w:val="bullet"/>
      <w:lvlText w:val="•"/>
      <w:lvlJc w:val="left"/>
      <w:pPr>
        <w:ind w:left="7610" w:hanging="720"/>
      </w:pPr>
      <w:rPr>
        <w:rFonts w:hint="default"/>
        <w:lang w:val="fr-FR" w:eastAsia="fr-FR" w:bidi="fr-FR"/>
      </w:rPr>
    </w:lvl>
    <w:lvl w:ilvl="8">
      <w:numFmt w:val="bullet"/>
      <w:lvlText w:val="•"/>
      <w:lvlJc w:val="left"/>
      <w:pPr>
        <w:ind w:left="8680" w:hanging="720"/>
      </w:pPr>
      <w:rPr>
        <w:rFonts w:hint="default"/>
        <w:lang w:val="fr-FR" w:eastAsia="fr-FR" w:bidi="fr-FR"/>
      </w:rPr>
    </w:lvl>
  </w:abstractNum>
  <w:abstractNum w:abstractNumId="14" w15:restartNumberingAfterBreak="0">
    <w:nsid w:val="11F87EFC"/>
    <w:multiLevelType w:val="hybridMultilevel"/>
    <w:tmpl w:val="9DF8BE48"/>
    <w:lvl w:ilvl="0" w:tplc="69E03D8E">
      <w:start w:val="1"/>
      <w:numFmt w:val="bullet"/>
      <w:lvlText w:val=""/>
      <w:lvlJc w:val="left"/>
      <w:pPr>
        <w:tabs>
          <w:tab w:val="num" w:pos="720"/>
        </w:tabs>
        <w:ind w:left="720" w:hanging="360"/>
      </w:pPr>
      <w:rPr>
        <w:rFonts w:ascii="Wingdings" w:hAnsi="Wingdings" w:hint="default"/>
      </w:rPr>
    </w:lvl>
    <w:lvl w:ilvl="1" w:tplc="E00A7146" w:tentative="1">
      <w:start w:val="1"/>
      <w:numFmt w:val="bullet"/>
      <w:lvlText w:val=""/>
      <w:lvlJc w:val="left"/>
      <w:pPr>
        <w:tabs>
          <w:tab w:val="num" w:pos="1440"/>
        </w:tabs>
        <w:ind w:left="1440" w:hanging="360"/>
      </w:pPr>
      <w:rPr>
        <w:rFonts w:ascii="Wingdings" w:hAnsi="Wingdings" w:hint="default"/>
      </w:rPr>
    </w:lvl>
    <w:lvl w:ilvl="2" w:tplc="0558636A" w:tentative="1">
      <w:start w:val="1"/>
      <w:numFmt w:val="bullet"/>
      <w:lvlText w:val=""/>
      <w:lvlJc w:val="left"/>
      <w:pPr>
        <w:tabs>
          <w:tab w:val="num" w:pos="2160"/>
        </w:tabs>
        <w:ind w:left="2160" w:hanging="360"/>
      </w:pPr>
      <w:rPr>
        <w:rFonts w:ascii="Wingdings" w:hAnsi="Wingdings" w:hint="default"/>
      </w:rPr>
    </w:lvl>
    <w:lvl w:ilvl="3" w:tplc="39B09AF6" w:tentative="1">
      <w:start w:val="1"/>
      <w:numFmt w:val="bullet"/>
      <w:lvlText w:val=""/>
      <w:lvlJc w:val="left"/>
      <w:pPr>
        <w:tabs>
          <w:tab w:val="num" w:pos="2880"/>
        </w:tabs>
        <w:ind w:left="2880" w:hanging="360"/>
      </w:pPr>
      <w:rPr>
        <w:rFonts w:ascii="Wingdings" w:hAnsi="Wingdings" w:hint="default"/>
      </w:rPr>
    </w:lvl>
    <w:lvl w:ilvl="4" w:tplc="4DE4843E" w:tentative="1">
      <w:start w:val="1"/>
      <w:numFmt w:val="bullet"/>
      <w:lvlText w:val=""/>
      <w:lvlJc w:val="left"/>
      <w:pPr>
        <w:tabs>
          <w:tab w:val="num" w:pos="3600"/>
        </w:tabs>
        <w:ind w:left="3600" w:hanging="360"/>
      </w:pPr>
      <w:rPr>
        <w:rFonts w:ascii="Wingdings" w:hAnsi="Wingdings" w:hint="default"/>
      </w:rPr>
    </w:lvl>
    <w:lvl w:ilvl="5" w:tplc="B2B69768" w:tentative="1">
      <w:start w:val="1"/>
      <w:numFmt w:val="bullet"/>
      <w:lvlText w:val=""/>
      <w:lvlJc w:val="left"/>
      <w:pPr>
        <w:tabs>
          <w:tab w:val="num" w:pos="4320"/>
        </w:tabs>
        <w:ind w:left="4320" w:hanging="360"/>
      </w:pPr>
      <w:rPr>
        <w:rFonts w:ascii="Wingdings" w:hAnsi="Wingdings" w:hint="default"/>
      </w:rPr>
    </w:lvl>
    <w:lvl w:ilvl="6" w:tplc="16A40B16" w:tentative="1">
      <w:start w:val="1"/>
      <w:numFmt w:val="bullet"/>
      <w:lvlText w:val=""/>
      <w:lvlJc w:val="left"/>
      <w:pPr>
        <w:tabs>
          <w:tab w:val="num" w:pos="5040"/>
        </w:tabs>
        <w:ind w:left="5040" w:hanging="360"/>
      </w:pPr>
      <w:rPr>
        <w:rFonts w:ascii="Wingdings" w:hAnsi="Wingdings" w:hint="default"/>
      </w:rPr>
    </w:lvl>
    <w:lvl w:ilvl="7" w:tplc="9C98EB08" w:tentative="1">
      <w:start w:val="1"/>
      <w:numFmt w:val="bullet"/>
      <w:lvlText w:val=""/>
      <w:lvlJc w:val="left"/>
      <w:pPr>
        <w:tabs>
          <w:tab w:val="num" w:pos="5760"/>
        </w:tabs>
        <w:ind w:left="5760" w:hanging="360"/>
      </w:pPr>
      <w:rPr>
        <w:rFonts w:ascii="Wingdings" w:hAnsi="Wingdings" w:hint="default"/>
      </w:rPr>
    </w:lvl>
    <w:lvl w:ilvl="8" w:tplc="1530578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34F7E07"/>
    <w:multiLevelType w:val="multilevel"/>
    <w:tmpl w:val="9CB410EC"/>
    <w:lvl w:ilvl="0">
      <w:start w:val="4"/>
      <w:numFmt w:val="decimal"/>
      <w:lvlText w:val="%1."/>
      <w:lvlJc w:val="left"/>
      <w:pPr>
        <w:ind w:left="540" w:hanging="540"/>
      </w:pPr>
      <w:rPr>
        <w:rFonts w:hint="default"/>
      </w:rPr>
    </w:lvl>
    <w:lvl w:ilvl="1">
      <w:start w:val="2"/>
      <w:numFmt w:val="decimal"/>
      <w:lvlText w:val="%1.%2."/>
      <w:lvlJc w:val="left"/>
      <w:pPr>
        <w:ind w:left="1050" w:hanging="720"/>
      </w:pPr>
      <w:rPr>
        <w:rFonts w:hint="default"/>
      </w:rPr>
    </w:lvl>
    <w:lvl w:ilvl="2">
      <w:start w:val="1"/>
      <w:numFmt w:val="decimal"/>
      <w:lvlText w:val="%1.%2.%3."/>
      <w:lvlJc w:val="left"/>
      <w:pPr>
        <w:ind w:left="1380" w:hanging="720"/>
      </w:pPr>
      <w:rPr>
        <w:rFonts w:hint="default"/>
      </w:rPr>
    </w:lvl>
    <w:lvl w:ilvl="3">
      <w:start w:val="1"/>
      <w:numFmt w:val="decimal"/>
      <w:lvlText w:val="%1.%2.%3.%4."/>
      <w:lvlJc w:val="left"/>
      <w:pPr>
        <w:ind w:left="2070" w:hanging="108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3090" w:hanging="144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4110" w:hanging="1800"/>
      </w:pPr>
      <w:rPr>
        <w:rFonts w:hint="default"/>
      </w:rPr>
    </w:lvl>
    <w:lvl w:ilvl="8">
      <w:start w:val="1"/>
      <w:numFmt w:val="decimal"/>
      <w:lvlText w:val="%1.%2.%3.%4.%5.%6.%7.%8.%9."/>
      <w:lvlJc w:val="left"/>
      <w:pPr>
        <w:ind w:left="4440" w:hanging="1800"/>
      </w:pPr>
      <w:rPr>
        <w:rFonts w:hint="default"/>
      </w:rPr>
    </w:lvl>
  </w:abstractNum>
  <w:abstractNum w:abstractNumId="16" w15:restartNumberingAfterBreak="0">
    <w:nsid w:val="13A72F8C"/>
    <w:multiLevelType w:val="hybridMultilevel"/>
    <w:tmpl w:val="A8CAF78C"/>
    <w:lvl w:ilvl="0" w:tplc="40205B48">
      <w:start w:val="1"/>
      <w:numFmt w:val="bullet"/>
      <w:lvlText w:val=""/>
      <w:lvlJc w:val="left"/>
      <w:pPr>
        <w:tabs>
          <w:tab w:val="num" w:pos="720"/>
        </w:tabs>
        <w:ind w:left="720" w:hanging="360"/>
      </w:pPr>
      <w:rPr>
        <w:rFonts w:ascii="Wingdings" w:hAnsi="Wingdings" w:hint="default"/>
      </w:rPr>
    </w:lvl>
    <w:lvl w:ilvl="1" w:tplc="36D85848" w:tentative="1">
      <w:start w:val="1"/>
      <w:numFmt w:val="bullet"/>
      <w:lvlText w:val=""/>
      <w:lvlJc w:val="left"/>
      <w:pPr>
        <w:tabs>
          <w:tab w:val="num" w:pos="1440"/>
        </w:tabs>
        <w:ind w:left="1440" w:hanging="360"/>
      </w:pPr>
      <w:rPr>
        <w:rFonts w:ascii="Wingdings" w:hAnsi="Wingdings" w:hint="default"/>
      </w:rPr>
    </w:lvl>
    <w:lvl w:ilvl="2" w:tplc="59C699F8" w:tentative="1">
      <w:start w:val="1"/>
      <w:numFmt w:val="bullet"/>
      <w:lvlText w:val=""/>
      <w:lvlJc w:val="left"/>
      <w:pPr>
        <w:tabs>
          <w:tab w:val="num" w:pos="2160"/>
        </w:tabs>
        <w:ind w:left="2160" w:hanging="360"/>
      </w:pPr>
      <w:rPr>
        <w:rFonts w:ascii="Wingdings" w:hAnsi="Wingdings" w:hint="default"/>
      </w:rPr>
    </w:lvl>
    <w:lvl w:ilvl="3" w:tplc="5FB8A8E8" w:tentative="1">
      <w:start w:val="1"/>
      <w:numFmt w:val="bullet"/>
      <w:lvlText w:val=""/>
      <w:lvlJc w:val="left"/>
      <w:pPr>
        <w:tabs>
          <w:tab w:val="num" w:pos="2880"/>
        </w:tabs>
        <w:ind w:left="2880" w:hanging="360"/>
      </w:pPr>
      <w:rPr>
        <w:rFonts w:ascii="Wingdings" w:hAnsi="Wingdings" w:hint="default"/>
      </w:rPr>
    </w:lvl>
    <w:lvl w:ilvl="4" w:tplc="5E7AD808" w:tentative="1">
      <w:start w:val="1"/>
      <w:numFmt w:val="bullet"/>
      <w:lvlText w:val=""/>
      <w:lvlJc w:val="left"/>
      <w:pPr>
        <w:tabs>
          <w:tab w:val="num" w:pos="3600"/>
        </w:tabs>
        <w:ind w:left="3600" w:hanging="360"/>
      </w:pPr>
      <w:rPr>
        <w:rFonts w:ascii="Wingdings" w:hAnsi="Wingdings" w:hint="default"/>
      </w:rPr>
    </w:lvl>
    <w:lvl w:ilvl="5" w:tplc="6AA252B6" w:tentative="1">
      <w:start w:val="1"/>
      <w:numFmt w:val="bullet"/>
      <w:lvlText w:val=""/>
      <w:lvlJc w:val="left"/>
      <w:pPr>
        <w:tabs>
          <w:tab w:val="num" w:pos="4320"/>
        </w:tabs>
        <w:ind w:left="4320" w:hanging="360"/>
      </w:pPr>
      <w:rPr>
        <w:rFonts w:ascii="Wingdings" w:hAnsi="Wingdings" w:hint="default"/>
      </w:rPr>
    </w:lvl>
    <w:lvl w:ilvl="6" w:tplc="7D8264FE" w:tentative="1">
      <w:start w:val="1"/>
      <w:numFmt w:val="bullet"/>
      <w:lvlText w:val=""/>
      <w:lvlJc w:val="left"/>
      <w:pPr>
        <w:tabs>
          <w:tab w:val="num" w:pos="5040"/>
        </w:tabs>
        <w:ind w:left="5040" w:hanging="360"/>
      </w:pPr>
      <w:rPr>
        <w:rFonts w:ascii="Wingdings" w:hAnsi="Wingdings" w:hint="default"/>
      </w:rPr>
    </w:lvl>
    <w:lvl w:ilvl="7" w:tplc="CF428D34" w:tentative="1">
      <w:start w:val="1"/>
      <w:numFmt w:val="bullet"/>
      <w:lvlText w:val=""/>
      <w:lvlJc w:val="left"/>
      <w:pPr>
        <w:tabs>
          <w:tab w:val="num" w:pos="5760"/>
        </w:tabs>
        <w:ind w:left="5760" w:hanging="360"/>
      </w:pPr>
      <w:rPr>
        <w:rFonts w:ascii="Wingdings" w:hAnsi="Wingdings" w:hint="default"/>
      </w:rPr>
    </w:lvl>
    <w:lvl w:ilvl="8" w:tplc="9C6A0BE4"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541002E"/>
    <w:multiLevelType w:val="multilevel"/>
    <w:tmpl w:val="9CB410EC"/>
    <w:lvl w:ilvl="0">
      <w:start w:val="4"/>
      <w:numFmt w:val="decimal"/>
      <w:lvlText w:val="%1."/>
      <w:lvlJc w:val="left"/>
      <w:pPr>
        <w:ind w:left="540" w:hanging="540"/>
      </w:pPr>
      <w:rPr>
        <w:rFonts w:hint="default"/>
      </w:rPr>
    </w:lvl>
    <w:lvl w:ilvl="1">
      <w:start w:val="2"/>
      <w:numFmt w:val="decimal"/>
      <w:lvlText w:val="%1.%2."/>
      <w:lvlJc w:val="left"/>
      <w:pPr>
        <w:ind w:left="1050" w:hanging="720"/>
      </w:pPr>
      <w:rPr>
        <w:rFonts w:hint="default"/>
      </w:rPr>
    </w:lvl>
    <w:lvl w:ilvl="2">
      <w:start w:val="1"/>
      <w:numFmt w:val="decimal"/>
      <w:lvlText w:val="%1.%2.%3."/>
      <w:lvlJc w:val="left"/>
      <w:pPr>
        <w:ind w:left="1380" w:hanging="720"/>
      </w:pPr>
      <w:rPr>
        <w:rFonts w:hint="default"/>
      </w:rPr>
    </w:lvl>
    <w:lvl w:ilvl="3">
      <w:start w:val="1"/>
      <w:numFmt w:val="decimal"/>
      <w:lvlText w:val="%1.%2.%3.%4."/>
      <w:lvlJc w:val="left"/>
      <w:pPr>
        <w:ind w:left="2070" w:hanging="108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3090" w:hanging="144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4110" w:hanging="1800"/>
      </w:pPr>
      <w:rPr>
        <w:rFonts w:hint="default"/>
      </w:rPr>
    </w:lvl>
    <w:lvl w:ilvl="8">
      <w:start w:val="1"/>
      <w:numFmt w:val="decimal"/>
      <w:lvlText w:val="%1.%2.%3.%4.%5.%6.%7.%8.%9."/>
      <w:lvlJc w:val="left"/>
      <w:pPr>
        <w:ind w:left="4440" w:hanging="1800"/>
      </w:pPr>
      <w:rPr>
        <w:rFonts w:hint="default"/>
      </w:rPr>
    </w:lvl>
  </w:abstractNum>
  <w:abstractNum w:abstractNumId="18" w15:restartNumberingAfterBreak="0">
    <w:nsid w:val="15F6388F"/>
    <w:multiLevelType w:val="hybridMultilevel"/>
    <w:tmpl w:val="9E70C204"/>
    <w:lvl w:ilvl="0" w:tplc="C5FE54EA">
      <w:start w:val="1"/>
      <w:numFmt w:val="bullet"/>
      <w:lvlText w:val=""/>
      <w:lvlJc w:val="left"/>
      <w:pPr>
        <w:tabs>
          <w:tab w:val="num" w:pos="720"/>
        </w:tabs>
        <w:ind w:left="720" w:hanging="360"/>
      </w:pPr>
      <w:rPr>
        <w:rFonts w:ascii="Symbol" w:hAnsi="Symbol" w:hint="default"/>
      </w:rPr>
    </w:lvl>
    <w:lvl w:ilvl="1" w:tplc="72D0F4F8">
      <w:numFmt w:val="bullet"/>
      <w:lvlText w:val="-"/>
      <w:lvlJc w:val="left"/>
      <w:pPr>
        <w:tabs>
          <w:tab w:val="num" w:pos="1440"/>
        </w:tabs>
        <w:ind w:left="1440" w:hanging="360"/>
      </w:pPr>
      <w:rPr>
        <w:rFonts w:ascii="Times New Roman" w:eastAsia="Times New Roman" w:hAnsi="Times New Roman" w:cs="Times New Roman" w:hint="default"/>
      </w:rPr>
    </w:lvl>
    <w:lvl w:ilvl="2" w:tplc="80A6FA06">
      <w:numFmt w:val="bullet"/>
      <w:lvlText w:val=""/>
      <w:lvlJc w:val="left"/>
      <w:pPr>
        <w:tabs>
          <w:tab w:val="num" w:pos="2160"/>
        </w:tabs>
        <w:ind w:left="2160" w:hanging="360"/>
      </w:pPr>
      <w:rPr>
        <w:rFonts w:ascii="Wingdings" w:eastAsia="Times New Roman" w:hAnsi="Wingdings" w:cs="Arial"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9230F7F"/>
    <w:multiLevelType w:val="multilevel"/>
    <w:tmpl w:val="965CF534"/>
    <w:lvl w:ilvl="0">
      <w:start w:val="1"/>
      <w:numFmt w:val="decimal"/>
      <w:lvlText w:val="%1."/>
      <w:lvlJc w:val="left"/>
      <w:pPr>
        <w:ind w:left="720" w:hanging="360"/>
      </w:pPr>
      <w:rPr>
        <w:rFonts w:eastAsiaTheme="majorEastAsia"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20" w15:restartNumberingAfterBreak="0">
    <w:nsid w:val="198A6941"/>
    <w:multiLevelType w:val="multilevel"/>
    <w:tmpl w:val="41F6DB26"/>
    <w:lvl w:ilvl="0">
      <w:start w:val="1"/>
      <w:numFmt w:val="decimal"/>
      <w:lvlText w:val="%1."/>
      <w:lvlJc w:val="left"/>
      <w:pPr>
        <w:ind w:left="720" w:hanging="360"/>
      </w:pPr>
      <w:rPr>
        <w:rFonts w:hint="default"/>
      </w:rPr>
    </w:lvl>
    <w:lvl w:ilvl="1">
      <w:start w:val="1"/>
      <w:numFmt w:val="decimal"/>
      <w:pStyle w:val="Titre2"/>
      <w:isLgl/>
      <w:lvlText w:val="%1.%2."/>
      <w:lvlJc w:val="left"/>
      <w:pPr>
        <w:ind w:left="143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15:restartNumberingAfterBreak="0">
    <w:nsid w:val="1E51303A"/>
    <w:multiLevelType w:val="hybridMultilevel"/>
    <w:tmpl w:val="B9D470D4"/>
    <w:lvl w:ilvl="0" w:tplc="D56AEC12">
      <w:start w:val="1"/>
      <w:numFmt w:val="bullet"/>
      <w:lvlText w:val=""/>
      <w:lvlJc w:val="left"/>
      <w:pPr>
        <w:tabs>
          <w:tab w:val="num" w:pos="720"/>
        </w:tabs>
        <w:ind w:left="720" w:hanging="360"/>
      </w:pPr>
      <w:rPr>
        <w:rFonts w:ascii="Wingdings" w:hAnsi="Wingdings" w:hint="default"/>
      </w:rPr>
    </w:lvl>
    <w:lvl w:ilvl="1" w:tplc="0E123318" w:tentative="1">
      <w:start w:val="1"/>
      <w:numFmt w:val="bullet"/>
      <w:lvlText w:val=""/>
      <w:lvlJc w:val="left"/>
      <w:pPr>
        <w:tabs>
          <w:tab w:val="num" w:pos="1440"/>
        </w:tabs>
        <w:ind w:left="1440" w:hanging="360"/>
      </w:pPr>
      <w:rPr>
        <w:rFonts w:ascii="Wingdings" w:hAnsi="Wingdings" w:hint="default"/>
      </w:rPr>
    </w:lvl>
    <w:lvl w:ilvl="2" w:tplc="8F7AE334" w:tentative="1">
      <w:start w:val="1"/>
      <w:numFmt w:val="bullet"/>
      <w:lvlText w:val=""/>
      <w:lvlJc w:val="left"/>
      <w:pPr>
        <w:tabs>
          <w:tab w:val="num" w:pos="2160"/>
        </w:tabs>
        <w:ind w:left="2160" w:hanging="360"/>
      </w:pPr>
      <w:rPr>
        <w:rFonts w:ascii="Wingdings" w:hAnsi="Wingdings" w:hint="default"/>
      </w:rPr>
    </w:lvl>
    <w:lvl w:ilvl="3" w:tplc="DE3C336E" w:tentative="1">
      <w:start w:val="1"/>
      <w:numFmt w:val="bullet"/>
      <w:lvlText w:val=""/>
      <w:lvlJc w:val="left"/>
      <w:pPr>
        <w:tabs>
          <w:tab w:val="num" w:pos="2880"/>
        </w:tabs>
        <w:ind w:left="2880" w:hanging="360"/>
      </w:pPr>
      <w:rPr>
        <w:rFonts w:ascii="Wingdings" w:hAnsi="Wingdings" w:hint="default"/>
      </w:rPr>
    </w:lvl>
    <w:lvl w:ilvl="4" w:tplc="55AE7BDC" w:tentative="1">
      <w:start w:val="1"/>
      <w:numFmt w:val="bullet"/>
      <w:lvlText w:val=""/>
      <w:lvlJc w:val="left"/>
      <w:pPr>
        <w:tabs>
          <w:tab w:val="num" w:pos="3600"/>
        </w:tabs>
        <w:ind w:left="3600" w:hanging="360"/>
      </w:pPr>
      <w:rPr>
        <w:rFonts w:ascii="Wingdings" w:hAnsi="Wingdings" w:hint="default"/>
      </w:rPr>
    </w:lvl>
    <w:lvl w:ilvl="5" w:tplc="267AA45C" w:tentative="1">
      <w:start w:val="1"/>
      <w:numFmt w:val="bullet"/>
      <w:lvlText w:val=""/>
      <w:lvlJc w:val="left"/>
      <w:pPr>
        <w:tabs>
          <w:tab w:val="num" w:pos="4320"/>
        </w:tabs>
        <w:ind w:left="4320" w:hanging="360"/>
      </w:pPr>
      <w:rPr>
        <w:rFonts w:ascii="Wingdings" w:hAnsi="Wingdings" w:hint="default"/>
      </w:rPr>
    </w:lvl>
    <w:lvl w:ilvl="6" w:tplc="E61C8268" w:tentative="1">
      <w:start w:val="1"/>
      <w:numFmt w:val="bullet"/>
      <w:lvlText w:val=""/>
      <w:lvlJc w:val="left"/>
      <w:pPr>
        <w:tabs>
          <w:tab w:val="num" w:pos="5040"/>
        </w:tabs>
        <w:ind w:left="5040" w:hanging="360"/>
      </w:pPr>
      <w:rPr>
        <w:rFonts w:ascii="Wingdings" w:hAnsi="Wingdings" w:hint="default"/>
      </w:rPr>
    </w:lvl>
    <w:lvl w:ilvl="7" w:tplc="4FD6194A" w:tentative="1">
      <w:start w:val="1"/>
      <w:numFmt w:val="bullet"/>
      <w:lvlText w:val=""/>
      <w:lvlJc w:val="left"/>
      <w:pPr>
        <w:tabs>
          <w:tab w:val="num" w:pos="5760"/>
        </w:tabs>
        <w:ind w:left="5760" w:hanging="360"/>
      </w:pPr>
      <w:rPr>
        <w:rFonts w:ascii="Wingdings" w:hAnsi="Wingdings" w:hint="default"/>
      </w:rPr>
    </w:lvl>
    <w:lvl w:ilvl="8" w:tplc="6DF85A32"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0441AF4"/>
    <w:multiLevelType w:val="hybridMultilevel"/>
    <w:tmpl w:val="7AFEBD3C"/>
    <w:lvl w:ilvl="0" w:tplc="1E7A6F4A">
      <w:start w:val="1"/>
      <w:numFmt w:val="bullet"/>
      <w:lvlText w:val=""/>
      <w:lvlJc w:val="left"/>
      <w:pPr>
        <w:tabs>
          <w:tab w:val="num" w:pos="720"/>
        </w:tabs>
        <w:ind w:left="720" w:hanging="360"/>
      </w:pPr>
      <w:rPr>
        <w:rFonts w:ascii="Wingdings" w:hAnsi="Wingdings" w:hint="default"/>
      </w:rPr>
    </w:lvl>
    <w:lvl w:ilvl="1" w:tplc="FF005510" w:tentative="1">
      <w:start w:val="1"/>
      <w:numFmt w:val="bullet"/>
      <w:lvlText w:val=""/>
      <w:lvlJc w:val="left"/>
      <w:pPr>
        <w:tabs>
          <w:tab w:val="num" w:pos="1440"/>
        </w:tabs>
        <w:ind w:left="1440" w:hanging="360"/>
      </w:pPr>
      <w:rPr>
        <w:rFonts w:ascii="Wingdings" w:hAnsi="Wingdings" w:hint="default"/>
      </w:rPr>
    </w:lvl>
    <w:lvl w:ilvl="2" w:tplc="C1823DBE" w:tentative="1">
      <w:start w:val="1"/>
      <w:numFmt w:val="bullet"/>
      <w:lvlText w:val=""/>
      <w:lvlJc w:val="left"/>
      <w:pPr>
        <w:tabs>
          <w:tab w:val="num" w:pos="2160"/>
        </w:tabs>
        <w:ind w:left="2160" w:hanging="360"/>
      </w:pPr>
      <w:rPr>
        <w:rFonts w:ascii="Wingdings" w:hAnsi="Wingdings" w:hint="default"/>
      </w:rPr>
    </w:lvl>
    <w:lvl w:ilvl="3" w:tplc="2DDCDE78" w:tentative="1">
      <w:start w:val="1"/>
      <w:numFmt w:val="bullet"/>
      <w:lvlText w:val=""/>
      <w:lvlJc w:val="left"/>
      <w:pPr>
        <w:tabs>
          <w:tab w:val="num" w:pos="2880"/>
        </w:tabs>
        <w:ind w:left="2880" w:hanging="360"/>
      </w:pPr>
      <w:rPr>
        <w:rFonts w:ascii="Wingdings" w:hAnsi="Wingdings" w:hint="default"/>
      </w:rPr>
    </w:lvl>
    <w:lvl w:ilvl="4" w:tplc="5060CC12" w:tentative="1">
      <w:start w:val="1"/>
      <w:numFmt w:val="bullet"/>
      <w:lvlText w:val=""/>
      <w:lvlJc w:val="left"/>
      <w:pPr>
        <w:tabs>
          <w:tab w:val="num" w:pos="3600"/>
        </w:tabs>
        <w:ind w:left="3600" w:hanging="360"/>
      </w:pPr>
      <w:rPr>
        <w:rFonts w:ascii="Wingdings" w:hAnsi="Wingdings" w:hint="default"/>
      </w:rPr>
    </w:lvl>
    <w:lvl w:ilvl="5" w:tplc="5ADE6672" w:tentative="1">
      <w:start w:val="1"/>
      <w:numFmt w:val="bullet"/>
      <w:lvlText w:val=""/>
      <w:lvlJc w:val="left"/>
      <w:pPr>
        <w:tabs>
          <w:tab w:val="num" w:pos="4320"/>
        </w:tabs>
        <w:ind w:left="4320" w:hanging="360"/>
      </w:pPr>
      <w:rPr>
        <w:rFonts w:ascii="Wingdings" w:hAnsi="Wingdings" w:hint="default"/>
      </w:rPr>
    </w:lvl>
    <w:lvl w:ilvl="6" w:tplc="C358C3D6" w:tentative="1">
      <w:start w:val="1"/>
      <w:numFmt w:val="bullet"/>
      <w:lvlText w:val=""/>
      <w:lvlJc w:val="left"/>
      <w:pPr>
        <w:tabs>
          <w:tab w:val="num" w:pos="5040"/>
        </w:tabs>
        <w:ind w:left="5040" w:hanging="360"/>
      </w:pPr>
      <w:rPr>
        <w:rFonts w:ascii="Wingdings" w:hAnsi="Wingdings" w:hint="default"/>
      </w:rPr>
    </w:lvl>
    <w:lvl w:ilvl="7" w:tplc="61DED930" w:tentative="1">
      <w:start w:val="1"/>
      <w:numFmt w:val="bullet"/>
      <w:lvlText w:val=""/>
      <w:lvlJc w:val="left"/>
      <w:pPr>
        <w:tabs>
          <w:tab w:val="num" w:pos="5760"/>
        </w:tabs>
        <w:ind w:left="5760" w:hanging="360"/>
      </w:pPr>
      <w:rPr>
        <w:rFonts w:ascii="Wingdings" w:hAnsi="Wingdings" w:hint="default"/>
      </w:rPr>
    </w:lvl>
    <w:lvl w:ilvl="8" w:tplc="8340C52C"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3F539D3"/>
    <w:multiLevelType w:val="multilevel"/>
    <w:tmpl w:val="00D8D8C6"/>
    <w:lvl w:ilvl="0">
      <w:start w:val="4"/>
      <w:numFmt w:val="decimal"/>
      <w:lvlText w:val="%1."/>
      <w:lvlJc w:val="left"/>
      <w:pPr>
        <w:ind w:left="540" w:hanging="540"/>
      </w:pPr>
      <w:rPr>
        <w:rFonts w:hint="default"/>
      </w:rPr>
    </w:lvl>
    <w:lvl w:ilvl="1">
      <w:start w:val="1"/>
      <w:numFmt w:val="decimal"/>
      <w:lvlText w:val="%1.%2."/>
      <w:lvlJc w:val="left"/>
      <w:pPr>
        <w:ind w:left="1260" w:hanging="720"/>
      </w:pPr>
      <w:rPr>
        <w:rFonts w:hint="default"/>
      </w:rPr>
    </w:lvl>
    <w:lvl w:ilvl="2">
      <w:start w:val="3"/>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120" w:hanging="1800"/>
      </w:pPr>
      <w:rPr>
        <w:rFonts w:hint="default"/>
      </w:rPr>
    </w:lvl>
  </w:abstractNum>
  <w:abstractNum w:abstractNumId="24" w15:restartNumberingAfterBreak="0">
    <w:nsid w:val="24E362D8"/>
    <w:multiLevelType w:val="multilevel"/>
    <w:tmpl w:val="7292EAF6"/>
    <w:lvl w:ilvl="0">
      <w:start w:val="4"/>
      <w:numFmt w:val="decimal"/>
      <w:lvlText w:val="%1."/>
      <w:lvlJc w:val="left"/>
      <w:pPr>
        <w:ind w:left="540" w:hanging="540"/>
      </w:pPr>
      <w:rPr>
        <w:rFonts w:hint="default"/>
      </w:rPr>
    </w:lvl>
    <w:lvl w:ilvl="1">
      <w:start w:val="1"/>
      <w:numFmt w:val="decimal"/>
      <w:lvlText w:val="%1.%2."/>
      <w:lvlJc w:val="left"/>
      <w:pPr>
        <w:ind w:left="1222" w:hanging="720"/>
      </w:pPr>
      <w:rPr>
        <w:rFonts w:hint="default"/>
      </w:rPr>
    </w:lvl>
    <w:lvl w:ilvl="2">
      <w:start w:val="4"/>
      <w:numFmt w:val="decimal"/>
      <w:lvlText w:val="%1.%2.%3."/>
      <w:lvlJc w:val="left"/>
      <w:pPr>
        <w:ind w:left="1724"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5314" w:hanging="1800"/>
      </w:pPr>
      <w:rPr>
        <w:rFonts w:hint="default"/>
      </w:rPr>
    </w:lvl>
    <w:lvl w:ilvl="8">
      <w:start w:val="1"/>
      <w:numFmt w:val="decimal"/>
      <w:lvlText w:val="%1.%2.%3.%4.%5.%6.%7.%8.%9."/>
      <w:lvlJc w:val="left"/>
      <w:pPr>
        <w:ind w:left="5816" w:hanging="1800"/>
      </w:pPr>
      <w:rPr>
        <w:rFonts w:hint="default"/>
      </w:rPr>
    </w:lvl>
  </w:abstractNum>
  <w:abstractNum w:abstractNumId="25" w15:restartNumberingAfterBreak="0">
    <w:nsid w:val="26426398"/>
    <w:multiLevelType w:val="hybridMultilevel"/>
    <w:tmpl w:val="2F8EBF08"/>
    <w:lvl w:ilvl="0" w:tplc="33E65E96">
      <w:start w:val="1"/>
      <w:numFmt w:val="bullet"/>
      <w:pStyle w:val="Paragraphedeliste"/>
      <w:lvlText w:val="-"/>
      <w:lvlJc w:val="left"/>
      <w:pPr>
        <w:ind w:left="720" w:hanging="360"/>
      </w:pPr>
      <w:rPr>
        <w:rFonts w:ascii="Arial" w:eastAsia="Times New Roman" w:hAnsi="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6DD16F5"/>
    <w:multiLevelType w:val="hybridMultilevel"/>
    <w:tmpl w:val="3F7AB0E6"/>
    <w:lvl w:ilvl="0" w:tplc="20FAA166">
      <w:start w:val="5"/>
      <w:numFmt w:val="bullet"/>
      <w:lvlText w:val="-"/>
      <w:lvlJc w:val="left"/>
      <w:pPr>
        <w:ind w:left="1068" w:hanging="360"/>
      </w:pPr>
      <w:rPr>
        <w:rFonts w:ascii="Arial" w:eastAsia="Arial Unicode MS" w:hAnsi="Arial" w:cs="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7" w15:restartNumberingAfterBreak="0">
    <w:nsid w:val="2A901F85"/>
    <w:multiLevelType w:val="hybridMultilevel"/>
    <w:tmpl w:val="0A3C08DC"/>
    <w:lvl w:ilvl="0" w:tplc="A334786A">
      <w:start w:val="2"/>
      <w:numFmt w:val="bullet"/>
      <w:lvlText w:val="-"/>
      <w:lvlJc w:val="left"/>
      <w:pPr>
        <w:ind w:left="361" w:hanging="360"/>
      </w:pPr>
      <w:rPr>
        <w:rFonts w:ascii="Arial" w:eastAsiaTheme="minorHAnsi" w:hAnsi="Arial" w:cs="Arial" w:hint="default"/>
      </w:rPr>
    </w:lvl>
    <w:lvl w:ilvl="1" w:tplc="040C0003">
      <w:start w:val="1"/>
      <w:numFmt w:val="bullet"/>
      <w:lvlText w:val="o"/>
      <w:lvlJc w:val="left"/>
      <w:pPr>
        <w:ind w:left="1081" w:hanging="360"/>
      </w:pPr>
      <w:rPr>
        <w:rFonts w:ascii="Courier New" w:hAnsi="Courier New" w:cs="Courier New" w:hint="default"/>
      </w:rPr>
    </w:lvl>
    <w:lvl w:ilvl="2" w:tplc="040C0005">
      <w:start w:val="1"/>
      <w:numFmt w:val="bullet"/>
      <w:lvlText w:val=""/>
      <w:lvlJc w:val="left"/>
      <w:pPr>
        <w:ind w:left="1801" w:hanging="360"/>
      </w:pPr>
      <w:rPr>
        <w:rFonts w:ascii="Wingdings" w:hAnsi="Wingdings" w:hint="default"/>
      </w:rPr>
    </w:lvl>
    <w:lvl w:ilvl="3" w:tplc="040C0001" w:tentative="1">
      <w:start w:val="1"/>
      <w:numFmt w:val="bullet"/>
      <w:lvlText w:val=""/>
      <w:lvlJc w:val="left"/>
      <w:pPr>
        <w:ind w:left="2521" w:hanging="360"/>
      </w:pPr>
      <w:rPr>
        <w:rFonts w:ascii="Symbol" w:hAnsi="Symbol" w:hint="default"/>
      </w:rPr>
    </w:lvl>
    <w:lvl w:ilvl="4" w:tplc="040C0003" w:tentative="1">
      <w:start w:val="1"/>
      <w:numFmt w:val="bullet"/>
      <w:lvlText w:val="o"/>
      <w:lvlJc w:val="left"/>
      <w:pPr>
        <w:ind w:left="3241" w:hanging="360"/>
      </w:pPr>
      <w:rPr>
        <w:rFonts w:ascii="Courier New" w:hAnsi="Courier New" w:cs="Courier New" w:hint="default"/>
      </w:rPr>
    </w:lvl>
    <w:lvl w:ilvl="5" w:tplc="040C0005" w:tentative="1">
      <w:start w:val="1"/>
      <w:numFmt w:val="bullet"/>
      <w:lvlText w:val=""/>
      <w:lvlJc w:val="left"/>
      <w:pPr>
        <w:ind w:left="3961" w:hanging="360"/>
      </w:pPr>
      <w:rPr>
        <w:rFonts w:ascii="Wingdings" w:hAnsi="Wingdings" w:hint="default"/>
      </w:rPr>
    </w:lvl>
    <w:lvl w:ilvl="6" w:tplc="040C0001" w:tentative="1">
      <w:start w:val="1"/>
      <w:numFmt w:val="bullet"/>
      <w:lvlText w:val=""/>
      <w:lvlJc w:val="left"/>
      <w:pPr>
        <w:ind w:left="4681" w:hanging="360"/>
      </w:pPr>
      <w:rPr>
        <w:rFonts w:ascii="Symbol" w:hAnsi="Symbol" w:hint="default"/>
      </w:rPr>
    </w:lvl>
    <w:lvl w:ilvl="7" w:tplc="040C0003" w:tentative="1">
      <w:start w:val="1"/>
      <w:numFmt w:val="bullet"/>
      <w:lvlText w:val="o"/>
      <w:lvlJc w:val="left"/>
      <w:pPr>
        <w:ind w:left="5401" w:hanging="360"/>
      </w:pPr>
      <w:rPr>
        <w:rFonts w:ascii="Courier New" w:hAnsi="Courier New" w:cs="Courier New" w:hint="default"/>
      </w:rPr>
    </w:lvl>
    <w:lvl w:ilvl="8" w:tplc="040C0005" w:tentative="1">
      <w:start w:val="1"/>
      <w:numFmt w:val="bullet"/>
      <w:lvlText w:val=""/>
      <w:lvlJc w:val="left"/>
      <w:pPr>
        <w:ind w:left="6121" w:hanging="360"/>
      </w:pPr>
      <w:rPr>
        <w:rFonts w:ascii="Wingdings" w:hAnsi="Wingdings" w:hint="default"/>
      </w:rPr>
    </w:lvl>
  </w:abstractNum>
  <w:abstractNum w:abstractNumId="28" w15:restartNumberingAfterBreak="0">
    <w:nsid w:val="2B104AC7"/>
    <w:multiLevelType w:val="hybridMultilevel"/>
    <w:tmpl w:val="E40A07A6"/>
    <w:lvl w:ilvl="0" w:tplc="895C2B80">
      <w:start w:val="1"/>
      <w:numFmt w:val="bullet"/>
      <w:pStyle w:val="JRPrefbiblio"/>
      <w:lvlText w:val=""/>
      <w:lvlJc w:val="left"/>
      <w:pPr>
        <w:ind w:left="717" w:hanging="360"/>
      </w:pPr>
      <w:rPr>
        <w:rFonts w:ascii="Symbol" w:hAnsi="Symbol" w:hint="default"/>
      </w:rPr>
    </w:lvl>
    <w:lvl w:ilvl="1" w:tplc="040C0019" w:tentative="1">
      <w:start w:val="1"/>
      <w:numFmt w:val="bullet"/>
      <w:lvlText w:val="o"/>
      <w:lvlJc w:val="left"/>
      <w:pPr>
        <w:ind w:left="1440" w:hanging="360"/>
      </w:pPr>
      <w:rPr>
        <w:rFonts w:ascii="Courier New" w:hAnsi="Courier New" w:cs="Courier New" w:hint="default"/>
      </w:rPr>
    </w:lvl>
    <w:lvl w:ilvl="2" w:tplc="040C001B" w:tentative="1">
      <w:start w:val="1"/>
      <w:numFmt w:val="bullet"/>
      <w:lvlText w:val=""/>
      <w:lvlJc w:val="left"/>
      <w:pPr>
        <w:ind w:left="2160" w:hanging="360"/>
      </w:pPr>
      <w:rPr>
        <w:rFonts w:ascii="Wingdings" w:hAnsi="Wingdings" w:hint="default"/>
      </w:rPr>
    </w:lvl>
    <w:lvl w:ilvl="3" w:tplc="040C000F" w:tentative="1">
      <w:start w:val="1"/>
      <w:numFmt w:val="bullet"/>
      <w:lvlText w:val=""/>
      <w:lvlJc w:val="left"/>
      <w:pPr>
        <w:ind w:left="2880" w:hanging="360"/>
      </w:pPr>
      <w:rPr>
        <w:rFonts w:ascii="Symbol" w:hAnsi="Symbol" w:hint="default"/>
      </w:rPr>
    </w:lvl>
    <w:lvl w:ilvl="4" w:tplc="040C0019" w:tentative="1">
      <w:start w:val="1"/>
      <w:numFmt w:val="bullet"/>
      <w:lvlText w:val="o"/>
      <w:lvlJc w:val="left"/>
      <w:pPr>
        <w:ind w:left="3600" w:hanging="360"/>
      </w:pPr>
      <w:rPr>
        <w:rFonts w:ascii="Courier New" w:hAnsi="Courier New" w:cs="Courier New" w:hint="default"/>
      </w:rPr>
    </w:lvl>
    <w:lvl w:ilvl="5" w:tplc="040C001B" w:tentative="1">
      <w:start w:val="1"/>
      <w:numFmt w:val="bullet"/>
      <w:lvlText w:val=""/>
      <w:lvlJc w:val="left"/>
      <w:pPr>
        <w:ind w:left="4320" w:hanging="360"/>
      </w:pPr>
      <w:rPr>
        <w:rFonts w:ascii="Wingdings" w:hAnsi="Wingdings" w:hint="default"/>
      </w:rPr>
    </w:lvl>
    <w:lvl w:ilvl="6" w:tplc="040C000F" w:tentative="1">
      <w:start w:val="1"/>
      <w:numFmt w:val="bullet"/>
      <w:lvlText w:val=""/>
      <w:lvlJc w:val="left"/>
      <w:pPr>
        <w:ind w:left="5040" w:hanging="360"/>
      </w:pPr>
      <w:rPr>
        <w:rFonts w:ascii="Symbol" w:hAnsi="Symbol" w:hint="default"/>
      </w:rPr>
    </w:lvl>
    <w:lvl w:ilvl="7" w:tplc="040C0019" w:tentative="1">
      <w:start w:val="1"/>
      <w:numFmt w:val="bullet"/>
      <w:lvlText w:val="o"/>
      <w:lvlJc w:val="left"/>
      <w:pPr>
        <w:ind w:left="5760" w:hanging="360"/>
      </w:pPr>
      <w:rPr>
        <w:rFonts w:ascii="Courier New" w:hAnsi="Courier New" w:cs="Courier New" w:hint="default"/>
      </w:rPr>
    </w:lvl>
    <w:lvl w:ilvl="8" w:tplc="040C001B" w:tentative="1">
      <w:start w:val="1"/>
      <w:numFmt w:val="bullet"/>
      <w:lvlText w:val=""/>
      <w:lvlJc w:val="left"/>
      <w:pPr>
        <w:ind w:left="6480" w:hanging="360"/>
      </w:pPr>
      <w:rPr>
        <w:rFonts w:ascii="Wingdings" w:hAnsi="Wingdings" w:hint="default"/>
      </w:rPr>
    </w:lvl>
  </w:abstractNum>
  <w:abstractNum w:abstractNumId="29" w15:restartNumberingAfterBreak="0">
    <w:nsid w:val="2E4E1143"/>
    <w:multiLevelType w:val="multilevel"/>
    <w:tmpl w:val="B4FCA4DC"/>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30" w15:restartNumberingAfterBreak="0">
    <w:nsid w:val="3226066F"/>
    <w:multiLevelType w:val="hybridMultilevel"/>
    <w:tmpl w:val="CACCA412"/>
    <w:lvl w:ilvl="0" w:tplc="C714CB7C">
      <w:start w:val="3"/>
      <w:numFmt w:val="decimal"/>
      <w:lvlText w:val="%1"/>
      <w:lvlJc w:val="left"/>
      <w:pPr>
        <w:ind w:left="1798" w:hanging="360"/>
      </w:pPr>
      <w:rPr>
        <w:rFonts w:hint="default"/>
      </w:rPr>
    </w:lvl>
    <w:lvl w:ilvl="1" w:tplc="040C0019" w:tentative="1">
      <w:start w:val="1"/>
      <w:numFmt w:val="lowerLetter"/>
      <w:lvlText w:val="%2."/>
      <w:lvlJc w:val="left"/>
      <w:pPr>
        <w:ind w:left="2518" w:hanging="360"/>
      </w:pPr>
    </w:lvl>
    <w:lvl w:ilvl="2" w:tplc="040C001B" w:tentative="1">
      <w:start w:val="1"/>
      <w:numFmt w:val="lowerRoman"/>
      <w:lvlText w:val="%3."/>
      <w:lvlJc w:val="right"/>
      <w:pPr>
        <w:ind w:left="3238" w:hanging="180"/>
      </w:pPr>
    </w:lvl>
    <w:lvl w:ilvl="3" w:tplc="040C000F" w:tentative="1">
      <w:start w:val="1"/>
      <w:numFmt w:val="decimal"/>
      <w:lvlText w:val="%4."/>
      <w:lvlJc w:val="left"/>
      <w:pPr>
        <w:ind w:left="3958" w:hanging="360"/>
      </w:pPr>
    </w:lvl>
    <w:lvl w:ilvl="4" w:tplc="040C0019" w:tentative="1">
      <w:start w:val="1"/>
      <w:numFmt w:val="lowerLetter"/>
      <w:lvlText w:val="%5."/>
      <w:lvlJc w:val="left"/>
      <w:pPr>
        <w:ind w:left="4678" w:hanging="360"/>
      </w:pPr>
    </w:lvl>
    <w:lvl w:ilvl="5" w:tplc="040C001B" w:tentative="1">
      <w:start w:val="1"/>
      <w:numFmt w:val="lowerRoman"/>
      <w:lvlText w:val="%6."/>
      <w:lvlJc w:val="right"/>
      <w:pPr>
        <w:ind w:left="5398" w:hanging="180"/>
      </w:pPr>
    </w:lvl>
    <w:lvl w:ilvl="6" w:tplc="040C000F" w:tentative="1">
      <w:start w:val="1"/>
      <w:numFmt w:val="decimal"/>
      <w:lvlText w:val="%7."/>
      <w:lvlJc w:val="left"/>
      <w:pPr>
        <w:ind w:left="6118" w:hanging="360"/>
      </w:pPr>
    </w:lvl>
    <w:lvl w:ilvl="7" w:tplc="040C0019" w:tentative="1">
      <w:start w:val="1"/>
      <w:numFmt w:val="lowerLetter"/>
      <w:lvlText w:val="%8."/>
      <w:lvlJc w:val="left"/>
      <w:pPr>
        <w:ind w:left="6838" w:hanging="360"/>
      </w:pPr>
    </w:lvl>
    <w:lvl w:ilvl="8" w:tplc="040C001B" w:tentative="1">
      <w:start w:val="1"/>
      <w:numFmt w:val="lowerRoman"/>
      <w:lvlText w:val="%9."/>
      <w:lvlJc w:val="right"/>
      <w:pPr>
        <w:ind w:left="7558" w:hanging="180"/>
      </w:pPr>
    </w:lvl>
  </w:abstractNum>
  <w:abstractNum w:abstractNumId="31" w15:restartNumberingAfterBreak="0">
    <w:nsid w:val="328431B0"/>
    <w:multiLevelType w:val="hybridMultilevel"/>
    <w:tmpl w:val="F0E8A5EA"/>
    <w:lvl w:ilvl="0" w:tplc="9AD09AAA">
      <w:start w:val="2"/>
      <w:numFmt w:val="bullet"/>
      <w:lvlText w:val="-"/>
      <w:lvlJc w:val="left"/>
      <w:pPr>
        <w:ind w:left="1110" w:hanging="360"/>
      </w:pPr>
      <w:rPr>
        <w:rFonts w:ascii="Arial" w:eastAsiaTheme="minorHAnsi" w:hAnsi="Arial" w:cs="Arial" w:hint="default"/>
      </w:rPr>
    </w:lvl>
    <w:lvl w:ilvl="1" w:tplc="040C0003" w:tentative="1">
      <w:start w:val="1"/>
      <w:numFmt w:val="bullet"/>
      <w:lvlText w:val="o"/>
      <w:lvlJc w:val="left"/>
      <w:pPr>
        <w:ind w:left="1830" w:hanging="360"/>
      </w:pPr>
      <w:rPr>
        <w:rFonts w:ascii="Courier New" w:hAnsi="Courier New" w:cs="Courier New" w:hint="default"/>
      </w:rPr>
    </w:lvl>
    <w:lvl w:ilvl="2" w:tplc="040C0005" w:tentative="1">
      <w:start w:val="1"/>
      <w:numFmt w:val="bullet"/>
      <w:lvlText w:val=""/>
      <w:lvlJc w:val="left"/>
      <w:pPr>
        <w:ind w:left="2550" w:hanging="360"/>
      </w:pPr>
      <w:rPr>
        <w:rFonts w:ascii="Wingdings" w:hAnsi="Wingdings" w:hint="default"/>
      </w:rPr>
    </w:lvl>
    <w:lvl w:ilvl="3" w:tplc="040C0001" w:tentative="1">
      <w:start w:val="1"/>
      <w:numFmt w:val="bullet"/>
      <w:lvlText w:val=""/>
      <w:lvlJc w:val="left"/>
      <w:pPr>
        <w:ind w:left="3270" w:hanging="360"/>
      </w:pPr>
      <w:rPr>
        <w:rFonts w:ascii="Symbol" w:hAnsi="Symbol" w:hint="default"/>
      </w:rPr>
    </w:lvl>
    <w:lvl w:ilvl="4" w:tplc="040C0003" w:tentative="1">
      <w:start w:val="1"/>
      <w:numFmt w:val="bullet"/>
      <w:lvlText w:val="o"/>
      <w:lvlJc w:val="left"/>
      <w:pPr>
        <w:ind w:left="3990" w:hanging="360"/>
      </w:pPr>
      <w:rPr>
        <w:rFonts w:ascii="Courier New" w:hAnsi="Courier New" w:cs="Courier New" w:hint="default"/>
      </w:rPr>
    </w:lvl>
    <w:lvl w:ilvl="5" w:tplc="040C0005" w:tentative="1">
      <w:start w:val="1"/>
      <w:numFmt w:val="bullet"/>
      <w:lvlText w:val=""/>
      <w:lvlJc w:val="left"/>
      <w:pPr>
        <w:ind w:left="4710" w:hanging="360"/>
      </w:pPr>
      <w:rPr>
        <w:rFonts w:ascii="Wingdings" w:hAnsi="Wingdings" w:hint="default"/>
      </w:rPr>
    </w:lvl>
    <w:lvl w:ilvl="6" w:tplc="040C0001" w:tentative="1">
      <w:start w:val="1"/>
      <w:numFmt w:val="bullet"/>
      <w:lvlText w:val=""/>
      <w:lvlJc w:val="left"/>
      <w:pPr>
        <w:ind w:left="5430" w:hanging="360"/>
      </w:pPr>
      <w:rPr>
        <w:rFonts w:ascii="Symbol" w:hAnsi="Symbol" w:hint="default"/>
      </w:rPr>
    </w:lvl>
    <w:lvl w:ilvl="7" w:tplc="040C0003" w:tentative="1">
      <w:start w:val="1"/>
      <w:numFmt w:val="bullet"/>
      <w:lvlText w:val="o"/>
      <w:lvlJc w:val="left"/>
      <w:pPr>
        <w:ind w:left="6150" w:hanging="360"/>
      </w:pPr>
      <w:rPr>
        <w:rFonts w:ascii="Courier New" w:hAnsi="Courier New" w:cs="Courier New" w:hint="default"/>
      </w:rPr>
    </w:lvl>
    <w:lvl w:ilvl="8" w:tplc="040C0005" w:tentative="1">
      <w:start w:val="1"/>
      <w:numFmt w:val="bullet"/>
      <w:lvlText w:val=""/>
      <w:lvlJc w:val="left"/>
      <w:pPr>
        <w:ind w:left="6870" w:hanging="360"/>
      </w:pPr>
      <w:rPr>
        <w:rFonts w:ascii="Wingdings" w:hAnsi="Wingdings" w:hint="default"/>
      </w:rPr>
    </w:lvl>
  </w:abstractNum>
  <w:abstractNum w:abstractNumId="32" w15:restartNumberingAfterBreak="0">
    <w:nsid w:val="32F47776"/>
    <w:multiLevelType w:val="hybridMultilevel"/>
    <w:tmpl w:val="8A06B152"/>
    <w:lvl w:ilvl="0" w:tplc="41724554">
      <w:start w:val="1"/>
      <w:numFmt w:val="bullet"/>
      <w:lvlText w:val=""/>
      <w:lvlJc w:val="left"/>
      <w:pPr>
        <w:tabs>
          <w:tab w:val="num" w:pos="720"/>
        </w:tabs>
        <w:ind w:left="720" w:hanging="360"/>
      </w:pPr>
      <w:rPr>
        <w:rFonts w:ascii="Wingdings" w:hAnsi="Wingdings" w:hint="default"/>
      </w:rPr>
    </w:lvl>
    <w:lvl w:ilvl="1" w:tplc="05F6EE82" w:tentative="1">
      <w:start w:val="1"/>
      <w:numFmt w:val="bullet"/>
      <w:lvlText w:val=""/>
      <w:lvlJc w:val="left"/>
      <w:pPr>
        <w:tabs>
          <w:tab w:val="num" w:pos="1440"/>
        </w:tabs>
        <w:ind w:left="1440" w:hanging="360"/>
      </w:pPr>
      <w:rPr>
        <w:rFonts w:ascii="Wingdings" w:hAnsi="Wingdings" w:hint="default"/>
      </w:rPr>
    </w:lvl>
    <w:lvl w:ilvl="2" w:tplc="8516011A" w:tentative="1">
      <w:start w:val="1"/>
      <w:numFmt w:val="bullet"/>
      <w:lvlText w:val=""/>
      <w:lvlJc w:val="left"/>
      <w:pPr>
        <w:tabs>
          <w:tab w:val="num" w:pos="2160"/>
        </w:tabs>
        <w:ind w:left="2160" w:hanging="360"/>
      </w:pPr>
      <w:rPr>
        <w:rFonts w:ascii="Wingdings" w:hAnsi="Wingdings" w:hint="default"/>
      </w:rPr>
    </w:lvl>
    <w:lvl w:ilvl="3" w:tplc="A85A2646" w:tentative="1">
      <w:start w:val="1"/>
      <w:numFmt w:val="bullet"/>
      <w:lvlText w:val=""/>
      <w:lvlJc w:val="left"/>
      <w:pPr>
        <w:tabs>
          <w:tab w:val="num" w:pos="2880"/>
        </w:tabs>
        <w:ind w:left="2880" w:hanging="360"/>
      </w:pPr>
      <w:rPr>
        <w:rFonts w:ascii="Wingdings" w:hAnsi="Wingdings" w:hint="default"/>
      </w:rPr>
    </w:lvl>
    <w:lvl w:ilvl="4" w:tplc="B798BF30" w:tentative="1">
      <w:start w:val="1"/>
      <w:numFmt w:val="bullet"/>
      <w:lvlText w:val=""/>
      <w:lvlJc w:val="left"/>
      <w:pPr>
        <w:tabs>
          <w:tab w:val="num" w:pos="3600"/>
        </w:tabs>
        <w:ind w:left="3600" w:hanging="360"/>
      </w:pPr>
      <w:rPr>
        <w:rFonts w:ascii="Wingdings" w:hAnsi="Wingdings" w:hint="default"/>
      </w:rPr>
    </w:lvl>
    <w:lvl w:ilvl="5" w:tplc="47AA9B0A" w:tentative="1">
      <w:start w:val="1"/>
      <w:numFmt w:val="bullet"/>
      <w:lvlText w:val=""/>
      <w:lvlJc w:val="left"/>
      <w:pPr>
        <w:tabs>
          <w:tab w:val="num" w:pos="4320"/>
        </w:tabs>
        <w:ind w:left="4320" w:hanging="360"/>
      </w:pPr>
      <w:rPr>
        <w:rFonts w:ascii="Wingdings" w:hAnsi="Wingdings" w:hint="default"/>
      </w:rPr>
    </w:lvl>
    <w:lvl w:ilvl="6" w:tplc="7F50BE28" w:tentative="1">
      <w:start w:val="1"/>
      <w:numFmt w:val="bullet"/>
      <w:lvlText w:val=""/>
      <w:lvlJc w:val="left"/>
      <w:pPr>
        <w:tabs>
          <w:tab w:val="num" w:pos="5040"/>
        </w:tabs>
        <w:ind w:left="5040" w:hanging="360"/>
      </w:pPr>
      <w:rPr>
        <w:rFonts w:ascii="Wingdings" w:hAnsi="Wingdings" w:hint="default"/>
      </w:rPr>
    </w:lvl>
    <w:lvl w:ilvl="7" w:tplc="A6906BBE" w:tentative="1">
      <w:start w:val="1"/>
      <w:numFmt w:val="bullet"/>
      <w:lvlText w:val=""/>
      <w:lvlJc w:val="left"/>
      <w:pPr>
        <w:tabs>
          <w:tab w:val="num" w:pos="5760"/>
        </w:tabs>
        <w:ind w:left="5760" w:hanging="360"/>
      </w:pPr>
      <w:rPr>
        <w:rFonts w:ascii="Wingdings" w:hAnsi="Wingdings" w:hint="default"/>
      </w:rPr>
    </w:lvl>
    <w:lvl w:ilvl="8" w:tplc="D054ABD2"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35397F1F"/>
    <w:multiLevelType w:val="hybridMultilevel"/>
    <w:tmpl w:val="5332080A"/>
    <w:lvl w:ilvl="0" w:tplc="E9A64966">
      <w:start w:val="5"/>
      <w:numFmt w:val="bullet"/>
      <w:lvlText w:val=""/>
      <w:lvlJc w:val="left"/>
      <w:pPr>
        <w:ind w:left="1428" w:hanging="360"/>
      </w:pPr>
      <w:rPr>
        <w:rFonts w:ascii="Wingdings" w:eastAsiaTheme="minorHAnsi" w:hAnsi="Wingdings" w:cstheme="minorBidi"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4" w15:restartNumberingAfterBreak="0">
    <w:nsid w:val="360D4451"/>
    <w:multiLevelType w:val="multilevel"/>
    <w:tmpl w:val="3B8E19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5" w15:restartNumberingAfterBreak="0">
    <w:nsid w:val="398B35DB"/>
    <w:multiLevelType w:val="hybridMultilevel"/>
    <w:tmpl w:val="BF220638"/>
    <w:lvl w:ilvl="0" w:tplc="FE48CAC8">
      <w:start w:val="1"/>
      <w:numFmt w:val="bullet"/>
      <w:lvlText w:val=""/>
      <w:lvlJc w:val="left"/>
      <w:pPr>
        <w:tabs>
          <w:tab w:val="num" w:pos="720"/>
        </w:tabs>
        <w:ind w:left="720" w:hanging="360"/>
      </w:pPr>
      <w:rPr>
        <w:rFonts w:ascii="Wingdings" w:hAnsi="Wingdings" w:hint="default"/>
      </w:rPr>
    </w:lvl>
    <w:lvl w:ilvl="1" w:tplc="F452993E" w:tentative="1">
      <w:start w:val="1"/>
      <w:numFmt w:val="bullet"/>
      <w:lvlText w:val=""/>
      <w:lvlJc w:val="left"/>
      <w:pPr>
        <w:tabs>
          <w:tab w:val="num" w:pos="1440"/>
        </w:tabs>
        <w:ind w:left="1440" w:hanging="360"/>
      </w:pPr>
      <w:rPr>
        <w:rFonts w:ascii="Wingdings" w:hAnsi="Wingdings" w:hint="default"/>
      </w:rPr>
    </w:lvl>
    <w:lvl w:ilvl="2" w:tplc="469E87F8" w:tentative="1">
      <w:start w:val="1"/>
      <w:numFmt w:val="bullet"/>
      <w:lvlText w:val=""/>
      <w:lvlJc w:val="left"/>
      <w:pPr>
        <w:tabs>
          <w:tab w:val="num" w:pos="2160"/>
        </w:tabs>
        <w:ind w:left="2160" w:hanging="360"/>
      </w:pPr>
      <w:rPr>
        <w:rFonts w:ascii="Wingdings" w:hAnsi="Wingdings" w:hint="default"/>
      </w:rPr>
    </w:lvl>
    <w:lvl w:ilvl="3" w:tplc="C504B33E" w:tentative="1">
      <w:start w:val="1"/>
      <w:numFmt w:val="bullet"/>
      <w:lvlText w:val=""/>
      <w:lvlJc w:val="left"/>
      <w:pPr>
        <w:tabs>
          <w:tab w:val="num" w:pos="2880"/>
        </w:tabs>
        <w:ind w:left="2880" w:hanging="360"/>
      </w:pPr>
      <w:rPr>
        <w:rFonts w:ascii="Wingdings" w:hAnsi="Wingdings" w:hint="default"/>
      </w:rPr>
    </w:lvl>
    <w:lvl w:ilvl="4" w:tplc="E654C7C6" w:tentative="1">
      <w:start w:val="1"/>
      <w:numFmt w:val="bullet"/>
      <w:lvlText w:val=""/>
      <w:lvlJc w:val="left"/>
      <w:pPr>
        <w:tabs>
          <w:tab w:val="num" w:pos="3600"/>
        </w:tabs>
        <w:ind w:left="3600" w:hanging="360"/>
      </w:pPr>
      <w:rPr>
        <w:rFonts w:ascii="Wingdings" w:hAnsi="Wingdings" w:hint="default"/>
      </w:rPr>
    </w:lvl>
    <w:lvl w:ilvl="5" w:tplc="AB009254" w:tentative="1">
      <w:start w:val="1"/>
      <w:numFmt w:val="bullet"/>
      <w:lvlText w:val=""/>
      <w:lvlJc w:val="left"/>
      <w:pPr>
        <w:tabs>
          <w:tab w:val="num" w:pos="4320"/>
        </w:tabs>
        <w:ind w:left="4320" w:hanging="360"/>
      </w:pPr>
      <w:rPr>
        <w:rFonts w:ascii="Wingdings" w:hAnsi="Wingdings" w:hint="default"/>
      </w:rPr>
    </w:lvl>
    <w:lvl w:ilvl="6" w:tplc="12FE0A40" w:tentative="1">
      <w:start w:val="1"/>
      <w:numFmt w:val="bullet"/>
      <w:lvlText w:val=""/>
      <w:lvlJc w:val="left"/>
      <w:pPr>
        <w:tabs>
          <w:tab w:val="num" w:pos="5040"/>
        </w:tabs>
        <w:ind w:left="5040" w:hanging="360"/>
      </w:pPr>
      <w:rPr>
        <w:rFonts w:ascii="Wingdings" w:hAnsi="Wingdings" w:hint="default"/>
      </w:rPr>
    </w:lvl>
    <w:lvl w:ilvl="7" w:tplc="74A6961A" w:tentative="1">
      <w:start w:val="1"/>
      <w:numFmt w:val="bullet"/>
      <w:lvlText w:val=""/>
      <w:lvlJc w:val="left"/>
      <w:pPr>
        <w:tabs>
          <w:tab w:val="num" w:pos="5760"/>
        </w:tabs>
        <w:ind w:left="5760" w:hanging="360"/>
      </w:pPr>
      <w:rPr>
        <w:rFonts w:ascii="Wingdings" w:hAnsi="Wingdings" w:hint="default"/>
      </w:rPr>
    </w:lvl>
    <w:lvl w:ilvl="8" w:tplc="FF343920"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C1072E6"/>
    <w:multiLevelType w:val="multilevel"/>
    <w:tmpl w:val="6D389560"/>
    <w:lvl w:ilvl="0">
      <w:start w:val="2"/>
      <w:numFmt w:val="decimal"/>
      <w:lvlText w:val="%1."/>
      <w:lvlJc w:val="left"/>
      <w:pPr>
        <w:ind w:left="660" w:hanging="660"/>
      </w:pPr>
      <w:rPr>
        <w:rFonts w:hint="default"/>
      </w:rPr>
    </w:lvl>
    <w:lvl w:ilvl="1">
      <w:start w:val="1"/>
      <w:numFmt w:val="decimal"/>
      <w:lvlText w:val="%1.%2."/>
      <w:lvlJc w:val="left"/>
      <w:pPr>
        <w:ind w:left="1019" w:hanging="660"/>
      </w:pPr>
      <w:rPr>
        <w:rFonts w:hint="default"/>
      </w:rPr>
    </w:lvl>
    <w:lvl w:ilvl="2">
      <w:start w:val="2"/>
      <w:numFmt w:val="decimal"/>
      <w:lvlText w:val="%1.%2.%3."/>
      <w:lvlJc w:val="left"/>
      <w:pPr>
        <w:ind w:left="1438" w:hanging="720"/>
      </w:pPr>
      <w:rPr>
        <w:rFonts w:hint="default"/>
      </w:rPr>
    </w:lvl>
    <w:lvl w:ilvl="3">
      <w:start w:val="1"/>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37" w15:restartNumberingAfterBreak="0">
    <w:nsid w:val="3D5952D5"/>
    <w:multiLevelType w:val="hybridMultilevel"/>
    <w:tmpl w:val="42763E5A"/>
    <w:lvl w:ilvl="0" w:tplc="E9A64966">
      <w:start w:val="5"/>
      <w:numFmt w:val="bullet"/>
      <w:lvlText w:val=""/>
      <w:lvlJc w:val="left"/>
      <w:pPr>
        <w:ind w:left="720" w:hanging="360"/>
      </w:pPr>
      <w:rPr>
        <w:rFonts w:ascii="Wingdings" w:eastAsiaTheme="minorHAnsi"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3E7B3428"/>
    <w:multiLevelType w:val="multilevel"/>
    <w:tmpl w:val="5EF45172"/>
    <w:lvl w:ilvl="0">
      <w:start w:val="3"/>
      <w:numFmt w:val="decimal"/>
      <w:lvlText w:val="%1."/>
      <w:lvlJc w:val="left"/>
      <w:pPr>
        <w:ind w:left="540" w:hanging="540"/>
      </w:pPr>
      <w:rPr>
        <w:rFonts w:hint="default"/>
      </w:rPr>
    </w:lvl>
    <w:lvl w:ilvl="1">
      <w:start w:val="2"/>
      <w:numFmt w:val="decimal"/>
      <w:lvlText w:val="%1.%2."/>
      <w:lvlJc w:val="left"/>
      <w:pPr>
        <w:ind w:left="1439" w:hanging="720"/>
      </w:pPr>
      <w:rPr>
        <w:rFonts w:hint="default"/>
      </w:rPr>
    </w:lvl>
    <w:lvl w:ilvl="2">
      <w:start w:val="6"/>
      <w:numFmt w:val="decimal"/>
      <w:lvlText w:val="%1.%2.%3."/>
      <w:lvlJc w:val="left"/>
      <w:pPr>
        <w:ind w:left="2158" w:hanging="720"/>
      </w:pPr>
      <w:rPr>
        <w:rFonts w:hint="default"/>
      </w:rPr>
    </w:lvl>
    <w:lvl w:ilvl="3">
      <w:start w:val="1"/>
      <w:numFmt w:val="decimal"/>
      <w:lvlText w:val="%1.%2.%3.%4."/>
      <w:lvlJc w:val="left"/>
      <w:pPr>
        <w:ind w:left="3237" w:hanging="1080"/>
      </w:pPr>
      <w:rPr>
        <w:rFonts w:hint="default"/>
      </w:rPr>
    </w:lvl>
    <w:lvl w:ilvl="4">
      <w:start w:val="1"/>
      <w:numFmt w:val="decimal"/>
      <w:lvlText w:val="%1.%2.%3.%4.%5."/>
      <w:lvlJc w:val="left"/>
      <w:pPr>
        <w:ind w:left="3956" w:hanging="1080"/>
      </w:pPr>
      <w:rPr>
        <w:rFonts w:hint="default"/>
      </w:rPr>
    </w:lvl>
    <w:lvl w:ilvl="5">
      <w:start w:val="1"/>
      <w:numFmt w:val="decimal"/>
      <w:lvlText w:val="%1.%2.%3.%4.%5.%6."/>
      <w:lvlJc w:val="left"/>
      <w:pPr>
        <w:ind w:left="5035" w:hanging="1440"/>
      </w:pPr>
      <w:rPr>
        <w:rFonts w:hint="default"/>
      </w:rPr>
    </w:lvl>
    <w:lvl w:ilvl="6">
      <w:start w:val="1"/>
      <w:numFmt w:val="decimal"/>
      <w:lvlText w:val="%1.%2.%3.%4.%5.%6.%7."/>
      <w:lvlJc w:val="left"/>
      <w:pPr>
        <w:ind w:left="5754" w:hanging="1440"/>
      </w:pPr>
      <w:rPr>
        <w:rFonts w:hint="default"/>
      </w:rPr>
    </w:lvl>
    <w:lvl w:ilvl="7">
      <w:start w:val="1"/>
      <w:numFmt w:val="decimal"/>
      <w:lvlText w:val="%1.%2.%3.%4.%5.%6.%7.%8."/>
      <w:lvlJc w:val="left"/>
      <w:pPr>
        <w:ind w:left="6833" w:hanging="1800"/>
      </w:pPr>
      <w:rPr>
        <w:rFonts w:hint="default"/>
      </w:rPr>
    </w:lvl>
    <w:lvl w:ilvl="8">
      <w:start w:val="1"/>
      <w:numFmt w:val="decimal"/>
      <w:lvlText w:val="%1.%2.%3.%4.%5.%6.%7.%8.%9."/>
      <w:lvlJc w:val="left"/>
      <w:pPr>
        <w:ind w:left="7552" w:hanging="1800"/>
      </w:pPr>
      <w:rPr>
        <w:rFonts w:hint="default"/>
      </w:rPr>
    </w:lvl>
  </w:abstractNum>
  <w:abstractNum w:abstractNumId="39" w15:restartNumberingAfterBreak="0">
    <w:nsid w:val="3F4918E0"/>
    <w:multiLevelType w:val="multilevel"/>
    <w:tmpl w:val="DC705E34"/>
    <w:lvl w:ilvl="0">
      <w:start w:val="4"/>
      <w:numFmt w:val="decimal"/>
      <w:lvlText w:val="%1."/>
      <w:lvlJc w:val="left"/>
      <w:pPr>
        <w:ind w:left="540" w:hanging="540"/>
      </w:pPr>
      <w:rPr>
        <w:rFonts w:cs="Arial" w:hint="default"/>
        <w:u w:val="single"/>
      </w:rPr>
    </w:lvl>
    <w:lvl w:ilvl="1">
      <w:start w:val="1"/>
      <w:numFmt w:val="decimal"/>
      <w:lvlText w:val="%1.%2."/>
      <w:lvlJc w:val="left"/>
      <w:pPr>
        <w:ind w:left="1229" w:hanging="720"/>
      </w:pPr>
      <w:rPr>
        <w:rFonts w:cs="Arial" w:hint="default"/>
        <w:u w:val="single"/>
      </w:rPr>
    </w:lvl>
    <w:lvl w:ilvl="2">
      <w:start w:val="1"/>
      <w:numFmt w:val="decimal"/>
      <w:lvlText w:val="%1.%2.%3."/>
      <w:lvlJc w:val="left"/>
      <w:pPr>
        <w:ind w:left="1738" w:hanging="720"/>
      </w:pPr>
      <w:rPr>
        <w:rFonts w:cs="Arial" w:hint="default"/>
        <w:u w:val="single"/>
      </w:rPr>
    </w:lvl>
    <w:lvl w:ilvl="3">
      <w:start w:val="1"/>
      <w:numFmt w:val="decimal"/>
      <w:lvlText w:val="%1.%2.%3.%4."/>
      <w:lvlJc w:val="left"/>
      <w:pPr>
        <w:ind w:left="2607" w:hanging="1080"/>
      </w:pPr>
      <w:rPr>
        <w:rFonts w:cs="Arial" w:hint="default"/>
        <w:u w:val="single"/>
      </w:rPr>
    </w:lvl>
    <w:lvl w:ilvl="4">
      <w:start w:val="1"/>
      <w:numFmt w:val="decimal"/>
      <w:lvlText w:val="%1.%2.%3.%4.%5."/>
      <w:lvlJc w:val="left"/>
      <w:pPr>
        <w:ind w:left="3116" w:hanging="1080"/>
      </w:pPr>
      <w:rPr>
        <w:rFonts w:cs="Arial" w:hint="default"/>
        <w:u w:val="single"/>
      </w:rPr>
    </w:lvl>
    <w:lvl w:ilvl="5">
      <w:start w:val="1"/>
      <w:numFmt w:val="decimal"/>
      <w:lvlText w:val="%1.%2.%3.%4.%5.%6."/>
      <w:lvlJc w:val="left"/>
      <w:pPr>
        <w:ind w:left="3985" w:hanging="1440"/>
      </w:pPr>
      <w:rPr>
        <w:rFonts w:cs="Arial" w:hint="default"/>
        <w:u w:val="single"/>
      </w:rPr>
    </w:lvl>
    <w:lvl w:ilvl="6">
      <w:start w:val="1"/>
      <w:numFmt w:val="decimal"/>
      <w:lvlText w:val="%1.%2.%3.%4.%5.%6.%7."/>
      <w:lvlJc w:val="left"/>
      <w:pPr>
        <w:ind w:left="4494" w:hanging="1440"/>
      </w:pPr>
      <w:rPr>
        <w:rFonts w:cs="Arial" w:hint="default"/>
        <w:u w:val="single"/>
      </w:rPr>
    </w:lvl>
    <w:lvl w:ilvl="7">
      <w:start w:val="1"/>
      <w:numFmt w:val="decimal"/>
      <w:lvlText w:val="%1.%2.%3.%4.%5.%6.%7.%8."/>
      <w:lvlJc w:val="left"/>
      <w:pPr>
        <w:ind w:left="5363" w:hanging="1800"/>
      </w:pPr>
      <w:rPr>
        <w:rFonts w:cs="Arial" w:hint="default"/>
        <w:u w:val="single"/>
      </w:rPr>
    </w:lvl>
    <w:lvl w:ilvl="8">
      <w:start w:val="1"/>
      <w:numFmt w:val="decimal"/>
      <w:lvlText w:val="%1.%2.%3.%4.%5.%6.%7.%8.%9."/>
      <w:lvlJc w:val="left"/>
      <w:pPr>
        <w:ind w:left="5872" w:hanging="1800"/>
      </w:pPr>
      <w:rPr>
        <w:rFonts w:cs="Arial" w:hint="default"/>
        <w:u w:val="single"/>
      </w:rPr>
    </w:lvl>
  </w:abstractNum>
  <w:abstractNum w:abstractNumId="40" w15:restartNumberingAfterBreak="0">
    <w:nsid w:val="40FD717A"/>
    <w:multiLevelType w:val="hybridMultilevel"/>
    <w:tmpl w:val="A1549724"/>
    <w:lvl w:ilvl="0" w:tplc="6246AD72">
      <w:numFmt w:val="bullet"/>
      <w:lvlText w:val="-"/>
      <w:lvlJc w:val="left"/>
      <w:pPr>
        <w:ind w:left="786"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13C4DA3"/>
    <w:multiLevelType w:val="multilevel"/>
    <w:tmpl w:val="3D3ECE7E"/>
    <w:lvl w:ilvl="0">
      <w:start w:val="4"/>
      <w:numFmt w:val="decimal"/>
      <w:lvlText w:val="%1."/>
      <w:lvlJc w:val="left"/>
      <w:pPr>
        <w:ind w:left="660" w:hanging="660"/>
      </w:pPr>
      <w:rPr>
        <w:rFonts w:hint="default"/>
      </w:rPr>
    </w:lvl>
    <w:lvl w:ilvl="1">
      <w:start w:val="1"/>
      <w:numFmt w:val="decimal"/>
      <w:lvlText w:val="%1.%2."/>
      <w:lvlJc w:val="left"/>
      <w:pPr>
        <w:ind w:left="1019" w:hanging="660"/>
      </w:pPr>
      <w:rPr>
        <w:rFonts w:hint="default"/>
      </w:rPr>
    </w:lvl>
    <w:lvl w:ilvl="2">
      <w:start w:val="2"/>
      <w:numFmt w:val="decimal"/>
      <w:lvlText w:val="%1.%2.%3."/>
      <w:lvlJc w:val="left"/>
      <w:pPr>
        <w:ind w:left="1438" w:hanging="720"/>
      </w:pPr>
      <w:rPr>
        <w:rFonts w:hint="default"/>
      </w:rPr>
    </w:lvl>
    <w:lvl w:ilvl="3">
      <w:start w:val="2"/>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42" w15:restartNumberingAfterBreak="0">
    <w:nsid w:val="423C4C64"/>
    <w:multiLevelType w:val="multilevel"/>
    <w:tmpl w:val="14CE99F4"/>
    <w:lvl w:ilvl="0">
      <w:start w:val="3"/>
      <w:numFmt w:val="decimal"/>
      <w:lvlText w:val="%1."/>
      <w:lvlJc w:val="left"/>
      <w:pPr>
        <w:ind w:left="660" w:hanging="660"/>
      </w:pPr>
      <w:rPr>
        <w:rFonts w:hint="default"/>
      </w:rPr>
    </w:lvl>
    <w:lvl w:ilvl="1">
      <w:start w:val="2"/>
      <w:numFmt w:val="decimal"/>
      <w:lvlText w:val="%1.%2."/>
      <w:lvlJc w:val="left"/>
      <w:pPr>
        <w:ind w:left="1019" w:hanging="660"/>
      </w:pPr>
      <w:rPr>
        <w:rFonts w:hint="default"/>
      </w:rPr>
    </w:lvl>
    <w:lvl w:ilvl="2">
      <w:start w:val="1"/>
      <w:numFmt w:val="decimal"/>
      <w:lvlText w:val="%1.%2.%3."/>
      <w:lvlJc w:val="left"/>
      <w:pPr>
        <w:ind w:left="1438" w:hanging="720"/>
      </w:pPr>
      <w:rPr>
        <w:rFonts w:hint="default"/>
      </w:rPr>
    </w:lvl>
    <w:lvl w:ilvl="3">
      <w:start w:val="5"/>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43" w15:restartNumberingAfterBreak="0">
    <w:nsid w:val="4349789B"/>
    <w:multiLevelType w:val="hybridMultilevel"/>
    <w:tmpl w:val="E37A6826"/>
    <w:lvl w:ilvl="0" w:tplc="90F6D438">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4841167D"/>
    <w:multiLevelType w:val="hybridMultilevel"/>
    <w:tmpl w:val="FF3406A6"/>
    <w:lvl w:ilvl="0" w:tplc="A334786A">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AB535E6"/>
    <w:multiLevelType w:val="hybridMultilevel"/>
    <w:tmpl w:val="09AEC638"/>
    <w:lvl w:ilvl="0" w:tplc="A334786A">
      <w:start w:val="2"/>
      <w:numFmt w:val="bullet"/>
      <w:lvlText w:val="-"/>
      <w:lvlJc w:val="left"/>
      <w:pPr>
        <w:ind w:left="1800" w:hanging="360"/>
      </w:pPr>
      <w:rPr>
        <w:rFonts w:ascii="Arial" w:eastAsiaTheme="minorHAnsi" w:hAnsi="Arial" w:cs="Aria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6" w15:restartNumberingAfterBreak="0">
    <w:nsid w:val="4CBF74DA"/>
    <w:multiLevelType w:val="hybridMultilevel"/>
    <w:tmpl w:val="61520754"/>
    <w:lvl w:ilvl="0" w:tplc="7612319C">
      <w:start w:val="1"/>
      <w:numFmt w:val="bullet"/>
      <w:lvlText w:val=""/>
      <w:lvlJc w:val="left"/>
      <w:pPr>
        <w:tabs>
          <w:tab w:val="num" w:pos="720"/>
        </w:tabs>
        <w:ind w:left="720" w:hanging="360"/>
      </w:pPr>
      <w:rPr>
        <w:rFonts w:ascii="Wingdings" w:hAnsi="Wingdings" w:hint="default"/>
      </w:rPr>
    </w:lvl>
    <w:lvl w:ilvl="1" w:tplc="95C635AE" w:tentative="1">
      <w:start w:val="1"/>
      <w:numFmt w:val="bullet"/>
      <w:lvlText w:val=""/>
      <w:lvlJc w:val="left"/>
      <w:pPr>
        <w:tabs>
          <w:tab w:val="num" w:pos="1440"/>
        </w:tabs>
        <w:ind w:left="1440" w:hanging="360"/>
      </w:pPr>
      <w:rPr>
        <w:rFonts w:ascii="Wingdings" w:hAnsi="Wingdings" w:hint="default"/>
      </w:rPr>
    </w:lvl>
    <w:lvl w:ilvl="2" w:tplc="9BD6D75A" w:tentative="1">
      <w:start w:val="1"/>
      <w:numFmt w:val="bullet"/>
      <w:lvlText w:val=""/>
      <w:lvlJc w:val="left"/>
      <w:pPr>
        <w:tabs>
          <w:tab w:val="num" w:pos="2160"/>
        </w:tabs>
        <w:ind w:left="2160" w:hanging="360"/>
      </w:pPr>
      <w:rPr>
        <w:rFonts w:ascii="Wingdings" w:hAnsi="Wingdings" w:hint="default"/>
      </w:rPr>
    </w:lvl>
    <w:lvl w:ilvl="3" w:tplc="4AC6248C" w:tentative="1">
      <w:start w:val="1"/>
      <w:numFmt w:val="bullet"/>
      <w:lvlText w:val=""/>
      <w:lvlJc w:val="left"/>
      <w:pPr>
        <w:tabs>
          <w:tab w:val="num" w:pos="2880"/>
        </w:tabs>
        <w:ind w:left="2880" w:hanging="360"/>
      </w:pPr>
      <w:rPr>
        <w:rFonts w:ascii="Wingdings" w:hAnsi="Wingdings" w:hint="default"/>
      </w:rPr>
    </w:lvl>
    <w:lvl w:ilvl="4" w:tplc="5D8642E4" w:tentative="1">
      <w:start w:val="1"/>
      <w:numFmt w:val="bullet"/>
      <w:lvlText w:val=""/>
      <w:lvlJc w:val="left"/>
      <w:pPr>
        <w:tabs>
          <w:tab w:val="num" w:pos="3600"/>
        </w:tabs>
        <w:ind w:left="3600" w:hanging="360"/>
      </w:pPr>
      <w:rPr>
        <w:rFonts w:ascii="Wingdings" w:hAnsi="Wingdings" w:hint="default"/>
      </w:rPr>
    </w:lvl>
    <w:lvl w:ilvl="5" w:tplc="B30EACC4" w:tentative="1">
      <w:start w:val="1"/>
      <w:numFmt w:val="bullet"/>
      <w:lvlText w:val=""/>
      <w:lvlJc w:val="left"/>
      <w:pPr>
        <w:tabs>
          <w:tab w:val="num" w:pos="4320"/>
        </w:tabs>
        <w:ind w:left="4320" w:hanging="360"/>
      </w:pPr>
      <w:rPr>
        <w:rFonts w:ascii="Wingdings" w:hAnsi="Wingdings" w:hint="default"/>
      </w:rPr>
    </w:lvl>
    <w:lvl w:ilvl="6" w:tplc="76088980" w:tentative="1">
      <w:start w:val="1"/>
      <w:numFmt w:val="bullet"/>
      <w:lvlText w:val=""/>
      <w:lvlJc w:val="left"/>
      <w:pPr>
        <w:tabs>
          <w:tab w:val="num" w:pos="5040"/>
        </w:tabs>
        <w:ind w:left="5040" w:hanging="360"/>
      </w:pPr>
      <w:rPr>
        <w:rFonts w:ascii="Wingdings" w:hAnsi="Wingdings" w:hint="default"/>
      </w:rPr>
    </w:lvl>
    <w:lvl w:ilvl="7" w:tplc="9B7A0F04" w:tentative="1">
      <w:start w:val="1"/>
      <w:numFmt w:val="bullet"/>
      <w:lvlText w:val=""/>
      <w:lvlJc w:val="left"/>
      <w:pPr>
        <w:tabs>
          <w:tab w:val="num" w:pos="5760"/>
        </w:tabs>
        <w:ind w:left="5760" w:hanging="360"/>
      </w:pPr>
      <w:rPr>
        <w:rFonts w:ascii="Wingdings" w:hAnsi="Wingdings" w:hint="default"/>
      </w:rPr>
    </w:lvl>
    <w:lvl w:ilvl="8" w:tplc="61963718"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4CE77DFD"/>
    <w:multiLevelType w:val="hybridMultilevel"/>
    <w:tmpl w:val="51EAF012"/>
    <w:lvl w:ilvl="0" w:tplc="99B2AD20">
      <w:start w:val="1"/>
      <w:numFmt w:val="bullet"/>
      <w:lvlText w:val=""/>
      <w:lvlJc w:val="left"/>
      <w:pPr>
        <w:tabs>
          <w:tab w:val="num" w:pos="720"/>
        </w:tabs>
        <w:ind w:left="720" w:hanging="360"/>
      </w:pPr>
      <w:rPr>
        <w:rFonts w:ascii="Wingdings" w:hAnsi="Wingdings" w:hint="default"/>
      </w:rPr>
    </w:lvl>
    <w:lvl w:ilvl="1" w:tplc="401A715C" w:tentative="1">
      <w:start w:val="1"/>
      <w:numFmt w:val="bullet"/>
      <w:lvlText w:val=""/>
      <w:lvlJc w:val="left"/>
      <w:pPr>
        <w:tabs>
          <w:tab w:val="num" w:pos="1440"/>
        </w:tabs>
        <w:ind w:left="1440" w:hanging="360"/>
      </w:pPr>
      <w:rPr>
        <w:rFonts w:ascii="Wingdings" w:hAnsi="Wingdings" w:hint="default"/>
      </w:rPr>
    </w:lvl>
    <w:lvl w:ilvl="2" w:tplc="44ACE034" w:tentative="1">
      <w:start w:val="1"/>
      <w:numFmt w:val="bullet"/>
      <w:lvlText w:val=""/>
      <w:lvlJc w:val="left"/>
      <w:pPr>
        <w:tabs>
          <w:tab w:val="num" w:pos="2160"/>
        </w:tabs>
        <w:ind w:left="2160" w:hanging="360"/>
      </w:pPr>
      <w:rPr>
        <w:rFonts w:ascii="Wingdings" w:hAnsi="Wingdings" w:hint="default"/>
      </w:rPr>
    </w:lvl>
    <w:lvl w:ilvl="3" w:tplc="E2800578" w:tentative="1">
      <w:start w:val="1"/>
      <w:numFmt w:val="bullet"/>
      <w:lvlText w:val=""/>
      <w:lvlJc w:val="left"/>
      <w:pPr>
        <w:tabs>
          <w:tab w:val="num" w:pos="2880"/>
        </w:tabs>
        <w:ind w:left="2880" w:hanging="360"/>
      </w:pPr>
      <w:rPr>
        <w:rFonts w:ascii="Wingdings" w:hAnsi="Wingdings" w:hint="default"/>
      </w:rPr>
    </w:lvl>
    <w:lvl w:ilvl="4" w:tplc="1FDC9F0A" w:tentative="1">
      <w:start w:val="1"/>
      <w:numFmt w:val="bullet"/>
      <w:lvlText w:val=""/>
      <w:lvlJc w:val="left"/>
      <w:pPr>
        <w:tabs>
          <w:tab w:val="num" w:pos="3600"/>
        </w:tabs>
        <w:ind w:left="3600" w:hanging="360"/>
      </w:pPr>
      <w:rPr>
        <w:rFonts w:ascii="Wingdings" w:hAnsi="Wingdings" w:hint="default"/>
      </w:rPr>
    </w:lvl>
    <w:lvl w:ilvl="5" w:tplc="E6FAC00A" w:tentative="1">
      <w:start w:val="1"/>
      <w:numFmt w:val="bullet"/>
      <w:lvlText w:val=""/>
      <w:lvlJc w:val="left"/>
      <w:pPr>
        <w:tabs>
          <w:tab w:val="num" w:pos="4320"/>
        </w:tabs>
        <w:ind w:left="4320" w:hanging="360"/>
      </w:pPr>
      <w:rPr>
        <w:rFonts w:ascii="Wingdings" w:hAnsi="Wingdings" w:hint="default"/>
      </w:rPr>
    </w:lvl>
    <w:lvl w:ilvl="6" w:tplc="E6C23D1A" w:tentative="1">
      <w:start w:val="1"/>
      <w:numFmt w:val="bullet"/>
      <w:lvlText w:val=""/>
      <w:lvlJc w:val="left"/>
      <w:pPr>
        <w:tabs>
          <w:tab w:val="num" w:pos="5040"/>
        </w:tabs>
        <w:ind w:left="5040" w:hanging="360"/>
      </w:pPr>
      <w:rPr>
        <w:rFonts w:ascii="Wingdings" w:hAnsi="Wingdings" w:hint="default"/>
      </w:rPr>
    </w:lvl>
    <w:lvl w:ilvl="7" w:tplc="5E0AFC98" w:tentative="1">
      <w:start w:val="1"/>
      <w:numFmt w:val="bullet"/>
      <w:lvlText w:val=""/>
      <w:lvlJc w:val="left"/>
      <w:pPr>
        <w:tabs>
          <w:tab w:val="num" w:pos="5760"/>
        </w:tabs>
        <w:ind w:left="5760" w:hanging="360"/>
      </w:pPr>
      <w:rPr>
        <w:rFonts w:ascii="Wingdings" w:hAnsi="Wingdings" w:hint="default"/>
      </w:rPr>
    </w:lvl>
    <w:lvl w:ilvl="8" w:tplc="F89E7DBE"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D951110"/>
    <w:multiLevelType w:val="multilevel"/>
    <w:tmpl w:val="6E368B10"/>
    <w:lvl w:ilvl="0">
      <w:start w:val="3"/>
      <w:numFmt w:val="decimal"/>
      <w:lvlText w:val="%1."/>
      <w:lvlJc w:val="left"/>
      <w:pPr>
        <w:ind w:left="660" w:hanging="660"/>
      </w:pPr>
      <w:rPr>
        <w:rFonts w:hint="default"/>
      </w:rPr>
    </w:lvl>
    <w:lvl w:ilvl="1">
      <w:start w:val="1"/>
      <w:numFmt w:val="decimal"/>
      <w:lvlText w:val="%1.%2."/>
      <w:lvlJc w:val="left"/>
      <w:pPr>
        <w:ind w:left="1019" w:hanging="660"/>
      </w:pPr>
      <w:rPr>
        <w:rFonts w:hint="default"/>
      </w:rPr>
    </w:lvl>
    <w:lvl w:ilvl="2">
      <w:start w:val="4"/>
      <w:numFmt w:val="decimal"/>
      <w:lvlText w:val="%1.%2.%3."/>
      <w:lvlJc w:val="left"/>
      <w:pPr>
        <w:ind w:left="1438" w:hanging="720"/>
      </w:pPr>
      <w:rPr>
        <w:rFonts w:hint="default"/>
      </w:rPr>
    </w:lvl>
    <w:lvl w:ilvl="3">
      <w:start w:val="1"/>
      <w:numFmt w:val="decimal"/>
      <w:lvlText w:val="%1.%2.%3.%4."/>
      <w:lvlJc w:val="left"/>
      <w:pPr>
        <w:ind w:left="1797" w:hanging="720"/>
      </w:pPr>
      <w:rPr>
        <w:rFonts w:hint="default"/>
      </w:rPr>
    </w:lvl>
    <w:lvl w:ilvl="4">
      <w:start w:val="1"/>
      <w:numFmt w:val="decimal"/>
      <w:lvlText w:val="%1.%2.%3.%4.%5."/>
      <w:lvlJc w:val="left"/>
      <w:pPr>
        <w:ind w:left="2516" w:hanging="1080"/>
      </w:pPr>
      <w:rPr>
        <w:rFonts w:hint="default"/>
      </w:rPr>
    </w:lvl>
    <w:lvl w:ilvl="5">
      <w:start w:val="1"/>
      <w:numFmt w:val="decimal"/>
      <w:lvlText w:val="%1.%2.%3.%4.%5.%6."/>
      <w:lvlJc w:val="left"/>
      <w:pPr>
        <w:ind w:left="2875" w:hanging="1080"/>
      </w:pPr>
      <w:rPr>
        <w:rFonts w:hint="default"/>
      </w:rPr>
    </w:lvl>
    <w:lvl w:ilvl="6">
      <w:start w:val="1"/>
      <w:numFmt w:val="decimal"/>
      <w:lvlText w:val="%1.%2.%3.%4.%5.%6.%7."/>
      <w:lvlJc w:val="left"/>
      <w:pPr>
        <w:ind w:left="3594" w:hanging="1440"/>
      </w:pPr>
      <w:rPr>
        <w:rFonts w:hint="default"/>
      </w:rPr>
    </w:lvl>
    <w:lvl w:ilvl="7">
      <w:start w:val="1"/>
      <w:numFmt w:val="decimal"/>
      <w:lvlText w:val="%1.%2.%3.%4.%5.%6.%7.%8."/>
      <w:lvlJc w:val="left"/>
      <w:pPr>
        <w:ind w:left="3953" w:hanging="1440"/>
      </w:pPr>
      <w:rPr>
        <w:rFonts w:hint="default"/>
      </w:rPr>
    </w:lvl>
    <w:lvl w:ilvl="8">
      <w:start w:val="1"/>
      <w:numFmt w:val="decimal"/>
      <w:lvlText w:val="%1.%2.%3.%4.%5.%6.%7.%8.%9."/>
      <w:lvlJc w:val="left"/>
      <w:pPr>
        <w:ind w:left="4672" w:hanging="1800"/>
      </w:pPr>
      <w:rPr>
        <w:rFonts w:hint="default"/>
      </w:rPr>
    </w:lvl>
  </w:abstractNum>
  <w:abstractNum w:abstractNumId="49" w15:restartNumberingAfterBreak="0">
    <w:nsid w:val="4E125D50"/>
    <w:multiLevelType w:val="hybridMultilevel"/>
    <w:tmpl w:val="16CE2A24"/>
    <w:lvl w:ilvl="0" w:tplc="EDB60160">
      <w:start w:val="1"/>
      <w:numFmt w:val="bullet"/>
      <w:lvlText w:val="-"/>
      <w:lvlJc w:val="left"/>
      <w:pPr>
        <w:tabs>
          <w:tab w:val="num" w:pos="720"/>
        </w:tabs>
        <w:ind w:left="720" w:hanging="360"/>
      </w:pPr>
      <w:rPr>
        <w:rFonts w:ascii="Times New Roman" w:hAnsi="Times New Roman" w:hint="default"/>
      </w:rPr>
    </w:lvl>
    <w:lvl w:ilvl="1" w:tplc="1A52046E" w:tentative="1">
      <w:start w:val="1"/>
      <w:numFmt w:val="bullet"/>
      <w:lvlText w:val="-"/>
      <w:lvlJc w:val="left"/>
      <w:pPr>
        <w:tabs>
          <w:tab w:val="num" w:pos="1440"/>
        </w:tabs>
        <w:ind w:left="1440" w:hanging="360"/>
      </w:pPr>
      <w:rPr>
        <w:rFonts w:ascii="Times New Roman" w:hAnsi="Times New Roman" w:hint="default"/>
      </w:rPr>
    </w:lvl>
    <w:lvl w:ilvl="2" w:tplc="6876F9D8" w:tentative="1">
      <w:start w:val="1"/>
      <w:numFmt w:val="bullet"/>
      <w:lvlText w:val="-"/>
      <w:lvlJc w:val="left"/>
      <w:pPr>
        <w:tabs>
          <w:tab w:val="num" w:pos="2160"/>
        </w:tabs>
        <w:ind w:left="2160" w:hanging="360"/>
      </w:pPr>
      <w:rPr>
        <w:rFonts w:ascii="Times New Roman" w:hAnsi="Times New Roman" w:hint="default"/>
      </w:rPr>
    </w:lvl>
    <w:lvl w:ilvl="3" w:tplc="8CE25B04" w:tentative="1">
      <w:start w:val="1"/>
      <w:numFmt w:val="bullet"/>
      <w:lvlText w:val="-"/>
      <w:lvlJc w:val="left"/>
      <w:pPr>
        <w:tabs>
          <w:tab w:val="num" w:pos="2880"/>
        </w:tabs>
        <w:ind w:left="2880" w:hanging="360"/>
      </w:pPr>
      <w:rPr>
        <w:rFonts w:ascii="Times New Roman" w:hAnsi="Times New Roman" w:hint="default"/>
      </w:rPr>
    </w:lvl>
    <w:lvl w:ilvl="4" w:tplc="0DFE4B26" w:tentative="1">
      <w:start w:val="1"/>
      <w:numFmt w:val="bullet"/>
      <w:lvlText w:val="-"/>
      <w:lvlJc w:val="left"/>
      <w:pPr>
        <w:tabs>
          <w:tab w:val="num" w:pos="3600"/>
        </w:tabs>
        <w:ind w:left="3600" w:hanging="360"/>
      </w:pPr>
      <w:rPr>
        <w:rFonts w:ascii="Times New Roman" w:hAnsi="Times New Roman" w:hint="default"/>
      </w:rPr>
    </w:lvl>
    <w:lvl w:ilvl="5" w:tplc="504E568E" w:tentative="1">
      <w:start w:val="1"/>
      <w:numFmt w:val="bullet"/>
      <w:lvlText w:val="-"/>
      <w:lvlJc w:val="left"/>
      <w:pPr>
        <w:tabs>
          <w:tab w:val="num" w:pos="4320"/>
        </w:tabs>
        <w:ind w:left="4320" w:hanging="360"/>
      </w:pPr>
      <w:rPr>
        <w:rFonts w:ascii="Times New Roman" w:hAnsi="Times New Roman" w:hint="default"/>
      </w:rPr>
    </w:lvl>
    <w:lvl w:ilvl="6" w:tplc="0A6E878A" w:tentative="1">
      <w:start w:val="1"/>
      <w:numFmt w:val="bullet"/>
      <w:lvlText w:val="-"/>
      <w:lvlJc w:val="left"/>
      <w:pPr>
        <w:tabs>
          <w:tab w:val="num" w:pos="5040"/>
        </w:tabs>
        <w:ind w:left="5040" w:hanging="360"/>
      </w:pPr>
      <w:rPr>
        <w:rFonts w:ascii="Times New Roman" w:hAnsi="Times New Roman" w:hint="default"/>
      </w:rPr>
    </w:lvl>
    <w:lvl w:ilvl="7" w:tplc="641281CA" w:tentative="1">
      <w:start w:val="1"/>
      <w:numFmt w:val="bullet"/>
      <w:lvlText w:val="-"/>
      <w:lvlJc w:val="left"/>
      <w:pPr>
        <w:tabs>
          <w:tab w:val="num" w:pos="5760"/>
        </w:tabs>
        <w:ind w:left="5760" w:hanging="360"/>
      </w:pPr>
      <w:rPr>
        <w:rFonts w:ascii="Times New Roman" w:hAnsi="Times New Roman" w:hint="default"/>
      </w:rPr>
    </w:lvl>
    <w:lvl w:ilvl="8" w:tplc="9F3C68F2" w:tentative="1">
      <w:start w:val="1"/>
      <w:numFmt w:val="bullet"/>
      <w:lvlText w:val="-"/>
      <w:lvlJc w:val="left"/>
      <w:pPr>
        <w:tabs>
          <w:tab w:val="num" w:pos="6480"/>
        </w:tabs>
        <w:ind w:left="6480" w:hanging="360"/>
      </w:pPr>
      <w:rPr>
        <w:rFonts w:ascii="Times New Roman" w:hAnsi="Times New Roman" w:hint="default"/>
      </w:rPr>
    </w:lvl>
  </w:abstractNum>
  <w:abstractNum w:abstractNumId="50" w15:restartNumberingAfterBreak="0">
    <w:nsid w:val="552A775F"/>
    <w:multiLevelType w:val="hybridMultilevel"/>
    <w:tmpl w:val="8850C9F8"/>
    <w:lvl w:ilvl="0" w:tplc="CABC2F16">
      <w:start w:val="1"/>
      <w:numFmt w:val="bullet"/>
      <w:lvlText w:val=""/>
      <w:lvlJc w:val="left"/>
      <w:pPr>
        <w:tabs>
          <w:tab w:val="num" w:pos="720"/>
        </w:tabs>
        <w:ind w:left="720" w:hanging="360"/>
      </w:pPr>
      <w:rPr>
        <w:rFonts w:ascii="Wingdings" w:hAnsi="Wingdings" w:hint="default"/>
      </w:rPr>
    </w:lvl>
    <w:lvl w:ilvl="1" w:tplc="C1546A2A" w:tentative="1">
      <w:start w:val="1"/>
      <w:numFmt w:val="bullet"/>
      <w:lvlText w:val=""/>
      <w:lvlJc w:val="left"/>
      <w:pPr>
        <w:tabs>
          <w:tab w:val="num" w:pos="1440"/>
        </w:tabs>
        <w:ind w:left="1440" w:hanging="360"/>
      </w:pPr>
      <w:rPr>
        <w:rFonts w:ascii="Wingdings" w:hAnsi="Wingdings" w:hint="default"/>
      </w:rPr>
    </w:lvl>
    <w:lvl w:ilvl="2" w:tplc="50E48B26" w:tentative="1">
      <w:start w:val="1"/>
      <w:numFmt w:val="bullet"/>
      <w:lvlText w:val=""/>
      <w:lvlJc w:val="left"/>
      <w:pPr>
        <w:tabs>
          <w:tab w:val="num" w:pos="2160"/>
        </w:tabs>
        <w:ind w:left="2160" w:hanging="360"/>
      </w:pPr>
      <w:rPr>
        <w:rFonts w:ascii="Wingdings" w:hAnsi="Wingdings" w:hint="default"/>
      </w:rPr>
    </w:lvl>
    <w:lvl w:ilvl="3" w:tplc="A9AE1B48" w:tentative="1">
      <w:start w:val="1"/>
      <w:numFmt w:val="bullet"/>
      <w:lvlText w:val=""/>
      <w:lvlJc w:val="left"/>
      <w:pPr>
        <w:tabs>
          <w:tab w:val="num" w:pos="2880"/>
        </w:tabs>
        <w:ind w:left="2880" w:hanging="360"/>
      </w:pPr>
      <w:rPr>
        <w:rFonts w:ascii="Wingdings" w:hAnsi="Wingdings" w:hint="default"/>
      </w:rPr>
    </w:lvl>
    <w:lvl w:ilvl="4" w:tplc="F22043A0" w:tentative="1">
      <w:start w:val="1"/>
      <w:numFmt w:val="bullet"/>
      <w:lvlText w:val=""/>
      <w:lvlJc w:val="left"/>
      <w:pPr>
        <w:tabs>
          <w:tab w:val="num" w:pos="3600"/>
        </w:tabs>
        <w:ind w:left="3600" w:hanging="360"/>
      </w:pPr>
      <w:rPr>
        <w:rFonts w:ascii="Wingdings" w:hAnsi="Wingdings" w:hint="default"/>
      </w:rPr>
    </w:lvl>
    <w:lvl w:ilvl="5" w:tplc="B894B50A" w:tentative="1">
      <w:start w:val="1"/>
      <w:numFmt w:val="bullet"/>
      <w:lvlText w:val=""/>
      <w:lvlJc w:val="left"/>
      <w:pPr>
        <w:tabs>
          <w:tab w:val="num" w:pos="4320"/>
        </w:tabs>
        <w:ind w:left="4320" w:hanging="360"/>
      </w:pPr>
      <w:rPr>
        <w:rFonts w:ascii="Wingdings" w:hAnsi="Wingdings" w:hint="default"/>
      </w:rPr>
    </w:lvl>
    <w:lvl w:ilvl="6" w:tplc="EBB04EC2" w:tentative="1">
      <w:start w:val="1"/>
      <w:numFmt w:val="bullet"/>
      <w:lvlText w:val=""/>
      <w:lvlJc w:val="left"/>
      <w:pPr>
        <w:tabs>
          <w:tab w:val="num" w:pos="5040"/>
        </w:tabs>
        <w:ind w:left="5040" w:hanging="360"/>
      </w:pPr>
      <w:rPr>
        <w:rFonts w:ascii="Wingdings" w:hAnsi="Wingdings" w:hint="default"/>
      </w:rPr>
    </w:lvl>
    <w:lvl w:ilvl="7" w:tplc="E70A2924" w:tentative="1">
      <w:start w:val="1"/>
      <w:numFmt w:val="bullet"/>
      <w:lvlText w:val=""/>
      <w:lvlJc w:val="left"/>
      <w:pPr>
        <w:tabs>
          <w:tab w:val="num" w:pos="5760"/>
        </w:tabs>
        <w:ind w:left="5760" w:hanging="360"/>
      </w:pPr>
      <w:rPr>
        <w:rFonts w:ascii="Wingdings" w:hAnsi="Wingdings" w:hint="default"/>
      </w:rPr>
    </w:lvl>
    <w:lvl w:ilvl="8" w:tplc="C81C95EA"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9027D39"/>
    <w:multiLevelType w:val="hybridMultilevel"/>
    <w:tmpl w:val="BD24C01E"/>
    <w:lvl w:ilvl="0" w:tplc="E9A64966">
      <w:start w:val="5"/>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59607C2B"/>
    <w:multiLevelType w:val="multilevel"/>
    <w:tmpl w:val="B3869E8E"/>
    <w:lvl w:ilvl="0">
      <w:start w:val="2"/>
      <w:numFmt w:val="bullet"/>
      <w:lvlText w:val="-"/>
      <w:lvlJc w:val="left"/>
      <w:pPr>
        <w:ind w:left="720" w:hanging="360"/>
      </w:pPr>
      <w:rPr>
        <w:rFonts w:ascii="Arial" w:eastAsiaTheme="minorHAnsi" w:hAnsi="Arial" w:cs="Arial"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3" w15:restartNumberingAfterBreak="0">
    <w:nsid w:val="5C364809"/>
    <w:multiLevelType w:val="multilevel"/>
    <w:tmpl w:val="9CB410EC"/>
    <w:lvl w:ilvl="0">
      <w:start w:val="4"/>
      <w:numFmt w:val="decimal"/>
      <w:lvlText w:val="%1."/>
      <w:lvlJc w:val="left"/>
      <w:pPr>
        <w:ind w:left="540" w:hanging="540"/>
      </w:pPr>
      <w:rPr>
        <w:rFonts w:hint="default"/>
      </w:rPr>
    </w:lvl>
    <w:lvl w:ilvl="1">
      <w:start w:val="2"/>
      <w:numFmt w:val="decimal"/>
      <w:lvlText w:val="%1.%2."/>
      <w:lvlJc w:val="left"/>
      <w:pPr>
        <w:ind w:left="1050" w:hanging="720"/>
      </w:pPr>
      <w:rPr>
        <w:rFonts w:hint="default"/>
      </w:rPr>
    </w:lvl>
    <w:lvl w:ilvl="2">
      <w:start w:val="1"/>
      <w:numFmt w:val="decimal"/>
      <w:lvlText w:val="%1.%2.%3."/>
      <w:lvlJc w:val="left"/>
      <w:pPr>
        <w:ind w:left="1380" w:hanging="720"/>
      </w:pPr>
      <w:rPr>
        <w:rFonts w:hint="default"/>
      </w:rPr>
    </w:lvl>
    <w:lvl w:ilvl="3">
      <w:start w:val="1"/>
      <w:numFmt w:val="decimal"/>
      <w:lvlText w:val="%1.%2.%3.%4."/>
      <w:lvlJc w:val="left"/>
      <w:pPr>
        <w:ind w:left="2070" w:hanging="108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3090" w:hanging="144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4110" w:hanging="1800"/>
      </w:pPr>
      <w:rPr>
        <w:rFonts w:hint="default"/>
      </w:rPr>
    </w:lvl>
    <w:lvl w:ilvl="8">
      <w:start w:val="1"/>
      <w:numFmt w:val="decimal"/>
      <w:lvlText w:val="%1.%2.%3.%4.%5.%6.%7.%8.%9."/>
      <w:lvlJc w:val="left"/>
      <w:pPr>
        <w:ind w:left="4440" w:hanging="1800"/>
      </w:pPr>
      <w:rPr>
        <w:rFonts w:hint="default"/>
      </w:rPr>
    </w:lvl>
  </w:abstractNum>
  <w:abstractNum w:abstractNumId="54" w15:restartNumberingAfterBreak="0">
    <w:nsid w:val="5E244348"/>
    <w:multiLevelType w:val="multilevel"/>
    <w:tmpl w:val="3B8E19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5" w15:restartNumberingAfterBreak="0">
    <w:nsid w:val="5E8A1009"/>
    <w:multiLevelType w:val="multilevel"/>
    <w:tmpl w:val="C1D82138"/>
    <w:lvl w:ilvl="0">
      <w:start w:val="4"/>
      <w:numFmt w:val="decimal"/>
      <w:lvlText w:val="%1."/>
      <w:lvlJc w:val="left"/>
      <w:pPr>
        <w:ind w:left="540" w:hanging="540"/>
      </w:pPr>
      <w:rPr>
        <w:rFonts w:hint="default"/>
      </w:rPr>
    </w:lvl>
    <w:lvl w:ilvl="1">
      <w:start w:val="1"/>
      <w:numFmt w:val="decimal"/>
      <w:lvlText w:val="%1.%2."/>
      <w:lvlJc w:val="left"/>
      <w:pPr>
        <w:ind w:left="1439" w:hanging="720"/>
      </w:pPr>
      <w:rPr>
        <w:rFonts w:hint="default"/>
      </w:rPr>
    </w:lvl>
    <w:lvl w:ilvl="2">
      <w:start w:val="1"/>
      <w:numFmt w:val="decimal"/>
      <w:lvlText w:val="%1.%2.%3."/>
      <w:lvlJc w:val="left"/>
      <w:pPr>
        <w:ind w:left="2158" w:hanging="720"/>
      </w:pPr>
      <w:rPr>
        <w:rFonts w:hint="default"/>
      </w:rPr>
    </w:lvl>
    <w:lvl w:ilvl="3">
      <w:start w:val="1"/>
      <w:numFmt w:val="decimal"/>
      <w:lvlText w:val="%1.%2.%3.%4."/>
      <w:lvlJc w:val="left"/>
      <w:pPr>
        <w:ind w:left="3237" w:hanging="1080"/>
      </w:pPr>
      <w:rPr>
        <w:rFonts w:hint="default"/>
      </w:rPr>
    </w:lvl>
    <w:lvl w:ilvl="4">
      <w:start w:val="1"/>
      <w:numFmt w:val="decimal"/>
      <w:lvlText w:val="%1.%2.%3.%4.%5."/>
      <w:lvlJc w:val="left"/>
      <w:pPr>
        <w:ind w:left="3956" w:hanging="1080"/>
      </w:pPr>
      <w:rPr>
        <w:rFonts w:hint="default"/>
      </w:rPr>
    </w:lvl>
    <w:lvl w:ilvl="5">
      <w:start w:val="1"/>
      <w:numFmt w:val="decimal"/>
      <w:lvlText w:val="%1.%2.%3.%4.%5.%6."/>
      <w:lvlJc w:val="left"/>
      <w:pPr>
        <w:ind w:left="5035" w:hanging="1440"/>
      </w:pPr>
      <w:rPr>
        <w:rFonts w:hint="default"/>
      </w:rPr>
    </w:lvl>
    <w:lvl w:ilvl="6">
      <w:start w:val="1"/>
      <w:numFmt w:val="decimal"/>
      <w:lvlText w:val="%1.%2.%3.%4.%5.%6.%7."/>
      <w:lvlJc w:val="left"/>
      <w:pPr>
        <w:ind w:left="5754" w:hanging="1440"/>
      </w:pPr>
      <w:rPr>
        <w:rFonts w:hint="default"/>
      </w:rPr>
    </w:lvl>
    <w:lvl w:ilvl="7">
      <w:start w:val="1"/>
      <w:numFmt w:val="decimal"/>
      <w:lvlText w:val="%1.%2.%3.%4.%5.%6.%7.%8."/>
      <w:lvlJc w:val="left"/>
      <w:pPr>
        <w:ind w:left="6833" w:hanging="1800"/>
      </w:pPr>
      <w:rPr>
        <w:rFonts w:hint="default"/>
      </w:rPr>
    </w:lvl>
    <w:lvl w:ilvl="8">
      <w:start w:val="1"/>
      <w:numFmt w:val="decimal"/>
      <w:lvlText w:val="%1.%2.%3.%4.%5.%6.%7.%8.%9."/>
      <w:lvlJc w:val="left"/>
      <w:pPr>
        <w:ind w:left="7552" w:hanging="1800"/>
      </w:pPr>
      <w:rPr>
        <w:rFonts w:hint="default"/>
      </w:rPr>
    </w:lvl>
  </w:abstractNum>
  <w:abstractNum w:abstractNumId="56" w15:restartNumberingAfterBreak="0">
    <w:nsid w:val="5EA40492"/>
    <w:multiLevelType w:val="hybridMultilevel"/>
    <w:tmpl w:val="1BFE3BDE"/>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57" w15:restartNumberingAfterBreak="0">
    <w:nsid w:val="63EC1EBD"/>
    <w:multiLevelType w:val="multilevel"/>
    <w:tmpl w:val="D1B0DEF6"/>
    <w:lvl w:ilvl="0">
      <w:start w:val="3"/>
      <w:numFmt w:val="decimal"/>
      <w:lvlText w:val="%1"/>
      <w:lvlJc w:val="left"/>
      <w:pPr>
        <w:ind w:left="480" w:hanging="480"/>
      </w:pPr>
      <w:rPr>
        <w:rFonts w:hint="default"/>
      </w:rPr>
    </w:lvl>
    <w:lvl w:ilvl="1">
      <w:start w:val="2"/>
      <w:numFmt w:val="decimal"/>
      <w:lvlText w:val="%1.%2"/>
      <w:lvlJc w:val="left"/>
      <w:pPr>
        <w:ind w:left="660" w:hanging="48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58" w15:restartNumberingAfterBreak="0">
    <w:nsid w:val="64C827EF"/>
    <w:multiLevelType w:val="hybridMultilevel"/>
    <w:tmpl w:val="61C64596"/>
    <w:lvl w:ilvl="0" w:tplc="DBE2E524">
      <w:start w:val="1"/>
      <w:numFmt w:val="bullet"/>
      <w:lvlText w:val=""/>
      <w:lvlJc w:val="left"/>
      <w:pPr>
        <w:tabs>
          <w:tab w:val="num" w:pos="720"/>
        </w:tabs>
        <w:ind w:left="720" w:hanging="360"/>
      </w:pPr>
      <w:rPr>
        <w:rFonts w:ascii="Symbol" w:hAnsi="Symbol" w:hint="default"/>
      </w:rPr>
    </w:lvl>
    <w:lvl w:ilvl="1" w:tplc="11A0ABDE" w:tentative="1">
      <w:start w:val="1"/>
      <w:numFmt w:val="bullet"/>
      <w:lvlText w:val=""/>
      <w:lvlJc w:val="left"/>
      <w:pPr>
        <w:tabs>
          <w:tab w:val="num" w:pos="1440"/>
        </w:tabs>
        <w:ind w:left="1440" w:hanging="360"/>
      </w:pPr>
      <w:rPr>
        <w:rFonts w:ascii="Symbol" w:hAnsi="Symbol" w:hint="default"/>
      </w:rPr>
    </w:lvl>
    <w:lvl w:ilvl="2" w:tplc="E44A72DA" w:tentative="1">
      <w:start w:val="1"/>
      <w:numFmt w:val="bullet"/>
      <w:lvlText w:val=""/>
      <w:lvlJc w:val="left"/>
      <w:pPr>
        <w:tabs>
          <w:tab w:val="num" w:pos="2160"/>
        </w:tabs>
        <w:ind w:left="2160" w:hanging="360"/>
      </w:pPr>
      <w:rPr>
        <w:rFonts w:ascii="Symbol" w:hAnsi="Symbol" w:hint="default"/>
      </w:rPr>
    </w:lvl>
    <w:lvl w:ilvl="3" w:tplc="7F103180" w:tentative="1">
      <w:start w:val="1"/>
      <w:numFmt w:val="bullet"/>
      <w:lvlText w:val=""/>
      <w:lvlJc w:val="left"/>
      <w:pPr>
        <w:tabs>
          <w:tab w:val="num" w:pos="2880"/>
        </w:tabs>
        <w:ind w:left="2880" w:hanging="360"/>
      </w:pPr>
      <w:rPr>
        <w:rFonts w:ascii="Symbol" w:hAnsi="Symbol" w:hint="default"/>
      </w:rPr>
    </w:lvl>
    <w:lvl w:ilvl="4" w:tplc="720EFB82" w:tentative="1">
      <w:start w:val="1"/>
      <w:numFmt w:val="bullet"/>
      <w:lvlText w:val=""/>
      <w:lvlJc w:val="left"/>
      <w:pPr>
        <w:tabs>
          <w:tab w:val="num" w:pos="3600"/>
        </w:tabs>
        <w:ind w:left="3600" w:hanging="360"/>
      </w:pPr>
      <w:rPr>
        <w:rFonts w:ascii="Symbol" w:hAnsi="Symbol" w:hint="default"/>
      </w:rPr>
    </w:lvl>
    <w:lvl w:ilvl="5" w:tplc="5FA46B56" w:tentative="1">
      <w:start w:val="1"/>
      <w:numFmt w:val="bullet"/>
      <w:lvlText w:val=""/>
      <w:lvlJc w:val="left"/>
      <w:pPr>
        <w:tabs>
          <w:tab w:val="num" w:pos="4320"/>
        </w:tabs>
        <w:ind w:left="4320" w:hanging="360"/>
      </w:pPr>
      <w:rPr>
        <w:rFonts w:ascii="Symbol" w:hAnsi="Symbol" w:hint="default"/>
      </w:rPr>
    </w:lvl>
    <w:lvl w:ilvl="6" w:tplc="39D8765A" w:tentative="1">
      <w:start w:val="1"/>
      <w:numFmt w:val="bullet"/>
      <w:lvlText w:val=""/>
      <w:lvlJc w:val="left"/>
      <w:pPr>
        <w:tabs>
          <w:tab w:val="num" w:pos="5040"/>
        </w:tabs>
        <w:ind w:left="5040" w:hanging="360"/>
      </w:pPr>
      <w:rPr>
        <w:rFonts w:ascii="Symbol" w:hAnsi="Symbol" w:hint="default"/>
      </w:rPr>
    </w:lvl>
    <w:lvl w:ilvl="7" w:tplc="C93C80DC" w:tentative="1">
      <w:start w:val="1"/>
      <w:numFmt w:val="bullet"/>
      <w:lvlText w:val=""/>
      <w:lvlJc w:val="left"/>
      <w:pPr>
        <w:tabs>
          <w:tab w:val="num" w:pos="5760"/>
        </w:tabs>
        <w:ind w:left="5760" w:hanging="360"/>
      </w:pPr>
      <w:rPr>
        <w:rFonts w:ascii="Symbol" w:hAnsi="Symbol" w:hint="default"/>
      </w:rPr>
    </w:lvl>
    <w:lvl w:ilvl="8" w:tplc="FCF274D6" w:tentative="1">
      <w:start w:val="1"/>
      <w:numFmt w:val="bullet"/>
      <w:lvlText w:val=""/>
      <w:lvlJc w:val="left"/>
      <w:pPr>
        <w:tabs>
          <w:tab w:val="num" w:pos="6480"/>
        </w:tabs>
        <w:ind w:left="6480" w:hanging="360"/>
      </w:pPr>
      <w:rPr>
        <w:rFonts w:ascii="Symbol" w:hAnsi="Symbol" w:hint="default"/>
      </w:rPr>
    </w:lvl>
  </w:abstractNum>
  <w:abstractNum w:abstractNumId="59" w15:restartNumberingAfterBreak="0">
    <w:nsid w:val="654002ED"/>
    <w:multiLevelType w:val="hybridMultilevel"/>
    <w:tmpl w:val="C8D29588"/>
    <w:lvl w:ilvl="0" w:tplc="EA36ACF4">
      <w:start w:val="1"/>
      <w:numFmt w:val="bullet"/>
      <w:lvlText w:val=""/>
      <w:lvlJc w:val="left"/>
      <w:pPr>
        <w:tabs>
          <w:tab w:val="num" w:pos="720"/>
        </w:tabs>
        <w:ind w:left="720" w:hanging="360"/>
      </w:pPr>
      <w:rPr>
        <w:rFonts w:ascii="Wingdings" w:hAnsi="Wingdings" w:hint="default"/>
      </w:rPr>
    </w:lvl>
    <w:lvl w:ilvl="1" w:tplc="BE1EF91A" w:tentative="1">
      <w:start w:val="1"/>
      <w:numFmt w:val="bullet"/>
      <w:lvlText w:val=""/>
      <w:lvlJc w:val="left"/>
      <w:pPr>
        <w:tabs>
          <w:tab w:val="num" w:pos="1440"/>
        </w:tabs>
        <w:ind w:left="1440" w:hanging="360"/>
      </w:pPr>
      <w:rPr>
        <w:rFonts w:ascii="Wingdings" w:hAnsi="Wingdings" w:hint="default"/>
      </w:rPr>
    </w:lvl>
    <w:lvl w:ilvl="2" w:tplc="1A768C90" w:tentative="1">
      <w:start w:val="1"/>
      <w:numFmt w:val="bullet"/>
      <w:lvlText w:val=""/>
      <w:lvlJc w:val="left"/>
      <w:pPr>
        <w:tabs>
          <w:tab w:val="num" w:pos="2160"/>
        </w:tabs>
        <w:ind w:left="2160" w:hanging="360"/>
      </w:pPr>
      <w:rPr>
        <w:rFonts w:ascii="Wingdings" w:hAnsi="Wingdings" w:hint="default"/>
      </w:rPr>
    </w:lvl>
    <w:lvl w:ilvl="3" w:tplc="D936672A" w:tentative="1">
      <w:start w:val="1"/>
      <w:numFmt w:val="bullet"/>
      <w:lvlText w:val=""/>
      <w:lvlJc w:val="left"/>
      <w:pPr>
        <w:tabs>
          <w:tab w:val="num" w:pos="2880"/>
        </w:tabs>
        <w:ind w:left="2880" w:hanging="360"/>
      </w:pPr>
      <w:rPr>
        <w:rFonts w:ascii="Wingdings" w:hAnsi="Wingdings" w:hint="default"/>
      </w:rPr>
    </w:lvl>
    <w:lvl w:ilvl="4" w:tplc="3B1C1C0E" w:tentative="1">
      <w:start w:val="1"/>
      <w:numFmt w:val="bullet"/>
      <w:lvlText w:val=""/>
      <w:lvlJc w:val="left"/>
      <w:pPr>
        <w:tabs>
          <w:tab w:val="num" w:pos="3600"/>
        </w:tabs>
        <w:ind w:left="3600" w:hanging="360"/>
      </w:pPr>
      <w:rPr>
        <w:rFonts w:ascii="Wingdings" w:hAnsi="Wingdings" w:hint="default"/>
      </w:rPr>
    </w:lvl>
    <w:lvl w:ilvl="5" w:tplc="CA6AB76C" w:tentative="1">
      <w:start w:val="1"/>
      <w:numFmt w:val="bullet"/>
      <w:lvlText w:val=""/>
      <w:lvlJc w:val="left"/>
      <w:pPr>
        <w:tabs>
          <w:tab w:val="num" w:pos="4320"/>
        </w:tabs>
        <w:ind w:left="4320" w:hanging="360"/>
      </w:pPr>
      <w:rPr>
        <w:rFonts w:ascii="Wingdings" w:hAnsi="Wingdings" w:hint="default"/>
      </w:rPr>
    </w:lvl>
    <w:lvl w:ilvl="6" w:tplc="60EE0940" w:tentative="1">
      <w:start w:val="1"/>
      <w:numFmt w:val="bullet"/>
      <w:lvlText w:val=""/>
      <w:lvlJc w:val="left"/>
      <w:pPr>
        <w:tabs>
          <w:tab w:val="num" w:pos="5040"/>
        </w:tabs>
        <w:ind w:left="5040" w:hanging="360"/>
      </w:pPr>
      <w:rPr>
        <w:rFonts w:ascii="Wingdings" w:hAnsi="Wingdings" w:hint="default"/>
      </w:rPr>
    </w:lvl>
    <w:lvl w:ilvl="7" w:tplc="3FFAE08C" w:tentative="1">
      <w:start w:val="1"/>
      <w:numFmt w:val="bullet"/>
      <w:lvlText w:val=""/>
      <w:lvlJc w:val="left"/>
      <w:pPr>
        <w:tabs>
          <w:tab w:val="num" w:pos="5760"/>
        </w:tabs>
        <w:ind w:left="5760" w:hanging="360"/>
      </w:pPr>
      <w:rPr>
        <w:rFonts w:ascii="Wingdings" w:hAnsi="Wingdings" w:hint="default"/>
      </w:rPr>
    </w:lvl>
    <w:lvl w:ilvl="8" w:tplc="EFD087B2" w:tentative="1">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5A827D7"/>
    <w:multiLevelType w:val="multilevel"/>
    <w:tmpl w:val="59B84234"/>
    <w:lvl w:ilvl="0">
      <w:start w:val="1"/>
      <w:numFmt w:val="decimal"/>
      <w:lvlText w:val="%1."/>
      <w:lvlJc w:val="left"/>
      <w:pPr>
        <w:ind w:left="540" w:hanging="540"/>
      </w:pPr>
      <w:rPr>
        <w:rFonts w:hint="default"/>
      </w:rPr>
    </w:lvl>
    <w:lvl w:ilvl="1">
      <w:start w:val="3"/>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2936" w:hanging="1800"/>
      </w:pPr>
      <w:rPr>
        <w:rFonts w:hint="default"/>
      </w:rPr>
    </w:lvl>
  </w:abstractNum>
  <w:abstractNum w:abstractNumId="61" w15:restartNumberingAfterBreak="0">
    <w:nsid w:val="678C20D3"/>
    <w:multiLevelType w:val="hybridMultilevel"/>
    <w:tmpl w:val="0D189832"/>
    <w:lvl w:ilvl="0" w:tplc="5AFAB9EA">
      <w:start w:val="1"/>
      <w:numFmt w:val="bullet"/>
      <w:lvlText w:val="-"/>
      <w:lvlJc w:val="left"/>
      <w:pPr>
        <w:tabs>
          <w:tab w:val="num" w:pos="720"/>
        </w:tabs>
        <w:ind w:left="720" w:hanging="360"/>
      </w:pPr>
      <w:rPr>
        <w:rFonts w:ascii="Times New Roman" w:hAnsi="Times New Roman" w:hint="default"/>
      </w:rPr>
    </w:lvl>
    <w:lvl w:ilvl="1" w:tplc="BE2E6A62" w:tentative="1">
      <w:start w:val="1"/>
      <w:numFmt w:val="bullet"/>
      <w:lvlText w:val="-"/>
      <w:lvlJc w:val="left"/>
      <w:pPr>
        <w:tabs>
          <w:tab w:val="num" w:pos="1440"/>
        </w:tabs>
        <w:ind w:left="1440" w:hanging="360"/>
      </w:pPr>
      <w:rPr>
        <w:rFonts w:ascii="Times New Roman" w:hAnsi="Times New Roman" w:hint="default"/>
      </w:rPr>
    </w:lvl>
    <w:lvl w:ilvl="2" w:tplc="CE88AED8" w:tentative="1">
      <w:start w:val="1"/>
      <w:numFmt w:val="bullet"/>
      <w:lvlText w:val="-"/>
      <w:lvlJc w:val="left"/>
      <w:pPr>
        <w:tabs>
          <w:tab w:val="num" w:pos="2160"/>
        </w:tabs>
        <w:ind w:left="2160" w:hanging="360"/>
      </w:pPr>
      <w:rPr>
        <w:rFonts w:ascii="Times New Roman" w:hAnsi="Times New Roman" w:hint="default"/>
      </w:rPr>
    </w:lvl>
    <w:lvl w:ilvl="3" w:tplc="3B2A1CF2" w:tentative="1">
      <w:start w:val="1"/>
      <w:numFmt w:val="bullet"/>
      <w:lvlText w:val="-"/>
      <w:lvlJc w:val="left"/>
      <w:pPr>
        <w:tabs>
          <w:tab w:val="num" w:pos="2880"/>
        </w:tabs>
        <w:ind w:left="2880" w:hanging="360"/>
      </w:pPr>
      <w:rPr>
        <w:rFonts w:ascii="Times New Roman" w:hAnsi="Times New Roman" w:hint="default"/>
      </w:rPr>
    </w:lvl>
    <w:lvl w:ilvl="4" w:tplc="B49E8344" w:tentative="1">
      <w:start w:val="1"/>
      <w:numFmt w:val="bullet"/>
      <w:lvlText w:val="-"/>
      <w:lvlJc w:val="left"/>
      <w:pPr>
        <w:tabs>
          <w:tab w:val="num" w:pos="3600"/>
        </w:tabs>
        <w:ind w:left="3600" w:hanging="360"/>
      </w:pPr>
      <w:rPr>
        <w:rFonts w:ascii="Times New Roman" w:hAnsi="Times New Roman" w:hint="default"/>
      </w:rPr>
    </w:lvl>
    <w:lvl w:ilvl="5" w:tplc="37F6569C" w:tentative="1">
      <w:start w:val="1"/>
      <w:numFmt w:val="bullet"/>
      <w:lvlText w:val="-"/>
      <w:lvlJc w:val="left"/>
      <w:pPr>
        <w:tabs>
          <w:tab w:val="num" w:pos="4320"/>
        </w:tabs>
        <w:ind w:left="4320" w:hanging="360"/>
      </w:pPr>
      <w:rPr>
        <w:rFonts w:ascii="Times New Roman" w:hAnsi="Times New Roman" w:hint="default"/>
      </w:rPr>
    </w:lvl>
    <w:lvl w:ilvl="6" w:tplc="1298B7C0" w:tentative="1">
      <w:start w:val="1"/>
      <w:numFmt w:val="bullet"/>
      <w:lvlText w:val="-"/>
      <w:lvlJc w:val="left"/>
      <w:pPr>
        <w:tabs>
          <w:tab w:val="num" w:pos="5040"/>
        </w:tabs>
        <w:ind w:left="5040" w:hanging="360"/>
      </w:pPr>
      <w:rPr>
        <w:rFonts w:ascii="Times New Roman" w:hAnsi="Times New Roman" w:hint="default"/>
      </w:rPr>
    </w:lvl>
    <w:lvl w:ilvl="7" w:tplc="F1642BB2" w:tentative="1">
      <w:start w:val="1"/>
      <w:numFmt w:val="bullet"/>
      <w:lvlText w:val="-"/>
      <w:lvlJc w:val="left"/>
      <w:pPr>
        <w:tabs>
          <w:tab w:val="num" w:pos="5760"/>
        </w:tabs>
        <w:ind w:left="5760" w:hanging="360"/>
      </w:pPr>
      <w:rPr>
        <w:rFonts w:ascii="Times New Roman" w:hAnsi="Times New Roman" w:hint="default"/>
      </w:rPr>
    </w:lvl>
    <w:lvl w:ilvl="8" w:tplc="AD2AD0C8" w:tentative="1">
      <w:start w:val="1"/>
      <w:numFmt w:val="bullet"/>
      <w:lvlText w:val="-"/>
      <w:lvlJc w:val="left"/>
      <w:pPr>
        <w:tabs>
          <w:tab w:val="num" w:pos="6480"/>
        </w:tabs>
        <w:ind w:left="6480" w:hanging="360"/>
      </w:pPr>
      <w:rPr>
        <w:rFonts w:ascii="Times New Roman" w:hAnsi="Times New Roman" w:hint="default"/>
      </w:rPr>
    </w:lvl>
  </w:abstractNum>
  <w:abstractNum w:abstractNumId="62" w15:restartNumberingAfterBreak="0">
    <w:nsid w:val="68461DBE"/>
    <w:multiLevelType w:val="hybridMultilevel"/>
    <w:tmpl w:val="8550DB6A"/>
    <w:lvl w:ilvl="0" w:tplc="040C0003">
      <w:start w:val="1"/>
      <w:numFmt w:val="bullet"/>
      <w:lvlText w:val="o"/>
      <w:lvlJc w:val="left"/>
      <w:pPr>
        <w:ind w:left="2148" w:hanging="360"/>
      </w:pPr>
      <w:rPr>
        <w:rFonts w:ascii="Courier New" w:hAnsi="Courier New" w:cs="Courier New" w:hint="default"/>
      </w:rPr>
    </w:lvl>
    <w:lvl w:ilvl="1" w:tplc="040C0003" w:tentative="1">
      <w:start w:val="1"/>
      <w:numFmt w:val="bullet"/>
      <w:lvlText w:val="o"/>
      <w:lvlJc w:val="left"/>
      <w:pPr>
        <w:ind w:left="2868" w:hanging="360"/>
      </w:pPr>
      <w:rPr>
        <w:rFonts w:ascii="Courier New" w:hAnsi="Courier New" w:cs="Courier New" w:hint="default"/>
      </w:rPr>
    </w:lvl>
    <w:lvl w:ilvl="2" w:tplc="040C0005" w:tentative="1">
      <w:start w:val="1"/>
      <w:numFmt w:val="bullet"/>
      <w:lvlText w:val=""/>
      <w:lvlJc w:val="left"/>
      <w:pPr>
        <w:ind w:left="3588" w:hanging="360"/>
      </w:pPr>
      <w:rPr>
        <w:rFonts w:ascii="Wingdings" w:hAnsi="Wingdings" w:hint="default"/>
      </w:rPr>
    </w:lvl>
    <w:lvl w:ilvl="3" w:tplc="040C0001" w:tentative="1">
      <w:start w:val="1"/>
      <w:numFmt w:val="bullet"/>
      <w:lvlText w:val=""/>
      <w:lvlJc w:val="left"/>
      <w:pPr>
        <w:ind w:left="4308" w:hanging="360"/>
      </w:pPr>
      <w:rPr>
        <w:rFonts w:ascii="Symbol" w:hAnsi="Symbol" w:hint="default"/>
      </w:rPr>
    </w:lvl>
    <w:lvl w:ilvl="4" w:tplc="040C0003" w:tentative="1">
      <w:start w:val="1"/>
      <w:numFmt w:val="bullet"/>
      <w:lvlText w:val="o"/>
      <w:lvlJc w:val="left"/>
      <w:pPr>
        <w:ind w:left="5028" w:hanging="360"/>
      </w:pPr>
      <w:rPr>
        <w:rFonts w:ascii="Courier New" w:hAnsi="Courier New" w:cs="Courier New" w:hint="default"/>
      </w:rPr>
    </w:lvl>
    <w:lvl w:ilvl="5" w:tplc="040C0005" w:tentative="1">
      <w:start w:val="1"/>
      <w:numFmt w:val="bullet"/>
      <w:lvlText w:val=""/>
      <w:lvlJc w:val="left"/>
      <w:pPr>
        <w:ind w:left="5748" w:hanging="360"/>
      </w:pPr>
      <w:rPr>
        <w:rFonts w:ascii="Wingdings" w:hAnsi="Wingdings" w:hint="default"/>
      </w:rPr>
    </w:lvl>
    <w:lvl w:ilvl="6" w:tplc="040C0001" w:tentative="1">
      <w:start w:val="1"/>
      <w:numFmt w:val="bullet"/>
      <w:lvlText w:val=""/>
      <w:lvlJc w:val="left"/>
      <w:pPr>
        <w:ind w:left="6468" w:hanging="360"/>
      </w:pPr>
      <w:rPr>
        <w:rFonts w:ascii="Symbol" w:hAnsi="Symbol" w:hint="default"/>
      </w:rPr>
    </w:lvl>
    <w:lvl w:ilvl="7" w:tplc="040C0003" w:tentative="1">
      <w:start w:val="1"/>
      <w:numFmt w:val="bullet"/>
      <w:lvlText w:val="o"/>
      <w:lvlJc w:val="left"/>
      <w:pPr>
        <w:ind w:left="7188" w:hanging="360"/>
      </w:pPr>
      <w:rPr>
        <w:rFonts w:ascii="Courier New" w:hAnsi="Courier New" w:cs="Courier New" w:hint="default"/>
      </w:rPr>
    </w:lvl>
    <w:lvl w:ilvl="8" w:tplc="040C0005" w:tentative="1">
      <w:start w:val="1"/>
      <w:numFmt w:val="bullet"/>
      <w:lvlText w:val=""/>
      <w:lvlJc w:val="left"/>
      <w:pPr>
        <w:ind w:left="7908" w:hanging="360"/>
      </w:pPr>
      <w:rPr>
        <w:rFonts w:ascii="Wingdings" w:hAnsi="Wingdings" w:hint="default"/>
      </w:rPr>
    </w:lvl>
  </w:abstractNum>
  <w:abstractNum w:abstractNumId="63" w15:restartNumberingAfterBreak="0">
    <w:nsid w:val="6B4F7D8B"/>
    <w:multiLevelType w:val="hybridMultilevel"/>
    <w:tmpl w:val="3828B9A0"/>
    <w:lvl w:ilvl="0" w:tplc="A334786A">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6C5E334F"/>
    <w:multiLevelType w:val="hybridMultilevel"/>
    <w:tmpl w:val="52F2A472"/>
    <w:lvl w:ilvl="0" w:tplc="5A90C9DC">
      <w:start w:val="1"/>
      <w:numFmt w:val="bullet"/>
      <w:lvlText w:val=""/>
      <w:lvlJc w:val="left"/>
      <w:pPr>
        <w:tabs>
          <w:tab w:val="num" w:pos="720"/>
        </w:tabs>
        <w:ind w:left="720" w:hanging="360"/>
      </w:pPr>
      <w:rPr>
        <w:rFonts w:ascii="Wingdings" w:hAnsi="Wingdings" w:hint="default"/>
      </w:rPr>
    </w:lvl>
    <w:lvl w:ilvl="1" w:tplc="B5027F10" w:tentative="1">
      <w:start w:val="1"/>
      <w:numFmt w:val="bullet"/>
      <w:lvlText w:val=""/>
      <w:lvlJc w:val="left"/>
      <w:pPr>
        <w:tabs>
          <w:tab w:val="num" w:pos="1440"/>
        </w:tabs>
        <w:ind w:left="1440" w:hanging="360"/>
      </w:pPr>
      <w:rPr>
        <w:rFonts w:ascii="Wingdings" w:hAnsi="Wingdings" w:hint="default"/>
      </w:rPr>
    </w:lvl>
    <w:lvl w:ilvl="2" w:tplc="18B0856A" w:tentative="1">
      <w:start w:val="1"/>
      <w:numFmt w:val="bullet"/>
      <w:lvlText w:val=""/>
      <w:lvlJc w:val="left"/>
      <w:pPr>
        <w:tabs>
          <w:tab w:val="num" w:pos="2160"/>
        </w:tabs>
        <w:ind w:left="2160" w:hanging="360"/>
      </w:pPr>
      <w:rPr>
        <w:rFonts w:ascii="Wingdings" w:hAnsi="Wingdings" w:hint="default"/>
      </w:rPr>
    </w:lvl>
    <w:lvl w:ilvl="3" w:tplc="9FB09F58" w:tentative="1">
      <w:start w:val="1"/>
      <w:numFmt w:val="bullet"/>
      <w:lvlText w:val=""/>
      <w:lvlJc w:val="left"/>
      <w:pPr>
        <w:tabs>
          <w:tab w:val="num" w:pos="2880"/>
        </w:tabs>
        <w:ind w:left="2880" w:hanging="360"/>
      </w:pPr>
      <w:rPr>
        <w:rFonts w:ascii="Wingdings" w:hAnsi="Wingdings" w:hint="default"/>
      </w:rPr>
    </w:lvl>
    <w:lvl w:ilvl="4" w:tplc="847C2E5A" w:tentative="1">
      <w:start w:val="1"/>
      <w:numFmt w:val="bullet"/>
      <w:lvlText w:val=""/>
      <w:lvlJc w:val="left"/>
      <w:pPr>
        <w:tabs>
          <w:tab w:val="num" w:pos="3600"/>
        </w:tabs>
        <w:ind w:left="3600" w:hanging="360"/>
      </w:pPr>
      <w:rPr>
        <w:rFonts w:ascii="Wingdings" w:hAnsi="Wingdings" w:hint="default"/>
      </w:rPr>
    </w:lvl>
    <w:lvl w:ilvl="5" w:tplc="8E6407B4" w:tentative="1">
      <w:start w:val="1"/>
      <w:numFmt w:val="bullet"/>
      <w:lvlText w:val=""/>
      <w:lvlJc w:val="left"/>
      <w:pPr>
        <w:tabs>
          <w:tab w:val="num" w:pos="4320"/>
        </w:tabs>
        <w:ind w:left="4320" w:hanging="360"/>
      </w:pPr>
      <w:rPr>
        <w:rFonts w:ascii="Wingdings" w:hAnsi="Wingdings" w:hint="default"/>
      </w:rPr>
    </w:lvl>
    <w:lvl w:ilvl="6" w:tplc="F030F31E" w:tentative="1">
      <w:start w:val="1"/>
      <w:numFmt w:val="bullet"/>
      <w:lvlText w:val=""/>
      <w:lvlJc w:val="left"/>
      <w:pPr>
        <w:tabs>
          <w:tab w:val="num" w:pos="5040"/>
        </w:tabs>
        <w:ind w:left="5040" w:hanging="360"/>
      </w:pPr>
      <w:rPr>
        <w:rFonts w:ascii="Wingdings" w:hAnsi="Wingdings" w:hint="default"/>
      </w:rPr>
    </w:lvl>
    <w:lvl w:ilvl="7" w:tplc="71E61822" w:tentative="1">
      <w:start w:val="1"/>
      <w:numFmt w:val="bullet"/>
      <w:lvlText w:val=""/>
      <w:lvlJc w:val="left"/>
      <w:pPr>
        <w:tabs>
          <w:tab w:val="num" w:pos="5760"/>
        </w:tabs>
        <w:ind w:left="5760" w:hanging="360"/>
      </w:pPr>
      <w:rPr>
        <w:rFonts w:ascii="Wingdings" w:hAnsi="Wingdings" w:hint="default"/>
      </w:rPr>
    </w:lvl>
    <w:lvl w:ilvl="8" w:tplc="54501CFE"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6D6B01F5"/>
    <w:multiLevelType w:val="multilevel"/>
    <w:tmpl w:val="A4B2F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6E86603D"/>
    <w:multiLevelType w:val="hybridMultilevel"/>
    <w:tmpl w:val="B0CE3B36"/>
    <w:lvl w:ilvl="0" w:tplc="A334786A">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F09086F"/>
    <w:multiLevelType w:val="multilevel"/>
    <w:tmpl w:val="B4FCA4DC"/>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68" w15:restartNumberingAfterBreak="0">
    <w:nsid w:val="702F7A22"/>
    <w:multiLevelType w:val="multilevel"/>
    <w:tmpl w:val="3B8E19A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9" w15:restartNumberingAfterBreak="0">
    <w:nsid w:val="71163191"/>
    <w:multiLevelType w:val="multilevel"/>
    <w:tmpl w:val="6BCCCA84"/>
    <w:lvl w:ilvl="0">
      <w:start w:val="3"/>
      <w:numFmt w:val="decimal"/>
      <w:lvlText w:val="%1."/>
      <w:lvlJc w:val="left"/>
      <w:pPr>
        <w:ind w:left="360" w:hanging="360"/>
      </w:pPr>
      <w:rPr>
        <w:rFonts w:eastAsia="MS PGothic" w:hint="default"/>
      </w:rPr>
    </w:lvl>
    <w:lvl w:ilvl="1">
      <w:start w:val="2"/>
      <w:numFmt w:val="decimal"/>
      <w:lvlText w:val="%1.%2."/>
      <w:lvlJc w:val="left"/>
      <w:pPr>
        <w:ind w:left="1800" w:hanging="720"/>
      </w:pPr>
      <w:rPr>
        <w:rFonts w:eastAsia="MS PGothic" w:hint="default"/>
      </w:rPr>
    </w:lvl>
    <w:lvl w:ilvl="2">
      <w:start w:val="1"/>
      <w:numFmt w:val="decimal"/>
      <w:lvlText w:val="%1.%2.%3."/>
      <w:lvlJc w:val="left"/>
      <w:pPr>
        <w:ind w:left="2880" w:hanging="720"/>
      </w:pPr>
      <w:rPr>
        <w:rFonts w:eastAsia="MS PGothic" w:hint="default"/>
      </w:rPr>
    </w:lvl>
    <w:lvl w:ilvl="3">
      <w:start w:val="1"/>
      <w:numFmt w:val="decimal"/>
      <w:lvlText w:val="%1.%2.%3.%4."/>
      <w:lvlJc w:val="left"/>
      <w:pPr>
        <w:ind w:left="4320" w:hanging="1080"/>
      </w:pPr>
      <w:rPr>
        <w:rFonts w:eastAsia="MS PGothic" w:hint="default"/>
      </w:rPr>
    </w:lvl>
    <w:lvl w:ilvl="4">
      <w:start w:val="1"/>
      <w:numFmt w:val="decimal"/>
      <w:lvlText w:val="%1.%2.%3.%4.%5."/>
      <w:lvlJc w:val="left"/>
      <w:pPr>
        <w:ind w:left="5400" w:hanging="1080"/>
      </w:pPr>
      <w:rPr>
        <w:rFonts w:eastAsia="MS PGothic" w:hint="default"/>
      </w:rPr>
    </w:lvl>
    <w:lvl w:ilvl="5">
      <w:start w:val="1"/>
      <w:numFmt w:val="decimal"/>
      <w:lvlText w:val="%1.%2.%3.%4.%5.%6."/>
      <w:lvlJc w:val="left"/>
      <w:pPr>
        <w:ind w:left="6840" w:hanging="1440"/>
      </w:pPr>
      <w:rPr>
        <w:rFonts w:eastAsia="MS PGothic" w:hint="default"/>
      </w:rPr>
    </w:lvl>
    <w:lvl w:ilvl="6">
      <w:start w:val="1"/>
      <w:numFmt w:val="decimal"/>
      <w:lvlText w:val="%1.%2.%3.%4.%5.%6.%7."/>
      <w:lvlJc w:val="left"/>
      <w:pPr>
        <w:ind w:left="7920" w:hanging="1440"/>
      </w:pPr>
      <w:rPr>
        <w:rFonts w:eastAsia="MS PGothic" w:hint="default"/>
      </w:rPr>
    </w:lvl>
    <w:lvl w:ilvl="7">
      <w:start w:val="1"/>
      <w:numFmt w:val="decimal"/>
      <w:lvlText w:val="%1.%2.%3.%4.%5.%6.%7.%8."/>
      <w:lvlJc w:val="left"/>
      <w:pPr>
        <w:ind w:left="9360" w:hanging="1800"/>
      </w:pPr>
      <w:rPr>
        <w:rFonts w:eastAsia="MS PGothic" w:hint="default"/>
      </w:rPr>
    </w:lvl>
    <w:lvl w:ilvl="8">
      <w:start w:val="1"/>
      <w:numFmt w:val="decimal"/>
      <w:lvlText w:val="%1.%2.%3.%4.%5.%6.%7.%8.%9."/>
      <w:lvlJc w:val="left"/>
      <w:pPr>
        <w:ind w:left="10440" w:hanging="1800"/>
      </w:pPr>
      <w:rPr>
        <w:rFonts w:eastAsia="MS PGothic" w:hint="default"/>
      </w:rPr>
    </w:lvl>
  </w:abstractNum>
  <w:abstractNum w:abstractNumId="70" w15:restartNumberingAfterBreak="0">
    <w:nsid w:val="74CC78D0"/>
    <w:multiLevelType w:val="multilevel"/>
    <w:tmpl w:val="BF188EC0"/>
    <w:lvl w:ilvl="0">
      <w:start w:val="1"/>
      <w:numFmt w:val="decimal"/>
      <w:lvlText w:val="%1."/>
      <w:lvlJc w:val="left"/>
      <w:pPr>
        <w:ind w:left="72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71" w15:restartNumberingAfterBreak="0">
    <w:nsid w:val="74E007CA"/>
    <w:multiLevelType w:val="multilevel"/>
    <w:tmpl w:val="8BBC4770"/>
    <w:lvl w:ilvl="0">
      <w:start w:val="2"/>
      <w:numFmt w:val="decimal"/>
      <w:lvlText w:val="%1."/>
      <w:lvlJc w:val="left"/>
      <w:pPr>
        <w:ind w:left="360" w:hanging="360"/>
      </w:pPr>
      <w:rPr>
        <w:rFonts w:hint="default"/>
      </w:rPr>
    </w:lvl>
    <w:lvl w:ilvl="1">
      <w:start w:val="7"/>
      <w:numFmt w:val="decimal"/>
      <w:lvlText w:val="%1.%2."/>
      <w:lvlJc w:val="left"/>
      <w:pPr>
        <w:ind w:left="1739" w:hanging="720"/>
      </w:pPr>
      <w:rPr>
        <w:rFonts w:hint="default"/>
      </w:rPr>
    </w:lvl>
    <w:lvl w:ilvl="2">
      <w:start w:val="1"/>
      <w:numFmt w:val="decimal"/>
      <w:lvlText w:val="%1.%2.%3."/>
      <w:lvlJc w:val="left"/>
      <w:pPr>
        <w:ind w:left="2758" w:hanging="720"/>
      </w:pPr>
      <w:rPr>
        <w:rFonts w:hint="default"/>
      </w:rPr>
    </w:lvl>
    <w:lvl w:ilvl="3">
      <w:start w:val="1"/>
      <w:numFmt w:val="decimal"/>
      <w:lvlText w:val="%1.%2.%3.%4."/>
      <w:lvlJc w:val="left"/>
      <w:pPr>
        <w:ind w:left="4137" w:hanging="1080"/>
      </w:pPr>
      <w:rPr>
        <w:rFonts w:hint="default"/>
      </w:rPr>
    </w:lvl>
    <w:lvl w:ilvl="4">
      <w:start w:val="1"/>
      <w:numFmt w:val="decimal"/>
      <w:lvlText w:val="%1.%2.%3.%4.%5."/>
      <w:lvlJc w:val="left"/>
      <w:pPr>
        <w:ind w:left="5156" w:hanging="1080"/>
      </w:pPr>
      <w:rPr>
        <w:rFonts w:hint="default"/>
      </w:rPr>
    </w:lvl>
    <w:lvl w:ilvl="5">
      <w:start w:val="1"/>
      <w:numFmt w:val="decimal"/>
      <w:lvlText w:val="%1.%2.%3.%4.%5.%6."/>
      <w:lvlJc w:val="left"/>
      <w:pPr>
        <w:ind w:left="6535" w:hanging="1440"/>
      </w:pPr>
      <w:rPr>
        <w:rFonts w:hint="default"/>
      </w:rPr>
    </w:lvl>
    <w:lvl w:ilvl="6">
      <w:start w:val="1"/>
      <w:numFmt w:val="decimal"/>
      <w:lvlText w:val="%1.%2.%3.%4.%5.%6.%7."/>
      <w:lvlJc w:val="left"/>
      <w:pPr>
        <w:ind w:left="7554" w:hanging="1440"/>
      </w:pPr>
      <w:rPr>
        <w:rFonts w:hint="default"/>
      </w:rPr>
    </w:lvl>
    <w:lvl w:ilvl="7">
      <w:start w:val="1"/>
      <w:numFmt w:val="decimal"/>
      <w:lvlText w:val="%1.%2.%3.%4.%5.%6.%7.%8."/>
      <w:lvlJc w:val="left"/>
      <w:pPr>
        <w:ind w:left="8933" w:hanging="1800"/>
      </w:pPr>
      <w:rPr>
        <w:rFonts w:hint="default"/>
      </w:rPr>
    </w:lvl>
    <w:lvl w:ilvl="8">
      <w:start w:val="1"/>
      <w:numFmt w:val="decimal"/>
      <w:lvlText w:val="%1.%2.%3.%4.%5.%6.%7.%8.%9."/>
      <w:lvlJc w:val="left"/>
      <w:pPr>
        <w:ind w:left="9952" w:hanging="1800"/>
      </w:pPr>
      <w:rPr>
        <w:rFonts w:hint="default"/>
      </w:rPr>
    </w:lvl>
  </w:abstractNum>
  <w:abstractNum w:abstractNumId="72" w15:restartNumberingAfterBreak="0">
    <w:nsid w:val="74E429CA"/>
    <w:multiLevelType w:val="hybridMultilevel"/>
    <w:tmpl w:val="E97A8AFE"/>
    <w:lvl w:ilvl="0" w:tplc="A334786A">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7C12049A"/>
    <w:multiLevelType w:val="multilevel"/>
    <w:tmpl w:val="B4FCA4DC"/>
    <w:lvl w:ilvl="0">
      <w:start w:val="3"/>
      <w:numFmt w:val="decimal"/>
      <w:lvlText w:val="%1."/>
      <w:lvlJc w:val="left"/>
      <w:pPr>
        <w:ind w:left="360" w:hanging="36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74" w15:restartNumberingAfterBreak="0">
    <w:nsid w:val="7CAE6325"/>
    <w:multiLevelType w:val="multilevel"/>
    <w:tmpl w:val="ABDA6E2E"/>
    <w:lvl w:ilvl="0">
      <w:start w:val="4"/>
      <w:numFmt w:val="decimal"/>
      <w:lvlText w:val="%1."/>
      <w:lvlJc w:val="left"/>
      <w:pPr>
        <w:ind w:left="540" w:hanging="540"/>
      </w:pPr>
      <w:rPr>
        <w:rFonts w:cs="Arial" w:hint="default"/>
        <w:u w:val="single"/>
      </w:rPr>
    </w:lvl>
    <w:lvl w:ilvl="1">
      <w:start w:val="1"/>
      <w:numFmt w:val="decimal"/>
      <w:lvlText w:val="%1.%2."/>
      <w:lvlJc w:val="left"/>
      <w:pPr>
        <w:ind w:left="1229" w:hanging="720"/>
      </w:pPr>
      <w:rPr>
        <w:rFonts w:cs="Arial" w:hint="default"/>
        <w:u w:val="single"/>
      </w:rPr>
    </w:lvl>
    <w:lvl w:ilvl="2">
      <w:start w:val="1"/>
      <w:numFmt w:val="decimal"/>
      <w:lvlText w:val="%1.%2.%3."/>
      <w:lvlJc w:val="left"/>
      <w:pPr>
        <w:ind w:left="1738" w:hanging="720"/>
      </w:pPr>
      <w:rPr>
        <w:rFonts w:cs="Arial" w:hint="default"/>
        <w:u w:val="single"/>
      </w:rPr>
    </w:lvl>
    <w:lvl w:ilvl="3">
      <w:start w:val="1"/>
      <w:numFmt w:val="decimal"/>
      <w:lvlText w:val="%1.%2.%3.%4."/>
      <w:lvlJc w:val="left"/>
      <w:pPr>
        <w:ind w:left="2607" w:hanging="1080"/>
      </w:pPr>
      <w:rPr>
        <w:rFonts w:cs="Arial" w:hint="default"/>
        <w:u w:val="single"/>
      </w:rPr>
    </w:lvl>
    <w:lvl w:ilvl="4">
      <w:start w:val="1"/>
      <w:numFmt w:val="decimal"/>
      <w:lvlText w:val="%1.%2.%3.%4.%5."/>
      <w:lvlJc w:val="left"/>
      <w:pPr>
        <w:ind w:left="3116" w:hanging="1080"/>
      </w:pPr>
      <w:rPr>
        <w:rFonts w:cs="Arial" w:hint="default"/>
        <w:u w:val="single"/>
      </w:rPr>
    </w:lvl>
    <w:lvl w:ilvl="5">
      <w:start w:val="1"/>
      <w:numFmt w:val="decimal"/>
      <w:lvlText w:val="%1.%2.%3.%4.%5.%6."/>
      <w:lvlJc w:val="left"/>
      <w:pPr>
        <w:ind w:left="3985" w:hanging="1440"/>
      </w:pPr>
      <w:rPr>
        <w:rFonts w:cs="Arial" w:hint="default"/>
        <w:u w:val="single"/>
      </w:rPr>
    </w:lvl>
    <w:lvl w:ilvl="6">
      <w:start w:val="1"/>
      <w:numFmt w:val="decimal"/>
      <w:lvlText w:val="%1.%2.%3.%4.%5.%6.%7."/>
      <w:lvlJc w:val="left"/>
      <w:pPr>
        <w:ind w:left="4494" w:hanging="1440"/>
      </w:pPr>
      <w:rPr>
        <w:rFonts w:cs="Arial" w:hint="default"/>
        <w:u w:val="single"/>
      </w:rPr>
    </w:lvl>
    <w:lvl w:ilvl="7">
      <w:start w:val="1"/>
      <w:numFmt w:val="decimal"/>
      <w:lvlText w:val="%1.%2.%3.%4.%5.%6.%7.%8."/>
      <w:lvlJc w:val="left"/>
      <w:pPr>
        <w:ind w:left="5363" w:hanging="1800"/>
      </w:pPr>
      <w:rPr>
        <w:rFonts w:cs="Arial" w:hint="default"/>
        <w:u w:val="single"/>
      </w:rPr>
    </w:lvl>
    <w:lvl w:ilvl="8">
      <w:start w:val="1"/>
      <w:numFmt w:val="decimal"/>
      <w:lvlText w:val="%1.%2.%3.%4.%5.%6.%7.%8.%9."/>
      <w:lvlJc w:val="left"/>
      <w:pPr>
        <w:ind w:left="5872" w:hanging="1800"/>
      </w:pPr>
      <w:rPr>
        <w:rFonts w:cs="Arial" w:hint="default"/>
        <w:u w:val="single"/>
      </w:rPr>
    </w:lvl>
  </w:abstractNum>
  <w:abstractNum w:abstractNumId="75" w15:restartNumberingAfterBreak="0">
    <w:nsid w:val="7CE83536"/>
    <w:multiLevelType w:val="hybridMultilevel"/>
    <w:tmpl w:val="2912F4C8"/>
    <w:lvl w:ilvl="0" w:tplc="2F68253E">
      <w:start w:val="1"/>
      <w:numFmt w:val="bullet"/>
      <w:lvlText w:val=""/>
      <w:lvlJc w:val="left"/>
      <w:pPr>
        <w:tabs>
          <w:tab w:val="num" w:pos="720"/>
        </w:tabs>
        <w:ind w:left="720" w:hanging="360"/>
      </w:pPr>
      <w:rPr>
        <w:rFonts w:ascii="Wingdings" w:hAnsi="Wingdings" w:hint="default"/>
      </w:rPr>
    </w:lvl>
    <w:lvl w:ilvl="1" w:tplc="011E2162" w:tentative="1">
      <w:start w:val="1"/>
      <w:numFmt w:val="bullet"/>
      <w:lvlText w:val=""/>
      <w:lvlJc w:val="left"/>
      <w:pPr>
        <w:tabs>
          <w:tab w:val="num" w:pos="1440"/>
        </w:tabs>
        <w:ind w:left="1440" w:hanging="360"/>
      </w:pPr>
      <w:rPr>
        <w:rFonts w:ascii="Wingdings" w:hAnsi="Wingdings" w:hint="default"/>
      </w:rPr>
    </w:lvl>
    <w:lvl w:ilvl="2" w:tplc="088894C2" w:tentative="1">
      <w:start w:val="1"/>
      <w:numFmt w:val="bullet"/>
      <w:lvlText w:val=""/>
      <w:lvlJc w:val="left"/>
      <w:pPr>
        <w:tabs>
          <w:tab w:val="num" w:pos="2160"/>
        </w:tabs>
        <w:ind w:left="2160" w:hanging="360"/>
      </w:pPr>
      <w:rPr>
        <w:rFonts w:ascii="Wingdings" w:hAnsi="Wingdings" w:hint="default"/>
      </w:rPr>
    </w:lvl>
    <w:lvl w:ilvl="3" w:tplc="825C9EAC" w:tentative="1">
      <w:start w:val="1"/>
      <w:numFmt w:val="bullet"/>
      <w:lvlText w:val=""/>
      <w:lvlJc w:val="left"/>
      <w:pPr>
        <w:tabs>
          <w:tab w:val="num" w:pos="2880"/>
        </w:tabs>
        <w:ind w:left="2880" w:hanging="360"/>
      </w:pPr>
      <w:rPr>
        <w:rFonts w:ascii="Wingdings" w:hAnsi="Wingdings" w:hint="default"/>
      </w:rPr>
    </w:lvl>
    <w:lvl w:ilvl="4" w:tplc="95F09120" w:tentative="1">
      <w:start w:val="1"/>
      <w:numFmt w:val="bullet"/>
      <w:lvlText w:val=""/>
      <w:lvlJc w:val="left"/>
      <w:pPr>
        <w:tabs>
          <w:tab w:val="num" w:pos="3600"/>
        </w:tabs>
        <w:ind w:left="3600" w:hanging="360"/>
      </w:pPr>
      <w:rPr>
        <w:rFonts w:ascii="Wingdings" w:hAnsi="Wingdings" w:hint="default"/>
      </w:rPr>
    </w:lvl>
    <w:lvl w:ilvl="5" w:tplc="0658B0FA" w:tentative="1">
      <w:start w:val="1"/>
      <w:numFmt w:val="bullet"/>
      <w:lvlText w:val=""/>
      <w:lvlJc w:val="left"/>
      <w:pPr>
        <w:tabs>
          <w:tab w:val="num" w:pos="4320"/>
        </w:tabs>
        <w:ind w:left="4320" w:hanging="360"/>
      </w:pPr>
      <w:rPr>
        <w:rFonts w:ascii="Wingdings" w:hAnsi="Wingdings" w:hint="default"/>
      </w:rPr>
    </w:lvl>
    <w:lvl w:ilvl="6" w:tplc="1D6C347E" w:tentative="1">
      <w:start w:val="1"/>
      <w:numFmt w:val="bullet"/>
      <w:lvlText w:val=""/>
      <w:lvlJc w:val="left"/>
      <w:pPr>
        <w:tabs>
          <w:tab w:val="num" w:pos="5040"/>
        </w:tabs>
        <w:ind w:left="5040" w:hanging="360"/>
      </w:pPr>
      <w:rPr>
        <w:rFonts w:ascii="Wingdings" w:hAnsi="Wingdings" w:hint="default"/>
      </w:rPr>
    </w:lvl>
    <w:lvl w:ilvl="7" w:tplc="1EACED7C" w:tentative="1">
      <w:start w:val="1"/>
      <w:numFmt w:val="bullet"/>
      <w:lvlText w:val=""/>
      <w:lvlJc w:val="left"/>
      <w:pPr>
        <w:tabs>
          <w:tab w:val="num" w:pos="5760"/>
        </w:tabs>
        <w:ind w:left="5760" w:hanging="360"/>
      </w:pPr>
      <w:rPr>
        <w:rFonts w:ascii="Wingdings" w:hAnsi="Wingdings" w:hint="default"/>
      </w:rPr>
    </w:lvl>
    <w:lvl w:ilvl="8" w:tplc="3D1A5F44"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7D115B36"/>
    <w:multiLevelType w:val="hybridMultilevel"/>
    <w:tmpl w:val="D0D04AF8"/>
    <w:lvl w:ilvl="0" w:tplc="040C0001">
      <w:start w:val="1"/>
      <w:numFmt w:val="bullet"/>
      <w:lvlText w:val=""/>
      <w:lvlJc w:val="left"/>
      <w:pPr>
        <w:ind w:left="1140" w:hanging="360"/>
      </w:pPr>
      <w:rPr>
        <w:rFonts w:ascii="Symbol" w:hAnsi="Symbol" w:hint="default"/>
      </w:rPr>
    </w:lvl>
    <w:lvl w:ilvl="1" w:tplc="040C0003" w:tentative="1">
      <w:start w:val="1"/>
      <w:numFmt w:val="bullet"/>
      <w:lvlText w:val="o"/>
      <w:lvlJc w:val="left"/>
      <w:pPr>
        <w:ind w:left="1860" w:hanging="360"/>
      </w:pPr>
      <w:rPr>
        <w:rFonts w:ascii="Courier New" w:hAnsi="Courier New" w:cs="Courier New" w:hint="default"/>
      </w:rPr>
    </w:lvl>
    <w:lvl w:ilvl="2" w:tplc="040C0005" w:tentative="1">
      <w:start w:val="1"/>
      <w:numFmt w:val="bullet"/>
      <w:lvlText w:val=""/>
      <w:lvlJc w:val="left"/>
      <w:pPr>
        <w:ind w:left="2580" w:hanging="360"/>
      </w:pPr>
      <w:rPr>
        <w:rFonts w:ascii="Wingdings" w:hAnsi="Wingdings" w:hint="default"/>
      </w:rPr>
    </w:lvl>
    <w:lvl w:ilvl="3" w:tplc="040C0001" w:tentative="1">
      <w:start w:val="1"/>
      <w:numFmt w:val="bullet"/>
      <w:lvlText w:val=""/>
      <w:lvlJc w:val="left"/>
      <w:pPr>
        <w:ind w:left="3300" w:hanging="360"/>
      </w:pPr>
      <w:rPr>
        <w:rFonts w:ascii="Symbol" w:hAnsi="Symbol" w:hint="default"/>
      </w:rPr>
    </w:lvl>
    <w:lvl w:ilvl="4" w:tplc="040C0003" w:tentative="1">
      <w:start w:val="1"/>
      <w:numFmt w:val="bullet"/>
      <w:lvlText w:val="o"/>
      <w:lvlJc w:val="left"/>
      <w:pPr>
        <w:ind w:left="4020" w:hanging="360"/>
      </w:pPr>
      <w:rPr>
        <w:rFonts w:ascii="Courier New" w:hAnsi="Courier New" w:cs="Courier New" w:hint="default"/>
      </w:rPr>
    </w:lvl>
    <w:lvl w:ilvl="5" w:tplc="040C0005" w:tentative="1">
      <w:start w:val="1"/>
      <w:numFmt w:val="bullet"/>
      <w:lvlText w:val=""/>
      <w:lvlJc w:val="left"/>
      <w:pPr>
        <w:ind w:left="4740" w:hanging="360"/>
      </w:pPr>
      <w:rPr>
        <w:rFonts w:ascii="Wingdings" w:hAnsi="Wingdings" w:hint="default"/>
      </w:rPr>
    </w:lvl>
    <w:lvl w:ilvl="6" w:tplc="040C0001" w:tentative="1">
      <w:start w:val="1"/>
      <w:numFmt w:val="bullet"/>
      <w:lvlText w:val=""/>
      <w:lvlJc w:val="left"/>
      <w:pPr>
        <w:ind w:left="5460" w:hanging="360"/>
      </w:pPr>
      <w:rPr>
        <w:rFonts w:ascii="Symbol" w:hAnsi="Symbol" w:hint="default"/>
      </w:rPr>
    </w:lvl>
    <w:lvl w:ilvl="7" w:tplc="040C0003" w:tentative="1">
      <w:start w:val="1"/>
      <w:numFmt w:val="bullet"/>
      <w:lvlText w:val="o"/>
      <w:lvlJc w:val="left"/>
      <w:pPr>
        <w:ind w:left="6180" w:hanging="360"/>
      </w:pPr>
      <w:rPr>
        <w:rFonts w:ascii="Courier New" w:hAnsi="Courier New" w:cs="Courier New" w:hint="default"/>
      </w:rPr>
    </w:lvl>
    <w:lvl w:ilvl="8" w:tplc="040C0005" w:tentative="1">
      <w:start w:val="1"/>
      <w:numFmt w:val="bullet"/>
      <w:lvlText w:val=""/>
      <w:lvlJc w:val="left"/>
      <w:pPr>
        <w:ind w:left="6900" w:hanging="360"/>
      </w:pPr>
      <w:rPr>
        <w:rFonts w:ascii="Wingdings" w:hAnsi="Wingdings" w:hint="default"/>
      </w:rPr>
    </w:lvl>
  </w:abstractNum>
  <w:abstractNum w:abstractNumId="77" w15:restartNumberingAfterBreak="0">
    <w:nsid w:val="7F4974C0"/>
    <w:multiLevelType w:val="multilevel"/>
    <w:tmpl w:val="9CB410EC"/>
    <w:lvl w:ilvl="0">
      <w:start w:val="4"/>
      <w:numFmt w:val="decimal"/>
      <w:lvlText w:val="%1."/>
      <w:lvlJc w:val="left"/>
      <w:pPr>
        <w:ind w:left="540" w:hanging="540"/>
      </w:pPr>
      <w:rPr>
        <w:rFonts w:hint="default"/>
      </w:rPr>
    </w:lvl>
    <w:lvl w:ilvl="1">
      <w:start w:val="2"/>
      <w:numFmt w:val="decimal"/>
      <w:lvlText w:val="%1.%2."/>
      <w:lvlJc w:val="left"/>
      <w:pPr>
        <w:ind w:left="1050" w:hanging="720"/>
      </w:pPr>
      <w:rPr>
        <w:rFonts w:hint="default"/>
      </w:rPr>
    </w:lvl>
    <w:lvl w:ilvl="2">
      <w:start w:val="1"/>
      <w:numFmt w:val="decimal"/>
      <w:lvlText w:val="%1.%2.%3."/>
      <w:lvlJc w:val="left"/>
      <w:pPr>
        <w:ind w:left="1380" w:hanging="720"/>
      </w:pPr>
      <w:rPr>
        <w:rFonts w:hint="default"/>
      </w:rPr>
    </w:lvl>
    <w:lvl w:ilvl="3">
      <w:start w:val="1"/>
      <w:numFmt w:val="decimal"/>
      <w:lvlText w:val="%1.%2.%3.%4."/>
      <w:lvlJc w:val="left"/>
      <w:pPr>
        <w:ind w:left="2070" w:hanging="1080"/>
      </w:pPr>
      <w:rPr>
        <w:rFonts w:hint="default"/>
      </w:rPr>
    </w:lvl>
    <w:lvl w:ilvl="4">
      <w:start w:val="1"/>
      <w:numFmt w:val="decimal"/>
      <w:lvlText w:val="%1.%2.%3.%4.%5."/>
      <w:lvlJc w:val="left"/>
      <w:pPr>
        <w:ind w:left="2400" w:hanging="1080"/>
      </w:pPr>
      <w:rPr>
        <w:rFonts w:hint="default"/>
      </w:rPr>
    </w:lvl>
    <w:lvl w:ilvl="5">
      <w:start w:val="1"/>
      <w:numFmt w:val="decimal"/>
      <w:lvlText w:val="%1.%2.%3.%4.%5.%6."/>
      <w:lvlJc w:val="left"/>
      <w:pPr>
        <w:ind w:left="3090" w:hanging="1440"/>
      </w:pPr>
      <w:rPr>
        <w:rFonts w:hint="default"/>
      </w:rPr>
    </w:lvl>
    <w:lvl w:ilvl="6">
      <w:start w:val="1"/>
      <w:numFmt w:val="decimal"/>
      <w:lvlText w:val="%1.%2.%3.%4.%5.%6.%7."/>
      <w:lvlJc w:val="left"/>
      <w:pPr>
        <w:ind w:left="3420" w:hanging="1440"/>
      </w:pPr>
      <w:rPr>
        <w:rFonts w:hint="default"/>
      </w:rPr>
    </w:lvl>
    <w:lvl w:ilvl="7">
      <w:start w:val="1"/>
      <w:numFmt w:val="decimal"/>
      <w:lvlText w:val="%1.%2.%3.%4.%5.%6.%7.%8."/>
      <w:lvlJc w:val="left"/>
      <w:pPr>
        <w:ind w:left="4110" w:hanging="1800"/>
      </w:pPr>
      <w:rPr>
        <w:rFonts w:hint="default"/>
      </w:rPr>
    </w:lvl>
    <w:lvl w:ilvl="8">
      <w:start w:val="1"/>
      <w:numFmt w:val="decimal"/>
      <w:lvlText w:val="%1.%2.%3.%4.%5.%6.%7.%8.%9."/>
      <w:lvlJc w:val="left"/>
      <w:pPr>
        <w:ind w:left="4440" w:hanging="1800"/>
      </w:pPr>
      <w:rPr>
        <w:rFonts w:hint="default"/>
      </w:rPr>
    </w:lvl>
  </w:abstractNum>
  <w:abstractNum w:abstractNumId="78" w15:restartNumberingAfterBreak="0">
    <w:nsid w:val="7F5A7933"/>
    <w:multiLevelType w:val="hybridMultilevel"/>
    <w:tmpl w:val="CD9A3748"/>
    <w:lvl w:ilvl="0" w:tplc="1826CE48">
      <w:start w:val="1"/>
      <w:numFmt w:val="bullet"/>
      <w:lvlText w:val="-"/>
      <w:lvlJc w:val="left"/>
      <w:pPr>
        <w:tabs>
          <w:tab w:val="num" w:pos="720"/>
        </w:tabs>
        <w:ind w:left="720" w:hanging="360"/>
      </w:pPr>
      <w:rPr>
        <w:rFonts w:ascii="Times New Roman" w:hAnsi="Times New Roman" w:hint="default"/>
      </w:rPr>
    </w:lvl>
    <w:lvl w:ilvl="1" w:tplc="46905198" w:tentative="1">
      <w:start w:val="1"/>
      <w:numFmt w:val="bullet"/>
      <w:lvlText w:val="-"/>
      <w:lvlJc w:val="left"/>
      <w:pPr>
        <w:tabs>
          <w:tab w:val="num" w:pos="1440"/>
        </w:tabs>
        <w:ind w:left="1440" w:hanging="360"/>
      </w:pPr>
      <w:rPr>
        <w:rFonts w:ascii="Times New Roman" w:hAnsi="Times New Roman" w:hint="default"/>
      </w:rPr>
    </w:lvl>
    <w:lvl w:ilvl="2" w:tplc="C958BEDC" w:tentative="1">
      <w:start w:val="1"/>
      <w:numFmt w:val="bullet"/>
      <w:lvlText w:val="-"/>
      <w:lvlJc w:val="left"/>
      <w:pPr>
        <w:tabs>
          <w:tab w:val="num" w:pos="2160"/>
        </w:tabs>
        <w:ind w:left="2160" w:hanging="360"/>
      </w:pPr>
      <w:rPr>
        <w:rFonts w:ascii="Times New Roman" w:hAnsi="Times New Roman" w:hint="default"/>
      </w:rPr>
    </w:lvl>
    <w:lvl w:ilvl="3" w:tplc="AC9C5402" w:tentative="1">
      <w:start w:val="1"/>
      <w:numFmt w:val="bullet"/>
      <w:lvlText w:val="-"/>
      <w:lvlJc w:val="left"/>
      <w:pPr>
        <w:tabs>
          <w:tab w:val="num" w:pos="2880"/>
        </w:tabs>
        <w:ind w:left="2880" w:hanging="360"/>
      </w:pPr>
      <w:rPr>
        <w:rFonts w:ascii="Times New Roman" w:hAnsi="Times New Roman" w:hint="default"/>
      </w:rPr>
    </w:lvl>
    <w:lvl w:ilvl="4" w:tplc="69382622" w:tentative="1">
      <w:start w:val="1"/>
      <w:numFmt w:val="bullet"/>
      <w:lvlText w:val="-"/>
      <w:lvlJc w:val="left"/>
      <w:pPr>
        <w:tabs>
          <w:tab w:val="num" w:pos="3600"/>
        </w:tabs>
        <w:ind w:left="3600" w:hanging="360"/>
      </w:pPr>
      <w:rPr>
        <w:rFonts w:ascii="Times New Roman" w:hAnsi="Times New Roman" w:hint="default"/>
      </w:rPr>
    </w:lvl>
    <w:lvl w:ilvl="5" w:tplc="55700DB4" w:tentative="1">
      <w:start w:val="1"/>
      <w:numFmt w:val="bullet"/>
      <w:lvlText w:val="-"/>
      <w:lvlJc w:val="left"/>
      <w:pPr>
        <w:tabs>
          <w:tab w:val="num" w:pos="4320"/>
        </w:tabs>
        <w:ind w:left="4320" w:hanging="360"/>
      </w:pPr>
      <w:rPr>
        <w:rFonts w:ascii="Times New Roman" w:hAnsi="Times New Roman" w:hint="default"/>
      </w:rPr>
    </w:lvl>
    <w:lvl w:ilvl="6" w:tplc="1250E354" w:tentative="1">
      <w:start w:val="1"/>
      <w:numFmt w:val="bullet"/>
      <w:lvlText w:val="-"/>
      <w:lvlJc w:val="left"/>
      <w:pPr>
        <w:tabs>
          <w:tab w:val="num" w:pos="5040"/>
        </w:tabs>
        <w:ind w:left="5040" w:hanging="360"/>
      </w:pPr>
      <w:rPr>
        <w:rFonts w:ascii="Times New Roman" w:hAnsi="Times New Roman" w:hint="default"/>
      </w:rPr>
    </w:lvl>
    <w:lvl w:ilvl="7" w:tplc="C060D15A" w:tentative="1">
      <w:start w:val="1"/>
      <w:numFmt w:val="bullet"/>
      <w:lvlText w:val="-"/>
      <w:lvlJc w:val="left"/>
      <w:pPr>
        <w:tabs>
          <w:tab w:val="num" w:pos="5760"/>
        </w:tabs>
        <w:ind w:left="5760" w:hanging="360"/>
      </w:pPr>
      <w:rPr>
        <w:rFonts w:ascii="Times New Roman" w:hAnsi="Times New Roman" w:hint="default"/>
      </w:rPr>
    </w:lvl>
    <w:lvl w:ilvl="8" w:tplc="08305968" w:tentative="1">
      <w:start w:val="1"/>
      <w:numFmt w:val="bullet"/>
      <w:lvlText w:val="-"/>
      <w:lvlJc w:val="left"/>
      <w:pPr>
        <w:tabs>
          <w:tab w:val="num" w:pos="6480"/>
        </w:tabs>
        <w:ind w:left="6480" w:hanging="360"/>
      </w:pPr>
      <w:rPr>
        <w:rFonts w:ascii="Times New Roman" w:hAnsi="Times New Roman" w:hint="default"/>
      </w:rPr>
    </w:lvl>
  </w:abstractNum>
  <w:num w:numId="1" w16cid:durableId="864750261">
    <w:abstractNumId w:val="13"/>
  </w:num>
  <w:num w:numId="2" w16cid:durableId="1418557984">
    <w:abstractNumId w:val="5"/>
  </w:num>
  <w:num w:numId="3" w16cid:durableId="362361263">
    <w:abstractNumId w:val="0"/>
  </w:num>
  <w:num w:numId="4" w16cid:durableId="1425297053">
    <w:abstractNumId w:val="25"/>
  </w:num>
  <w:num w:numId="5" w16cid:durableId="1983190048">
    <w:abstractNumId w:val="28"/>
  </w:num>
  <w:num w:numId="6" w16cid:durableId="1901287244">
    <w:abstractNumId w:val="35"/>
  </w:num>
  <w:num w:numId="7" w16cid:durableId="1326203492">
    <w:abstractNumId w:val="27"/>
  </w:num>
  <w:num w:numId="8" w16cid:durableId="1981685651">
    <w:abstractNumId w:val="59"/>
  </w:num>
  <w:num w:numId="9" w16cid:durableId="423915348">
    <w:abstractNumId w:val="20"/>
  </w:num>
  <w:num w:numId="10" w16cid:durableId="1744839306">
    <w:abstractNumId w:val="52"/>
  </w:num>
  <w:num w:numId="11" w16cid:durableId="514223238">
    <w:abstractNumId w:val="56"/>
  </w:num>
  <w:num w:numId="12" w16cid:durableId="806624491">
    <w:abstractNumId w:val="65"/>
  </w:num>
  <w:num w:numId="13" w16cid:durableId="2052144720">
    <w:abstractNumId w:val="18"/>
  </w:num>
  <w:num w:numId="14" w16cid:durableId="7685892">
    <w:abstractNumId w:val="76"/>
  </w:num>
  <w:num w:numId="15" w16cid:durableId="1852989700">
    <w:abstractNumId w:val="12"/>
  </w:num>
  <w:num w:numId="16" w16cid:durableId="1279877618">
    <w:abstractNumId w:val="33"/>
  </w:num>
  <w:num w:numId="17" w16cid:durableId="1781218653">
    <w:abstractNumId w:val="29"/>
  </w:num>
  <w:num w:numId="18" w16cid:durableId="2107995580">
    <w:abstractNumId w:val="45"/>
  </w:num>
  <w:num w:numId="19" w16cid:durableId="29301825">
    <w:abstractNumId w:val="63"/>
  </w:num>
  <w:num w:numId="20" w16cid:durableId="630289176">
    <w:abstractNumId w:val="44"/>
  </w:num>
  <w:num w:numId="21" w16cid:durableId="1316226104">
    <w:abstractNumId w:val="66"/>
  </w:num>
  <w:num w:numId="22" w16cid:durableId="1171217209">
    <w:abstractNumId w:val="72"/>
  </w:num>
  <w:num w:numId="23" w16cid:durableId="113792227">
    <w:abstractNumId w:val="37"/>
  </w:num>
  <w:num w:numId="24" w16cid:durableId="682557870">
    <w:abstractNumId w:val="19"/>
  </w:num>
  <w:num w:numId="25" w16cid:durableId="819005090">
    <w:abstractNumId w:val="36"/>
  </w:num>
  <w:num w:numId="26" w16cid:durableId="719940834">
    <w:abstractNumId w:val="48"/>
  </w:num>
  <w:num w:numId="27" w16cid:durableId="33429569">
    <w:abstractNumId w:val="24"/>
  </w:num>
  <w:num w:numId="28" w16cid:durableId="1216354175">
    <w:abstractNumId w:val="53"/>
  </w:num>
  <w:num w:numId="29" w16cid:durableId="1558013503">
    <w:abstractNumId w:val="70"/>
  </w:num>
  <w:num w:numId="30" w16cid:durableId="263415842">
    <w:abstractNumId w:val="60"/>
  </w:num>
  <w:num w:numId="31" w16cid:durableId="38480473">
    <w:abstractNumId w:val="23"/>
  </w:num>
  <w:num w:numId="32" w16cid:durableId="184944557">
    <w:abstractNumId w:val="54"/>
  </w:num>
  <w:num w:numId="33" w16cid:durableId="894316892">
    <w:abstractNumId w:val="42"/>
  </w:num>
  <w:num w:numId="34" w16cid:durableId="1654215664">
    <w:abstractNumId w:val="25"/>
  </w:num>
  <w:num w:numId="35" w16cid:durableId="1284194510">
    <w:abstractNumId w:val="77"/>
  </w:num>
  <w:num w:numId="36" w16cid:durableId="197133749">
    <w:abstractNumId w:val="17"/>
  </w:num>
  <w:num w:numId="37" w16cid:durableId="741292177">
    <w:abstractNumId w:val="58"/>
  </w:num>
  <w:num w:numId="38" w16cid:durableId="1118719437">
    <w:abstractNumId w:val="15"/>
  </w:num>
  <w:num w:numId="39" w16cid:durableId="1580671383">
    <w:abstractNumId w:val="41"/>
  </w:num>
  <w:num w:numId="40" w16cid:durableId="353969630">
    <w:abstractNumId w:val="75"/>
  </w:num>
  <w:num w:numId="41" w16cid:durableId="1103917060">
    <w:abstractNumId w:val="50"/>
  </w:num>
  <w:num w:numId="42" w16cid:durableId="409426761">
    <w:abstractNumId w:val="38"/>
  </w:num>
  <w:num w:numId="43" w16cid:durableId="1991472100">
    <w:abstractNumId w:val="34"/>
  </w:num>
  <w:num w:numId="44" w16cid:durableId="1980065524">
    <w:abstractNumId w:val="57"/>
  </w:num>
  <w:num w:numId="45" w16cid:durableId="1093473455">
    <w:abstractNumId w:val="7"/>
  </w:num>
  <w:num w:numId="46" w16cid:durableId="533494265">
    <w:abstractNumId w:val="1"/>
  </w:num>
  <w:num w:numId="47" w16cid:durableId="1257405764">
    <w:abstractNumId w:val="6"/>
  </w:num>
  <w:num w:numId="48" w16cid:durableId="1985891689">
    <w:abstractNumId w:val="3"/>
  </w:num>
  <w:num w:numId="49" w16cid:durableId="796335763">
    <w:abstractNumId w:val="64"/>
  </w:num>
  <w:num w:numId="50" w16cid:durableId="2132504704">
    <w:abstractNumId w:val="9"/>
  </w:num>
  <w:num w:numId="51" w16cid:durableId="279143007">
    <w:abstractNumId w:val="32"/>
  </w:num>
  <w:num w:numId="52" w16cid:durableId="694619682">
    <w:abstractNumId w:val="4"/>
  </w:num>
  <w:num w:numId="53" w16cid:durableId="1155025804">
    <w:abstractNumId w:val="14"/>
  </w:num>
  <w:num w:numId="54" w16cid:durableId="219243625">
    <w:abstractNumId w:val="22"/>
  </w:num>
  <w:num w:numId="55" w16cid:durableId="538393438">
    <w:abstractNumId w:val="47"/>
  </w:num>
  <w:num w:numId="56" w16cid:durableId="1970628160">
    <w:abstractNumId w:val="46"/>
  </w:num>
  <w:num w:numId="57" w16cid:durableId="871965958">
    <w:abstractNumId w:val="21"/>
  </w:num>
  <w:num w:numId="58" w16cid:durableId="1626618642">
    <w:abstractNumId w:val="8"/>
  </w:num>
  <w:num w:numId="59" w16cid:durableId="1183981879">
    <w:abstractNumId w:val="2"/>
  </w:num>
  <w:num w:numId="60" w16cid:durableId="1238368698">
    <w:abstractNumId w:val="30"/>
  </w:num>
  <w:num w:numId="61" w16cid:durableId="1608002986">
    <w:abstractNumId w:val="55"/>
  </w:num>
  <w:num w:numId="62" w16cid:durableId="1257522359">
    <w:abstractNumId w:val="39"/>
  </w:num>
  <w:num w:numId="63" w16cid:durableId="1603224647">
    <w:abstractNumId w:val="74"/>
  </w:num>
  <w:num w:numId="64" w16cid:durableId="866715077">
    <w:abstractNumId w:val="62"/>
  </w:num>
  <w:num w:numId="65" w16cid:durableId="1196040114">
    <w:abstractNumId w:val="25"/>
  </w:num>
  <w:num w:numId="66" w16cid:durableId="1443301608">
    <w:abstractNumId w:val="43"/>
  </w:num>
  <w:num w:numId="67" w16cid:durableId="552665916">
    <w:abstractNumId w:val="10"/>
  </w:num>
  <w:num w:numId="68" w16cid:durableId="1802384949">
    <w:abstractNumId w:val="16"/>
  </w:num>
  <w:num w:numId="69" w16cid:durableId="1263226100">
    <w:abstractNumId w:val="69"/>
  </w:num>
  <w:num w:numId="70" w16cid:durableId="1431662381">
    <w:abstractNumId w:val="69"/>
    <w:lvlOverride w:ilvl="0">
      <w:startOverride w:val="3"/>
    </w:lvlOverride>
    <w:lvlOverride w:ilvl="1">
      <w:startOverride w:val="2"/>
    </w:lvlOverride>
  </w:num>
  <w:num w:numId="71" w16cid:durableId="928973000">
    <w:abstractNumId w:val="71"/>
  </w:num>
  <w:num w:numId="72" w16cid:durableId="624895244">
    <w:abstractNumId w:val="78"/>
  </w:num>
  <w:num w:numId="73" w16cid:durableId="169760081">
    <w:abstractNumId w:val="49"/>
  </w:num>
  <w:num w:numId="74" w16cid:durableId="310983194">
    <w:abstractNumId w:val="61"/>
  </w:num>
  <w:num w:numId="75" w16cid:durableId="509756244">
    <w:abstractNumId w:val="67"/>
  </w:num>
  <w:num w:numId="76" w16cid:durableId="817648313">
    <w:abstractNumId w:val="11"/>
  </w:num>
  <w:num w:numId="77" w16cid:durableId="1476067753">
    <w:abstractNumId w:val="31"/>
  </w:num>
  <w:num w:numId="78" w16cid:durableId="873737338">
    <w:abstractNumId w:val="40"/>
  </w:num>
  <w:num w:numId="79" w16cid:durableId="1703169679">
    <w:abstractNumId w:val="26"/>
  </w:num>
  <w:num w:numId="80" w16cid:durableId="229387891">
    <w:abstractNumId w:val="73"/>
  </w:num>
  <w:num w:numId="81" w16cid:durableId="832797534">
    <w:abstractNumId w:val="68"/>
  </w:num>
  <w:num w:numId="82" w16cid:durableId="744183394">
    <w:abstractNumId w:val="36"/>
  </w:num>
  <w:num w:numId="83" w16cid:durableId="1979219942">
    <w:abstractNumId w:val="51"/>
  </w:num>
  <w:num w:numId="84" w16cid:durableId="70127979">
    <w:abstractNumId w:val="20"/>
  </w:num>
  <w:num w:numId="85" w16cid:durableId="1366830402">
    <w:abstractNumId w:val="2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857495103">
    <w:abstractNumId w:val="20"/>
  </w:num>
  <w:num w:numId="87" w16cid:durableId="1660040317">
    <w:abstractNumId w:val="20"/>
  </w:num>
  <w:num w:numId="88" w16cid:durableId="1733231738">
    <w:abstractNumId w:val="20"/>
  </w:num>
  <w:num w:numId="89" w16cid:durableId="812987064">
    <w:abstractNumId w:val="20"/>
  </w:num>
  <w:num w:numId="90" w16cid:durableId="921525363">
    <w:abstractNumId w:val="20"/>
  </w:num>
  <w:num w:numId="91" w16cid:durableId="851724570">
    <w:abstractNumId w:val="20"/>
  </w:num>
  <w:num w:numId="92" w16cid:durableId="1640838873">
    <w:abstractNumId w:val="20"/>
  </w:num>
  <w:num w:numId="93" w16cid:durableId="2130581460">
    <w:abstractNumId w:val="20"/>
  </w:num>
  <w:num w:numId="94" w16cid:durableId="1719670360">
    <w:abstractNumId w:val="20"/>
  </w:num>
  <w:num w:numId="95" w16cid:durableId="1660384200">
    <w:abstractNumId w:val="20"/>
  </w:num>
  <w:num w:numId="96" w16cid:durableId="258684443">
    <w:abstractNumId w:val="20"/>
  </w:num>
  <w:num w:numId="97" w16cid:durableId="327289606">
    <w:abstractNumId w:val="20"/>
  </w:num>
  <w:num w:numId="98" w16cid:durableId="1028725034">
    <w:abstractNumId w:val="25"/>
  </w:num>
  <w:num w:numId="99" w16cid:durableId="1376849981">
    <w:abstractNumId w:val="25"/>
  </w:num>
  <w:num w:numId="100" w16cid:durableId="16655508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50C6"/>
    <w:rsid w:val="00000029"/>
    <w:rsid w:val="00000E10"/>
    <w:rsid w:val="000012FA"/>
    <w:rsid w:val="00001357"/>
    <w:rsid w:val="000015C3"/>
    <w:rsid w:val="00002616"/>
    <w:rsid w:val="00002CC0"/>
    <w:rsid w:val="00002CFB"/>
    <w:rsid w:val="00004122"/>
    <w:rsid w:val="00004541"/>
    <w:rsid w:val="00004909"/>
    <w:rsid w:val="00005B6E"/>
    <w:rsid w:val="00005C64"/>
    <w:rsid w:val="00005DA0"/>
    <w:rsid w:val="000060D6"/>
    <w:rsid w:val="000063C3"/>
    <w:rsid w:val="00006925"/>
    <w:rsid w:val="00006A51"/>
    <w:rsid w:val="00006FCF"/>
    <w:rsid w:val="00006FFF"/>
    <w:rsid w:val="0000756A"/>
    <w:rsid w:val="00007B49"/>
    <w:rsid w:val="0001008F"/>
    <w:rsid w:val="00010953"/>
    <w:rsid w:val="00010C1D"/>
    <w:rsid w:val="00010FE3"/>
    <w:rsid w:val="00011631"/>
    <w:rsid w:val="000120C1"/>
    <w:rsid w:val="000123B1"/>
    <w:rsid w:val="000128C5"/>
    <w:rsid w:val="00012F29"/>
    <w:rsid w:val="00012FEF"/>
    <w:rsid w:val="00013DB3"/>
    <w:rsid w:val="0001404B"/>
    <w:rsid w:val="0001432A"/>
    <w:rsid w:val="000143BD"/>
    <w:rsid w:val="00015118"/>
    <w:rsid w:val="000152DE"/>
    <w:rsid w:val="000154D8"/>
    <w:rsid w:val="00015509"/>
    <w:rsid w:val="000155A9"/>
    <w:rsid w:val="00015BB2"/>
    <w:rsid w:val="000163E4"/>
    <w:rsid w:val="0001653C"/>
    <w:rsid w:val="00016A49"/>
    <w:rsid w:val="00016C78"/>
    <w:rsid w:val="0001782A"/>
    <w:rsid w:val="000200F6"/>
    <w:rsid w:val="000202A2"/>
    <w:rsid w:val="00020635"/>
    <w:rsid w:val="00020BE1"/>
    <w:rsid w:val="00020D87"/>
    <w:rsid w:val="00021868"/>
    <w:rsid w:val="00022595"/>
    <w:rsid w:val="00022893"/>
    <w:rsid w:val="00023F42"/>
    <w:rsid w:val="0002400A"/>
    <w:rsid w:val="00024C0A"/>
    <w:rsid w:val="00024F5C"/>
    <w:rsid w:val="0002537E"/>
    <w:rsid w:val="00025BDA"/>
    <w:rsid w:val="00026125"/>
    <w:rsid w:val="00026169"/>
    <w:rsid w:val="0002635D"/>
    <w:rsid w:val="00026610"/>
    <w:rsid w:val="00026840"/>
    <w:rsid w:val="00026AE5"/>
    <w:rsid w:val="00026B62"/>
    <w:rsid w:val="00026C60"/>
    <w:rsid w:val="00026C62"/>
    <w:rsid w:val="00026EA8"/>
    <w:rsid w:val="000271AA"/>
    <w:rsid w:val="00027CEB"/>
    <w:rsid w:val="000301D9"/>
    <w:rsid w:val="0003097F"/>
    <w:rsid w:val="00030B53"/>
    <w:rsid w:val="000314D2"/>
    <w:rsid w:val="00031594"/>
    <w:rsid w:val="00031768"/>
    <w:rsid w:val="00031B6D"/>
    <w:rsid w:val="00031B82"/>
    <w:rsid w:val="00031B9C"/>
    <w:rsid w:val="00033597"/>
    <w:rsid w:val="00033CAA"/>
    <w:rsid w:val="00033DBF"/>
    <w:rsid w:val="000345AE"/>
    <w:rsid w:val="0003487C"/>
    <w:rsid w:val="00035B10"/>
    <w:rsid w:val="00035C46"/>
    <w:rsid w:val="00035FFD"/>
    <w:rsid w:val="000365F4"/>
    <w:rsid w:val="00036B90"/>
    <w:rsid w:val="00036C47"/>
    <w:rsid w:val="00036FD0"/>
    <w:rsid w:val="00037198"/>
    <w:rsid w:val="000401B9"/>
    <w:rsid w:val="0004094B"/>
    <w:rsid w:val="00041151"/>
    <w:rsid w:val="00041E81"/>
    <w:rsid w:val="000420DC"/>
    <w:rsid w:val="00042624"/>
    <w:rsid w:val="00042E19"/>
    <w:rsid w:val="000434CE"/>
    <w:rsid w:val="00043605"/>
    <w:rsid w:val="00043664"/>
    <w:rsid w:val="000436D0"/>
    <w:rsid w:val="00043725"/>
    <w:rsid w:val="00043774"/>
    <w:rsid w:val="00043937"/>
    <w:rsid w:val="00044359"/>
    <w:rsid w:val="00044BF1"/>
    <w:rsid w:val="00044CE0"/>
    <w:rsid w:val="00045098"/>
    <w:rsid w:val="00045250"/>
    <w:rsid w:val="000452A4"/>
    <w:rsid w:val="000457E6"/>
    <w:rsid w:val="000458C1"/>
    <w:rsid w:val="00045A7B"/>
    <w:rsid w:val="000462C6"/>
    <w:rsid w:val="00046580"/>
    <w:rsid w:val="00046BE4"/>
    <w:rsid w:val="00047290"/>
    <w:rsid w:val="000477A9"/>
    <w:rsid w:val="00047E74"/>
    <w:rsid w:val="00051013"/>
    <w:rsid w:val="0005181D"/>
    <w:rsid w:val="0005199E"/>
    <w:rsid w:val="00051F73"/>
    <w:rsid w:val="00051F9E"/>
    <w:rsid w:val="000523C5"/>
    <w:rsid w:val="00052426"/>
    <w:rsid w:val="00052F1E"/>
    <w:rsid w:val="00053619"/>
    <w:rsid w:val="0005375F"/>
    <w:rsid w:val="0005427C"/>
    <w:rsid w:val="000542B0"/>
    <w:rsid w:val="0005465E"/>
    <w:rsid w:val="00054B5D"/>
    <w:rsid w:val="00055DB8"/>
    <w:rsid w:val="0005604A"/>
    <w:rsid w:val="00056066"/>
    <w:rsid w:val="00056811"/>
    <w:rsid w:val="000570D6"/>
    <w:rsid w:val="00057144"/>
    <w:rsid w:val="00057B62"/>
    <w:rsid w:val="00060571"/>
    <w:rsid w:val="00060679"/>
    <w:rsid w:val="0006076D"/>
    <w:rsid w:val="000607EE"/>
    <w:rsid w:val="00060A26"/>
    <w:rsid w:val="00060CE4"/>
    <w:rsid w:val="0006140A"/>
    <w:rsid w:val="00061EE1"/>
    <w:rsid w:val="00062731"/>
    <w:rsid w:val="00062DCD"/>
    <w:rsid w:val="000630F3"/>
    <w:rsid w:val="00064312"/>
    <w:rsid w:val="00064A4E"/>
    <w:rsid w:val="00064B2D"/>
    <w:rsid w:val="00064B57"/>
    <w:rsid w:val="00065E9A"/>
    <w:rsid w:val="00066125"/>
    <w:rsid w:val="000662A5"/>
    <w:rsid w:val="000664BA"/>
    <w:rsid w:val="00066975"/>
    <w:rsid w:val="00066D96"/>
    <w:rsid w:val="00067312"/>
    <w:rsid w:val="00067B3B"/>
    <w:rsid w:val="00067C51"/>
    <w:rsid w:val="00067DC1"/>
    <w:rsid w:val="00067FB1"/>
    <w:rsid w:val="00070089"/>
    <w:rsid w:val="00070117"/>
    <w:rsid w:val="00070465"/>
    <w:rsid w:val="00070E1C"/>
    <w:rsid w:val="00070F0A"/>
    <w:rsid w:val="000711EB"/>
    <w:rsid w:val="0007128A"/>
    <w:rsid w:val="000718EC"/>
    <w:rsid w:val="000719A3"/>
    <w:rsid w:val="00071C2B"/>
    <w:rsid w:val="00072784"/>
    <w:rsid w:val="00072984"/>
    <w:rsid w:val="00072A05"/>
    <w:rsid w:val="00072B9F"/>
    <w:rsid w:val="0007311D"/>
    <w:rsid w:val="0007318F"/>
    <w:rsid w:val="00073708"/>
    <w:rsid w:val="000744CE"/>
    <w:rsid w:val="00074F56"/>
    <w:rsid w:val="00075805"/>
    <w:rsid w:val="0007581F"/>
    <w:rsid w:val="0007597F"/>
    <w:rsid w:val="00076558"/>
    <w:rsid w:val="00076AEF"/>
    <w:rsid w:val="00076B6F"/>
    <w:rsid w:val="00077477"/>
    <w:rsid w:val="00077665"/>
    <w:rsid w:val="00080370"/>
    <w:rsid w:val="000805FF"/>
    <w:rsid w:val="00081D0D"/>
    <w:rsid w:val="00081EAF"/>
    <w:rsid w:val="00082574"/>
    <w:rsid w:val="00082C5A"/>
    <w:rsid w:val="00082E73"/>
    <w:rsid w:val="00082EC2"/>
    <w:rsid w:val="000831F2"/>
    <w:rsid w:val="000837E0"/>
    <w:rsid w:val="00083C53"/>
    <w:rsid w:val="00083E3B"/>
    <w:rsid w:val="00084252"/>
    <w:rsid w:val="000843EB"/>
    <w:rsid w:val="00084D5D"/>
    <w:rsid w:val="00084E9B"/>
    <w:rsid w:val="000852B2"/>
    <w:rsid w:val="000854C1"/>
    <w:rsid w:val="000864C7"/>
    <w:rsid w:val="0008708B"/>
    <w:rsid w:val="00087539"/>
    <w:rsid w:val="0008759C"/>
    <w:rsid w:val="000876ED"/>
    <w:rsid w:val="00087E31"/>
    <w:rsid w:val="000902BC"/>
    <w:rsid w:val="00090302"/>
    <w:rsid w:val="00090475"/>
    <w:rsid w:val="00090695"/>
    <w:rsid w:val="00090898"/>
    <w:rsid w:val="000915B2"/>
    <w:rsid w:val="00091760"/>
    <w:rsid w:val="00091DD5"/>
    <w:rsid w:val="00092866"/>
    <w:rsid w:val="0009305E"/>
    <w:rsid w:val="000937DC"/>
    <w:rsid w:val="000939A4"/>
    <w:rsid w:val="00093E62"/>
    <w:rsid w:val="00094193"/>
    <w:rsid w:val="00094834"/>
    <w:rsid w:val="00094A1C"/>
    <w:rsid w:val="0009504F"/>
    <w:rsid w:val="00095068"/>
    <w:rsid w:val="0009539C"/>
    <w:rsid w:val="0009542F"/>
    <w:rsid w:val="000954DB"/>
    <w:rsid w:val="000958AE"/>
    <w:rsid w:val="00095DCC"/>
    <w:rsid w:val="000968D9"/>
    <w:rsid w:val="0009719E"/>
    <w:rsid w:val="0009762A"/>
    <w:rsid w:val="00097656"/>
    <w:rsid w:val="00097A09"/>
    <w:rsid w:val="00097A21"/>
    <w:rsid w:val="000A05C4"/>
    <w:rsid w:val="000A0989"/>
    <w:rsid w:val="000A0C3A"/>
    <w:rsid w:val="000A0C89"/>
    <w:rsid w:val="000A13B7"/>
    <w:rsid w:val="000A157C"/>
    <w:rsid w:val="000A1886"/>
    <w:rsid w:val="000A217C"/>
    <w:rsid w:val="000A2307"/>
    <w:rsid w:val="000A2816"/>
    <w:rsid w:val="000A2D65"/>
    <w:rsid w:val="000A37F2"/>
    <w:rsid w:val="000A3940"/>
    <w:rsid w:val="000A3CE9"/>
    <w:rsid w:val="000A451A"/>
    <w:rsid w:val="000A482F"/>
    <w:rsid w:val="000A4949"/>
    <w:rsid w:val="000A5319"/>
    <w:rsid w:val="000A573F"/>
    <w:rsid w:val="000A5F26"/>
    <w:rsid w:val="000A665E"/>
    <w:rsid w:val="000A6C1D"/>
    <w:rsid w:val="000A6FF7"/>
    <w:rsid w:val="000A731A"/>
    <w:rsid w:val="000A7A1C"/>
    <w:rsid w:val="000A7CDB"/>
    <w:rsid w:val="000B06C2"/>
    <w:rsid w:val="000B078C"/>
    <w:rsid w:val="000B091F"/>
    <w:rsid w:val="000B1433"/>
    <w:rsid w:val="000B169D"/>
    <w:rsid w:val="000B1DC3"/>
    <w:rsid w:val="000B1E77"/>
    <w:rsid w:val="000B258C"/>
    <w:rsid w:val="000B26EC"/>
    <w:rsid w:val="000B2808"/>
    <w:rsid w:val="000B2C66"/>
    <w:rsid w:val="000B31E8"/>
    <w:rsid w:val="000B453D"/>
    <w:rsid w:val="000B4FAD"/>
    <w:rsid w:val="000B5231"/>
    <w:rsid w:val="000B5A6E"/>
    <w:rsid w:val="000B5C43"/>
    <w:rsid w:val="000B6536"/>
    <w:rsid w:val="000B6C35"/>
    <w:rsid w:val="000B7154"/>
    <w:rsid w:val="000B75C3"/>
    <w:rsid w:val="000B76E3"/>
    <w:rsid w:val="000B7B5A"/>
    <w:rsid w:val="000B7E9C"/>
    <w:rsid w:val="000B7FCE"/>
    <w:rsid w:val="000C0584"/>
    <w:rsid w:val="000C1718"/>
    <w:rsid w:val="000C24AC"/>
    <w:rsid w:val="000C27E6"/>
    <w:rsid w:val="000C2CE0"/>
    <w:rsid w:val="000C3072"/>
    <w:rsid w:val="000C34E4"/>
    <w:rsid w:val="000C367E"/>
    <w:rsid w:val="000C37BA"/>
    <w:rsid w:val="000C3A76"/>
    <w:rsid w:val="000C4230"/>
    <w:rsid w:val="000C44F4"/>
    <w:rsid w:val="000C49B5"/>
    <w:rsid w:val="000C56F5"/>
    <w:rsid w:val="000C5916"/>
    <w:rsid w:val="000C5E7C"/>
    <w:rsid w:val="000C5EC0"/>
    <w:rsid w:val="000C6174"/>
    <w:rsid w:val="000C6B29"/>
    <w:rsid w:val="000C72B3"/>
    <w:rsid w:val="000C72C1"/>
    <w:rsid w:val="000C7708"/>
    <w:rsid w:val="000C7DC8"/>
    <w:rsid w:val="000C7DFD"/>
    <w:rsid w:val="000C7E4D"/>
    <w:rsid w:val="000D0149"/>
    <w:rsid w:val="000D0730"/>
    <w:rsid w:val="000D087C"/>
    <w:rsid w:val="000D0C3E"/>
    <w:rsid w:val="000D10A6"/>
    <w:rsid w:val="000D17AE"/>
    <w:rsid w:val="000D201B"/>
    <w:rsid w:val="000D235B"/>
    <w:rsid w:val="000D2405"/>
    <w:rsid w:val="000D2697"/>
    <w:rsid w:val="000D2A0B"/>
    <w:rsid w:val="000D3D03"/>
    <w:rsid w:val="000D40D6"/>
    <w:rsid w:val="000D4929"/>
    <w:rsid w:val="000D4ADC"/>
    <w:rsid w:val="000D4CB6"/>
    <w:rsid w:val="000D58C9"/>
    <w:rsid w:val="000D5C15"/>
    <w:rsid w:val="000D6250"/>
    <w:rsid w:val="000D6A68"/>
    <w:rsid w:val="000D6DA6"/>
    <w:rsid w:val="000D6EB0"/>
    <w:rsid w:val="000D700D"/>
    <w:rsid w:val="000D70EB"/>
    <w:rsid w:val="000D76F2"/>
    <w:rsid w:val="000D7793"/>
    <w:rsid w:val="000D7B22"/>
    <w:rsid w:val="000D7B47"/>
    <w:rsid w:val="000D7E1B"/>
    <w:rsid w:val="000D7E85"/>
    <w:rsid w:val="000D7FBC"/>
    <w:rsid w:val="000E023A"/>
    <w:rsid w:val="000E07A1"/>
    <w:rsid w:val="000E1286"/>
    <w:rsid w:val="000E1A09"/>
    <w:rsid w:val="000E214F"/>
    <w:rsid w:val="000E2F07"/>
    <w:rsid w:val="000E3FD5"/>
    <w:rsid w:val="000E44CC"/>
    <w:rsid w:val="000E4FB3"/>
    <w:rsid w:val="000E518E"/>
    <w:rsid w:val="000E615B"/>
    <w:rsid w:val="000E6742"/>
    <w:rsid w:val="000E682F"/>
    <w:rsid w:val="000E68B7"/>
    <w:rsid w:val="000E68E5"/>
    <w:rsid w:val="000E6A91"/>
    <w:rsid w:val="000E6AA3"/>
    <w:rsid w:val="000E77CE"/>
    <w:rsid w:val="000E781E"/>
    <w:rsid w:val="000F0D85"/>
    <w:rsid w:val="000F11D2"/>
    <w:rsid w:val="000F157D"/>
    <w:rsid w:val="000F1A1D"/>
    <w:rsid w:val="000F1E30"/>
    <w:rsid w:val="000F1F0C"/>
    <w:rsid w:val="000F2226"/>
    <w:rsid w:val="000F2510"/>
    <w:rsid w:val="000F2547"/>
    <w:rsid w:val="000F25B2"/>
    <w:rsid w:val="000F29CC"/>
    <w:rsid w:val="000F2ADF"/>
    <w:rsid w:val="000F3090"/>
    <w:rsid w:val="000F30F4"/>
    <w:rsid w:val="000F316F"/>
    <w:rsid w:val="000F3893"/>
    <w:rsid w:val="000F3CD5"/>
    <w:rsid w:val="000F4141"/>
    <w:rsid w:val="000F4257"/>
    <w:rsid w:val="000F55B5"/>
    <w:rsid w:val="000F55FA"/>
    <w:rsid w:val="000F5766"/>
    <w:rsid w:val="000F5C4A"/>
    <w:rsid w:val="000F68A7"/>
    <w:rsid w:val="000F6BB1"/>
    <w:rsid w:val="000F6EBF"/>
    <w:rsid w:val="000F6F39"/>
    <w:rsid w:val="000F6FD3"/>
    <w:rsid w:val="000F7343"/>
    <w:rsid w:val="000F7353"/>
    <w:rsid w:val="000F7D52"/>
    <w:rsid w:val="000F7E3A"/>
    <w:rsid w:val="0010002B"/>
    <w:rsid w:val="0010038C"/>
    <w:rsid w:val="0010060D"/>
    <w:rsid w:val="00100B01"/>
    <w:rsid w:val="00100B53"/>
    <w:rsid w:val="00100EFD"/>
    <w:rsid w:val="00100FB3"/>
    <w:rsid w:val="00101323"/>
    <w:rsid w:val="001014B6"/>
    <w:rsid w:val="00101CC2"/>
    <w:rsid w:val="001025F6"/>
    <w:rsid w:val="00102FE6"/>
    <w:rsid w:val="00103215"/>
    <w:rsid w:val="00104075"/>
    <w:rsid w:val="00104737"/>
    <w:rsid w:val="00104D7C"/>
    <w:rsid w:val="00104F31"/>
    <w:rsid w:val="001054D4"/>
    <w:rsid w:val="00105BAC"/>
    <w:rsid w:val="0010659F"/>
    <w:rsid w:val="001065CB"/>
    <w:rsid w:val="001066E8"/>
    <w:rsid w:val="00106E2E"/>
    <w:rsid w:val="001070C4"/>
    <w:rsid w:val="00107AE9"/>
    <w:rsid w:val="00107E21"/>
    <w:rsid w:val="0011158F"/>
    <w:rsid w:val="00111B26"/>
    <w:rsid w:val="00111BDE"/>
    <w:rsid w:val="00111D13"/>
    <w:rsid w:val="00111D5D"/>
    <w:rsid w:val="00112DE9"/>
    <w:rsid w:val="00112E3A"/>
    <w:rsid w:val="00112FB4"/>
    <w:rsid w:val="00113A93"/>
    <w:rsid w:val="0011469C"/>
    <w:rsid w:val="00114BEE"/>
    <w:rsid w:val="00114D7A"/>
    <w:rsid w:val="00114FA7"/>
    <w:rsid w:val="0011507F"/>
    <w:rsid w:val="00115141"/>
    <w:rsid w:val="00115350"/>
    <w:rsid w:val="0011561D"/>
    <w:rsid w:val="00115A6B"/>
    <w:rsid w:val="00115AE1"/>
    <w:rsid w:val="00115EE5"/>
    <w:rsid w:val="00115F86"/>
    <w:rsid w:val="001161FC"/>
    <w:rsid w:val="001164A3"/>
    <w:rsid w:val="00116927"/>
    <w:rsid w:val="001173DC"/>
    <w:rsid w:val="00117DC1"/>
    <w:rsid w:val="0012069E"/>
    <w:rsid w:val="00120F08"/>
    <w:rsid w:val="00121BD1"/>
    <w:rsid w:val="0012253B"/>
    <w:rsid w:val="0012264A"/>
    <w:rsid w:val="00123319"/>
    <w:rsid w:val="00123C8A"/>
    <w:rsid w:val="0012404D"/>
    <w:rsid w:val="001242A3"/>
    <w:rsid w:val="001244E6"/>
    <w:rsid w:val="00124580"/>
    <w:rsid w:val="001245DF"/>
    <w:rsid w:val="00125C78"/>
    <w:rsid w:val="0012657E"/>
    <w:rsid w:val="00126DAA"/>
    <w:rsid w:val="00127364"/>
    <w:rsid w:val="0012738A"/>
    <w:rsid w:val="00127919"/>
    <w:rsid w:val="00127D42"/>
    <w:rsid w:val="0013014B"/>
    <w:rsid w:val="001301F4"/>
    <w:rsid w:val="00130C8E"/>
    <w:rsid w:val="00130FDB"/>
    <w:rsid w:val="00132010"/>
    <w:rsid w:val="001320E2"/>
    <w:rsid w:val="0013216B"/>
    <w:rsid w:val="001323C5"/>
    <w:rsid w:val="00132488"/>
    <w:rsid w:val="001324C7"/>
    <w:rsid w:val="00132597"/>
    <w:rsid w:val="00132A28"/>
    <w:rsid w:val="00133395"/>
    <w:rsid w:val="001341CC"/>
    <w:rsid w:val="0013444D"/>
    <w:rsid w:val="00134785"/>
    <w:rsid w:val="001348BD"/>
    <w:rsid w:val="00134B96"/>
    <w:rsid w:val="00134D1D"/>
    <w:rsid w:val="0013503C"/>
    <w:rsid w:val="001354A9"/>
    <w:rsid w:val="00135AED"/>
    <w:rsid w:val="00135C39"/>
    <w:rsid w:val="00135F49"/>
    <w:rsid w:val="00136258"/>
    <w:rsid w:val="00136D82"/>
    <w:rsid w:val="00137143"/>
    <w:rsid w:val="0013724F"/>
    <w:rsid w:val="001374BA"/>
    <w:rsid w:val="00137535"/>
    <w:rsid w:val="0014118E"/>
    <w:rsid w:val="0014146E"/>
    <w:rsid w:val="0014215E"/>
    <w:rsid w:val="001421A6"/>
    <w:rsid w:val="00142B41"/>
    <w:rsid w:val="00142D07"/>
    <w:rsid w:val="00142E18"/>
    <w:rsid w:val="00142E1F"/>
    <w:rsid w:val="00143652"/>
    <w:rsid w:val="00143927"/>
    <w:rsid w:val="001449AF"/>
    <w:rsid w:val="00144A64"/>
    <w:rsid w:val="001450BF"/>
    <w:rsid w:val="00145A7D"/>
    <w:rsid w:val="00145D84"/>
    <w:rsid w:val="00146043"/>
    <w:rsid w:val="0014657B"/>
    <w:rsid w:val="0014673E"/>
    <w:rsid w:val="00146A2B"/>
    <w:rsid w:val="00146B4E"/>
    <w:rsid w:val="00146C8C"/>
    <w:rsid w:val="00146DAB"/>
    <w:rsid w:val="00146EC6"/>
    <w:rsid w:val="00147172"/>
    <w:rsid w:val="00147989"/>
    <w:rsid w:val="00147C67"/>
    <w:rsid w:val="0015012C"/>
    <w:rsid w:val="00150349"/>
    <w:rsid w:val="00150428"/>
    <w:rsid w:val="00150CCD"/>
    <w:rsid w:val="001512A0"/>
    <w:rsid w:val="00151B60"/>
    <w:rsid w:val="00151CEB"/>
    <w:rsid w:val="00152157"/>
    <w:rsid w:val="001526A0"/>
    <w:rsid w:val="001526DA"/>
    <w:rsid w:val="001529F4"/>
    <w:rsid w:val="00152AA9"/>
    <w:rsid w:val="00152EB0"/>
    <w:rsid w:val="0015320F"/>
    <w:rsid w:val="00153292"/>
    <w:rsid w:val="001534A2"/>
    <w:rsid w:val="00153E8A"/>
    <w:rsid w:val="0015449C"/>
    <w:rsid w:val="001546A7"/>
    <w:rsid w:val="001547F1"/>
    <w:rsid w:val="0015507E"/>
    <w:rsid w:val="0015535C"/>
    <w:rsid w:val="00155B07"/>
    <w:rsid w:val="00155B51"/>
    <w:rsid w:val="00156315"/>
    <w:rsid w:val="0015670E"/>
    <w:rsid w:val="0015676F"/>
    <w:rsid w:val="00156E00"/>
    <w:rsid w:val="00157D44"/>
    <w:rsid w:val="00160193"/>
    <w:rsid w:val="001603B2"/>
    <w:rsid w:val="0016085C"/>
    <w:rsid w:val="00160B30"/>
    <w:rsid w:val="00160D6D"/>
    <w:rsid w:val="001611FF"/>
    <w:rsid w:val="0016184A"/>
    <w:rsid w:val="00161CE7"/>
    <w:rsid w:val="00162256"/>
    <w:rsid w:val="0016251B"/>
    <w:rsid w:val="00162D37"/>
    <w:rsid w:val="001632FF"/>
    <w:rsid w:val="00163812"/>
    <w:rsid w:val="0016385A"/>
    <w:rsid w:val="00163B3E"/>
    <w:rsid w:val="00163FA9"/>
    <w:rsid w:val="0016406B"/>
    <w:rsid w:val="001644FA"/>
    <w:rsid w:val="00165104"/>
    <w:rsid w:val="0016534C"/>
    <w:rsid w:val="001657A1"/>
    <w:rsid w:val="00165B56"/>
    <w:rsid w:val="0016685C"/>
    <w:rsid w:val="00166D09"/>
    <w:rsid w:val="00166E4E"/>
    <w:rsid w:val="001671F2"/>
    <w:rsid w:val="00167223"/>
    <w:rsid w:val="00167787"/>
    <w:rsid w:val="001678A0"/>
    <w:rsid w:val="00170022"/>
    <w:rsid w:val="00170B6E"/>
    <w:rsid w:val="00170FDB"/>
    <w:rsid w:val="00171044"/>
    <w:rsid w:val="001710CE"/>
    <w:rsid w:val="001717BD"/>
    <w:rsid w:val="00171961"/>
    <w:rsid w:val="001719AC"/>
    <w:rsid w:val="00171AA4"/>
    <w:rsid w:val="00171D0F"/>
    <w:rsid w:val="0017234B"/>
    <w:rsid w:val="00172409"/>
    <w:rsid w:val="001732D1"/>
    <w:rsid w:val="001734F7"/>
    <w:rsid w:val="001734FB"/>
    <w:rsid w:val="00173943"/>
    <w:rsid w:val="00173C4A"/>
    <w:rsid w:val="00174498"/>
    <w:rsid w:val="00174642"/>
    <w:rsid w:val="0017563D"/>
    <w:rsid w:val="0017569F"/>
    <w:rsid w:val="00175948"/>
    <w:rsid w:val="00175BE4"/>
    <w:rsid w:val="0017602B"/>
    <w:rsid w:val="00176C72"/>
    <w:rsid w:val="00176C87"/>
    <w:rsid w:val="00176D57"/>
    <w:rsid w:val="00176D64"/>
    <w:rsid w:val="001770FD"/>
    <w:rsid w:val="00177308"/>
    <w:rsid w:val="001773DF"/>
    <w:rsid w:val="00177B90"/>
    <w:rsid w:val="00177D98"/>
    <w:rsid w:val="00180F91"/>
    <w:rsid w:val="0018143A"/>
    <w:rsid w:val="00181795"/>
    <w:rsid w:val="00181CE8"/>
    <w:rsid w:val="00181F88"/>
    <w:rsid w:val="0018215C"/>
    <w:rsid w:val="00182181"/>
    <w:rsid w:val="00182775"/>
    <w:rsid w:val="00182FE3"/>
    <w:rsid w:val="00183533"/>
    <w:rsid w:val="0018379B"/>
    <w:rsid w:val="00183DA7"/>
    <w:rsid w:val="001844D8"/>
    <w:rsid w:val="001846AB"/>
    <w:rsid w:val="00184B55"/>
    <w:rsid w:val="00184B99"/>
    <w:rsid w:val="001856F9"/>
    <w:rsid w:val="00185779"/>
    <w:rsid w:val="00185DE2"/>
    <w:rsid w:val="00186271"/>
    <w:rsid w:val="001867D7"/>
    <w:rsid w:val="001869EC"/>
    <w:rsid w:val="00186CE4"/>
    <w:rsid w:val="00186EBA"/>
    <w:rsid w:val="00186FDA"/>
    <w:rsid w:val="0018726C"/>
    <w:rsid w:val="001874A0"/>
    <w:rsid w:val="00187BB7"/>
    <w:rsid w:val="00187C22"/>
    <w:rsid w:val="00187DBD"/>
    <w:rsid w:val="00187FD5"/>
    <w:rsid w:val="00190F84"/>
    <w:rsid w:val="0019186F"/>
    <w:rsid w:val="00191939"/>
    <w:rsid w:val="00191BCF"/>
    <w:rsid w:val="0019259F"/>
    <w:rsid w:val="001926FB"/>
    <w:rsid w:val="001929C4"/>
    <w:rsid w:val="0019325D"/>
    <w:rsid w:val="00193442"/>
    <w:rsid w:val="001941C9"/>
    <w:rsid w:val="00194411"/>
    <w:rsid w:val="00194ADF"/>
    <w:rsid w:val="0019575F"/>
    <w:rsid w:val="001962C2"/>
    <w:rsid w:val="001967EA"/>
    <w:rsid w:val="001967F8"/>
    <w:rsid w:val="00196ACC"/>
    <w:rsid w:val="0019715D"/>
    <w:rsid w:val="0019749C"/>
    <w:rsid w:val="00197515"/>
    <w:rsid w:val="0019759C"/>
    <w:rsid w:val="00197ADC"/>
    <w:rsid w:val="00197D3A"/>
    <w:rsid w:val="00197EF4"/>
    <w:rsid w:val="001A0097"/>
    <w:rsid w:val="001A0523"/>
    <w:rsid w:val="001A0533"/>
    <w:rsid w:val="001A0EF7"/>
    <w:rsid w:val="001A1022"/>
    <w:rsid w:val="001A10CD"/>
    <w:rsid w:val="001A1C7A"/>
    <w:rsid w:val="001A27FE"/>
    <w:rsid w:val="001A2BEE"/>
    <w:rsid w:val="001A31A0"/>
    <w:rsid w:val="001A36E5"/>
    <w:rsid w:val="001A3922"/>
    <w:rsid w:val="001A40FB"/>
    <w:rsid w:val="001A46D8"/>
    <w:rsid w:val="001A478A"/>
    <w:rsid w:val="001A4FFD"/>
    <w:rsid w:val="001A5091"/>
    <w:rsid w:val="001A5BEC"/>
    <w:rsid w:val="001A6437"/>
    <w:rsid w:val="001A6A2D"/>
    <w:rsid w:val="001A714A"/>
    <w:rsid w:val="001A73B9"/>
    <w:rsid w:val="001A77AE"/>
    <w:rsid w:val="001A7BD4"/>
    <w:rsid w:val="001A7FD8"/>
    <w:rsid w:val="001B0BC7"/>
    <w:rsid w:val="001B0D5F"/>
    <w:rsid w:val="001B1195"/>
    <w:rsid w:val="001B1342"/>
    <w:rsid w:val="001B1369"/>
    <w:rsid w:val="001B13FC"/>
    <w:rsid w:val="001B1551"/>
    <w:rsid w:val="001B167F"/>
    <w:rsid w:val="001B1B2D"/>
    <w:rsid w:val="001B1DB0"/>
    <w:rsid w:val="001B21CF"/>
    <w:rsid w:val="001B2DC2"/>
    <w:rsid w:val="001B3131"/>
    <w:rsid w:val="001B3CD7"/>
    <w:rsid w:val="001B4851"/>
    <w:rsid w:val="001B51CE"/>
    <w:rsid w:val="001B5620"/>
    <w:rsid w:val="001B5BC4"/>
    <w:rsid w:val="001B5EFE"/>
    <w:rsid w:val="001B64ED"/>
    <w:rsid w:val="001B6953"/>
    <w:rsid w:val="001B6A38"/>
    <w:rsid w:val="001C005C"/>
    <w:rsid w:val="001C00A5"/>
    <w:rsid w:val="001C0BC7"/>
    <w:rsid w:val="001C0CC3"/>
    <w:rsid w:val="001C101F"/>
    <w:rsid w:val="001C151F"/>
    <w:rsid w:val="001C25D4"/>
    <w:rsid w:val="001C2630"/>
    <w:rsid w:val="001C3155"/>
    <w:rsid w:val="001C32EE"/>
    <w:rsid w:val="001C357D"/>
    <w:rsid w:val="001C40D6"/>
    <w:rsid w:val="001C4176"/>
    <w:rsid w:val="001C41F0"/>
    <w:rsid w:val="001C4700"/>
    <w:rsid w:val="001C47CE"/>
    <w:rsid w:val="001C4D22"/>
    <w:rsid w:val="001C4E5D"/>
    <w:rsid w:val="001C4FA6"/>
    <w:rsid w:val="001C5370"/>
    <w:rsid w:val="001C539D"/>
    <w:rsid w:val="001C56D3"/>
    <w:rsid w:val="001C597F"/>
    <w:rsid w:val="001C5E1E"/>
    <w:rsid w:val="001C6024"/>
    <w:rsid w:val="001C618F"/>
    <w:rsid w:val="001C6497"/>
    <w:rsid w:val="001C68A2"/>
    <w:rsid w:val="001C7721"/>
    <w:rsid w:val="001D0484"/>
    <w:rsid w:val="001D076C"/>
    <w:rsid w:val="001D0F27"/>
    <w:rsid w:val="001D111C"/>
    <w:rsid w:val="001D1185"/>
    <w:rsid w:val="001D123D"/>
    <w:rsid w:val="001D1E07"/>
    <w:rsid w:val="001D1FF2"/>
    <w:rsid w:val="001D239A"/>
    <w:rsid w:val="001D270D"/>
    <w:rsid w:val="001D274E"/>
    <w:rsid w:val="001D2767"/>
    <w:rsid w:val="001D3304"/>
    <w:rsid w:val="001D3570"/>
    <w:rsid w:val="001D3825"/>
    <w:rsid w:val="001D3981"/>
    <w:rsid w:val="001D3A60"/>
    <w:rsid w:val="001D3E4A"/>
    <w:rsid w:val="001D3F7E"/>
    <w:rsid w:val="001D40C9"/>
    <w:rsid w:val="001D4234"/>
    <w:rsid w:val="001D470B"/>
    <w:rsid w:val="001D51F0"/>
    <w:rsid w:val="001D5780"/>
    <w:rsid w:val="001D5828"/>
    <w:rsid w:val="001D59F8"/>
    <w:rsid w:val="001D5CBB"/>
    <w:rsid w:val="001D6091"/>
    <w:rsid w:val="001D6340"/>
    <w:rsid w:val="001D6834"/>
    <w:rsid w:val="001E0AAC"/>
    <w:rsid w:val="001E1B6A"/>
    <w:rsid w:val="001E2142"/>
    <w:rsid w:val="001E2422"/>
    <w:rsid w:val="001E25FC"/>
    <w:rsid w:val="001E2A6E"/>
    <w:rsid w:val="001E2B0F"/>
    <w:rsid w:val="001E2B67"/>
    <w:rsid w:val="001E2F9E"/>
    <w:rsid w:val="001E3114"/>
    <w:rsid w:val="001E3A66"/>
    <w:rsid w:val="001E3E03"/>
    <w:rsid w:val="001E3F56"/>
    <w:rsid w:val="001E40E0"/>
    <w:rsid w:val="001E40F2"/>
    <w:rsid w:val="001E426B"/>
    <w:rsid w:val="001E56A8"/>
    <w:rsid w:val="001E58D7"/>
    <w:rsid w:val="001E5B98"/>
    <w:rsid w:val="001E62A3"/>
    <w:rsid w:val="001E63B3"/>
    <w:rsid w:val="001E6790"/>
    <w:rsid w:val="001E70F0"/>
    <w:rsid w:val="001E7F9F"/>
    <w:rsid w:val="001F16D1"/>
    <w:rsid w:val="001F18CA"/>
    <w:rsid w:val="001F1DB1"/>
    <w:rsid w:val="001F1EB5"/>
    <w:rsid w:val="001F218B"/>
    <w:rsid w:val="001F2691"/>
    <w:rsid w:val="001F26CA"/>
    <w:rsid w:val="001F2BF3"/>
    <w:rsid w:val="001F2CEA"/>
    <w:rsid w:val="001F2D0A"/>
    <w:rsid w:val="001F3013"/>
    <w:rsid w:val="001F3124"/>
    <w:rsid w:val="001F342C"/>
    <w:rsid w:val="001F3608"/>
    <w:rsid w:val="001F37B9"/>
    <w:rsid w:val="001F3AAF"/>
    <w:rsid w:val="001F3FC4"/>
    <w:rsid w:val="001F409C"/>
    <w:rsid w:val="001F4152"/>
    <w:rsid w:val="001F478F"/>
    <w:rsid w:val="001F4A10"/>
    <w:rsid w:val="001F4E37"/>
    <w:rsid w:val="001F5403"/>
    <w:rsid w:val="001F5427"/>
    <w:rsid w:val="001F56C5"/>
    <w:rsid w:val="001F6AB5"/>
    <w:rsid w:val="001F7641"/>
    <w:rsid w:val="001F79B9"/>
    <w:rsid w:val="002004CD"/>
    <w:rsid w:val="002010CA"/>
    <w:rsid w:val="0020136A"/>
    <w:rsid w:val="0020143F"/>
    <w:rsid w:val="002017AD"/>
    <w:rsid w:val="0020186C"/>
    <w:rsid w:val="00201B64"/>
    <w:rsid w:val="00201C38"/>
    <w:rsid w:val="00201E73"/>
    <w:rsid w:val="00201E88"/>
    <w:rsid w:val="00201ECD"/>
    <w:rsid w:val="002025FC"/>
    <w:rsid w:val="00202A22"/>
    <w:rsid w:val="0020331C"/>
    <w:rsid w:val="002034B6"/>
    <w:rsid w:val="002038E3"/>
    <w:rsid w:val="00203A29"/>
    <w:rsid w:val="00203A31"/>
    <w:rsid w:val="00203CAE"/>
    <w:rsid w:val="00203DF0"/>
    <w:rsid w:val="002041F2"/>
    <w:rsid w:val="0020468A"/>
    <w:rsid w:val="002046C8"/>
    <w:rsid w:val="0020522F"/>
    <w:rsid w:val="00205903"/>
    <w:rsid w:val="00205BA7"/>
    <w:rsid w:val="00205EDC"/>
    <w:rsid w:val="002060FF"/>
    <w:rsid w:val="0020638E"/>
    <w:rsid w:val="002063D2"/>
    <w:rsid w:val="002066C5"/>
    <w:rsid w:val="00206B19"/>
    <w:rsid w:val="00207992"/>
    <w:rsid w:val="0021041A"/>
    <w:rsid w:val="00210514"/>
    <w:rsid w:val="00210A9B"/>
    <w:rsid w:val="00210ADC"/>
    <w:rsid w:val="00210E2B"/>
    <w:rsid w:val="00211046"/>
    <w:rsid w:val="00211730"/>
    <w:rsid w:val="00212C19"/>
    <w:rsid w:val="00212C5C"/>
    <w:rsid w:val="00212CD3"/>
    <w:rsid w:val="0021352E"/>
    <w:rsid w:val="00214BC6"/>
    <w:rsid w:val="00214BFC"/>
    <w:rsid w:val="00214E4E"/>
    <w:rsid w:val="00214EF1"/>
    <w:rsid w:val="00215CB7"/>
    <w:rsid w:val="00216763"/>
    <w:rsid w:val="00216A7F"/>
    <w:rsid w:val="00217153"/>
    <w:rsid w:val="002177EF"/>
    <w:rsid w:val="00217FF9"/>
    <w:rsid w:val="002202D8"/>
    <w:rsid w:val="00220442"/>
    <w:rsid w:val="00220F38"/>
    <w:rsid w:val="00221279"/>
    <w:rsid w:val="002215EA"/>
    <w:rsid w:val="00221706"/>
    <w:rsid w:val="00221889"/>
    <w:rsid w:val="00222346"/>
    <w:rsid w:val="00222512"/>
    <w:rsid w:val="00222976"/>
    <w:rsid w:val="00222C85"/>
    <w:rsid w:val="00222FCC"/>
    <w:rsid w:val="00223A51"/>
    <w:rsid w:val="00223C28"/>
    <w:rsid w:val="00223F25"/>
    <w:rsid w:val="00223F72"/>
    <w:rsid w:val="002244CB"/>
    <w:rsid w:val="0022485E"/>
    <w:rsid w:val="002267C3"/>
    <w:rsid w:val="00226B81"/>
    <w:rsid w:val="002273B1"/>
    <w:rsid w:val="0022747B"/>
    <w:rsid w:val="002279B0"/>
    <w:rsid w:val="00227C23"/>
    <w:rsid w:val="00227E09"/>
    <w:rsid w:val="00230340"/>
    <w:rsid w:val="002309C1"/>
    <w:rsid w:val="00230C6A"/>
    <w:rsid w:val="00231002"/>
    <w:rsid w:val="002312BF"/>
    <w:rsid w:val="002314F0"/>
    <w:rsid w:val="002315AE"/>
    <w:rsid w:val="002318E5"/>
    <w:rsid w:val="00232CA1"/>
    <w:rsid w:val="00232DDA"/>
    <w:rsid w:val="00232E0E"/>
    <w:rsid w:val="00233B8F"/>
    <w:rsid w:val="00233D63"/>
    <w:rsid w:val="00234041"/>
    <w:rsid w:val="002343D3"/>
    <w:rsid w:val="002360F6"/>
    <w:rsid w:val="002367A9"/>
    <w:rsid w:val="00236A41"/>
    <w:rsid w:val="00237294"/>
    <w:rsid w:val="00237F0C"/>
    <w:rsid w:val="00237F95"/>
    <w:rsid w:val="002400F2"/>
    <w:rsid w:val="00240BA8"/>
    <w:rsid w:val="00240CD7"/>
    <w:rsid w:val="00241743"/>
    <w:rsid w:val="00241874"/>
    <w:rsid w:val="00241B56"/>
    <w:rsid w:val="00242062"/>
    <w:rsid w:val="002426AC"/>
    <w:rsid w:val="002428E6"/>
    <w:rsid w:val="00243A2F"/>
    <w:rsid w:val="00243D37"/>
    <w:rsid w:val="00243F5D"/>
    <w:rsid w:val="0024411C"/>
    <w:rsid w:val="00244E58"/>
    <w:rsid w:val="002453E1"/>
    <w:rsid w:val="00245753"/>
    <w:rsid w:val="002457F8"/>
    <w:rsid w:val="00245978"/>
    <w:rsid w:val="00245FD9"/>
    <w:rsid w:val="00246916"/>
    <w:rsid w:val="00246951"/>
    <w:rsid w:val="0024754E"/>
    <w:rsid w:val="0024773D"/>
    <w:rsid w:val="0024797B"/>
    <w:rsid w:val="00247C6B"/>
    <w:rsid w:val="00247E05"/>
    <w:rsid w:val="002502D6"/>
    <w:rsid w:val="002505D2"/>
    <w:rsid w:val="002508E5"/>
    <w:rsid w:val="00250A9C"/>
    <w:rsid w:val="002510B3"/>
    <w:rsid w:val="002515BD"/>
    <w:rsid w:val="0025193D"/>
    <w:rsid w:val="00251A39"/>
    <w:rsid w:val="00251B8E"/>
    <w:rsid w:val="0025225C"/>
    <w:rsid w:val="0025291A"/>
    <w:rsid w:val="00252B40"/>
    <w:rsid w:val="00253201"/>
    <w:rsid w:val="002532F7"/>
    <w:rsid w:val="00253519"/>
    <w:rsid w:val="00253F67"/>
    <w:rsid w:val="00253FD4"/>
    <w:rsid w:val="00254565"/>
    <w:rsid w:val="00254706"/>
    <w:rsid w:val="002553B7"/>
    <w:rsid w:val="002554D4"/>
    <w:rsid w:val="0025662B"/>
    <w:rsid w:val="00256986"/>
    <w:rsid w:val="00256EC2"/>
    <w:rsid w:val="002572E5"/>
    <w:rsid w:val="0025790A"/>
    <w:rsid w:val="00257A97"/>
    <w:rsid w:val="00257C37"/>
    <w:rsid w:val="00257CA8"/>
    <w:rsid w:val="00257EA5"/>
    <w:rsid w:val="00260037"/>
    <w:rsid w:val="00260266"/>
    <w:rsid w:val="00260368"/>
    <w:rsid w:val="002605ED"/>
    <w:rsid w:val="00261243"/>
    <w:rsid w:val="0026147C"/>
    <w:rsid w:val="00261767"/>
    <w:rsid w:val="00261A20"/>
    <w:rsid w:val="00261D08"/>
    <w:rsid w:val="00261FE2"/>
    <w:rsid w:val="00261FF9"/>
    <w:rsid w:val="002631E5"/>
    <w:rsid w:val="002633B2"/>
    <w:rsid w:val="00263EA1"/>
    <w:rsid w:val="00263F2C"/>
    <w:rsid w:val="00264440"/>
    <w:rsid w:val="002647D7"/>
    <w:rsid w:val="00264A49"/>
    <w:rsid w:val="00264B81"/>
    <w:rsid w:val="00264C68"/>
    <w:rsid w:val="00264CEA"/>
    <w:rsid w:val="00265DE3"/>
    <w:rsid w:val="0026673D"/>
    <w:rsid w:val="002667AF"/>
    <w:rsid w:val="002667F9"/>
    <w:rsid w:val="00267278"/>
    <w:rsid w:val="00267AAF"/>
    <w:rsid w:val="00267D5E"/>
    <w:rsid w:val="00267D8A"/>
    <w:rsid w:val="00267F0F"/>
    <w:rsid w:val="00271D30"/>
    <w:rsid w:val="002723C2"/>
    <w:rsid w:val="002724DF"/>
    <w:rsid w:val="0027296F"/>
    <w:rsid w:val="002729B7"/>
    <w:rsid w:val="00272C90"/>
    <w:rsid w:val="00272EF4"/>
    <w:rsid w:val="002732BB"/>
    <w:rsid w:val="0027378B"/>
    <w:rsid w:val="00273BEC"/>
    <w:rsid w:val="00273C7F"/>
    <w:rsid w:val="0027472C"/>
    <w:rsid w:val="00274768"/>
    <w:rsid w:val="00274916"/>
    <w:rsid w:val="00274B5E"/>
    <w:rsid w:val="00274B98"/>
    <w:rsid w:val="00275016"/>
    <w:rsid w:val="00275DB5"/>
    <w:rsid w:val="00275DF6"/>
    <w:rsid w:val="00276487"/>
    <w:rsid w:val="00276BB4"/>
    <w:rsid w:val="00277396"/>
    <w:rsid w:val="00277849"/>
    <w:rsid w:val="00277FD1"/>
    <w:rsid w:val="00280075"/>
    <w:rsid w:val="002800F8"/>
    <w:rsid w:val="002802EF"/>
    <w:rsid w:val="002805D6"/>
    <w:rsid w:val="00280832"/>
    <w:rsid w:val="002809A3"/>
    <w:rsid w:val="00281142"/>
    <w:rsid w:val="0028130A"/>
    <w:rsid w:val="00281312"/>
    <w:rsid w:val="00281465"/>
    <w:rsid w:val="002818E6"/>
    <w:rsid w:val="00281AD9"/>
    <w:rsid w:val="0028219F"/>
    <w:rsid w:val="002827D9"/>
    <w:rsid w:val="00282DBB"/>
    <w:rsid w:val="00282E2A"/>
    <w:rsid w:val="0028373B"/>
    <w:rsid w:val="00283CCD"/>
    <w:rsid w:val="00283D5C"/>
    <w:rsid w:val="00284067"/>
    <w:rsid w:val="00284FEF"/>
    <w:rsid w:val="00285119"/>
    <w:rsid w:val="002859E3"/>
    <w:rsid w:val="00285A49"/>
    <w:rsid w:val="00285C3B"/>
    <w:rsid w:val="00285C8D"/>
    <w:rsid w:val="00285F8D"/>
    <w:rsid w:val="002862DC"/>
    <w:rsid w:val="00286BA2"/>
    <w:rsid w:val="0028732B"/>
    <w:rsid w:val="00287664"/>
    <w:rsid w:val="00287686"/>
    <w:rsid w:val="002876E4"/>
    <w:rsid w:val="002907D2"/>
    <w:rsid w:val="0029214C"/>
    <w:rsid w:val="00292415"/>
    <w:rsid w:val="00292E0D"/>
    <w:rsid w:val="00292EDC"/>
    <w:rsid w:val="00293BC2"/>
    <w:rsid w:val="00294161"/>
    <w:rsid w:val="0029418C"/>
    <w:rsid w:val="002949AA"/>
    <w:rsid w:val="00294A8D"/>
    <w:rsid w:val="00294B09"/>
    <w:rsid w:val="00294D7D"/>
    <w:rsid w:val="0029507F"/>
    <w:rsid w:val="002959E8"/>
    <w:rsid w:val="00295F87"/>
    <w:rsid w:val="00296315"/>
    <w:rsid w:val="00296439"/>
    <w:rsid w:val="00296664"/>
    <w:rsid w:val="002968DA"/>
    <w:rsid w:val="00296906"/>
    <w:rsid w:val="00296E8C"/>
    <w:rsid w:val="002973DE"/>
    <w:rsid w:val="0029776B"/>
    <w:rsid w:val="002A05D1"/>
    <w:rsid w:val="002A0923"/>
    <w:rsid w:val="002A1166"/>
    <w:rsid w:val="002A14D9"/>
    <w:rsid w:val="002A1536"/>
    <w:rsid w:val="002A1A2B"/>
    <w:rsid w:val="002A1EF4"/>
    <w:rsid w:val="002A2099"/>
    <w:rsid w:val="002A229D"/>
    <w:rsid w:val="002A23AE"/>
    <w:rsid w:val="002A242B"/>
    <w:rsid w:val="002A2605"/>
    <w:rsid w:val="002A2614"/>
    <w:rsid w:val="002A28E4"/>
    <w:rsid w:val="002A29D7"/>
    <w:rsid w:val="002A2A55"/>
    <w:rsid w:val="002A2A69"/>
    <w:rsid w:val="002A2E3D"/>
    <w:rsid w:val="002A33C4"/>
    <w:rsid w:val="002A35C0"/>
    <w:rsid w:val="002A363C"/>
    <w:rsid w:val="002A3B0E"/>
    <w:rsid w:val="002A3BFB"/>
    <w:rsid w:val="002A4600"/>
    <w:rsid w:val="002A47FE"/>
    <w:rsid w:val="002A4942"/>
    <w:rsid w:val="002A49AA"/>
    <w:rsid w:val="002A509B"/>
    <w:rsid w:val="002A578B"/>
    <w:rsid w:val="002A601A"/>
    <w:rsid w:val="002A73DF"/>
    <w:rsid w:val="002A7458"/>
    <w:rsid w:val="002A791C"/>
    <w:rsid w:val="002A796A"/>
    <w:rsid w:val="002A7AF4"/>
    <w:rsid w:val="002B0012"/>
    <w:rsid w:val="002B057C"/>
    <w:rsid w:val="002B0EA3"/>
    <w:rsid w:val="002B0F14"/>
    <w:rsid w:val="002B15AA"/>
    <w:rsid w:val="002B18D3"/>
    <w:rsid w:val="002B19D5"/>
    <w:rsid w:val="002B1A23"/>
    <w:rsid w:val="002B1D75"/>
    <w:rsid w:val="002B1D8F"/>
    <w:rsid w:val="002B248F"/>
    <w:rsid w:val="002B27E3"/>
    <w:rsid w:val="002B32ED"/>
    <w:rsid w:val="002B3863"/>
    <w:rsid w:val="002B40C3"/>
    <w:rsid w:val="002B41DB"/>
    <w:rsid w:val="002B4A91"/>
    <w:rsid w:val="002B4D88"/>
    <w:rsid w:val="002B5014"/>
    <w:rsid w:val="002B52CF"/>
    <w:rsid w:val="002B5A1B"/>
    <w:rsid w:val="002B5D99"/>
    <w:rsid w:val="002B658B"/>
    <w:rsid w:val="002B6E7C"/>
    <w:rsid w:val="002B6FE8"/>
    <w:rsid w:val="002B717A"/>
    <w:rsid w:val="002B786E"/>
    <w:rsid w:val="002B7EEA"/>
    <w:rsid w:val="002C01D9"/>
    <w:rsid w:val="002C0921"/>
    <w:rsid w:val="002C09D6"/>
    <w:rsid w:val="002C168F"/>
    <w:rsid w:val="002C17D7"/>
    <w:rsid w:val="002C1993"/>
    <w:rsid w:val="002C19B2"/>
    <w:rsid w:val="002C1EFF"/>
    <w:rsid w:val="002C23CB"/>
    <w:rsid w:val="002C25F5"/>
    <w:rsid w:val="002C2953"/>
    <w:rsid w:val="002C3393"/>
    <w:rsid w:val="002C373C"/>
    <w:rsid w:val="002C4B92"/>
    <w:rsid w:val="002C4E2E"/>
    <w:rsid w:val="002C502F"/>
    <w:rsid w:val="002C6A2F"/>
    <w:rsid w:val="002C6D60"/>
    <w:rsid w:val="002C6DF5"/>
    <w:rsid w:val="002C7046"/>
    <w:rsid w:val="002C73D5"/>
    <w:rsid w:val="002C766F"/>
    <w:rsid w:val="002D063D"/>
    <w:rsid w:val="002D0672"/>
    <w:rsid w:val="002D2474"/>
    <w:rsid w:val="002D2EAD"/>
    <w:rsid w:val="002D2EFE"/>
    <w:rsid w:val="002D3483"/>
    <w:rsid w:val="002D3E45"/>
    <w:rsid w:val="002D4101"/>
    <w:rsid w:val="002D4DCE"/>
    <w:rsid w:val="002D545E"/>
    <w:rsid w:val="002D6C7E"/>
    <w:rsid w:val="002D754A"/>
    <w:rsid w:val="002E026B"/>
    <w:rsid w:val="002E0D2B"/>
    <w:rsid w:val="002E0D55"/>
    <w:rsid w:val="002E0F38"/>
    <w:rsid w:val="002E1173"/>
    <w:rsid w:val="002E1443"/>
    <w:rsid w:val="002E1811"/>
    <w:rsid w:val="002E1B7E"/>
    <w:rsid w:val="002E20B8"/>
    <w:rsid w:val="002E2370"/>
    <w:rsid w:val="002E27FC"/>
    <w:rsid w:val="002E289A"/>
    <w:rsid w:val="002E29F0"/>
    <w:rsid w:val="002E2AFF"/>
    <w:rsid w:val="002E307D"/>
    <w:rsid w:val="002E48CA"/>
    <w:rsid w:val="002E4FFC"/>
    <w:rsid w:val="002E596C"/>
    <w:rsid w:val="002E60F7"/>
    <w:rsid w:val="002E6259"/>
    <w:rsid w:val="002E683E"/>
    <w:rsid w:val="002E698A"/>
    <w:rsid w:val="002E6C69"/>
    <w:rsid w:val="002E74D7"/>
    <w:rsid w:val="002E750F"/>
    <w:rsid w:val="002E791C"/>
    <w:rsid w:val="002F0435"/>
    <w:rsid w:val="002F0BB6"/>
    <w:rsid w:val="002F0F74"/>
    <w:rsid w:val="002F11D2"/>
    <w:rsid w:val="002F12EC"/>
    <w:rsid w:val="002F1ADD"/>
    <w:rsid w:val="002F1FFB"/>
    <w:rsid w:val="002F21CF"/>
    <w:rsid w:val="002F22C9"/>
    <w:rsid w:val="002F2669"/>
    <w:rsid w:val="002F2E11"/>
    <w:rsid w:val="002F2F80"/>
    <w:rsid w:val="002F314C"/>
    <w:rsid w:val="002F3593"/>
    <w:rsid w:val="002F3B9F"/>
    <w:rsid w:val="002F480D"/>
    <w:rsid w:val="002F4A45"/>
    <w:rsid w:val="002F5006"/>
    <w:rsid w:val="002F5509"/>
    <w:rsid w:val="002F61B3"/>
    <w:rsid w:val="002F65FA"/>
    <w:rsid w:val="002F6A09"/>
    <w:rsid w:val="002F6A72"/>
    <w:rsid w:val="002F6CD1"/>
    <w:rsid w:val="002F6E02"/>
    <w:rsid w:val="002F71DD"/>
    <w:rsid w:val="002F7A84"/>
    <w:rsid w:val="002F7E03"/>
    <w:rsid w:val="00300D9B"/>
    <w:rsid w:val="00301526"/>
    <w:rsid w:val="00301C42"/>
    <w:rsid w:val="00301EB1"/>
    <w:rsid w:val="00302086"/>
    <w:rsid w:val="0030287C"/>
    <w:rsid w:val="00302D35"/>
    <w:rsid w:val="00302F9F"/>
    <w:rsid w:val="00303574"/>
    <w:rsid w:val="0030360F"/>
    <w:rsid w:val="003039F7"/>
    <w:rsid w:val="00303B90"/>
    <w:rsid w:val="00303C4C"/>
    <w:rsid w:val="00304156"/>
    <w:rsid w:val="003041F7"/>
    <w:rsid w:val="00304575"/>
    <w:rsid w:val="0030473D"/>
    <w:rsid w:val="00305535"/>
    <w:rsid w:val="00305790"/>
    <w:rsid w:val="00305D61"/>
    <w:rsid w:val="00306179"/>
    <w:rsid w:val="0030624A"/>
    <w:rsid w:val="003063A2"/>
    <w:rsid w:val="00306418"/>
    <w:rsid w:val="00306745"/>
    <w:rsid w:val="00306825"/>
    <w:rsid w:val="00306F8E"/>
    <w:rsid w:val="00307074"/>
    <w:rsid w:val="00307D39"/>
    <w:rsid w:val="00310089"/>
    <w:rsid w:val="0031031A"/>
    <w:rsid w:val="00311A16"/>
    <w:rsid w:val="0031219D"/>
    <w:rsid w:val="00312584"/>
    <w:rsid w:val="00312656"/>
    <w:rsid w:val="00312BE8"/>
    <w:rsid w:val="00312E33"/>
    <w:rsid w:val="00312F6D"/>
    <w:rsid w:val="00313243"/>
    <w:rsid w:val="00313426"/>
    <w:rsid w:val="00313895"/>
    <w:rsid w:val="00313AFE"/>
    <w:rsid w:val="00313E5C"/>
    <w:rsid w:val="0031449E"/>
    <w:rsid w:val="003145A9"/>
    <w:rsid w:val="00314ECE"/>
    <w:rsid w:val="0031510D"/>
    <w:rsid w:val="0031524C"/>
    <w:rsid w:val="0031586D"/>
    <w:rsid w:val="00315C98"/>
    <w:rsid w:val="00315E94"/>
    <w:rsid w:val="00315F4D"/>
    <w:rsid w:val="003162E7"/>
    <w:rsid w:val="0031669D"/>
    <w:rsid w:val="003167EE"/>
    <w:rsid w:val="00316DAA"/>
    <w:rsid w:val="00317599"/>
    <w:rsid w:val="003176B7"/>
    <w:rsid w:val="0031778B"/>
    <w:rsid w:val="00317A4F"/>
    <w:rsid w:val="00317EC5"/>
    <w:rsid w:val="00317F66"/>
    <w:rsid w:val="00320225"/>
    <w:rsid w:val="0032026F"/>
    <w:rsid w:val="003208DB"/>
    <w:rsid w:val="00320C40"/>
    <w:rsid w:val="003210C1"/>
    <w:rsid w:val="00321536"/>
    <w:rsid w:val="00321C67"/>
    <w:rsid w:val="0032211A"/>
    <w:rsid w:val="00322317"/>
    <w:rsid w:val="00322849"/>
    <w:rsid w:val="003238A3"/>
    <w:rsid w:val="00323F51"/>
    <w:rsid w:val="00324145"/>
    <w:rsid w:val="0032418F"/>
    <w:rsid w:val="003244A8"/>
    <w:rsid w:val="0032471F"/>
    <w:rsid w:val="00324B45"/>
    <w:rsid w:val="00324CF6"/>
    <w:rsid w:val="00325915"/>
    <w:rsid w:val="00325A1D"/>
    <w:rsid w:val="00325C7F"/>
    <w:rsid w:val="00326B70"/>
    <w:rsid w:val="00326FB7"/>
    <w:rsid w:val="003271B1"/>
    <w:rsid w:val="00327D56"/>
    <w:rsid w:val="0033037B"/>
    <w:rsid w:val="00331437"/>
    <w:rsid w:val="0033186D"/>
    <w:rsid w:val="00332194"/>
    <w:rsid w:val="00332453"/>
    <w:rsid w:val="003328B3"/>
    <w:rsid w:val="00332A54"/>
    <w:rsid w:val="00332FAB"/>
    <w:rsid w:val="00333965"/>
    <w:rsid w:val="00334F43"/>
    <w:rsid w:val="00334FD9"/>
    <w:rsid w:val="0033503D"/>
    <w:rsid w:val="003354A8"/>
    <w:rsid w:val="00335ECC"/>
    <w:rsid w:val="00335FA7"/>
    <w:rsid w:val="00336172"/>
    <w:rsid w:val="00336212"/>
    <w:rsid w:val="0033628E"/>
    <w:rsid w:val="00336627"/>
    <w:rsid w:val="00336AD0"/>
    <w:rsid w:val="00336F28"/>
    <w:rsid w:val="00336FB7"/>
    <w:rsid w:val="00337270"/>
    <w:rsid w:val="00337466"/>
    <w:rsid w:val="00337AC6"/>
    <w:rsid w:val="0034045C"/>
    <w:rsid w:val="00341133"/>
    <w:rsid w:val="003412A2"/>
    <w:rsid w:val="0034147C"/>
    <w:rsid w:val="003415DA"/>
    <w:rsid w:val="00341B3F"/>
    <w:rsid w:val="003432F7"/>
    <w:rsid w:val="003434B7"/>
    <w:rsid w:val="00343A41"/>
    <w:rsid w:val="00343C40"/>
    <w:rsid w:val="00343DDE"/>
    <w:rsid w:val="003443C6"/>
    <w:rsid w:val="00344775"/>
    <w:rsid w:val="003448EA"/>
    <w:rsid w:val="003456EA"/>
    <w:rsid w:val="003456F4"/>
    <w:rsid w:val="003457F5"/>
    <w:rsid w:val="00345847"/>
    <w:rsid w:val="003458BD"/>
    <w:rsid w:val="0034590B"/>
    <w:rsid w:val="00345CE3"/>
    <w:rsid w:val="0034609D"/>
    <w:rsid w:val="0034634B"/>
    <w:rsid w:val="003476A8"/>
    <w:rsid w:val="00347705"/>
    <w:rsid w:val="00347991"/>
    <w:rsid w:val="00347B78"/>
    <w:rsid w:val="00347D56"/>
    <w:rsid w:val="003501A2"/>
    <w:rsid w:val="00350354"/>
    <w:rsid w:val="00350891"/>
    <w:rsid w:val="00350B26"/>
    <w:rsid w:val="00350DDF"/>
    <w:rsid w:val="0035107D"/>
    <w:rsid w:val="0035113B"/>
    <w:rsid w:val="0035116D"/>
    <w:rsid w:val="0035154D"/>
    <w:rsid w:val="00351E92"/>
    <w:rsid w:val="00351FFA"/>
    <w:rsid w:val="00352460"/>
    <w:rsid w:val="00352622"/>
    <w:rsid w:val="003526E7"/>
    <w:rsid w:val="003526E8"/>
    <w:rsid w:val="00352989"/>
    <w:rsid w:val="00353281"/>
    <w:rsid w:val="00353378"/>
    <w:rsid w:val="0035347C"/>
    <w:rsid w:val="003534F5"/>
    <w:rsid w:val="003538D0"/>
    <w:rsid w:val="00353BA7"/>
    <w:rsid w:val="0035423F"/>
    <w:rsid w:val="003543E6"/>
    <w:rsid w:val="003545ED"/>
    <w:rsid w:val="00354885"/>
    <w:rsid w:val="00354ADA"/>
    <w:rsid w:val="00354AF5"/>
    <w:rsid w:val="00355166"/>
    <w:rsid w:val="00355EA1"/>
    <w:rsid w:val="00356993"/>
    <w:rsid w:val="00356EA9"/>
    <w:rsid w:val="00357533"/>
    <w:rsid w:val="00357579"/>
    <w:rsid w:val="003575AC"/>
    <w:rsid w:val="00360406"/>
    <w:rsid w:val="00360DDE"/>
    <w:rsid w:val="00360E09"/>
    <w:rsid w:val="00361018"/>
    <w:rsid w:val="0036101F"/>
    <w:rsid w:val="0036189D"/>
    <w:rsid w:val="0036223E"/>
    <w:rsid w:val="003626B0"/>
    <w:rsid w:val="00362B6D"/>
    <w:rsid w:val="00362E42"/>
    <w:rsid w:val="00363C1A"/>
    <w:rsid w:val="00364268"/>
    <w:rsid w:val="00364AB1"/>
    <w:rsid w:val="00365179"/>
    <w:rsid w:val="003651BB"/>
    <w:rsid w:val="0036548B"/>
    <w:rsid w:val="00365AB7"/>
    <w:rsid w:val="00365ED3"/>
    <w:rsid w:val="00365EE6"/>
    <w:rsid w:val="00367E38"/>
    <w:rsid w:val="00367F13"/>
    <w:rsid w:val="003704F1"/>
    <w:rsid w:val="00371079"/>
    <w:rsid w:val="003715E5"/>
    <w:rsid w:val="00371FC7"/>
    <w:rsid w:val="00372D12"/>
    <w:rsid w:val="00372FDB"/>
    <w:rsid w:val="003733B8"/>
    <w:rsid w:val="00373D9E"/>
    <w:rsid w:val="0037405E"/>
    <w:rsid w:val="00374643"/>
    <w:rsid w:val="00374713"/>
    <w:rsid w:val="00374B8C"/>
    <w:rsid w:val="00374B9F"/>
    <w:rsid w:val="00375676"/>
    <w:rsid w:val="003757AD"/>
    <w:rsid w:val="0037582F"/>
    <w:rsid w:val="00375AD1"/>
    <w:rsid w:val="00375D80"/>
    <w:rsid w:val="00376B4D"/>
    <w:rsid w:val="003776B8"/>
    <w:rsid w:val="0038041B"/>
    <w:rsid w:val="003805AA"/>
    <w:rsid w:val="00380615"/>
    <w:rsid w:val="003807EF"/>
    <w:rsid w:val="00381133"/>
    <w:rsid w:val="00381493"/>
    <w:rsid w:val="00381AFA"/>
    <w:rsid w:val="00381B2F"/>
    <w:rsid w:val="00381F7F"/>
    <w:rsid w:val="0038225F"/>
    <w:rsid w:val="003822D8"/>
    <w:rsid w:val="0038261B"/>
    <w:rsid w:val="0038337E"/>
    <w:rsid w:val="003838BC"/>
    <w:rsid w:val="003844F8"/>
    <w:rsid w:val="00385464"/>
    <w:rsid w:val="00385EBB"/>
    <w:rsid w:val="0038609B"/>
    <w:rsid w:val="0038624C"/>
    <w:rsid w:val="003862E9"/>
    <w:rsid w:val="00386431"/>
    <w:rsid w:val="003865A6"/>
    <w:rsid w:val="003874B7"/>
    <w:rsid w:val="003878C6"/>
    <w:rsid w:val="003906DF"/>
    <w:rsid w:val="00391835"/>
    <w:rsid w:val="00391F94"/>
    <w:rsid w:val="0039289A"/>
    <w:rsid w:val="003928F5"/>
    <w:rsid w:val="00392980"/>
    <w:rsid w:val="00393050"/>
    <w:rsid w:val="003941D8"/>
    <w:rsid w:val="003944B6"/>
    <w:rsid w:val="0039469C"/>
    <w:rsid w:val="00394EB8"/>
    <w:rsid w:val="003957F8"/>
    <w:rsid w:val="00395C44"/>
    <w:rsid w:val="00396ACD"/>
    <w:rsid w:val="00397983"/>
    <w:rsid w:val="003A0157"/>
    <w:rsid w:val="003A0CB7"/>
    <w:rsid w:val="003A15A4"/>
    <w:rsid w:val="003A293F"/>
    <w:rsid w:val="003A2AF5"/>
    <w:rsid w:val="003A2F09"/>
    <w:rsid w:val="003A33B5"/>
    <w:rsid w:val="003A3724"/>
    <w:rsid w:val="003A432B"/>
    <w:rsid w:val="003A4612"/>
    <w:rsid w:val="003A4B43"/>
    <w:rsid w:val="003A4B6C"/>
    <w:rsid w:val="003A4BAA"/>
    <w:rsid w:val="003A4CBE"/>
    <w:rsid w:val="003A4F45"/>
    <w:rsid w:val="003A4F5E"/>
    <w:rsid w:val="003A57B9"/>
    <w:rsid w:val="003A59A0"/>
    <w:rsid w:val="003A5CDC"/>
    <w:rsid w:val="003A74D8"/>
    <w:rsid w:val="003A7661"/>
    <w:rsid w:val="003B0085"/>
    <w:rsid w:val="003B02FC"/>
    <w:rsid w:val="003B09C5"/>
    <w:rsid w:val="003B12DC"/>
    <w:rsid w:val="003B1A6E"/>
    <w:rsid w:val="003B1D11"/>
    <w:rsid w:val="003B1FF4"/>
    <w:rsid w:val="003B234D"/>
    <w:rsid w:val="003B23DD"/>
    <w:rsid w:val="003B2544"/>
    <w:rsid w:val="003B26F0"/>
    <w:rsid w:val="003B2A15"/>
    <w:rsid w:val="003B2B4C"/>
    <w:rsid w:val="003B2C9B"/>
    <w:rsid w:val="003B2E97"/>
    <w:rsid w:val="003B303F"/>
    <w:rsid w:val="003B3652"/>
    <w:rsid w:val="003B388F"/>
    <w:rsid w:val="003B38C2"/>
    <w:rsid w:val="003B3E4D"/>
    <w:rsid w:val="003B3EF5"/>
    <w:rsid w:val="003B3F78"/>
    <w:rsid w:val="003B45C8"/>
    <w:rsid w:val="003B4D3D"/>
    <w:rsid w:val="003B52F1"/>
    <w:rsid w:val="003B5605"/>
    <w:rsid w:val="003B58B6"/>
    <w:rsid w:val="003B5B4A"/>
    <w:rsid w:val="003B5CD2"/>
    <w:rsid w:val="003B5DA0"/>
    <w:rsid w:val="003B6242"/>
    <w:rsid w:val="003B66F1"/>
    <w:rsid w:val="003B6E74"/>
    <w:rsid w:val="003B78DE"/>
    <w:rsid w:val="003B7D57"/>
    <w:rsid w:val="003B7F52"/>
    <w:rsid w:val="003C011B"/>
    <w:rsid w:val="003C0514"/>
    <w:rsid w:val="003C09AC"/>
    <w:rsid w:val="003C0B12"/>
    <w:rsid w:val="003C0B19"/>
    <w:rsid w:val="003C0DF2"/>
    <w:rsid w:val="003C16D4"/>
    <w:rsid w:val="003C27D2"/>
    <w:rsid w:val="003C2B02"/>
    <w:rsid w:val="003C3023"/>
    <w:rsid w:val="003C35D1"/>
    <w:rsid w:val="003C4F4D"/>
    <w:rsid w:val="003C5058"/>
    <w:rsid w:val="003C53AF"/>
    <w:rsid w:val="003C5908"/>
    <w:rsid w:val="003C5B9A"/>
    <w:rsid w:val="003C5C34"/>
    <w:rsid w:val="003C6032"/>
    <w:rsid w:val="003C69B6"/>
    <w:rsid w:val="003C72A4"/>
    <w:rsid w:val="003C7AF6"/>
    <w:rsid w:val="003C7DAB"/>
    <w:rsid w:val="003D0843"/>
    <w:rsid w:val="003D09A0"/>
    <w:rsid w:val="003D0D78"/>
    <w:rsid w:val="003D1201"/>
    <w:rsid w:val="003D13D0"/>
    <w:rsid w:val="003D15D2"/>
    <w:rsid w:val="003D1738"/>
    <w:rsid w:val="003D1B49"/>
    <w:rsid w:val="003D1CC1"/>
    <w:rsid w:val="003D1EF6"/>
    <w:rsid w:val="003D23AB"/>
    <w:rsid w:val="003D28ED"/>
    <w:rsid w:val="003D3054"/>
    <w:rsid w:val="003D36AE"/>
    <w:rsid w:val="003D36D3"/>
    <w:rsid w:val="003D39F9"/>
    <w:rsid w:val="003D3A55"/>
    <w:rsid w:val="003D3C16"/>
    <w:rsid w:val="003D3FB1"/>
    <w:rsid w:val="003D401A"/>
    <w:rsid w:val="003D4043"/>
    <w:rsid w:val="003D4266"/>
    <w:rsid w:val="003D50BA"/>
    <w:rsid w:val="003D53A4"/>
    <w:rsid w:val="003D5BE3"/>
    <w:rsid w:val="003D64BF"/>
    <w:rsid w:val="003D6701"/>
    <w:rsid w:val="003D6CD6"/>
    <w:rsid w:val="003D7041"/>
    <w:rsid w:val="003D725B"/>
    <w:rsid w:val="003D72FE"/>
    <w:rsid w:val="003D752F"/>
    <w:rsid w:val="003D7638"/>
    <w:rsid w:val="003D7658"/>
    <w:rsid w:val="003D7837"/>
    <w:rsid w:val="003D7CEA"/>
    <w:rsid w:val="003D7F19"/>
    <w:rsid w:val="003E0089"/>
    <w:rsid w:val="003E0130"/>
    <w:rsid w:val="003E01CD"/>
    <w:rsid w:val="003E061B"/>
    <w:rsid w:val="003E0867"/>
    <w:rsid w:val="003E13FA"/>
    <w:rsid w:val="003E153E"/>
    <w:rsid w:val="003E15A9"/>
    <w:rsid w:val="003E1D1F"/>
    <w:rsid w:val="003E22E9"/>
    <w:rsid w:val="003E2538"/>
    <w:rsid w:val="003E317B"/>
    <w:rsid w:val="003E3489"/>
    <w:rsid w:val="003E3500"/>
    <w:rsid w:val="003E4069"/>
    <w:rsid w:val="003E4150"/>
    <w:rsid w:val="003E41D6"/>
    <w:rsid w:val="003E46FA"/>
    <w:rsid w:val="003E4A53"/>
    <w:rsid w:val="003E4F96"/>
    <w:rsid w:val="003E55BA"/>
    <w:rsid w:val="003E5834"/>
    <w:rsid w:val="003E5B81"/>
    <w:rsid w:val="003E6083"/>
    <w:rsid w:val="003E7065"/>
    <w:rsid w:val="003E7276"/>
    <w:rsid w:val="003E74D9"/>
    <w:rsid w:val="003E78F7"/>
    <w:rsid w:val="003E7ECC"/>
    <w:rsid w:val="003E7ED4"/>
    <w:rsid w:val="003F029D"/>
    <w:rsid w:val="003F0463"/>
    <w:rsid w:val="003F0739"/>
    <w:rsid w:val="003F197E"/>
    <w:rsid w:val="003F1B87"/>
    <w:rsid w:val="003F1C8E"/>
    <w:rsid w:val="003F20B2"/>
    <w:rsid w:val="003F20D5"/>
    <w:rsid w:val="003F245B"/>
    <w:rsid w:val="003F2547"/>
    <w:rsid w:val="003F255E"/>
    <w:rsid w:val="003F35BE"/>
    <w:rsid w:val="003F38B9"/>
    <w:rsid w:val="003F3F29"/>
    <w:rsid w:val="003F4535"/>
    <w:rsid w:val="003F4D0E"/>
    <w:rsid w:val="003F6109"/>
    <w:rsid w:val="003F64FF"/>
    <w:rsid w:val="003F6855"/>
    <w:rsid w:val="003F6A6B"/>
    <w:rsid w:val="003F6DFF"/>
    <w:rsid w:val="003F6F45"/>
    <w:rsid w:val="003F739B"/>
    <w:rsid w:val="003F7923"/>
    <w:rsid w:val="003F7EA0"/>
    <w:rsid w:val="00400357"/>
    <w:rsid w:val="00400705"/>
    <w:rsid w:val="00400E7A"/>
    <w:rsid w:val="00401114"/>
    <w:rsid w:val="00401FC5"/>
    <w:rsid w:val="00404228"/>
    <w:rsid w:val="004042B7"/>
    <w:rsid w:val="00404879"/>
    <w:rsid w:val="00404B5F"/>
    <w:rsid w:val="00404E42"/>
    <w:rsid w:val="00405566"/>
    <w:rsid w:val="004057B5"/>
    <w:rsid w:val="00405A10"/>
    <w:rsid w:val="00405D3A"/>
    <w:rsid w:val="0040783D"/>
    <w:rsid w:val="004078BF"/>
    <w:rsid w:val="00407A25"/>
    <w:rsid w:val="00407DCD"/>
    <w:rsid w:val="004100BC"/>
    <w:rsid w:val="0041071F"/>
    <w:rsid w:val="00410736"/>
    <w:rsid w:val="00410807"/>
    <w:rsid w:val="004108CE"/>
    <w:rsid w:val="00411065"/>
    <w:rsid w:val="00411349"/>
    <w:rsid w:val="00411482"/>
    <w:rsid w:val="004115FF"/>
    <w:rsid w:val="0041236D"/>
    <w:rsid w:val="00412F8D"/>
    <w:rsid w:val="004132FD"/>
    <w:rsid w:val="00413BA6"/>
    <w:rsid w:val="00413D30"/>
    <w:rsid w:val="00414263"/>
    <w:rsid w:val="0041501B"/>
    <w:rsid w:val="00415564"/>
    <w:rsid w:val="0041570B"/>
    <w:rsid w:val="004157A6"/>
    <w:rsid w:val="004157CB"/>
    <w:rsid w:val="00415AE9"/>
    <w:rsid w:val="004171AA"/>
    <w:rsid w:val="00417F10"/>
    <w:rsid w:val="00417F78"/>
    <w:rsid w:val="004209F3"/>
    <w:rsid w:val="00421C5D"/>
    <w:rsid w:val="00422269"/>
    <w:rsid w:val="00422549"/>
    <w:rsid w:val="00422F52"/>
    <w:rsid w:val="00423255"/>
    <w:rsid w:val="004238AD"/>
    <w:rsid w:val="004238F1"/>
    <w:rsid w:val="00423C03"/>
    <w:rsid w:val="00423C6B"/>
    <w:rsid w:val="00423E7D"/>
    <w:rsid w:val="00424106"/>
    <w:rsid w:val="004241D8"/>
    <w:rsid w:val="004245E1"/>
    <w:rsid w:val="0042490C"/>
    <w:rsid w:val="00425140"/>
    <w:rsid w:val="004253C7"/>
    <w:rsid w:val="00425549"/>
    <w:rsid w:val="00425691"/>
    <w:rsid w:val="00425CD8"/>
    <w:rsid w:val="00426119"/>
    <w:rsid w:val="00426A7F"/>
    <w:rsid w:val="00426B5C"/>
    <w:rsid w:val="00426FB0"/>
    <w:rsid w:val="0042703E"/>
    <w:rsid w:val="004270EA"/>
    <w:rsid w:val="0042714F"/>
    <w:rsid w:val="004271CE"/>
    <w:rsid w:val="004272B0"/>
    <w:rsid w:val="004276B6"/>
    <w:rsid w:val="00427741"/>
    <w:rsid w:val="00427C74"/>
    <w:rsid w:val="0043005F"/>
    <w:rsid w:val="0043026C"/>
    <w:rsid w:val="00430AAE"/>
    <w:rsid w:val="004312E8"/>
    <w:rsid w:val="00431661"/>
    <w:rsid w:val="00431959"/>
    <w:rsid w:val="00431FDD"/>
    <w:rsid w:val="0043233C"/>
    <w:rsid w:val="004324A9"/>
    <w:rsid w:val="00432670"/>
    <w:rsid w:val="00432A99"/>
    <w:rsid w:val="00432AF6"/>
    <w:rsid w:val="00432D58"/>
    <w:rsid w:val="00432DBE"/>
    <w:rsid w:val="0043311E"/>
    <w:rsid w:val="00433360"/>
    <w:rsid w:val="00433B2A"/>
    <w:rsid w:val="00433C33"/>
    <w:rsid w:val="00433E60"/>
    <w:rsid w:val="00434605"/>
    <w:rsid w:val="00435545"/>
    <w:rsid w:val="004360C6"/>
    <w:rsid w:val="004366B4"/>
    <w:rsid w:val="00436ACE"/>
    <w:rsid w:val="00437313"/>
    <w:rsid w:val="00437713"/>
    <w:rsid w:val="004400A5"/>
    <w:rsid w:val="0044160A"/>
    <w:rsid w:val="00441822"/>
    <w:rsid w:val="00441869"/>
    <w:rsid w:val="00441DB3"/>
    <w:rsid w:val="00441E1F"/>
    <w:rsid w:val="004422EA"/>
    <w:rsid w:val="00442E5D"/>
    <w:rsid w:val="00442EDB"/>
    <w:rsid w:val="00443B74"/>
    <w:rsid w:val="004440AD"/>
    <w:rsid w:val="0044419E"/>
    <w:rsid w:val="004441FA"/>
    <w:rsid w:val="00444740"/>
    <w:rsid w:val="004458DB"/>
    <w:rsid w:val="0044657F"/>
    <w:rsid w:val="00446830"/>
    <w:rsid w:val="00446A0F"/>
    <w:rsid w:val="00447310"/>
    <w:rsid w:val="00447604"/>
    <w:rsid w:val="00447A69"/>
    <w:rsid w:val="00447CF6"/>
    <w:rsid w:val="004502AC"/>
    <w:rsid w:val="00450563"/>
    <w:rsid w:val="004508A0"/>
    <w:rsid w:val="00451293"/>
    <w:rsid w:val="0045172F"/>
    <w:rsid w:val="0045229F"/>
    <w:rsid w:val="004522A9"/>
    <w:rsid w:val="004524BB"/>
    <w:rsid w:val="00452577"/>
    <w:rsid w:val="00452965"/>
    <w:rsid w:val="0045316E"/>
    <w:rsid w:val="004537B6"/>
    <w:rsid w:val="004539FE"/>
    <w:rsid w:val="00453A9A"/>
    <w:rsid w:val="004541D5"/>
    <w:rsid w:val="00454264"/>
    <w:rsid w:val="00454DEB"/>
    <w:rsid w:val="00455099"/>
    <w:rsid w:val="0045517F"/>
    <w:rsid w:val="004557A2"/>
    <w:rsid w:val="004558AC"/>
    <w:rsid w:val="00455ADA"/>
    <w:rsid w:val="00455DCE"/>
    <w:rsid w:val="00456056"/>
    <w:rsid w:val="004565DD"/>
    <w:rsid w:val="00456B2B"/>
    <w:rsid w:val="004573E5"/>
    <w:rsid w:val="00457952"/>
    <w:rsid w:val="00457B83"/>
    <w:rsid w:val="00457D96"/>
    <w:rsid w:val="00457E22"/>
    <w:rsid w:val="004601FE"/>
    <w:rsid w:val="004605B9"/>
    <w:rsid w:val="0046167A"/>
    <w:rsid w:val="004617C4"/>
    <w:rsid w:val="00461ABA"/>
    <w:rsid w:val="00461C19"/>
    <w:rsid w:val="00461F39"/>
    <w:rsid w:val="004628C7"/>
    <w:rsid w:val="00462BBF"/>
    <w:rsid w:val="00463CBA"/>
    <w:rsid w:val="00464211"/>
    <w:rsid w:val="00464C81"/>
    <w:rsid w:val="004656D9"/>
    <w:rsid w:val="004657B5"/>
    <w:rsid w:val="0046597E"/>
    <w:rsid w:val="004664C1"/>
    <w:rsid w:val="00466892"/>
    <w:rsid w:val="00466993"/>
    <w:rsid w:val="00466D58"/>
    <w:rsid w:val="00466E44"/>
    <w:rsid w:val="0046756D"/>
    <w:rsid w:val="00467B9E"/>
    <w:rsid w:val="004700D8"/>
    <w:rsid w:val="00470134"/>
    <w:rsid w:val="0047020E"/>
    <w:rsid w:val="00470448"/>
    <w:rsid w:val="0047064D"/>
    <w:rsid w:val="00470A39"/>
    <w:rsid w:val="00470EAD"/>
    <w:rsid w:val="00471194"/>
    <w:rsid w:val="004718CD"/>
    <w:rsid w:val="00471BA5"/>
    <w:rsid w:val="00471CC5"/>
    <w:rsid w:val="00471D69"/>
    <w:rsid w:val="00471F8B"/>
    <w:rsid w:val="004726BA"/>
    <w:rsid w:val="0047278B"/>
    <w:rsid w:val="00472C29"/>
    <w:rsid w:val="0047307A"/>
    <w:rsid w:val="004738C7"/>
    <w:rsid w:val="00473DAE"/>
    <w:rsid w:val="00473F97"/>
    <w:rsid w:val="004743F6"/>
    <w:rsid w:val="00474D07"/>
    <w:rsid w:val="00474DDB"/>
    <w:rsid w:val="00475BCF"/>
    <w:rsid w:val="00477A87"/>
    <w:rsid w:val="00477ED0"/>
    <w:rsid w:val="00480F2B"/>
    <w:rsid w:val="00480FF2"/>
    <w:rsid w:val="00481071"/>
    <w:rsid w:val="0048149C"/>
    <w:rsid w:val="00481F82"/>
    <w:rsid w:val="0048211F"/>
    <w:rsid w:val="00482227"/>
    <w:rsid w:val="00483214"/>
    <w:rsid w:val="004834FA"/>
    <w:rsid w:val="0048376A"/>
    <w:rsid w:val="00483787"/>
    <w:rsid w:val="00483905"/>
    <w:rsid w:val="00483D07"/>
    <w:rsid w:val="004841D6"/>
    <w:rsid w:val="004842C8"/>
    <w:rsid w:val="00484F13"/>
    <w:rsid w:val="00484F56"/>
    <w:rsid w:val="004853BA"/>
    <w:rsid w:val="00485690"/>
    <w:rsid w:val="004856C2"/>
    <w:rsid w:val="00485B1A"/>
    <w:rsid w:val="00486034"/>
    <w:rsid w:val="0048771E"/>
    <w:rsid w:val="00490317"/>
    <w:rsid w:val="00490379"/>
    <w:rsid w:val="004907A9"/>
    <w:rsid w:val="0049098B"/>
    <w:rsid w:val="00490BE3"/>
    <w:rsid w:val="004912B5"/>
    <w:rsid w:val="00491430"/>
    <w:rsid w:val="00491B67"/>
    <w:rsid w:val="00491E2C"/>
    <w:rsid w:val="004924C9"/>
    <w:rsid w:val="004928FC"/>
    <w:rsid w:val="004929CF"/>
    <w:rsid w:val="00492DC7"/>
    <w:rsid w:val="00492EB7"/>
    <w:rsid w:val="0049303E"/>
    <w:rsid w:val="00493040"/>
    <w:rsid w:val="004951CA"/>
    <w:rsid w:val="004959D6"/>
    <w:rsid w:val="00496235"/>
    <w:rsid w:val="004969F7"/>
    <w:rsid w:val="00496A9A"/>
    <w:rsid w:val="00496DD7"/>
    <w:rsid w:val="00496FDF"/>
    <w:rsid w:val="00497095"/>
    <w:rsid w:val="00497451"/>
    <w:rsid w:val="00497949"/>
    <w:rsid w:val="00497C87"/>
    <w:rsid w:val="004A01C6"/>
    <w:rsid w:val="004A025B"/>
    <w:rsid w:val="004A03A0"/>
    <w:rsid w:val="004A0BA2"/>
    <w:rsid w:val="004A0C19"/>
    <w:rsid w:val="004A11C7"/>
    <w:rsid w:val="004A14CD"/>
    <w:rsid w:val="004A1651"/>
    <w:rsid w:val="004A171F"/>
    <w:rsid w:val="004A1D87"/>
    <w:rsid w:val="004A1EF7"/>
    <w:rsid w:val="004A24D7"/>
    <w:rsid w:val="004A2B26"/>
    <w:rsid w:val="004A2D9B"/>
    <w:rsid w:val="004A2DF9"/>
    <w:rsid w:val="004A33D5"/>
    <w:rsid w:val="004A34FE"/>
    <w:rsid w:val="004A370D"/>
    <w:rsid w:val="004A4CEC"/>
    <w:rsid w:val="004A538C"/>
    <w:rsid w:val="004A53CE"/>
    <w:rsid w:val="004A5793"/>
    <w:rsid w:val="004A6317"/>
    <w:rsid w:val="004A6400"/>
    <w:rsid w:val="004A6FA6"/>
    <w:rsid w:val="004A733D"/>
    <w:rsid w:val="004A75E8"/>
    <w:rsid w:val="004A7611"/>
    <w:rsid w:val="004A7769"/>
    <w:rsid w:val="004A7FD5"/>
    <w:rsid w:val="004B00C8"/>
    <w:rsid w:val="004B0859"/>
    <w:rsid w:val="004B1B13"/>
    <w:rsid w:val="004B1DFA"/>
    <w:rsid w:val="004B1E6C"/>
    <w:rsid w:val="004B2186"/>
    <w:rsid w:val="004B2599"/>
    <w:rsid w:val="004B40C9"/>
    <w:rsid w:val="004B43AF"/>
    <w:rsid w:val="004B440A"/>
    <w:rsid w:val="004B4BF8"/>
    <w:rsid w:val="004B4FD6"/>
    <w:rsid w:val="004B5C5B"/>
    <w:rsid w:val="004B5EF3"/>
    <w:rsid w:val="004B64D8"/>
    <w:rsid w:val="004C0A61"/>
    <w:rsid w:val="004C1022"/>
    <w:rsid w:val="004C112E"/>
    <w:rsid w:val="004C1323"/>
    <w:rsid w:val="004C188C"/>
    <w:rsid w:val="004C1CAE"/>
    <w:rsid w:val="004C2CBC"/>
    <w:rsid w:val="004C2E48"/>
    <w:rsid w:val="004C2F48"/>
    <w:rsid w:val="004C3119"/>
    <w:rsid w:val="004C32D6"/>
    <w:rsid w:val="004C3A52"/>
    <w:rsid w:val="004C47B0"/>
    <w:rsid w:val="004C4A2D"/>
    <w:rsid w:val="004C4AEC"/>
    <w:rsid w:val="004C53DE"/>
    <w:rsid w:val="004C56EC"/>
    <w:rsid w:val="004C5708"/>
    <w:rsid w:val="004C5749"/>
    <w:rsid w:val="004C5B54"/>
    <w:rsid w:val="004C5BDF"/>
    <w:rsid w:val="004C5E61"/>
    <w:rsid w:val="004C5FA5"/>
    <w:rsid w:val="004C6299"/>
    <w:rsid w:val="004C69F6"/>
    <w:rsid w:val="004C6A24"/>
    <w:rsid w:val="004C6EE9"/>
    <w:rsid w:val="004C70A5"/>
    <w:rsid w:val="004C75F6"/>
    <w:rsid w:val="004C777D"/>
    <w:rsid w:val="004C7B4F"/>
    <w:rsid w:val="004C7DCB"/>
    <w:rsid w:val="004D0323"/>
    <w:rsid w:val="004D0324"/>
    <w:rsid w:val="004D0482"/>
    <w:rsid w:val="004D04ED"/>
    <w:rsid w:val="004D0932"/>
    <w:rsid w:val="004D0937"/>
    <w:rsid w:val="004D0BB2"/>
    <w:rsid w:val="004D104B"/>
    <w:rsid w:val="004D1394"/>
    <w:rsid w:val="004D1583"/>
    <w:rsid w:val="004D1E12"/>
    <w:rsid w:val="004D285C"/>
    <w:rsid w:val="004D2ACB"/>
    <w:rsid w:val="004D3015"/>
    <w:rsid w:val="004D3174"/>
    <w:rsid w:val="004D33BF"/>
    <w:rsid w:val="004D36D9"/>
    <w:rsid w:val="004D3FEA"/>
    <w:rsid w:val="004D444D"/>
    <w:rsid w:val="004D483D"/>
    <w:rsid w:val="004D4904"/>
    <w:rsid w:val="004D52C0"/>
    <w:rsid w:val="004D573D"/>
    <w:rsid w:val="004D5CA3"/>
    <w:rsid w:val="004D61B2"/>
    <w:rsid w:val="004D679D"/>
    <w:rsid w:val="004D67C2"/>
    <w:rsid w:val="004D6F96"/>
    <w:rsid w:val="004D745B"/>
    <w:rsid w:val="004D780E"/>
    <w:rsid w:val="004D79D0"/>
    <w:rsid w:val="004D7F48"/>
    <w:rsid w:val="004E0054"/>
    <w:rsid w:val="004E0377"/>
    <w:rsid w:val="004E08B4"/>
    <w:rsid w:val="004E0C11"/>
    <w:rsid w:val="004E1529"/>
    <w:rsid w:val="004E16B0"/>
    <w:rsid w:val="004E1BE4"/>
    <w:rsid w:val="004E27B6"/>
    <w:rsid w:val="004E2A78"/>
    <w:rsid w:val="004E2FE7"/>
    <w:rsid w:val="004E3334"/>
    <w:rsid w:val="004E3417"/>
    <w:rsid w:val="004E359D"/>
    <w:rsid w:val="004E36E1"/>
    <w:rsid w:val="004E3D79"/>
    <w:rsid w:val="004E4274"/>
    <w:rsid w:val="004E43B6"/>
    <w:rsid w:val="004E43DB"/>
    <w:rsid w:val="004E4B11"/>
    <w:rsid w:val="004E4C03"/>
    <w:rsid w:val="004E4EBD"/>
    <w:rsid w:val="004E549B"/>
    <w:rsid w:val="004E5614"/>
    <w:rsid w:val="004E5F63"/>
    <w:rsid w:val="004E6461"/>
    <w:rsid w:val="004E65B5"/>
    <w:rsid w:val="004E6A2D"/>
    <w:rsid w:val="004E7895"/>
    <w:rsid w:val="004E79DC"/>
    <w:rsid w:val="004F02FF"/>
    <w:rsid w:val="004F08BF"/>
    <w:rsid w:val="004F0A34"/>
    <w:rsid w:val="004F1076"/>
    <w:rsid w:val="004F11E2"/>
    <w:rsid w:val="004F1849"/>
    <w:rsid w:val="004F23FA"/>
    <w:rsid w:val="004F2CE1"/>
    <w:rsid w:val="004F310E"/>
    <w:rsid w:val="004F359E"/>
    <w:rsid w:val="004F35C5"/>
    <w:rsid w:val="004F39B8"/>
    <w:rsid w:val="004F3A59"/>
    <w:rsid w:val="004F3A9F"/>
    <w:rsid w:val="004F3BD7"/>
    <w:rsid w:val="004F3C39"/>
    <w:rsid w:val="004F42E6"/>
    <w:rsid w:val="004F5126"/>
    <w:rsid w:val="004F5470"/>
    <w:rsid w:val="004F55A1"/>
    <w:rsid w:val="004F5628"/>
    <w:rsid w:val="004F5755"/>
    <w:rsid w:val="004F5C8A"/>
    <w:rsid w:val="004F5CE2"/>
    <w:rsid w:val="004F6529"/>
    <w:rsid w:val="004F71E7"/>
    <w:rsid w:val="004F77C2"/>
    <w:rsid w:val="004F7965"/>
    <w:rsid w:val="004F7B9C"/>
    <w:rsid w:val="00500736"/>
    <w:rsid w:val="00500787"/>
    <w:rsid w:val="00500810"/>
    <w:rsid w:val="00500B43"/>
    <w:rsid w:val="00501903"/>
    <w:rsid w:val="00502D69"/>
    <w:rsid w:val="005030B0"/>
    <w:rsid w:val="005030E8"/>
    <w:rsid w:val="005036FF"/>
    <w:rsid w:val="00503FA2"/>
    <w:rsid w:val="00505BC9"/>
    <w:rsid w:val="00505BD7"/>
    <w:rsid w:val="00506319"/>
    <w:rsid w:val="00506DAF"/>
    <w:rsid w:val="0050774D"/>
    <w:rsid w:val="00507A19"/>
    <w:rsid w:val="00507B15"/>
    <w:rsid w:val="00510169"/>
    <w:rsid w:val="005105DC"/>
    <w:rsid w:val="00510AFD"/>
    <w:rsid w:val="00511211"/>
    <w:rsid w:val="005118FB"/>
    <w:rsid w:val="00512467"/>
    <w:rsid w:val="005128CF"/>
    <w:rsid w:val="00512B9E"/>
    <w:rsid w:val="00512D1E"/>
    <w:rsid w:val="005137FE"/>
    <w:rsid w:val="00513925"/>
    <w:rsid w:val="005139F0"/>
    <w:rsid w:val="00513AB3"/>
    <w:rsid w:val="0051421E"/>
    <w:rsid w:val="005150B8"/>
    <w:rsid w:val="0051521A"/>
    <w:rsid w:val="0051562A"/>
    <w:rsid w:val="0051573F"/>
    <w:rsid w:val="00515CED"/>
    <w:rsid w:val="00515FAD"/>
    <w:rsid w:val="005161DA"/>
    <w:rsid w:val="00516B38"/>
    <w:rsid w:val="00516F09"/>
    <w:rsid w:val="00516FBF"/>
    <w:rsid w:val="00517093"/>
    <w:rsid w:val="00517356"/>
    <w:rsid w:val="005176A1"/>
    <w:rsid w:val="005205A1"/>
    <w:rsid w:val="0052074B"/>
    <w:rsid w:val="00520B26"/>
    <w:rsid w:val="00520B46"/>
    <w:rsid w:val="00520CAA"/>
    <w:rsid w:val="00520D94"/>
    <w:rsid w:val="00520E9E"/>
    <w:rsid w:val="00520EB7"/>
    <w:rsid w:val="00521002"/>
    <w:rsid w:val="00521737"/>
    <w:rsid w:val="00522287"/>
    <w:rsid w:val="00522A26"/>
    <w:rsid w:val="00522D6D"/>
    <w:rsid w:val="00522DBA"/>
    <w:rsid w:val="005232BC"/>
    <w:rsid w:val="005238BB"/>
    <w:rsid w:val="00523A4E"/>
    <w:rsid w:val="00523D60"/>
    <w:rsid w:val="00524147"/>
    <w:rsid w:val="0052443B"/>
    <w:rsid w:val="00524800"/>
    <w:rsid w:val="0052488E"/>
    <w:rsid w:val="00524BC1"/>
    <w:rsid w:val="00524C32"/>
    <w:rsid w:val="00524C88"/>
    <w:rsid w:val="00525667"/>
    <w:rsid w:val="0052630E"/>
    <w:rsid w:val="005265C1"/>
    <w:rsid w:val="00526690"/>
    <w:rsid w:val="005267CA"/>
    <w:rsid w:val="00526D64"/>
    <w:rsid w:val="00526E20"/>
    <w:rsid w:val="005271FA"/>
    <w:rsid w:val="005279A1"/>
    <w:rsid w:val="005279AC"/>
    <w:rsid w:val="00530130"/>
    <w:rsid w:val="00530C57"/>
    <w:rsid w:val="00530DCB"/>
    <w:rsid w:val="0053135B"/>
    <w:rsid w:val="005314E9"/>
    <w:rsid w:val="00531680"/>
    <w:rsid w:val="00531F3C"/>
    <w:rsid w:val="0053219A"/>
    <w:rsid w:val="0053224D"/>
    <w:rsid w:val="005324EA"/>
    <w:rsid w:val="005329F8"/>
    <w:rsid w:val="00532D66"/>
    <w:rsid w:val="00533011"/>
    <w:rsid w:val="005333E8"/>
    <w:rsid w:val="00533F4A"/>
    <w:rsid w:val="0053432E"/>
    <w:rsid w:val="005348E7"/>
    <w:rsid w:val="005350B7"/>
    <w:rsid w:val="00535631"/>
    <w:rsid w:val="0053592E"/>
    <w:rsid w:val="00536CF2"/>
    <w:rsid w:val="00536D50"/>
    <w:rsid w:val="00537269"/>
    <w:rsid w:val="0053732C"/>
    <w:rsid w:val="005377F3"/>
    <w:rsid w:val="00537B0E"/>
    <w:rsid w:val="00537D36"/>
    <w:rsid w:val="00537D54"/>
    <w:rsid w:val="00540046"/>
    <w:rsid w:val="005400BC"/>
    <w:rsid w:val="00540A3E"/>
    <w:rsid w:val="00540A99"/>
    <w:rsid w:val="00540C32"/>
    <w:rsid w:val="00540CBF"/>
    <w:rsid w:val="00541591"/>
    <w:rsid w:val="005415D7"/>
    <w:rsid w:val="00541817"/>
    <w:rsid w:val="0054191E"/>
    <w:rsid w:val="00541C1B"/>
    <w:rsid w:val="0054228F"/>
    <w:rsid w:val="005422B8"/>
    <w:rsid w:val="0054231A"/>
    <w:rsid w:val="005426ED"/>
    <w:rsid w:val="00542AC6"/>
    <w:rsid w:val="00542C4F"/>
    <w:rsid w:val="00542E31"/>
    <w:rsid w:val="00543B82"/>
    <w:rsid w:val="00543F30"/>
    <w:rsid w:val="00544118"/>
    <w:rsid w:val="005445AF"/>
    <w:rsid w:val="005450C0"/>
    <w:rsid w:val="00545531"/>
    <w:rsid w:val="005457C8"/>
    <w:rsid w:val="005459E0"/>
    <w:rsid w:val="00545BB7"/>
    <w:rsid w:val="0054626F"/>
    <w:rsid w:val="005469D8"/>
    <w:rsid w:val="00547CF7"/>
    <w:rsid w:val="00547D8A"/>
    <w:rsid w:val="0055111B"/>
    <w:rsid w:val="00551692"/>
    <w:rsid w:val="00551B18"/>
    <w:rsid w:val="0055274A"/>
    <w:rsid w:val="00552A04"/>
    <w:rsid w:val="00553143"/>
    <w:rsid w:val="00553551"/>
    <w:rsid w:val="005535AA"/>
    <w:rsid w:val="00554241"/>
    <w:rsid w:val="00554BF9"/>
    <w:rsid w:val="00554C85"/>
    <w:rsid w:val="00554C94"/>
    <w:rsid w:val="00554E38"/>
    <w:rsid w:val="00555B55"/>
    <w:rsid w:val="00555E52"/>
    <w:rsid w:val="005563C2"/>
    <w:rsid w:val="005565C8"/>
    <w:rsid w:val="00556697"/>
    <w:rsid w:val="00556A19"/>
    <w:rsid w:val="00556B8D"/>
    <w:rsid w:val="0055717D"/>
    <w:rsid w:val="005572C5"/>
    <w:rsid w:val="005575FA"/>
    <w:rsid w:val="00557832"/>
    <w:rsid w:val="00560004"/>
    <w:rsid w:val="00561DD3"/>
    <w:rsid w:val="005621FA"/>
    <w:rsid w:val="00562730"/>
    <w:rsid w:val="005628B6"/>
    <w:rsid w:val="00562CB6"/>
    <w:rsid w:val="005631AE"/>
    <w:rsid w:val="00563676"/>
    <w:rsid w:val="005639EE"/>
    <w:rsid w:val="00563E35"/>
    <w:rsid w:val="00563E76"/>
    <w:rsid w:val="005650DB"/>
    <w:rsid w:val="005652A2"/>
    <w:rsid w:val="005652F1"/>
    <w:rsid w:val="00565681"/>
    <w:rsid w:val="0056574C"/>
    <w:rsid w:val="00565A38"/>
    <w:rsid w:val="00566825"/>
    <w:rsid w:val="00566BA9"/>
    <w:rsid w:val="00566C5F"/>
    <w:rsid w:val="00566E00"/>
    <w:rsid w:val="0056755B"/>
    <w:rsid w:val="0056787F"/>
    <w:rsid w:val="00570826"/>
    <w:rsid w:val="00570D45"/>
    <w:rsid w:val="00571485"/>
    <w:rsid w:val="00571801"/>
    <w:rsid w:val="00571DA6"/>
    <w:rsid w:val="005724C7"/>
    <w:rsid w:val="005726CD"/>
    <w:rsid w:val="0057272F"/>
    <w:rsid w:val="00572C01"/>
    <w:rsid w:val="00572C5B"/>
    <w:rsid w:val="005731F7"/>
    <w:rsid w:val="00573633"/>
    <w:rsid w:val="005736B9"/>
    <w:rsid w:val="005739E4"/>
    <w:rsid w:val="00573A75"/>
    <w:rsid w:val="00573C2A"/>
    <w:rsid w:val="00574C9C"/>
    <w:rsid w:val="00575072"/>
    <w:rsid w:val="00575CF5"/>
    <w:rsid w:val="00575EFE"/>
    <w:rsid w:val="00576392"/>
    <w:rsid w:val="00576A4D"/>
    <w:rsid w:val="005771F1"/>
    <w:rsid w:val="00577211"/>
    <w:rsid w:val="00577463"/>
    <w:rsid w:val="0057774A"/>
    <w:rsid w:val="00580AE6"/>
    <w:rsid w:val="00581716"/>
    <w:rsid w:val="00581758"/>
    <w:rsid w:val="005820BA"/>
    <w:rsid w:val="005827CD"/>
    <w:rsid w:val="00582C0C"/>
    <w:rsid w:val="00582F2F"/>
    <w:rsid w:val="0058360A"/>
    <w:rsid w:val="005838C4"/>
    <w:rsid w:val="00583A27"/>
    <w:rsid w:val="00583BE0"/>
    <w:rsid w:val="00583D63"/>
    <w:rsid w:val="00583D95"/>
    <w:rsid w:val="00583E3D"/>
    <w:rsid w:val="00583E88"/>
    <w:rsid w:val="00584221"/>
    <w:rsid w:val="005842A9"/>
    <w:rsid w:val="00584635"/>
    <w:rsid w:val="00584988"/>
    <w:rsid w:val="005861F1"/>
    <w:rsid w:val="005864DB"/>
    <w:rsid w:val="00586DB7"/>
    <w:rsid w:val="00586FB6"/>
    <w:rsid w:val="0058727C"/>
    <w:rsid w:val="005878BA"/>
    <w:rsid w:val="00587B4F"/>
    <w:rsid w:val="00587E1E"/>
    <w:rsid w:val="0059030C"/>
    <w:rsid w:val="00590E70"/>
    <w:rsid w:val="005910B4"/>
    <w:rsid w:val="00591356"/>
    <w:rsid w:val="0059173F"/>
    <w:rsid w:val="0059181A"/>
    <w:rsid w:val="00591D22"/>
    <w:rsid w:val="00591E95"/>
    <w:rsid w:val="00591EB6"/>
    <w:rsid w:val="005922FD"/>
    <w:rsid w:val="0059289C"/>
    <w:rsid w:val="00592916"/>
    <w:rsid w:val="00592924"/>
    <w:rsid w:val="00592DC0"/>
    <w:rsid w:val="00593278"/>
    <w:rsid w:val="005938BC"/>
    <w:rsid w:val="00593DD6"/>
    <w:rsid w:val="00593FC1"/>
    <w:rsid w:val="0059447D"/>
    <w:rsid w:val="00594672"/>
    <w:rsid w:val="00594879"/>
    <w:rsid w:val="00595686"/>
    <w:rsid w:val="00595F0A"/>
    <w:rsid w:val="005964E5"/>
    <w:rsid w:val="005968DD"/>
    <w:rsid w:val="005972A1"/>
    <w:rsid w:val="00597FF3"/>
    <w:rsid w:val="005A032F"/>
    <w:rsid w:val="005A083F"/>
    <w:rsid w:val="005A0916"/>
    <w:rsid w:val="005A0E51"/>
    <w:rsid w:val="005A1CFF"/>
    <w:rsid w:val="005A2164"/>
    <w:rsid w:val="005A2512"/>
    <w:rsid w:val="005A25A4"/>
    <w:rsid w:val="005A2C14"/>
    <w:rsid w:val="005A347C"/>
    <w:rsid w:val="005A37B7"/>
    <w:rsid w:val="005A3A47"/>
    <w:rsid w:val="005A3F32"/>
    <w:rsid w:val="005A3FB2"/>
    <w:rsid w:val="005A4104"/>
    <w:rsid w:val="005A4125"/>
    <w:rsid w:val="005A4CAA"/>
    <w:rsid w:val="005A4D16"/>
    <w:rsid w:val="005A4E9B"/>
    <w:rsid w:val="005A505C"/>
    <w:rsid w:val="005A5152"/>
    <w:rsid w:val="005A5210"/>
    <w:rsid w:val="005A525E"/>
    <w:rsid w:val="005A5971"/>
    <w:rsid w:val="005A5C42"/>
    <w:rsid w:val="005A60F2"/>
    <w:rsid w:val="005A6315"/>
    <w:rsid w:val="005A6672"/>
    <w:rsid w:val="005A77EB"/>
    <w:rsid w:val="005A784B"/>
    <w:rsid w:val="005A7CF0"/>
    <w:rsid w:val="005A7F65"/>
    <w:rsid w:val="005B0175"/>
    <w:rsid w:val="005B0C88"/>
    <w:rsid w:val="005B12FC"/>
    <w:rsid w:val="005B1AEB"/>
    <w:rsid w:val="005B1DAB"/>
    <w:rsid w:val="005B25AF"/>
    <w:rsid w:val="005B2D60"/>
    <w:rsid w:val="005B2E2D"/>
    <w:rsid w:val="005B3B76"/>
    <w:rsid w:val="005B474E"/>
    <w:rsid w:val="005B4D66"/>
    <w:rsid w:val="005B4DC1"/>
    <w:rsid w:val="005B50C1"/>
    <w:rsid w:val="005B5122"/>
    <w:rsid w:val="005B554F"/>
    <w:rsid w:val="005B5A89"/>
    <w:rsid w:val="005B5B1A"/>
    <w:rsid w:val="005B5F2D"/>
    <w:rsid w:val="005B616D"/>
    <w:rsid w:val="005B682D"/>
    <w:rsid w:val="005B6D88"/>
    <w:rsid w:val="005B6F46"/>
    <w:rsid w:val="005B7045"/>
    <w:rsid w:val="005B734C"/>
    <w:rsid w:val="005B7607"/>
    <w:rsid w:val="005B78AC"/>
    <w:rsid w:val="005B7EAE"/>
    <w:rsid w:val="005C0CD2"/>
    <w:rsid w:val="005C13E4"/>
    <w:rsid w:val="005C161E"/>
    <w:rsid w:val="005C16DF"/>
    <w:rsid w:val="005C17BF"/>
    <w:rsid w:val="005C18FC"/>
    <w:rsid w:val="005C1AC2"/>
    <w:rsid w:val="005C1EA6"/>
    <w:rsid w:val="005C2180"/>
    <w:rsid w:val="005C22ED"/>
    <w:rsid w:val="005C28D8"/>
    <w:rsid w:val="005C294D"/>
    <w:rsid w:val="005C2E6F"/>
    <w:rsid w:val="005C385A"/>
    <w:rsid w:val="005C3915"/>
    <w:rsid w:val="005C40ED"/>
    <w:rsid w:val="005C4868"/>
    <w:rsid w:val="005C5423"/>
    <w:rsid w:val="005C5524"/>
    <w:rsid w:val="005C6334"/>
    <w:rsid w:val="005C6876"/>
    <w:rsid w:val="005C6883"/>
    <w:rsid w:val="005C68CF"/>
    <w:rsid w:val="005C6943"/>
    <w:rsid w:val="005C6FE0"/>
    <w:rsid w:val="005C70A4"/>
    <w:rsid w:val="005C769C"/>
    <w:rsid w:val="005C7773"/>
    <w:rsid w:val="005C7921"/>
    <w:rsid w:val="005C79BC"/>
    <w:rsid w:val="005D005D"/>
    <w:rsid w:val="005D0F6B"/>
    <w:rsid w:val="005D179D"/>
    <w:rsid w:val="005D3D8F"/>
    <w:rsid w:val="005D417F"/>
    <w:rsid w:val="005D4599"/>
    <w:rsid w:val="005D48AF"/>
    <w:rsid w:val="005D4E79"/>
    <w:rsid w:val="005D5087"/>
    <w:rsid w:val="005D5913"/>
    <w:rsid w:val="005D5A1D"/>
    <w:rsid w:val="005D5A2F"/>
    <w:rsid w:val="005D5F52"/>
    <w:rsid w:val="005D6373"/>
    <w:rsid w:val="005D6A4F"/>
    <w:rsid w:val="005D6D19"/>
    <w:rsid w:val="005D74DD"/>
    <w:rsid w:val="005D799E"/>
    <w:rsid w:val="005D7E6E"/>
    <w:rsid w:val="005D7F14"/>
    <w:rsid w:val="005D7FCF"/>
    <w:rsid w:val="005E0C72"/>
    <w:rsid w:val="005E14B2"/>
    <w:rsid w:val="005E2776"/>
    <w:rsid w:val="005E41D6"/>
    <w:rsid w:val="005E4210"/>
    <w:rsid w:val="005E47C8"/>
    <w:rsid w:val="005E4A65"/>
    <w:rsid w:val="005E4B6E"/>
    <w:rsid w:val="005E5036"/>
    <w:rsid w:val="005E518F"/>
    <w:rsid w:val="005E55CC"/>
    <w:rsid w:val="005E585B"/>
    <w:rsid w:val="005E59D4"/>
    <w:rsid w:val="005E6E16"/>
    <w:rsid w:val="005E7E5B"/>
    <w:rsid w:val="005F037E"/>
    <w:rsid w:val="005F0537"/>
    <w:rsid w:val="005F0617"/>
    <w:rsid w:val="005F0DB9"/>
    <w:rsid w:val="005F10E8"/>
    <w:rsid w:val="005F175D"/>
    <w:rsid w:val="005F1C55"/>
    <w:rsid w:val="005F1F45"/>
    <w:rsid w:val="005F20DD"/>
    <w:rsid w:val="005F2226"/>
    <w:rsid w:val="005F284C"/>
    <w:rsid w:val="005F2FCF"/>
    <w:rsid w:val="005F30D6"/>
    <w:rsid w:val="005F36B1"/>
    <w:rsid w:val="005F3988"/>
    <w:rsid w:val="005F3B75"/>
    <w:rsid w:val="005F3F6E"/>
    <w:rsid w:val="005F41F9"/>
    <w:rsid w:val="005F422A"/>
    <w:rsid w:val="005F43D2"/>
    <w:rsid w:val="005F4574"/>
    <w:rsid w:val="005F4B76"/>
    <w:rsid w:val="005F54DA"/>
    <w:rsid w:val="005F582F"/>
    <w:rsid w:val="005F5913"/>
    <w:rsid w:val="005F5AC5"/>
    <w:rsid w:val="005F5CBC"/>
    <w:rsid w:val="005F6360"/>
    <w:rsid w:val="005F6CF2"/>
    <w:rsid w:val="005F7592"/>
    <w:rsid w:val="006003E5"/>
    <w:rsid w:val="00600699"/>
    <w:rsid w:val="00600713"/>
    <w:rsid w:val="006010E4"/>
    <w:rsid w:val="006013DA"/>
    <w:rsid w:val="00602085"/>
    <w:rsid w:val="0060208C"/>
    <w:rsid w:val="00602787"/>
    <w:rsid w:val="00602B85"/>
    <w:rsid w:val="00602CC5"/>
    <w:rsid w:val="00602DB0"/>
    <w:rsid w:val="00602E62"/>
    <w:rsid w:val="00602F56"/>
    <w:rsid w:val="00603472"/>
    <w:rsid w:val="0060356F"/>
    <w:rsid w:val="006036AA"/>
    <w:rsid w:val="00603E8C"/>
    <w:rsid w:val="00603F20"/>
    <w:rsid w:val="00604922"/>
    <w:rsid w:val="00604BDD"/>
    <w:rsid w:val="00604E08"/>
    <w:rsid w:val="00604FC1"/>
    <w:rsid w:val="00605942"/>
    <w:rsid w:val="00606164"/>
    <w:rsid w:val="0060664C"/>
    <w:rsid w:val="006067C7"/>
    <w:rsid w:val="00606831"/>
    <w:rsid w:val="00606A3E"/>
    <w:rsid w:val="00606B0B"/>
    <w:rsid w:val="00606EF5"/>
    <w:rsid w:val="00607015"/>
    <w:rsid w:val="0060782E"/>
    <w:rsid w:val="006111EC"/>
    <w:rsid w:val="0061123D"/>
    <w:rsid w:val="00611501"/>
    <w:rsid w:val="006117E1"/>
    <w:rsid w:val="006118A4"/>
    <w:rsid w:val="00611CAB"/>
    <w:rsid w:val="00611D19"/>
    <w:rsid w:val="00612194"/>
    <w:rsid w:val="00613140"/>
    <w:rsid w:val="00613418"/>
    <w:rsid w:val="00613C79"/>
    <w:rsid w:val="00614DDB"/>
    <w:rsid w:val="00614E1F"/>
    <w:rsid w:val="00615B9D"/>
    <w:rsid w:val="00615D19"/>
    <w:rsid w:val="00616857"/>
    <w:rsid w:val="006168AC"/>
    <w:rsid w:val="00617319"/>
    <w:rsid w:val="0061785C"/>
    <w:rsid w:val="00617C5A"/>
    <w:rsid w:val="00617E63"/>
    <w:rsid w:val="006200CD"/>
    <w:rsid w:val="0062064A"/>
    <w:rsid w:val="00620E05"/>
    <w:rsid w:val="00620F61"/>
    <w:rsid w:val="00620FDC"/>
    <w:rsid w:val="00621489"/>
    <w:rsid w:val="00622406"/>
    <w:rsid w:val="006224F3"/>
    <w:rsid w:val="00622594"/>
    <w:rsid w:val="00622F70"/>
    <w:rsid w:val="00623710"/>
    <w:rsid w:val="00623A3C"/>
    <w:rsid w:val="00623E6A"/>
    <w:rsid w:val="00624029"/>
    <w:rsid w:val="00624154"/>
    <w:rsid w:val="0062447B"/>
    <w:rsid w:val="00624720"/>
    <w:rsid w:val="00624781"/>
    <w:rsid w:val="0062498F"/>
    <w:rsid w:val="00624EBC"/>
    <w:rsid w:val="006250B3"/>
    <w:rsid w:val="00625462"/>
    <w:rsid w:val="006257BA"/>
    <w:rsid w:val="00625A16"/>
    <w:rsid w:val="00626647"/>
    <w:rsid w:val="00626757"/>
    <w:rsid w:val="00626AA2"/>
    <w:rsid w:val="00626D1E"/>
    <w:rsid w:val="00626E29"/>
    <w:rsid w:val="006270DB"/>
    <w:rsid w:val="0062733E"/>
    <w:rsid w:val="00627786"/>
    <w:rsid w:val="00627982"/>
    <w:rsid w:val="006279CF"/>
    <w:rsid w:val="00627BC4"/>
    <w:rsid w:val="00627BC8"/>
    <w:rsid w:val="00627E15"/>
    <w:rsid w:val="006305E0"/>
    <w:rsid w:val="00630B44"/>
    <w:rsid w:val="00630EAB"/>
    <w:rsid w:val="0063144B"/>
    <w:rsid w:val="006314A3"/>
    <w:rsid w:val="006318BA"/>
    <w:rsid w:val="00631C2A"/>
    <w:rsid w:val="00631E81"/>
    <w:rsid w:val="00631FA0"/>
    <w:rsid w:val="00632160"/>
    <w:rsid w:val="00632FA9"/>
    <w:rsid w:val="00633322"/>
    <w:rsid w:val="0063340D"/>
    <w:rsid w:val="00633430"/>
    <w:rsid w:val="00633C35"/>
    <w:rsid w:val="00633FEA"/>
    <w:rsid w:val="006345D9"/>
    <w:rsid w:val="0063491A"/>
    <w:rsid w:val="006349EB"/>
    <w:rsid w:val="00635D33"/>
    <w:rsid w:val="00635E2A"/>
    <w:rsid w:val="006362B4"/>
    <w:rsid w:val="006365BD"/>
    <w:rsid w:val="006366C1"/>
    <w:rsid w:val="00637609"/>
    <w:rsid w:val="0063788C"/>
    <w:rsid w:val="00637A07"/>
    <w:rsid w:val="00637AA4"/>
    <w:rsid w:val="00637B0A"/>
    <w:rsid w:val="00637E5A"/>
    <w:rsid w:val="0064095E"/>
    <w:rsid w:val="006412DC"/>
    <w:rsid w:val="00641347"/>
    <w:rsid w:val="00641496"/>
    <w:rsid w:val="00641A4D"/>
    <w:rsid w:val="00642478"/>
    <w:rsid w:val="00642964"/>
    <w:rsid w:val="0064375C"/>
    <w:rsid w:val="006437B3"/>
    <w:rsid w:val="00643A41"/>
    <w:rsid w:val="00644679"/>
    <w:rsid w:val="006448DC"/>
    <w:rsid w:val="00644E95"/>
    <w:rsid w:val="006453AE"/>
    <w:rsid w:val="00645CF8"/>
    <w:rsid w:val="0064608A"/>
    <w:rsid w:val="0064679F"/>
    <w:rsid w:val="006468A8"/>
    <w:rsid w:val="00646B6E"/>
    <w:rsid w:val="00646C7C"/>
    <w:rsid w:val="0064768B"/>
    <w:rsid w:val="0064788F"/>
    <w:rsid w:val="00650918"/>
    <w:rsid w:val="00650FC3"/>
    <w:rsid w:val="00651722"/>
    <w:rsid w:val="0065179F"/>
    <w:rsid w:val="00651AE3"/>
    <w:rsid w:val="00651B59"/>
    <w:rsid w:val="00651CE5"/>
    <w:rsid w:val="00651CEA"/>
    <w:rsid w:val="006520EE"/>
    <w:rsid w:val="006529D8"/>
    <w:rsid w:val="006533B9"/>
    <w:rsid w:val="0065427F"/>
    <w:rsid w:val="0065434C"/>
    <w:rsid w:val="00654407"/>
    <w:rsid w:val="006545C5"/>
    <w:rsid w:val="006550CA"/>
    <w:rsid w:val="006554CE"/>
    <w:rsid w:val="00655C79"/>
    <w:rsid w:val="00655CC3"/>
    <w:rsid w:val="00655DE7"/>
    <w:rsid w:val="00655E46"/>
    <w:rsid w:val="00655EB7"/>
    <w:rsid w:val="00656288"/>
    <w:rsid w:val="006562ED"/>
    <w:rsid w:val="006568CD"/>
    <w:rsid w:val="00656A6C"/>
    <w:rsid w:val="00656B5C"/>
    <w:rsid w:val="006571A3"/>
    <w:rsid w:val="006574F2"/>
    <w:rsid w:val="006577A3"/>
    <w:rsid w:val="00657D08"/>
    <w:rsid w:val="00660038"/>
    <w:rsid w:val="00660682"/>
    <w:rsid w:val="00660DDB"/>
    <w:rsid w:val="00661879"/>
    <w:rsid w:val="00661D0F"/>
    <w:rsid w:val="00661DC3"/>
    <w:rsid w:val="00662677"/>
    <w:rsid w:val="0066269A"/>
    <w:rsid w:val="00662723"/>
    <w:rsid w:val="00662960"/>
    <w:rsid w:val="006634FB"/>
    <w:rsid w:val="00664410"/>
    <w:rsid w:val="00664C92"/>
    <w:rsid w:val="00664F65"/>
    <w:rsid w:val="00666036"/>
    <w:rsid w:val="00666410"/>
    <w:rsid w:val="006665BC"/>
    <w:rsid w:val="00666DB8"/>
    <w:rsid w:val="00667130"/>
    <w:rsid w:val="0066746F"/>
    <w:rsid w:val="00667DBE"/>
    <w:rsid w:val="006709F3"/>
    <w:rsid w:val="0067171F"/>
    <w:rsid w:val="00673AB1"/>
    <w:rsid w:val="00674093"/>
    <w:rsid w:val="00674377"/>
    <w:rsid w:val="006746D1"/>
    <w:rsid w:val="0067542B"/>
    <w:rsid w:val="0067583B"/>
    <w:rsid w:val="00675B0B"/>
    <w:rsid w:val="0067610B"/>
    <w:rsid w:val="00676778"/>
    <w:rsid w:val="00676861"/>
    <w:rsid w:val="00676924"/>
    <w:rsid w:val="006769F4"/>
    <w:rsid w:val="006777C0"/>
    <w:rsid w:val="00677911"/>
    <w:rsid w:val="00677B0E"/>
    <w:rsid w:val="00677F97"/>
    <w:rsid w:val="006804BF"/>
    <w:rsid w:val="00680538"/>
    <w:rsid w:val="00680B78"/>
    <w:rsid w:val="00680F37"/>
    <w:rsid w:val="00680FE8"/>
    <w:rsid w:val="00681460"/>
    <w:rsid w:val="00681CBF"/>
    <w:rsid w:val="00681E58"/>
    <w:rsid w:val="0068203C"/>
    <w:rsid w:val="006825EE"/>
    <w:rsid w:val="00682996"/>
    <w:rsid w:val="00682D47"/>
    <w:rsid w:val="006830AC"/>
    <w:rsid w:val="00683F2D"/>
    <w:rsid w:val="00683F9C"/>
    <w:rsid w:val="00683FF1"/>
    <w:rsid w:val="00684300"/>
    <w:rsid w:val="00684D5C"/>
    <w:rsid w:val="00684F7F"/>
    <w:rsid w:val="00685240"/>
    <w:rsid w:val="006856AA"/>
    <w:rsid w:val="00686139"/>
    <w:rsid w:val="00686E21"/>
    <w:rsid w:val="00687DD7"/>
    <w:rsid w:val="006901B1"/>
    <w:rsid w:val="006904EF"/>
    <w:rsid w:val="00690992"/>
    <w:rsid w:val="00690C22"/>
    <w:rsid w:val="0069253B"/>
    <w:rsid w:val="00692F02"/>
    <w:rsid w:val="00693037"/>
    <w:rsid w:val="006937BE"/>
    <w:rsid w:val="0069421A"/>
    <w:rsid w:val="00694BFE"/>
    <w:rsid w:val="00695391"/>
    <w:rsid w:val="00695518"/>
    <w:rsid w:val="00695755"/>
    <w:rsid w:val="006959A2"/>
    <w:rsid w:val="00695C87"/>
    <w:rsid w:val="0069631B"/>
    <w:rsid w:val="0069651C"/>
    <w:rsid w:val="00696C97"/>
    <w:rsid w:val="00696F0E"/>
    <w:rsid w:val="00697012"/>
    <w:rsid w:val="006970B3"/>
    <w:rsid w:val="00697418"/>
    <w:rsid w:val="00697CC5"/>
    <w:rsid w:val="00697E55"/>
    <w:rsid w:val="006A031E"/>
    <w:rsid w:val="006A0456"/>
    <w:rsid w:val="006A04E6"/>
    <w:rsid w:val="006A0AB5"/>
    <w:rsid w:val="006A18CF"/>
    <w:rsid w:val="006A22F6"/>
    <w:rsid w:val="006A2494"/>
    <w:rsid w:val="006A25F7"/>
    <w:rsid w:val="006A31EF"/>
    <w:rsid w:val="006A3537"/>
    <w:rsid w:val="006A3CF1"/>
    <w:rsid w:val="006A44F2"/>
    <w:rsid w:val="006A46CC"/>
    <w:rsid w:val="006A4A60"/>
    <w:rsid w:val="006A532D"/>
    <w:rsid w:val="006A5A1A"/>
    <w:rsid w:val="006A647E"/>
    <w:rsid w:val="006A6BAF"/>
    <w:rsid w:val="006A6D0C"/>
    <w:rsid w:val="006A733B"/>
    <w:rsid w:val="006A746E"/>
    <w:rsid w:val="006A7752"/>
    <w:rsid w:val="006A787B"/>
    <w:rsid w:val="006B04C1"/>
    <w:rsid w:val="006B052D"/>
    <w:rsid w:val="006B05C7"/>
    <w:rsid w:val="006B0C93"/>
    <w:rsid w:val="006B16DA"/>
    <w:rsid w:val="006B170B"/>
    <w:rsid w:val="006B1859"/>
    <w:rsid w:val="006B19AE"/>
    <w:rsid w:val="006B1A3E"/>
    <w:rsid w:val="006B202B"/>
    <w:rsid w:val="006B22CA"/>
    <w:rsid w:val="006B253A"/>
    <w:rsid w:val="006B26C5"/>
    <w:rsid w:val="006B278B"/>
    <w:rsid w:val="006B2D34"/>
    <w:rsid w:val="006B3A19"/>
    <w:rsid w:val="006B41D6"/>
    <w:rsid w:val="006B46B0"/>
    <w:rsid w:val="006B4F09"/>
    <w:rsid w:val="006B52C1"/>
    <w:rsid w:val="006B5673"/>
    <w:rsid w:val="006B5924"/>
    <w:rsid w:val="006B5F42"/>
    <w:rsid w:val="006B6EC0"/>
    <w:rsid w:val="006B7097"/>
    <w:rsid w:val="006B7C70"/>
    <w:rsid w:val="006B7D92"/>
    <w:rsid w:val="006C010F"/>
    <w:rsid w:val="006C036B"/>
    <w:rsid w:val="006C079A"/>
    <w:rsid w:val="006C0DD2"/>
    <w:rsid w:val="006C14E4"/>
    <w:rsid w:val="006C1AC0"/>
    <w:rsid w:val="006C1B60"/>
    <w:rsid w:val="006C226D"/>
    <w:rsid w:val="006C263E"/>
    <w:rsid w:val="006C27F5"/>
    <w:rsid w:val="006C288D"/>
    <w:rsid w:val="006C2AF7"/>
    <w:rsid w:val="006C3378"/>
    <w:rsid w:val="006C35C7"/>
    <w:rsid w:val="006C4718"/>
    <w:rsid w:val="006C4CF4"/>
    <w:rsid w:val="006C5EA1"/>
    <w:rsid w:val="006C6125"/>
    <w:rsid w:val="006C6AD6"/>
    <w:rsid w:val="006C72CA"/>
    <w:rsid w:val="006C748B"/>
    <w:rsid w:val="006C77C3"/>
    <w:rsid w:val="006C7B64"/>
    <w:rsid w:val="006C7D27"/>
    <w:rsid w:val="006D0608"/>
    <w:rsid w:val="006D0D27"/>
    <w:rsid w:val="006D100B"/>
    <w:rsid w:val="006D134E"/>
    <w:rsid w:val="006D16CF"/>
    <w:rsid w:val="006D16FA"/>
    <w:rsid w:val="006D1797"/>
    <w:rsid w:val="006D1AD5"/>
    <w:rsid w:val="006D1C5F"/>
    <w:rsid w:val="006D1C7E"/>
    <w:rsid w:val="006D1CFC"/>
    <w:rsid w:val="006D2E85"/>
    <w:rsid w:val="006D2F18"/>
    <w:rsid w:val="006D3A51"/>
    <w:rsid w:val="006D3C07"/>
    <w:rsid w:val="006D3F7F"/>
    <w:rsid w:val="006D439D"/>
    <w:rsid w:val="006D4C45"/>
    <w:rsid w:val="006D5836"/>
    <w:rsid w:val="006D616D"/>
    <w:rsid w:val="006D6413"/>
    <w:rsid w:val="006D66DC"/>
    <w:rsid w:val="006D66DD"/>
    <w:rsid w:val="006D67B2"/>
    <w:rsid w:val="006D7187"/>
    <w:rsid w:val="006D7478"/>
    <w:rsid w:val="006D7E94"/>
    <w:rsid w:val="006E0144"/>
    <w:rsid w:val="006E038A"/>
    <w:rsid w:val="006E060C"/>
    <w:rsid w:val="006E07CB"/>
    <w:rsid w:val="006E0C1D"/>
    <w:rsid w:val="006E1831"/>
    <w:rsid w:val="006E192B"/>
    <w:rsid w:val="006E1AFB"/>
    <w:rsid w:val="006E1CC2"/>
    <w:rsid w:val="006E2504"/>
    <w:rsid w:val="006E2AAA"/>
    <w:rsid w:val="006E34F2"/>
    <w:rsid w:val="006E3555"/>
    <w:rsid w:val="006E3809"/>
    <w:rsid w:val="006E3BAC"/>
    <w:rsid w:val="006E42B1"/>
    <w:rsid w:val="006E49ED"/>
    <w:rsid w:val="006E6095"/>
    <w:rsid w:val="006E62CA"/>
    <w:rsid w:val="006E6A16"/>
    <w:rsid w:val="006E6B4D"/>
    <w:rsid w:val="006E6C88"/>
    <w:rsid w:val="006E6D86"/>
    <w:rsid w:val="006E6F6B"/>
    <w:rsid w:val="006F023F"/>
    <w:rsid w:val="006F08DA"/>
    <w:rsid w:val="006F092F"/>
    <w:rsid w:val="006F1709"/>
    <w:rsid w:val="006F1730"/>
    <w:rsid w:val="006F1743"/>
    <w:rsid w:val="006F1D64"/>
    <w:rsid w:val="006F1E18"/>
    <w:rsid w:val="006F2837"/>
    <w:rsid w:val="006F41D3"/>
    <w:rsid w:val="006F4624"/>
    <w:rsid w:val="006F4665"/>
    <w:rsid w:val="006F50EE"/>
    <w:rsid w:val="006F519D"/>
    <w:rsid w:val="006F520F"/>
    <w:rsid w:val="006F5760"/>
    <w:rsid w:val="006F5BF8"/>
    <w:rsid w:val="006F62EB"/>
    <w:rsid w:val="006F688E"/>
    <w:rsid w:val="006F68D3"/>
    <w:rsid w:val="006F6F21"/>
    <w:rsid w:val="006F72CD"/>
    <w:rsid w:val="006F7847"/>
    <w:rsid w:val="006F7A2B"/>
    <w:rsid w:val="006F7DAC"/>
    <w:rsid w:val="00700390"/>
    <w:rsid w:val="00700F1F"/>
    <w:rsid w:val="00700F93"/>
    <w:rsid w:val="0070169D"/>
    <w:rsid w:val="007021A4"/>
    <w:rsid w:val="007022E5"/>
    <w:rsid w:val="007027A7"/>
    <w:rsid w:val="0070286A"/>
    <w:rsid w:val="00702936"/>
    <w:rsid w:val="007029DD"/>
    <w:rsid w:val="00702E60"/>
    <w:rsid w:val="00703C34"/>
    <w:rsid w:val="00704811"/>
    <w:rsid w:val="00704870"/>
    <w:rsid w:val="00704C44"/>
    <w:rsid w:val="0070555C"/>
    <w:rsid w:val="007059FD"/>
    <w:rsid w:val="00705AE6"/>
    <w:rsid w:val="00705E0D"/>
    <w:rsid w:val="00705EB1"/>
    <w:rsid w:val="007060EE"/>
    <w:rsid w:val="00706784"/>
    <w:rsid w:val="0070683A"/>
    <w:rsid w:val="00706D93"/>
    <w:rsid w:val="0070721D"/>
    <w:rsid w:val="00710078"/>
    <w:rsid w:val="00710243"/>
    <w:rsid w:val="0071033D"/>
    <w:rsid w:val="00710561"/>
    <w:rsid w:val="007107D6"/>
    <w:rsid w:val="00710B9C"/>
    <w:rsid w:val="00710F42"/>
    <w:rsid w:val="00711163"/>
    <w:rsid w:val="007115BB"/>
    <w:rsid w:val="00711919"/>
    <w:rsid w:val="0071224C"/>
    <w:rsid w:val="007124DB"/>
    <w:rsid w:val="00712660"/>
    <w:rsid w:val="007129F1"/>
    <w:rsid w:val="00712B08"/>
    <w:rsid w:val="00713036"/>
    <w:rsid w:val="00713428"/>
    <w:rsid w:val="007134D7"/>
    <w:rsid w:val="00714449"/>
    <w:rsid w:val="00714C99"/>
    <w:rsid w:val="0071540E"/>
    <w:rsid w:val="00715A09"/>
    <w:rsid w:val="0071631F"/>
    <w:rsid w:val="00716393"/>
    <w:rsid w:val="00717017"/>
    <w:rsid w:val="0071721E"/>
    <w:rsid w:val="0071764A"/>
    <w:rsid w:val="007177CC"/>
    <w:rsid w:val="007203A1"/>
    <w:rsid w:val="007206FF"/>
    <w:rsid w:val="00720774"/>
    <w:rsid w:val="00720864"/>
    <w:rsid w:val="007209E6"/>
    <w:rsid w:val="00720E1E"/>
    <w:rsid w:val="00721CCE"/>
    <w:rsid w:val="00721E8F"/>
    <w:rsid w:val="00722240"/>
    <w:rsid w:val="007227F8"/>
    <w:rsid w:val="00723574"/>
    <w:rsid w:val="007236B6"/>
    <w:rsid w:val="00723AC7"/>
    <w:rsid w:val="007242A8"/>
    <w:rsid w:val="007250B4"/>
    <w:rsid w:val="00725365"/>
    <w:rsid w:val="007253D7"/>
    <w:rsid w:val="0072567C"/>
    <w:rsid w:val="0072599D"/>
    <w:rsid w:val="00725A60"/>
    <w:rsid w:val="007266F4"/>
    <w:rsid w:val="00726C13"/>
    <w:rsid w:val="00727216"/>
    <w:rsid w:val="00727479"/>
    <w:rsid w:val="0072760F"/>
    <w:rsid w:val="00727843"/>
    <w:rsid w:val="00727860"/>
    <w:rsid w:val="00730386"/>
    <w:rsid w:val="00730A7B"/>
    <w:rsid w:val="00730E40"/>
    <w:rsid w:val="00730E7E"/>
    <w:rsid w:val="007310AE"/>
    <w:rsid w:val="00731290"/>
    <w:rsid w:val="00731B83"/>
    <w:rsid w:val="00731C53"/>
    <w:rsid w:val="007322D9"/>
    <w:rsid w:val="00732423"/>
    <w:rsid w:val="00732445"/>
    <w:rsid w:val="0073350F"/>
    <w:rsid w:val="0073357F"/>
    <w:rsid w:val="007335B7"/>
    <w:rsid w:val="007339CB"/>
    <w:rsid w:val="00733AAB"/>
    <w:rsid w:val="00733C92"/>
    <w:rsid w:val="00733CF0"/>
    <w:rsid w:val="00734180"/>
    <w:rsid w:val="00734F2E"/>
    <w:rsid w:val="007350E8"/>
    <w:rsid w:val="007353D3"/>
    <w:rsid w:val="007357C0"/>
    <w:rsid w:val="00736925"/>
    <w:rsid w:val="007369D4"/>
    <w:rsid w:val="007370D2"/>
    <w:rsid w:val="00737AC7"/>
    <w:rsid w:val="00737F3C"/>
    <w:rsid w:val="00740481"/>
    <w:rsid w:val="007405CC"/>
    <w:rsid w:val="00740CEB"/>
    <w:rsid w:val="00740F04"/>
    <w:rsid w:val="00740F41"/>
    <w:rsid w:val="00741719"/>
    <w:rsid w:val="007419F5"/>
    <w:rsid w:val="00741BFF"/>
    <w:rsid w:val="0074204E"/>
    <w:rsid w:val="00743DE4"/>
    <w:rsid w:val="00744954"/>
    <w:rsid w:val="007455F4"/>
    <w:rsid w:val="00745EAA"/>
    <w:rsid w:val="00746109"/>
    <w:rsid w:val="00746C7C"/>
    <w:rsid w:val="00747300"/>
    <w:rsid w:val="00747659"/>
    <w:rsid w:val="007478CA"/>
    <w:rsid w:val="007478E0"/>
    <w:rsid w:val="00747A6C"/>
    <w:rsid w:val="007503EC"/>
    <w:rsid w:val="00750933"/>
    <w:rsid w:val="00750950"/>
    <w:rsid w:val="007517E7"/>
    <w:rsid w:val="007518B6"/>
    <w:rsid w:val="007519F2"/>
    <w:rsid w:val="00751BB9"/>
    <w:rsid w:val="00751CF5"/>
    <w:rsid w:val="00751CFA"/>
    <w:rsid w:val="00752120"/>
    <w:rsid w:val="00752347"/>
    <w:rsid w:val="007526AE"/>
    <w:rsid w:val="007529AA"/>
    <w:rsid w:val="00752DA8"/>
    <w:rsid w:val="00752DBE"/>
    <w:rsid w:val="00753450"/>
    <w:rsid w:val="00753530"/>
    <w:rsid w:val="007537E9"/>
    <w:rsid w:val="007538FF"/>
    <w:rsid w:val="007541FA"/>
    <w:rsid w:val="007544BE"/>
    <w:rsid w:val="00754A25"/>
    <w:rsid w:val="00754C6F"/>
    <w:rsid w:val="00755B23"/>
    <w:rsid w:val="00755E09"/>
    <w:rsid w:val="0075609A"/>
    <w:rsid w:val="0075644F"/>
    <w:rsid w:val="00756CE8"/>
    <w:rsid w:val="007573DB"/>
    <w:rsid w:val="007575D1"/>
    <w:rsid w:val="007577A1"/>
    <w:rsid w:val="00757A37"/>
    <w:rsid w:val="0076005B"/>
    <w:rsid w:val="00761912"/>
    <w:rsid w:val="00761956"/>
    <w:rsid w:val="00762876"/>
    <w:rsid w:val="0076298A"/>
    <w:rsid w:val="00762AF7"/>
    <w:rsid w:val="00763092"/>
    <w:rsid w:val="0076328B"/>
    <w:rsid w:val="0076398F"/>
    <w:rsid w:val="00763B68"/>
    <w:rsid w:val="00763F43"/>
    <w:rsid w:val="00764410"/>
    <w:rsid w:val="00764A02"/>
    <w:rsid w:val="00764B4D"/>
    <w:rsid w:val="00764C00"/>
    <w:rsid w:val="00764C90"/>
    <w:rsid w:val="00764E1D"/>
    <w:rsid w:val="00765597"/>
    <w:rsid w:val="00765961"/>
    <w:rsid w:val="00765A0A"/>
    <w:rsid w:val="00765AE2"/>
    <w:rsid w:val="00765B8E"/>
    <w:rsid w:val="00765C71"/>
    <w:rsid w:val="00765F20"/>
    <w:rsid w:val="007664FF"/>
    <w:rsid w:val="00766AD0"/>
    <w:rsid w:val="007671D7"/>
    <w:rsid w:val="00767434"/>
    <w:rsid w:val="007676D7"/>
    <w:rsid w:val="00767A22"/>
    <w:rsid w:val="00767A45"/>
    <w:rsid w:val="00767EEE"/>
    <w:rsid w:val="0077047E"/>
    <w:rsid w:val="007704AD"/>
    <w:rsid w:val="00770650"/>
    <w:rsid w:val="00770A27"/>
    <w:rsid w:val="00770F1A"/>
    <w:rsid w:val="00770F53"/>
    <w:rsid w:val="0077101B"/>
    <w:rsid w:val="00771552"/>
    <w:rsid w:val="00771598"/>
    <w:rsid w:val="00771628"/>
    <w:rsid w:val="00771865"/>
    <w:rsid w:val="00771AF2"/>
    <w:rsid w:val="00771CFD"/>
    <w:rsid w:val="00771E6F"/>
    <w:rsid w:val="00771F39"/>
    <w:rsid w:val="00772810"/>
    <w:rsid w:val="00772C81"/>
    <w:rsid w:val="00772D58"/>
    <w:rsid w:val="00772F44"/>
    <w:rsid w:val="00773290"/>
    <w:rsid w:val="007733C5"/>
    <w:rsid w:val="007733E3"/>
    <w:rsid w:val="007740D2"/>
    <w:rsid w:val="00774169"/>
    <w:rsid w:val="00774302"/>
    <w:rsid w:val="00774399"/>
    <w:rsid w:val="007747D5"/>
    <w:rsid w:val="00775541"/>
    <w:rsid w:val="0077557D"/>
    <w:rsid w:val="00775E85"/>
    <w:rsid w:val="00776617"/>
    <w:rsid w:val="0077661E"/>
    <w:rsid w:val="00777392"/>
    <w:rsid w:val="0077783F"/>
    <w:rsid w:val="0078032B"/>
    <w:rsid w:val="0078093F"/>
    <w:rsid w:val="00780980"/>
    <w:rsid w:val="00780D3D"/>
    <w:rsid w:val="00781099"/>
    <w:rsid w:val="007816EC"/>
    <w:rsid w:val="0078174B"/>
    <w:rsid w:val="00782B77"/>
    <w:rsid w:val="00782C13"/>
    <w:rsid w:val="007838EF"/>
    <w:rsid w:val="00783C35"/>
    <w:rsid w:val="00783CED"/>
    <w:rsid w:val="00783CF3"/>
    <w:rsid w:val="00783F39"/>
    <w:rsid w:val="00784879"/>
    <w:rsid w:val="00784A16"/>
    <w:rsid w:val="007850C7"/>
    <w:rsid w:val="0078548B"/>
    <w:rsid w:val="00785A47"/>
    <w:rsid w:val="00785AE7"/>
    <w:rsid w:val="007862B2"/>
    <w:rsid w:val="007862CE"/>
    <w:rsid w:val="0078632C"/>
    <w:rsid w:val="00786D07"/>
    <w:rsid w:val="00787084"/>
    <w:rsid w:val="007870FC"/>
    <w:rsid w:val="00787F75"/>
    <w:rsid w:val="00790054"/>
    <w:rsid w:val="00790130"/>
    <w:rsid w:val="00790499"/>
    <w:rsid w:val="00790A35"/>
    <w:rsid w:val="007912AC"/>
    <w:rsid w:val="007914CC"/>
    <w:rsid w:val="00791D1D"/>
    <w:rsid w:val="00791D28"/>
    <w:rsid w:val="00792891"/>
    <w:rsid w:val="00792FCF"/>
    <w:rsid w:val="0079311D"/>
    <w:rsid w:val="007936E3"/>
    <w:rsid w:val="007942C7"/>
    <w:rsid w:val="00794CFA"/>
    <w:rsid w:val="007954EA"/>
    <w:rsid w:val="007955D0"/>
    <w:rsid w:val="00795BDE"/>
    <w:rsid w:val="0079622B"/>
    <w:rsid w:val="0079624C"/>
    <w:rsid w:val="0079638B"/>
    <w:rsid w:val="007970A7"/>
    <w:rsid w:val="00797105"/>
    <w:rsid w:val="00797612"/>
    <w:rsid w:val="00797BD4"/>
    <w:rsid w:val="00797EB5"/>
    <w:rsid w:val="007A0148"/>
    <w:rsid w:val="007A09E9"/>
    <w:rsid w:val="007A112A"/>
    <w:rsid w:val="007A164D"/>
    <w:rsid w:val="007A16BD"/>
    <w:rsid w:val="007A19A0"/>
    <w:rsid w:val="007A1C42"/>
    <w:rsid w:val="007A2C81"/>
    <w:rsid w:val="007A32D6"/>
    <w:rsid w:val="007A3515"/>
    <w:rsid w:val="007A3A00"/>
    <w:rsid w:val="007A41EA"/>
    <w:rsid w:val="007A4722"/>
    <w:rsid w:val="007A58EB"/>
    <w:rsid w:val="007A5A29"/>
    <w:rsid w:val="007A5CE7"/>
    <w:rsid w:val="007A5E56"/>
    <w:rsid w:val="007A6133"/>
    <w:rsid w:val="007A657E"/>
    <w:rsid w:val="007A682A"/>
    <w:rsid w:val="007A7136"/>
    <w:rsid w:val="007A7BB5"/>
    <w:rsid w:val="007A7FD2"/>
    <w:rsid w:val="007B00A6"/>
    <w:rsid w:val="007B0494"/>
    <w:rsid w:val="007B06E0"/>
    <w:rsid w:val="007B09E6"/>
    <w:rsid w:val="007B0D5A"/>
    <w:rsid w:val="007B1702"/>
    <w:rsid w:val="007B1E7B"/>
    <w:rsid w:val="007B1F77"/>
    <w:rsid w:val="007B20BD"/>
    <w:rsid w:val="007B3B77"/>
    <w:rsid w:val="007B4347"/>
    <w:rsid w:val="007B4814"/>
    <w:rsid w:val="007B48E1"/>
    <w:rsid w:val="007B4DCA"/>
    <w:rsid w:val="007B5CDF"/>
    <w:rsid w:val="007B5FD4"/>
    <w:rsid w:val="007B6C04"/>
    <w:rsid w:val="007B7140"/>
    <w:rsid w:val="007B7797"/>
    <w:rsid w:val="007B7A31"/>
    <w:rsid w:val="007B7D8F"/>
    <w:rsid w:val="007B7E0E"/>
    <w:rsid w:val="007B7EA4"/>
    <w:rsid w:val="007C0402"/>
    <w:rsid w:val="007C1205"/>
    <w:rsid w:val="007C155F"/>
    <w:rsid w:val="007C19BD"/>
    <w:rsid w:val="007C1EE8"/>
    <w:rsid w:val="007C2481"/>
    <w:rsid w:val="007C2FAB"/>
    <w:rsid w:val="007C3933"/>
    <w:rsid w:val="007C4019"/>
    <w:rsid w:val="007C40B0"/>
    <w:rsid w:val="007C4BAE"/>
    <w:rsid w:val="007C5545"/>
    <w:rsid w:val="007C578D"/>
    <w:rsid w:val="007C5AC7"/>
    <w:rsid w:val="007C5D4A"/>
    <w:rsid w:val="007C5D64"/>
    <w:rsid w:val="007C7339"/>
    <w:rsid w:val="007C77D7"/>
    <w:rsid w:val="007C7AA3"/>
    <w:rsid w:val="007C7B6A"/>
    <w:rsid w:val="007D013A"/>
    <w:rsid w:val="007D09F4"/>
    <w:rsid w:val="007D0B6A"/>
    <w:rsid w:val="007D19D3"/>
    <w:rsid w:val="007D1CC5"/>
    <w:rsid w:val="007D32DD"/>
    <w:rsid w:val="007D347A"/>
    <w:rsid w:val="007D51E6"/>
    <w:rsid w:val="007D55BB"/>
    <w:rsid w:val="007D5B4F"/>
    <w:rsid w:val="007D62FF"/>
    <w:rsid w:val="007D6359"/>
    <w:rsid w:val="007D67F3"/>
    <w:rsid w:val="007D7527"/>
    <w:rsid w:val="007D786F"/>
    <w:rsid w:val="007D7893"/>
    <w:rsid w:val="007E0172"/>
    <w:rsid w:val="007E0250"/>
    <w:rsid w:val="007E0261"/>
    <w:rsid w:val="007E02FD"/>
    <w:rsid w:val="007E0561"/>
    <w:rsid w:val="007E07F1"/>
    <w:rsid w:val="007E108F"/>
    <w:rsid w:val="007E17F9"/>
    <w:rsid w:val="007E19A7"/>
    <w:rsid w:val="007E26E4"/>
    <w:rsid w:val="007E2D2F"/>
    <w:rsid w:val="007E2E1B"/>
    <w:rsid w:val="007E2F33"/>
    <w:rsid w:val="007E3A91"/>
    <w:rsid w:val="007E42CC"/>
    <w:rsid w:val="007E438C"/>
    <w:rsid w:val="007E4641"/>
    <w:rsid w:val="007E473A"/>
    <w:rsid w:val="007E4914"/>
    <w:rsid w:val="007E4C12"/>
    <w:rsid w:val="007E4EF1"/>
    <w:rsid w:val="007E5026"/>
    <w:rsid w:val="007E5A5C"/>
    <w:rsid w:val="007E6784"/>
    <w:rsid w:val="007E67D7"/>
    <w:rsid w:val="007E6AF6"/>
    <w:rsid w:val="007E6CB2"/>
    <w:rsid w:val="007E73B9"/>
    <w:rsid w:val="007E7915"/>
    <w:rsid w:val="007E7EA7"/>
    <w:rsid w:val="007F0012"/>
    <w:rsid w:val="007F04EC"/>
    <w:rsid w:val="007F0889"/>
    <w:rsid w:val="007F0A79"/>
    <w:rsid w:val="007F0F75"/>
    <w:rsid w:val="007F1007"/>
    <w:rsid w:val="007F1A39"/>
    <w:rsid w:val="007F1A6D"/>
    <w:rsid w:val="007F1B5E"/>
    <w:rsid w:val="007F1F13"/>
    <w:rsid w:val="007F21F4"/>
    <w:rsid w:val="007F26F6"/>
    <w:rsid w:val="007F2D0A"/>
    <w:rsid w:val="007F3CFE"/>
    <w:rsid w:val="007F3E26"/>
    <w:rsid w:val="007F418B"/>
    <w:rsid w:val="007F4C88"/>
    <w:rsid w:val="007F4DB2"/>
    <w:rsid w:val="007F4F94"/>
    <w:rsid w:val="007F5B81"/>
    <w:rsid w:val="007F5DF0"/>
    <w:rsid w:val="007F63B3"/>
    <w:rsid w:val="007F6460"/>
    <w:rsid w:val="007F73C9"/>
    <w:rsid w:val="007F7B7B"/>
    <w:rsid w:val="007F7CA1"/>
    <w:rsid w:val="00800068"/>
    <w:rsid w:val="008001D7"/>
    <w:rsid w:val="00800470"/>
    <w:rsid w:val="00800912"/>
    <w:rsid w:val="00801529"/>
    <w:rsid w:val="008017A2"/>
    <w:rsid w:val="00801A60"/>
    <w:rsid w:val="00801EC5"/>
    <w:rsid w:val="00802ADF"/>
    <w:rsid w:val="0080304A"/>
    <w:rsid w:val="00803830"/>
    <w:rsid w:val="00803A57"/>
    <w:rsid w:val="00803D54"/>
    <w:rsid w:val="00804686"/>
    <w:rsid w:val="008057BE"/>
    <w:rsid w:val="008058FC"/>
    <w:rsid w:val="00805A7B"/>
    <w:rsid w:val="0080621C"/>
    <w:rsid w:val="00806829"/>
    <w:rsid w:val="00806B2C"/>
    <w:rsid w:val="00807AFE"/>
    <w:rsid w:val="00807B1A"/>
    <w:rsid w:val="00807E1B"/>
    <w:rsid w:val="00807E3C"/>
    <w:rsid w:val="008108CC"/>
    <w:rsid w:val="00810B55"/>
    <w:rsid w:val="008111DF"/>
    <w:rsid w:val="008113F0"/>
    <w:rsid w:val="008117BC"/>
    <w:rsid w:val="0081243E"/>
    <w:rsid w:val="00812721"/>
    <w:rsid w:val="00812A55"/>
    <w:rsid w:val="00812FD9"/>
    <w:rsid w:val="00813661"/>
    <w:rsid w:val="008137F9"/>
    <w:rsid w:val="008138FC"/>
    <w:rsid w:val="00813946"/>
    <w:rsid w:val="00813BBE"/>
    <w:rsid w:val="00814A4E"/>
    <w:rsid w:val="008150C6"/>
    <w:rsid w:val="0081537B"/>
    <w:rsid w:val="00815399"/>
    <w:rsid w:val="00816018"/>
    <w:rsid w:val="00816216"/>
    <w:rsid w:val="008169A5"/>
    <w:rsid w:val="008174BF"/>
    <w:rsid w:val="00817706"/>
    <w:rsid w:val="00817AA3"/>
    <w:rsid w:val="00817B3D"/>
    <w:rsid w:val="00817BE2"/>
    <w:rsid w:val="008207D9"/>
    <w:rsid w:val="00820A1B"/>
    <w:rsid w:val="00821812"/>
    <w:rsid w:val="00821B35"/>
    <w:rsid w:val="00821F1C"/>
    <w:rsid w:val="00821FDC"/>
    <w:rsid w:val="00822007"/>
    <w:rsid w:val="00822543"/>
    <w:rsid w:val="00822C31"/>
    <w:rsid w:val="00822E64"/>
    <w:rsid w:val="00823B2F"/>
    <w:rsid w:val="00823D5B"/>
    <w:rsid w:val="0082472B"/>
    <w:rsid w:val="00824EBA"/>
    <w:rsid w:val="00824F11"/>
    <w:rsid w:val="008250B0"/>
    <w:rsid w:val="0082595D"/>
    <w:rsid w:val="00825FDE"/>
    <w:rsid w:val="0082603F"/>
    <w:rsid w:val="0082632E"/>
    <w:rsid w:val="00826528"/>
    <w:rsid w:val="008265BE"/>
    <w:rsid w:val="008265C3"/>
    <w:rsid w:val="0082699C"/>
    <w:rsid w:val="00826B6B"/>
    <w:rsid w:val="00826CB5"/>
    <w:rsid w:val="008279D3"/>
    <w:rsid w:val="008279EE"/>
    <w:rsid w:val="008308A1"/>
    <w:rsid w:val="008309B7"/>
    <w:rsid w:val="00830F8B"/>
    <w:rsid w:val="00831623"/>
    <w:rsid w:val="00831685"/>
    <w:rsid w:val="00832277"/>
    <w:rsid w:val="00832550"/>
    <w:rsid w:val="00832C50"/>
    <w:rsid w:val="008334C7"/>
    <w:rsid w:val="00833878"/>
    <w:rsid w:val="008339AC"/>
    <w:rsid w:val="00833CFF"/>
    <w:rsid w:val="00833FD9"/>
    <w:rsid w:val="008343E3"/>
    <w:rsid w:val="00834651"/>
    <w:rsid w:val="00834D06"/>
    <w:rsid w:val="0083555E"/>
    <w:rsid w:val="0083572F"/>
    <w:rsid w:val="00835BFA"/>
    <w:rsid w:val="008361E7"/>
    <w:rsid w:val="0083670A"/>
    <w:rsid w:val="0083698A"/>
    <w:rsid w:val="00836DC0"/>
    <w:rsid w:val="008370C1"/>
    <w:rsid w:val="00837707"/>
    <w:rsid w:val="00837C89"/>
    <w:rsid w:val="00837F23"/>
    <w:rsid w:val="0084061A"/>
    <w:rsid w:val="0084178B"/>
    <w:rsid w:val="00841E5D"/>
    <w:rsid w:val="008421B6"/>
    <w:rsid w:val="00842261"/>
    <w:rsid w:val="00842551"/>
    <w:rsid w:val="00842632"/>
    <w:rsid w:val="00842E76"/>
    <w:rsid w:val="00842EE9"/>
    <w:rsid w:val="00843426"/>
    <w:rsid w:val="00844E40"/>
    <w:rsid w:val="008456A6"/>
    <w:rsid w:val="00845936"/>
    <w:rsid w:val="00846119"/>
    <w:rsid w:val="00846D7F"/>
    <w:rsid w:val="00847D12"/>
    <w:rsid w:val="00847E1B"/>
    <w:rsid w:val="00847EA6"/>
    <w:rsid w:val="008500CB"/>
    <w:rsid w:val="00850936"/>
    <w:rsid w:val="008509B1"/>
    <w:rsid w:val="00850CD9"/>
    <w:rsid w:val="00850D1E"/>
    <w:rsid w:val="0085109A"/>
    <w:rsid w:val="00851129"/>
    <w:rsid w:val="008513FC"/>
    <w:rsid w:val="00851B8E"/>
    <w:rsid w:val="00851D44"/>
    <w:rsid w:val="00851DD3"/>
    <w:rsid w:val="0085205F"/>
    <w:rsid w:val="00852289"/>
    <w:rsid w:val="00852787"/>
    <w:rsid w:val="008528B0"/>
    <w:rsid w:val="008529D5"/>
    <w:rsid w:val="00852CA8"/>
    <w:rsid w:val="0085324E"/>
    <w:rsid w:val="008533D8"/>
    <w:rsid w:val="008536F1"/>
    <w:rsid w:val="0085430B"/>
    <w:rsid w:val="00854692"/>
    <w:rsid w:val="00854728"/>
    <w:rsid w:val="008549CB"/>
    <w:rsid w:val="00854BAC"/>
    <w:rsid w:val="00854C68"/>
    <w:rsid w:val="0085536E"/>
    <w:rsid w:val="00855844"/>
    <w:rsid w:val="00856189"/>
    <w:rsid w:val="00856209"/>
    <w:rsid w:val="00856803"/>
    <w:rsid w:val="00856923"/>
    <w:rsid w:val="0085693C"/>
    <w:rsid w:val="00856CE2"/>
    <w:rsid w:val="0085739C"/>
    <w:rsid w:val="00857568"/>
    <w:rsid w:val="00857A1E"/>
    <w:rsid w:val="00860372"/>
    <w:rsid w:val="00860B12"/>
    <w:rsid w:val="00860BDF"/>
    <w:rsid w:val="00860E77"/>
    <w:rsid w:val="00861413"/>
    <w:rsid w:val="00861520"/>
    <w:rsid w:val="00861D11"/>
    <w:rsid w:val="00861E83"/>
    <w:rsid w:val="00862D48"/>
    <w:rsid w:val="00863996"/>
    <w:rsid w:val="00863BB3"/>
    <w:rsid w:val="00863CA0"/>
    <w:rsid w:val="0086498B"/>
    <w:rsid w:val="00864B19"/>
    <w:rsid w:val="00865309"/>
    <w:rsid w:val="0086532D"/>
    <w:rsid w:val="008653CC"/>
    <w:rsid w:val="008654D8"/>
    <w:rsid w:val="00865526"/>
    <w:rsid w:val="0086583D"/>
    <w:rsid w:val="008659A6"/>
    <w:rsid w:val="008661F7"/>
    <w:rsid w:val="0086662B"/>
    <w:rsid w:val="00866BC1"/>
    <w:rsid w:val="00866E90"/>
    <w:rsid w:val="00866FCB"/>
    <w:rsid w:val="00867600"/>
    <w:rsid w:val="0086779B"/>
    <w:rsid w:val="00867C2D"/>
    <w:rsid w:val="00867D2B"/>
    <w:rsid w:val="008701DC"/>
    <w:rsid w:val="008702AE"/>
    <w:rsid w:val="008702B7"/>
    <w:rsid w:val="00870498"/>
    <w:rsid w:val="00870812"/>
    <w:rsid w:val="00870AF6"/>
    <w:rsid w:val="00871794"/>
    <w:rsid w:val="0087192A"/>
    <w:rsid w:val="00871A10"/>
    <w:rsid w:val="00871B8B"/>
    <w:rsid w:val="0087345D"/>
    <w:rsid w:val="00873649"/>
    <w:rsid w:val="008742A8"/>
    <w:rsid w:val="0087453D"/>
    <w:rsid w:val="00875AA8"/>
    <w:rsid w:val="00876461"/>
    <w:rsid w:val="0087662A"/>
    <w:rsid w:val="008767E1"/>
    <w:rsid w:val="00876943"/>
    <w:rsid w:val="008775A9"/>
    <w:rsid w:val="00877955"/>
    <w:rsid w:val="00877B7B"/>
    <w:rsid w:val="00877C89"/>
    <w:rsid w:val="00880425"/>
    <w:rsid w:val="0088089F"/>
    <w:rsid w:val="00880957"/>
    <w:rsid w:val="00880B5A"/>
    <w:rsid w:val="00880C96"/>
    <w:rsid w:val="00880DE0"/>
    <w:rsid w:val="00880DEE"/>
    <w:rsid w:val="00880F77"/>
    <w:rsid w:val="00881227"/>
    <w:rsid w:val="00881257"/>
    <w:rsid w:val="0088143B"/>
    <w:rsid w:val="0088199D"/>
    <w:rsid w:val="00881D9F"/>
    <w:rsid w:val="00882130"/>
    <w:rsid w:val="00882459"/>
    <w:rsid w:val="0088266F"/>
    <w:rsid w:val="0088314A"/>
    <w:rsid w:val="00883376"/>
    <w:rsid w:val="0088384A"/>
    <w:rsid w:val="00883BCD"/>
    <w:rsid w:val="00883C36"/>
    <w:rsid w:val="00883DD6"/>
    <w:rsid w:val="0088479A"/>
    <w:rsid w:val="00884BE2"/>
    <w:rsid w:val="008859E1"/>
    <w:rsid w:val="0088610C"/>
    <w:rsid w:val="00886E22"/>
    <w:rsid w:val="00886E72"/>
    <w:rsid w:val="00886F3A"/>
    <w:rsid w:val="00887A2C"/>
    <w:rsid w:val="00890113"/>
    <w:rsid w:val="008902C2"/>
    <w:rsid w:val="008905E0"/>
    <w:rsid w:val="0089083C"/>
    <w:rsid w:val="00890C6F"/>
    <w:rsid w:val="00890DED"/>
    <w:rsid w:val="00891157"/>
    <w:rsid w:val="0089117D"/>
    <w:rsid w:val="0089154D"/>
    <w:rsid w:val="00892ABA"/>
    <w:rsid w:val="00892EA3"/>
    <w:rsid w:val="0089372A"/>
    <w:rsid w:val="00893A48"/>
    <w:rsid w:val="00894434"/>
    <w:rsid w:val="0089458C"/>
    <w:rsid w:val="00894650"/>
    <w:rsid w:val="008953CD"/>
    <w:rsid w:val="00895B59"/>
    <w:rsid w:val="0089616C"/>
    <w:rsid w:val="0089709B"/>
    <w:rsid w:val="00897325"/>
    <w:rsid w:val="0089741F"/>
    <w:rsid w:val="008976E2"/>
    <w:rsid w:val="00897915"/>
    <w:rsid w:val="008979C0"/>
    <w:rsid w:val="00897EE6"/>
    <w:rsid w:val="008A0895"/>
    <w:rsid w:val="008A0FDC"/>
    <w:rsid w:val="008A1D27"/>
    <w:rsid w:val="008A2634"/>
    <w:rsid w:val="008A2A1B"/>
    <w:rsid w:val="008A2ACD"/>
    <w:rsid w:val="008A2CC0"/>
    <w:rsid w:val="008A36B5"/>
    <w:rsid w:val="008A392C"/>
    <w:rsid w:val="008A3B14"/>
    <w:rsid w:val="008A3B55"/>
    <w:rsid w:val="008A4313"/>
    <w:rsid w:val="008A4ADA"/>
    <w:rsid w:val="008A5730"/>
    <w:rsid w:val="008A5838"/>
    <w:rsid w:val="008A58D2"/>
    <w:rsid w:val="008A5A26"/>
    <w:rsid w:val="008A6153"/>
    <w:rsid w:val="008A6FE5"/>
    <w:rsid w:val="008A747B"/>
    <w:rsid w:val="008A7B31"/>
    <w:rsid w:val="008A7C2D"/>
    <w:rsid w:val="008B012C"/>
    <w:rsid w:val="008B02AC"/>
    <w:rsid w:val="008B06A9"/>
    <w:rsid w:val="008B09EA"/>
    <w:rsid w:val="008B1590"/>
    <w:rsid w:val="008B1987"/>
    <w:rsid w:val="008B1AE1"/>
    <w:rsid w:val="008B218C"/>
    <w:rsid w:val="008B2947"/>
    <w:rsid w:val="008B2E39"/>
    <w:rsid w:val="008B353D"/>
    <w:rsid w:val="008B363C"/>
    <w:rsid w:val="008B392D"/>
    <w:rsid w:val="008B3EC7"/>
    <w:rsid w:val="008B41CC"/>
    <w:rsid w:val="008B46BF"/>
    <w:rsid w:val="008B48C9"/>
    <w:rsid w:val="008B5151"/>
    <w:rsid w:val="008B51E6"/>
    <w:rsid w:val="008B5284"/>
    <w:rsid w:val="008B54F5"/>
    <w:rsid w:val="008B57AC"/>
    <w:rsid w:val="008B57D6"/>
    <w:rsid w:val="008B62C8"/>
    <w:rsid w:val="008B6B60"/>
    <w:rsid w:val="008B71BF"/>
    <w:rsid w:val="008B72EE"/>
    <w:rsid w:val="008B735B"/>
    <w:rsid w:val="008B74A0"/>
    <w:rsid w:val="008B74AE"/>
    <w:rsid w:val="008B75B5"/>
    <w:rsid w:val="008B79A8"/>
    <w:rsid w:val="008B79BF"/>
    <w:rsid w:val="008C09EA"/>
    <w:rsid w:val="008C0EA2"/>
    <w:rsid w:val="008C0FB6"/>
    <w:rsid w:val="008C14D6"/>
    <w:rsid w:val="008C1BAC"/>
    <w:rsid w:val="008C1F21"/>
    <w:rsid w:val="008C201B"/>
    <w:rsid w:val="008C2479"/>
    <w:rsid w:val="008C285A"/>
    <w:rsid w:val="008C28A8"/>
    <w:rsid w:val="008C2CF1"/>
    <w:rsid w:val="008C321E"/>
    <w:rsid w:val="008C33C2"/>
    <w:rsid w:val="008C356F"/>
    <w:rsid w:val="008C36DB"/>
    <w:rsid w:val="008C43CD"/>
    <w:rsid w:val="008C5201"/>
    <w:rsid w:val="008C5254"/>
    <w:rsid w:val="008C616C"/>
    <w:rsid w:val="008C6611"/>
    <w:rsid w:val="008C67D7"/>
    <w:rsid w:val="008C6A94"/>
    <w:rsid w:val="008C753A"/>
    <w:rsid w:val="008C77AF"/>
    <w:rsid w:val="008C7E7E"/>
    <w:rsid w:val="008D0288"/>
    <w:rsid w:val="008D0323"/>
    <w:rsid w:val="008D0769"/>
    <w:rsid w:val="008D091B"/>
    <w:rsid w:val="008D1A7D"/>
    <w:rsid w:val="008D2470"/>
    <w:rsid w:val="008D2620"/>
    <w:rsid w:val="008D2E7D"/>
    <w:rsid w:val="008D3204"/>
    <w:rsid w:val="008D3AB6"/>
    <w:rsid w:val="008D4572"/>
    <w:rsid w:val="008D4638"/>
    <w:rsid w:val="008D4B9A"/>
    <w:rsid w:val="008D53F0"/>
    <w:rsid w:val="008D5DB3"/>
    <w:rsid w:val="008D66B0"/>
    <w:rsid w:val="008D678F"/>
    <w:rsid w:val="008D6790"/>
    <w:rsid w:val="008D6BC1"/>
    <w:rsid w:val="008D6C8F"/>
    <w:rsid w:val="008D6FDC"/>
    <w:rsid w:val="008D74C7"/>
    <w:rsid w:val="008D7629"/>
    <w:rsid w:val="008D7643"/>
    <w:rsid w:val="008D78CC"/>
    <w:rsid w:val="008E024D"/>
    <w:rsid w:val="008E073D"/>
    <w:rsid w:val="008E09FB"/>
    <w:rsid w:val="008E0D28"/>
    <w:rsid w:val="008E0F68"/>
    <w:rsid w:val="008E161A"/>
    <w:rsid w:val="008E19A5"/>
    <w:rsid w:val="008E1CB5"/>
    <w:rsid w:val="008E2024"/>
    <w:rsid w:val="008E22BD"/>
    <w:rsid w:val="008E3283"/>
    <w:rsid w:val="008E350B"/>
    <w:rsid w:val="008E39C2"/>
    <w:rsid w:val="008E3A4A"/>
    <w:rsid w:val="008E3CEB"/>
    <w:rsid w:val="008E4225"/>
    <w:rsid w:val="008E482B"/>
    <w:rsid w:val="008E5058"/>
    <w:rsid w:val="008E5249"/>
    <w:rsid w:val="008E537D"/>
    <w:rsid w:val="008E591B"/>
    <w:rsid w:val="008E5DCB"/>
    <w:rsid w:val="008E6035"/>
    <w:rsid w:val="008E6217"/>
    <w:rsid w:val="008E6C37"/>
    <w:rsid w:val="008E7453"/>
    <w:rsid w:val="008E7A0F"/>
    <w:rsid w:val="008E7A82"/>
    <w:rsid w:val="008E7ED5"/>
    <w:rsid w:val="008F0D31"/>
    <w:rsid w:val="008F1497"/>
    <w:rsid w:val="008F207C"/>
    <w:rsid w:val="008F20C7"/>
    <w:rsid w:val="008F24E7"/>
    <w:rsid w:val="008F2964"/>
    <w:rsid w:val="008F4A66"/>
    <w:rsid w:val="008F52B1"/>
    <w:rsid w:val="008F5716"/>
    <w:rsid w:val="008F57A2"/>
    <w:rsid w:val="008F57AF"/>
    <w:rsid w:val="008F628B"/>
    <w:rsid w:val="008F62CB"/>
    <w:rsid w:val="008F63F2"/>
    <w:rsid w:val="008F77BE"/>
    <w:rsid w:val="00900A5D"/>
    <w:rsid w:val="009011CB"/>
    <w:rsid w:val="0090183A"/>
    <w:rsid w:val="00901952"/>
    <w:rsid w:val="00901C95"/>
    <w:rsid w:val="00901D59"/>
    <w:rsid w:val="00901EBD"/>
    <w:rsid w:val="00902476"/>
    <w:rsid w:val="0090266B"/>
    <w:rsid w:val="0090299A"/>
    <w:rsid w:val="00902A69"/>
    <w:rsid w:val="00903B97"/>
    <w:rsid w:val="00903DDF"/>
    <w:rsid w:val="009044D1"/>
    <w:rsid w:val="00905260"/>
    <w:rsid w:val="0090532C"/>
    <w:rsid w:val="0090543E"/>
    <w:rsid w:val="00905585"/>
    <w:rsid w:val="00905985"/>
    <w:rsid w:val="00905EAE"/>
    <w:rsid w:val="00906116"/>
    <w:rsid w:val="00906427"/>
    <w:rsid w:val="009065B5"/>
    <w:rsid w:val="00907075"/>
    <w:rsid w:val="0090726F"/>
    <w:rsid w:val="009072CE"/>
    <w:rsid w:val="009078BA"/>
    <w:rsid w:val="009079C6"/>
    <w:rsid w:val="00907A56"/>
    <w:rsid w:val="009100C2"/>
    <w:rsid w:val="0091065B"/>
    <w:rsid w:val="00910741"/>
    <w:rsid w:val="00910A3E"/>
    <w:rsid w:val="00910C4B"/>
    <w:rsid w:val="00910D0E"/>
    <w:rsid w:val="009111E5"/>
    <w:rsid w:val="009112FA"/>
    <w:rsid w:val="00911499"/>
    <w:rsid w:val="00911F12"/>
    <w:rsid w:val="00912BFF"/>
    <w:rsid w:val="00912E70"/>
    <w:rsid w:val="009132DE"/>
    <w:rsid w:val="009145A5"/>
    <w:rsid w:val="00914A0C"/>
    <w:rsid w:val="00915B54"/>
    <w:rsid w:val="00915C38"/>
    <w:rsid w:val="0091635A"/>
    <w:rsid w:val="009166C8"/>
    <w:rsid w:val="009169D4"/>
    <w:rsid w:val="00916D17"/>
    <w:rsid w:val="00916E2C"/>
    <w:rsid w:val="009175CD"/>
    <w:rsid w:val="00920469"/>
    <w:rsid w:val="00920B23"/>
    <w:rsid w:val="009214C9"/>
    <w:rsid w:val="00921546"/>
    <w:rsid w:val="0092169B"/>
    <w:rsid w:val="009216AE"/>
    <w:rsid w:val="0092171A"/>
    <w:rsid w:val="00921B43"/>
    <w:rsid w:val="00921DDC"/>
    <w:rsid w:val="009220BD"/>
    <w:rsid w:val="00922283"/>
    <w:rsid w:val="009223C6"/>
    <w:rsid w:val="00922E12"/>
    <w:rsid w:val="009231B2"/>
    <w:rsid w:val="00923312"/>
    <w:rsid w:val="0092367D"/>
    <w:rsid w:val="00923B25"/>
    <w:rsid w:val="009242B9"/>
    <w:rsid w:val="009242DA"/>
    <w:rsid w:val="0092436F"/>
    <w:rsid w:val="00924AB6"/>
    <w:rsid w:val="00924E02"/>
    <w:rsid w:val="00925086"/>
    <w:rsid w:val="00925584"/>
    <w:rsid w:val="00925755"/>
    <w:rsid w:val="009260FA"/>
    <w:rsid w:val="00926407"/>
    <w:rsid w:val="00926C2F"/>
    <w:rsid w:val="00926F24"/>
    <w:rsid w:val="0092736B"/>
    <w:rsid w:val="00927462"/>
    <w:rsid w:val="009274FA"/>
    <w:rsid w:val="009276BC"/>
    <w:rsid w:val="00927AB6"/>
    <w:rsid w:val="00930C93"/>
    <w:rsid w:val="009313F4"/>
    <w:rsid w:val="0093283A"/>
    <w:rsid w:val="00932BF3"/>
    <w:rsid w:val="00933922"/>
    <w:rsid w:val="00933977"/>
    <w:rsid w:val="00933AFF"/>
    <w:rsid w:val="00933B98"/>
    <w:rsid w:val="00933CED"/>
    <w:rsid w:val="009340B2"/>
    <w:rsid w:val="00934126"/>
    <w:rsid w:val="009341D3"/>
    <w:rsid w:val="00934241"/>
    <w:rsid w:val="009342CC"/>
    <w:rsid w:val="00934A41"/>
    <w:rsid w:val="00934B4B"/>
    <w:rsid w:val="00934BF3"/>
    <w:rsid w:val="00934CEA"/>
    <w:rsid w:val="009351B3"/>
    <w:rsid w:val="009354AC"/>
    <w:rsid w:val="009355A4"/>
    <w:rsid w:val="009361BD"/>
    <w:rsid w:val="00937287"/>
    <w:rsid w:val="00937422"/>
    <w:rsid w:val="00937E9D"/>
    <w:rsid w:val="009401F1"/>
    <w:rsid w:val="009411C3"/>
    <w:rsid w:val="00941947"/>
    <w:rsid w:val="0094211A"/>
    <w:rsid w:val="00942569"/>
    <w:rsid w:val="009426B9"/>
    <w:rsid w:val="00942A2F"/>
    <w:rsid w:val="00942B18"/>
    <w:rsid w:val="00942DB3"/>
    <w:rsid w:val="00942DBE"/>
    <w:rsid w:val="00943867"/>
    <w:rsid w:val="00943C17"/>
    <w:rsid w:val="00943C62"/>
    <w:rsid w:val="00943C74"/>
    <w:rsid w:val="009445AF"/>
    <w:rsid w:val="00944A4B"/>
    <w:rsid w:val="00944AE7"/>
    <w:rsid w:val="00945072"/>
    <w:rsid w:val="00945076"/>
    <w:rsid w:val="00945079"/>
    <w:rsid w:val="00945904"/>
    <w:rsid w:val="00945A43"/>
    <w:rsid w:val="00945BA0"/>
    <w:rsid w:val="00945D0B"/>
    <w:rsid w:val="0094605B"/>
    <w:rsid w:val="00946254"/>
    <w:rsid w:val="00946306"/>
    <w:rsid w:val="00946773"/>
    <w:rsid w:val="009471CE"/>
    <w:rsid w:val="0094738B"/>
    <w:rsid w:val="0094744A"/>
    <w:rsid w:val="00947EAF"/>
    <w:rsid w:val="0095079C"/>
    <w:rsid w:val="009512D4"/>
    <w:rsid w:val="009513D3"/>
    <w:rsid w:val="00951BE6"/>
    <w:rsid w:val="00952D7D"/>
    <w:rsid w:val="009534AD"/>
    <w:rsid w:val="009539E7"/>
    <w:rsid w:val="00953B42"/>
    <w:rsid w:val="00953E76"/>
    <w:rsid w:val="00954302"/>
    <w:rsid w:val="00954943"/>
    <w:rsid w:val="00954C48"/>
    <w:rsid w:val="00954DF8"/>
    <w:rsid w:val="00955016"/>
    <w:rsid w:val="00955094"/>
    <w:rsid w:val="009557E7"/>
    <w:rsid w:val="00955860"/>
    <w:rsid w:val="009558AD"/>
    <w:rsid w:val="00955E01"/>
    <w:rsid w:val="00956220"/>
    <w:rsid w:val="009568F6"/>
    <w:rsid w:val="00956918"/>
    <w:rsid w:val="00956AAC"/>
    <w:rsid w:val="0095729E"/>
    <w:rsid w:val="009572A5"/>
    <w:rsid w:val="00957529"/>
    <w:rsid w:val="00957F11"/>
    <w:rsid w:val="00960171"/>
    <w:rsid w:val="009601AD"/>
    <w:rsid w:val="00960465"/>
    <w:rsid w:val="00960617"/>
    <w:rsid w:val="009606C4"/>
    <w:rsid w:val="00960F1D"/>
    <w:rsid w:val="00960FA4"/>
    <w:rsid w:val="00962D7E"/>
    <w:rsid w:val="0096302B"/>
    <w:rsid w:val="0096344F"/>
    <w:rsid w:val="009636B0"/>
    <w:rsid w:val="009644A4"/>
    <w:rsid w:val="0096466D"/>
    <w:rsid w:val="00964826"/>
    <w:rsid w:val="0096491E"/>
    <w:rsid w:val="009653DB"/>
    <w:rsid w:val="00965635"/>
    <w:rsid w:val="009659CF"/>
    <w:rsid w:val="00965A1E"/>
    <w:rsid w:val="00966E79"/>
    <w:rsid w:val="00966FE2"/>
    <w:rsid w:val="00967142"/>
    <w:rsid w:val="009672FE"/>
    <w:rsid w:val="009674DF"/>
    <w:rsid w:val="0097024C"/>
    <w:rsid w:val="00970BAD"/>
    <w:rsid w:val="009712BD"/>
    <w:rsid w:val="0097179B"/>
    <w:rsid w:val="009717A7"/>
    <w:rsid w:val="00971C72"/>
    <w:rsid w:val="0097228A"/>
    <w:rsid w:val="009725C8"/>
    <w:rsid w:val="009737CA"/>
    <w:rsid w:val="00973EF2"/>
    <w:rsid w:val="00974018"/>
    <w:rsid w:val="0097437D"/>
    <w:rsid w:val="00976CDB"/>
    <w:rsid w:val="00976F00"/>
    <w:rsid w:val="009775E2"/>
    <w:rsid w:val="0097762B"/>
    <w:rsid w:val="0097771E"/>
    <w:rsid w:val="00977CA7"/>
    <w:rsid w:val="00980C13"/>
    <w:rsid w:val="0098213E"/>
    <w:rsid w:val="009821A3"/>
    <w:rsid w:val="00982C1E"/>
    <w:rsid w:val="00982E03"/>
    <w:rsid w:val="00982F80"/>
    <w:rsid w:val="00982FBE"/>
    <w:rsid w:val="009834D6"/>
    <w:rsid w:val="009838AA"/>
    <w:rsid w:val="00983B01"/>
    <w:rsid w:val="00984441"/>
    <w:rsid w:val="0098457C"/>
    <w:rsid w:val="00984A20"/>
    <w:rsid w:val="00984A2E"/>
    <w:rsid w:val="00984CC1"/>
    <w:rsid w:val="009855C0"/>
    <w:rsid w:val="00985961"/>
    <w:rsid w:val="00985B3D"/>
    <w:rsid w:val="00985C0E"/>
    <w:rsid w:val="00986A50"/>
    <w:rsid w:val="00986ED8"/>
    <w:rsid w:val="00986F32"/>
    <w:rsid w:val="0098702F"/>
    <w:rsid w:val="009878CD"/>
    <w:rsid w:val="00987A4E"/>
    <w:rsid w:val="00987AD4"/>
    <w:rsid w:val="009903F7"/>
    <w:rsid w:val="009904CC"/>
    <w:rsid w:val="00990949"/>
    <w:rsid w:val="00990AEE"/>
    <w:rsid w:val="0099119B"/>
    <w:rsid w:val="009920CF"/>
    <w:rsid w:val="00992303"/>
    <w:rsid w:val="00992377"/>
    <w:rsid w:val="0099243D"/>
    <w:rsid w:val="0099262B"/>
    <w:rsid w:val="0099280F"/>
    <w:rsid w:val="0099295B"/>
    <w:rsid w:val="009930EA"/>
    <w:rsid w:val="00993304"/>
    <w:rsid w:val="009933D0"/>
    <w:rsid w:val="00993828"/>
    <w:rsid w:val="009939E0"/>
    <w:rsid w:val="0099411B"/>
    <w:rsid w:val="009946E5"/>
    <w:rsid w:val="00994A1F"/>
    <w:rsid w:val="00994C5E"/>
    <w:rsid w:val="00995898"/>
    <w:rsid w:val="00995F4C"/>
    <w:rsid w:val="00996028"/>
    <w:rsid w:val="00996408"/>
    <w:rsid w:val="0099646F"/>
    <w:rsid w:val="00996A03"/>
    <w:rsid w:val="00996F0C"/>
    <w:rsid w:val="009973E6"/>
    <w:rsid w:val="00997568"/>
    <w:rsid w:val="00997C4E"/>
    <w:rsid w:val="00997CA0"/>
    <w:rsid w:val="009A008E"/>
    <w:rsid w:val="009A042A"/>
    <w:rsid w:val="009A056F"/>
    <w:rsid w:val="009A0BF1"/>
    <w:rsid w:val="009A0D9E"/>
    <w:rsid w:val="009A0F17"/>
    <w:rsid w:val="009A102E"/>
    <w:rsid w:val="009A304F"/>
    <w:rsid w:val="009A3EB8"/>
    <w:rsid w:val="009A4423"/>
    <w:rsid w:val="009A4A0A"/>
    <w:rsid w:val="009A4E6A"/>
    <w:rsid w:val="009A52B9"/>
    <w:rsid w:val="009A57C9"/>
    <w:rsid w:val="009A6154"/>
    <w:rsid w:val="009A6509"/>
    <w:rsid w:val="009A664E"/>
    <w:rsid w:val="009A70B9"/>
    <w:rsid w:val="009A7857"/>
    <w:rsid w:val="009A7D8F"/>
    <w:rsid w:val="009A7DA9"/>
    <w:rsid w:val="009B03C0"/>
    <w:rsid w:val="009B0504"/>
    <w:rsid w:val="009B06A4"/>
    <w:rsid w:val="009B09F6"/>
    <w:rsid w:val="009B0CDF"/>
    <w:rsid w:val="009B0FFF"/>
    <w:rsid w:val="009B11D3"/>
    <w:rsid w:val="009B1588"/>
    <w:rsid w:val="009B1675"/>
    <w:rsid w:val="009B1BC2"/>
    <w:rsid w:val="009B290E"/>
    <w:rsid w:val="009B2BDE"/>
    <w:rsid w:val="009B2CD0"/>
    <w:rsid w:val="009B2DE3"/>
    <w:rsid w:val="009B30B6"/>
    <w:rsid w:val="009B334B"/>
    <w:rsid w:val="009B3799"/>
    <w:rsid w:val="009B3920"/>
    <w:rsid w:val="009B3948"/>
    <w:rsid w:val="009B3984"/>
    <w:rsid w:val="009B4032"/>
    <w:rsid w:val="009B46AF"/>
    <w:rsid w:val="009B500F"/>
    <w:rsid w:val="009B54B4"/>
    <w:rsid w:val="009B663D"/>
    <w:rsid w:val="009B6BE3"/>
    <w:rsid w:val="009B7209"/>
    <w:rsid w:val="009B738E"/>
    <w:rsid w:val="009B76B0"/>
    <w:rsid w:val="009B7F6A"/>
    <w:rsid w:val="009C001B"/>
    <w:rsid w:val="009C0608"/>
    <w:rsid w:val="009C0650"/>
    <w:rsid w:val="009C0AA7"/>
    <w:rsid w:val="009C166B"/>
    <w:rsid w:val="009C1BB2"/>
    <w:rsid w:val="009C1E36"/>
    <w:rsid w:val="009C2C19"/>
    <w:rsid w:val="009C356E"/>
    <w:rsid w:val="009C3CBA"/>
    <w:rsid w:val="009C409D"/>
    <w:rsid w:val="009C4197"/>
    <w:rsid w:val="009C44E9"/>
    <w:rsid w:val="009C46E1"/>
    <w:rsid w:val="009C4860"/>
    <w:rsid w:val="009C49C1"/>
    <w:rsid w:val="009C5894"/>
    <w:rsid w:val="009C5B89"/>
    <w:rsid w:val="009C6018"/>
    <w:rsid w:val="009C673D"/>
    <w:rsid w:val="009C6B93"/>
    <w:rsid w:val="009C6FF7"/>
    <w:rsid w:val="009C7597"/>
    <w:rsid w:val="009C764D"/>
    <w:rsid w:val="009C78FD"/>
    <w:rsid w:val="009D0BC8"/>
    <w:rsid w:val="009D0F1F"/>
    <w:rsid w:val="009D17E7"/>
    <w:rsid w:val="009D1D45"/>
    <w:rsid w:val="009D2166"/>
    <w:rsid w:val="009D23E8"/>
    <w:rsid w:val="009D2793"/>
    <w:rsid w:val="009D329D"/>
    <w:rsid w:val="009D33E5"/>
    <w:rsid w:val="009D3C55"/>
    <w:rsid w:val="009D4C38"/>
    <w:rsid w:val="009D4D93"/>
    <w:rsid w:val="009D540F"/>
    <w:rsid w:val="009D57A9"/>
    <w:rsid w:val="009D5FC8"/>
    <w:rsid w:val="009D61F0"/>
    <w:rsid w:val="009D7D03"/>
    <w:rsid w:val="009D7EFF"/>
    <w:rsid w:val="009D7F0B"/>
    <w:rsid w:val="009D7F75"/>
    <w:rsid w:val="009E05F4"/>
    <w:rsid w:val="009E0EBB"/>
    <w:rsid w:val="009E1164"/>
    <w:rsid w:val="009E1750"/>
    <w:rsid w:val="009E1947"/>
    <w:rsid w:val="009E1A4F"/>
    <w:rsid w:val="009E2794"/>
    <w:rsid w:val="009E2AAE"/>
    <w:rsid w:val="009E2E19"/>
    <w:rsid w:val="009E2E4A"/>
    <w:rsid w:val="009E3CC5"/>
    <w:rsid w:val="009E4EAC"/>
    <w:rsid w:val="009E50FC"/>
    <w:rsid w:val="009E5549"/>
    <w:rsid w:val="009E5B37"/>
    <w:rsid w:val="009E5EF1"/>
    <w:rsid w:val="009E630C"/>
    <w:rsid w:val="009E66DE"/>
    <w:rsid w:val="009E6B5E"/>
    <w:rsid w:val="009E6FAA"/>
    <w:rsid w:val="009E78A7"/>
    <w:rsid w:val="009E7D15"/>
    <w:rsid w:val="009F0E99"/>
    <w:rsid w:val="009F14C4"/>
    <w:rsid w:val="009F1821"/>
    <w:rsid w:val="009F187E"/>
    <w:rsid w:val="009F1BFA"/>
    <w:rsid w:val="009F1D53"/>
    <w:rsid w:val="009F1DA7"/>
    <w:rsid w:val="009F1F43"/>
    <w:rsid w:val="009F21FD"/>
    <w:rsid w:val="009F2584"/>
    <w:rsid w:val="009F2AB2"/>
    <w:rsid w:val="009F3025"/>
    <w:rsid w:val="009F3472"/>
    <w:rsid w:val="009F34A7"/>
    <w:rsid w:val="009F3A0D"/>
    <w:rsid w:val="009F3AD2"/>
    <w:rsid w:val="009F3B5B"/>
    <w:rsid w:val="009F3ED0"/>
    <w:rsid w:val="009F471E"/>
    <w:rsid w:val="009F48A1"/>
    <w:rsid w:val="009F4E76"/>
    <w:rsid w:val="009F57F7"/>
    <w:rsid w:val="009F5A89"/>
    <w:rsid w:val="009F5ADB"/>
    <w:rsid w:val="009F5C08"/>
    <w:rsid w:val="009F639C"/>
    <w:rsid w:val="009F66FE"/>
    <w:rsid w:val="009F74FB"/>
    <w:rsid w:val="00A00A5E"/>
    <w:rsid w:val="00A00AC5"/>
    <w:rsid w:val="00A00B4E"/>
    <w:rsid w:val="00A00E8B"/>
    <w:rsid w:val="00A01156"/>
    <w:rsid w:val="00A0135A"/>
    <w:rsid w:val="00A015F6"/>
    <w:rsid w:val="00A01D1C"/>
    <w:rsid w:val="00A01E80"/>
    <w:rsid w:val="00A02604"/>
    <w:rsid w:val="00A02A22"/>
    <w:rsid w:val="00A02D42"/>
    <w:rsid w:val="00A02D5A"/>
    <w:rsid w:val="00A02F5E"/>
    <w:rsid w:val="00A02F74"/>
    <w:rsid w:val="00A03089"/>
    <w:rsid w:val="00A0311C"/>
    <w:rsid w:val="00A03380"/>
    <w:rsid w:val="00A0378B"/>
    <w:rsid w:val="00A04089"/>
    <w:rsid w:val="00A0423B"/>
    <w:rsid w:val="00A045E9"/>
    <w:rsid w:val="00A04976"/>
    <w:rsid w:val="00A04C73"/>
    <w:rsid w:val="00A051CC"/>
    <w:rsid w:val="00A0589F"/>
    <w:rsid w:val="00A0615B"/>
    <w:rsid w:val="00A06B1B"/>
    <w:rsid w:val="00A073B4"/>
    <w:rsid w:val="00A074F5"/>
    <w:rsid w:val="00A1037A"/>
    <w:rsid w:val="00A10475"/>
    <w:rsid w:val="00A1139A"/>
    <w:rsid w:val="00A11B7B"/>
    <w:rsid w:val="00A11F37"/>
    <w:rsid w:val="00A12276"/>
    <w:rsid w:val="00A12714"/>
    <w:rsid w:val="00A12EBA"/>
    <w:rsid w:val="00A12FE9"/>
    <w:rsid w:val="00A130E4"/>
    <w:rsid w:val="00A13465"/>
    <w:rsid w:val="00A13847"/>
    <w:rsid w:val="00A153D6"/>
    <w:rsid w:val="00A162C3"/>
    <w:rsid w:val="00A162FB"/>
    <w:rsid w:val="00A1716A"/>
    <w:rsid w:val="00A172D3"/>
    <w:rsid w:val="00A174F5"/>
    <w:rsid w:val="00A1759C"/>
    <w:rsid w:val="00A176F3"/>
    <w:rsid w:val="00A17A6A"/>
    <w:rsid w:val="00A20104"/>
    <w:rsid w:val="00A20573"/>
    <w:rsid w:val="00A20660"/>
    <w:rsid w:val="00A208D8"/>
    <w:rsid w:val="00A2094E"/>
    <w:rsid w:val="00A20C24"/>
    <w:rsid w:val="00A20DA6"/>
    <w:rsid w:val="00A20F11"/>
    <w:rsid w:val="00A211B2"/>
    <w:rsid w:val="00A21494"/>
    <w:rsid w:val="00A21639"/>
    <w:rsid w:val="00A21A3C"/>
    <w:rsid w:val="00A21B31"/>
    <w:rsid w:val="00A21BC6"/>
    <w:rsid w:val="00A22449"/>
    <w:rsid w:val="00A2302F"/>
    <w:rsid w:val="00A23049"/>
    <w:rsid w:val="00A23A80"/>
    <w:rsid w:val="00A23DBC"/>
    <w:rsid w:val="00A23F0A"/>
    <w:rsid w:val="00A24CEF"/>
    <w:rsid w:val="00A2510D"/>
    <w:rsid w:val="00A25A68"/>
    <w:rsid w:val="00A25D50"/>
    <w:rsid w:val="00A2623D"/>
    <w:rsid w:val="00A265D2"/>
    <w:rsid w:val="00A26BE8"/>
    <w:rsid w:val="00A2743F"/>
    <w:rsid w:val="00A30233"/>
    <w:rsid w:val="00A305CD"/>
    <w:rsid w:val="00A305DD"/>
    <w:rsid w:val="00A30713"/>
    <w:rsid w:val="00A30C35"/>
    <w:rsid w:val="00A314B1"/>
    <w:rsid w:val="00A3271A"/>
    <w:rsid w:val="00A3278A"/>
    <w:rsid w:val="00A336FB"/>
    <w:rsid w:val="00A339C0"/>
    <w:rsid w:val="00A33E8A"/>
    <w:rsid w:val="00A3415F"/>
    <w:rsid w:val="00A34259"/>
    <w:rsid w:val="00A344B6"/>
    <w:rsid w:val="00A352A3"/>
    <w:rsid w:val="00A352BF"/>
    <w:rsid w:val="00A35ED8"/>
    <w:rsid w:val="00A36115"/>
    <w:rsid w:val="00A362DA"/>
    <w:rsid w:val="00A365EE"/>
    <w:rsid w:val="00A3680F"/>
    <w:rsid w:val="00A368CC"/>
    <w:rsid w:val="00A36D2B"/>
    <w:rsid w:val="00A36E17"/>
    <w:rsid w:val="00A374F1"/>
    <w:rsid w:val="00A37D64"/>
    <w:rsid w:val="00A4017A"/>
    <w:rsid w:val="00A40257"/>
    <w:rsid w:val="00A408BB"/>
    <w:rsid w:val="00A4116A"/>
    <w:rsid w:val="00A41255"/>
    <w:rsid w:val="00A4187C"/>
    <w:rsid w:val="00A41BF1"/>
    <w:rsid w:val="00A41C27"/>
    <w:rsid w:val="00A42161"/>
    <w:rsid w:val="00A42872"/>
    <w:rsid w:val="00A428E8"/>
    <w:rsid w:val="00A42936"/>
    <w:rsid w:val="00A42BE5"/>
    <w:rsid w:val="00A42E2B"/>
    <w:rsid w:val="00A42F54"/>
    <w:rsid w:val="00A42FDB"/>
    <w:rsid w:val="00A43139"/>
    <w:rsid w:val="00A43A37"/>
    <w:rsid w:val="00A43B62"/>
    <w:rsid w:val="00A43C32"/>
    <w:rsid w:val="00A4427E"/>
    <w:rsid w:val="00A45355"/>
    <w:rsid w:val="00A45404"/>
    <w:rsid w:val="00A454AF"/>
    <w:rsid w:val="00A456B8"/>
    <w:rsid w:val="00A457D9"/>
    <w:rsid w:val="00A46060"/>
    <w:rsid w:val="00A460EB"/>
    <w:rsid w:val="00A46454"/>
    <w:rsid w:val="00A464CC"/>
    <w:rsid w:val="00A46579"/>
    <w:rsid w:val="00A468A1"/>
    <w:rsid w:val="00A47019"/>
    <w:rsid w:val="00A47113"/>
    <w:rsid w:val="00A47285"/>
    <w:rsid w:val="00A474E9"/>
    <w:rsid w:val="00A47AF6"/>
    <w:rsid w:val="00A47C77"/>
    <w:rsid w:val="00A50067"/>
    <w:rsid w:val="00A504EA"/>
    <w:rsid w:val="00A51483"/>
    <w:rsid w:val="00A5177D"/>
    <w:rsid w:val="00A51F76"/>
    <w:rsid w:val="00A52024"/>
    <w:rsid w:val="00A5268C"/>
    <w:rsid w:val="00A5298D"/>
    <w:rsid w:val="00A52BC1"/>
    <w:rsid w:val="00A53236"/>
    <w:rsid w:val="00A543DC"/>
    <w:rsid w:val="00A54477"/>
    <w:rsid w:val="00A545E0"/>
    <w:rsid w:val="00A54A3B"/>
    <w:rsid w:val="00A54F68"/>
    <w:rsid w:val="00A5574A"/>
    <w:rsid w:val="00A55F68"/>
    <w:rsid w:val="00A56288"/>
    <w:rsid w:val="00A56530"/>
    <w:rsid w:val="00A56864"/>
    <w:rsid w:val="00A56DF5"/>
    <w:rsid w:val="00A5761A"/>
    <w:rsid w:val="00A5786D"/>
    <w:rsid w:val="00A57B42"/>
    <w:rsid w:val="00A60071"/>
    <w:rsid w:val="00A601C4"/>
    <w:rsid w:val="00A60204"/>
    <w:rsid w:val="00A60652"/>
    <w:rsid w:val="00A60A57"/>
    <w:rsid w:val="00A61179"/>
    <w:rsid w:val="00A6121B"/>
    <w:rsid w:val="00A613E1"/>
    <w:rsid w:val="00A616AD"/>
    <w:rsid w:val="00A616BE"/>
    <w:rsid w:val="00A61F2F"/>
    <w:rsid w:val="00A62922"/>
    <w:rsid w:val="00A62E35"/>
    <w:rsid w:val="00A62E95"/>
    <w:rsid w:val="00A636D3"/>
    <w:rsid w:val="00A63F35"/>
    <w:rsid w:val="00A6419F"/>
    <w:rsid w:val="00A64940"/>
    <w:rsid w:val="00A65851"/>
    <w:rsid w:val="00A65B36"/>
    <w:rsid w:val="00A66318"/>
    <w:rsid w:val="00A66485"/>
    <w:rsid w:val="00A6652D"/>
    <w:rsid w:val="00A6708C"/>
    <w:rsid w:val="00A67269"/>
    <w:rsid w:val="00A67AAE"/>
    <w:rsid w:val="00A67BE2"/>
    <w:rsid w:val="00A67EFE"/>
    <w:rsid w:val="00A70176"/>
    <w:rsid w:val="00A702F5"/>
    <w:rsid w:val="00A7045B"/>
    <w:rsid w:val="00A70826"/>
    <w:rsid w:val="00A7105E"/>
    <w:rsid w:val="00A713D2"/>
    <w:rsid w:val="00A71766"/>
    <w:rsid w:val="00A71DBD"/>
    <w:rsid w:val="00A72125"/>
    <w:rsid w:val="00A726A9"/>
    <w:rsid w:val="00A734BF"/>
    <w:rsid w:val="00A73B2E"/>
    <w:rsid w:val="00A73BAA"/>
    <w:rsid w:val="00A73C58"/>
    <w:rsid w:val="00A74222"/>
    <w:rsid w:val="00A74285"/>
    <w:rsid w:val="00A74400"/>
    <w:rsid w:val="00A7453B"/>
    <w:rsid w:val="00A7467A"/>
    <w:rsid w:val="00A74AAD"/>
    <w:rsid w:val="00A74BCB"/>
    <w:rsid w:val="00A74D7B"/>
    <w:rsid w:val="00A764BA"/>
    <w:rsid w:val="00A76969"/>
    <w:rsid w:val="00A770C8"/>
    <w:rsid w:val="00A77684"/>
    <w:rsid w:val="00A77819"/>
    <w:rsid w:val="00A77B2E"/>
    <w:rsid w:val="00A77B8E"/>
    <w:rsid w:val="00A77D35"/>
    <w:rsid w:val="00A77DDD"/>
    <w:rsid w:val="00A8033F"/>
    <w:rsid w:val="00A814F1"/>
    <w:rsid w:val="00A81ACE"/>
    <w:rsid w:val="00A82ADB"/>
    <w:rsid w:val="00A82C7F"/>
    <w:rsid w:val="00A82C95"/>
    <w:rsid w:val="00A831FC"/>
    <w:rsid w:val="00A832B5"/>
    <w:rsid w:val="00A836D4"/>
    <w:rsid w:val="00A83CF3"/>
    <w:rsid w:val="00A83F83"/>
    <w:rsid w:val="00A8491B"/>
    <w:rsid w:val="00A84C59"/>
    <w:rsid w:val="00A84DF0"/>
    <w:rsid w:val="00A8640E"/>
    <w:rsid w:val="00A868B1"/>
    <w:rsid w:val="00A87466"/>
    <w:rsid w:val="00A903E0"/>
    <w:rsid w:val="00A9059F"/>
    <w:rsid w:val="00A906A7"/>
    <w:rsid w:val="00A908A8"/>
    <w:rsid w:val="00A9096D"/>
    <w:rsid w:val="00A90A96"/>
    <w:rsid w:val="00A90BDE"/>
    <w:rsid w:val="00A90E5D"/>
    <w:rsid w:val="00A91018"/>
    <w:rsid w:val="00A914D0"/>
    <w:rsid w:val="00A91672"/>
    <w:rsid w:val="00A92B50"/>
    <w:rsid w:val="00A92D71"/>
    <w:rsid w:val="00A932D3"/>
    <w:rsid w:val="00A93436"/>
    <w:rsid w:val="00A93639"/>
    <w:rsid w:val="00A93735"/>
    <w:rsid w:val="00A93E57"/>
    <w:rsid w:val="00A93F97"/>
    <w:rsid w:val="00A949E6"/>
    <w:rsid w:val="00A94A10"/>
    <w:rsid w:val="00A9526C"/>
    <w:rsid w:val="00A955A0"/>
    <w:rsid w:val="00A95EF2"/>
    <w:rsid w:val="00A960B8"/>
    <w:rsid w:val="00A962A1"/>
    <w:rsid w:val="00A96FD2"/>
    <w:rsid w:val="00A97787"/>
    <w:rsid w:val="00A97873"/>
    <w:rsid w:val="00A97D08"/>
    <w:rsid w:val="00AA0227"/>
    <w:rsid w:val="00AA040E"/>
    <w:rsid w:val="00AA0773"/>
    <w:rsid w:val="00AA0B9A"/>
    <w:rsid w:val="00AA0CBF"/>
    <w:rsid w:val="00AA179A"/>
    <w:rsid w:val="00AA1CD7"/>
    <w:rsid w:val="00AA1F3B"/>
    <w:rsid w:val="00AA2065"/>
    <w:rsid w:val="00AA21CA"/>
    <w:rsid w:val="00AA25A0"/>
    <w:rsid w:val="00AA2817"/>
    <w:rsid w:val="00AA28BC"/>
    <w:rsid w:val="00AA3345"/>
    <w:rsid w:val="00AA36B1"/>
    <w:rsid w:val="00AA3B0D"/>
    <w:rsid w:val="00AA4A70"/>
    <w:rsid w:val="00AA4B30"/>
    <w:rsid w:val="00AA4B98"/>
    <w:rsid w:val="00AA56E7"/>
    <w:rsid w:val="00AA5731"/>
    <w:rsid w:val="00AA5766"/>
    <w:rsid w:val="00AA57D2"/>
    <w:rsid w:val="00AA5D30"/>
    <w:rsid w:val="00AA6919"/>
    <w:rsid w:val="00AA6CC9"/>
    <w:rsid w:val="00AA6F77"/>
    <w:rsid w:val="00AA7A7F"/>
    <w:rsid w:val="00AA7B8B"/>
    <w:rsid w:val="00AA7D4E"/>
    <w:rsid w:val="00AA7FC7"/>
    <w:rsid w:val="00AB00E2"/>
    <w:rsid w:val="00AB01E9"/>
    <w:rsid w:val="00AB04B9"/>
    <w:rsid w:val="00AB04CB"/>
    <w:rsid w:val="00AB0B06"/>
    <w:rsid w:val="00AB0ED8"/>
    <w:rsid w:val="00AB1000"/>
    <w:rsid w:val="00AB101C"/>
    <w:rsid w:val="00AB13E6"/>
    <w:rsid w:val="00AB1641"/>
    <w:rsid w:val="00AB1D3A"/>
    <w:rsid w:val="00AB1DB6"/>
    <w:rsid w:val="00AB1DBF"/>
    <w:rsid w:val="00AB1DFC"/>
    <w:rsid w:val="00AB1FDC"/>
    <w:rsid w:val="00AB2830"/>
    <w:rsid w:val="00AB2A4D"/>
    <w:rsid w:val="00AB2AF4"/>
    <w:rsid w:val="00AB30CB"/>
    <w:rsid w:val="00AB360A"/>
    <w:rsid w:val="00AB3844"/>
    <w:rsid w:val="00AB38AC"/>
    <w:rsid w:val="00AB3FA2"/>
    <w:rsid w:val="00AB450E"/>
    <w:rsid w:val="00AB48BE"/>
    <w:rsid w:val="00AB48C6"/>
    <w:rsid w:val="00AB4E29"/>
    <w:rsid w:val="00AB55D4"/>
    <w:rsid w:val="00AB5620"/>
    <w:rsid w:val="00AB5DB8"/>
    <w:rsid w:val="00AB6C63"/>
    <w:rsid w:val="00AB778B"/>
    <w:rsid w:val="00AB7D25"/>
    <w:rsid w:val="00AC0870"/>
    <w:rsid w:val="00AC11C7"/>
    <w:rsid w:val="00AC166A"/>
    <w:rsid w:val="00AC190A"/>
    <w:rsid w:val="00AC1B17"/>
    <w:rsid w:val="00AC27E2"/>
    <w:rsid w:val="00AC30A8"/>
    <w:rsid w:val="00AC390B"/>
    <w:rsid w:val="00AC3DD4"/>
    <w:rsid w:val="00AC4291"/>
    <w:rsid w:val="00AC4581"/>
    <w:rsid w:val="00AC4B70"/>
    <w:rsid w:val="00AC540D"/>
    <w:rsid w:val="00AC576D"/>
    <w:rsid w:val="00AC5F88"/>
    <w:rsid w:val="00AC6391"/>
    <w:rsid w:val="00AC6D25"/>
    <w:rsid w:val="00AC7750"/>
    <w:rsid w:val="00AC7B96"/>
    <w:rsid w:val="00AC7C3D"/>
    <w:rsid w:val="00AD03E9"/>
    <w:rsid w:val="00AD0D05"/>
    <w:rsid w:val="00AD0D3B"/>
    <w:rsid w:val="00AD102F"/>
    <w:rsid w:val="00AD1316"/>
    <w:rsid w:val="00AD1388"/>
    <w:rsid w:val="00AD17DA"/>
    <w:rsid w:val="00AD19DB"/>
    <w:rsid w:val="00AD1D1D"/>
    <w:rsid w:val="00AD206C"/>
    <w:rsid w:val="00AD26D4"/>
    <w:rsid w:val="00AD27C1"/>
    <w:rsid w:val="00AD2F26"/>
    <w:rsid w:val="00AD2FE0"/>
    <w:rsid w:val="00AD30DB"/>
    <w:rsid w:val="00AD355C"/>
    <w:rsid w:val="00AD35E4"/>
    <w:rsid w:val="00AD3FE3"/>
    <w:rsid w:val="00AD447E"/>
    <w:rsid w:val="00AD480B"/>
    <w:rsid w:val="00AD4DBB"/>
    <w:rsid w:val="00AD55ED"/>
    <w:rsid w:val="00AD564B"/>
    <w:rsid w:val="00AD587B"/>
    <w:rsid w:val="00AD5A4D"/>
    <w:rsid w:val="00AD5A60"/>
    <w:rsid w:val="00AD5B70"/>
    <w:rsid w:val="00AD5C72"/>
    <w:rsid w:val="00AD69A7"/>
    <w:rsid w:val="00AD6C21"/>
    <w:rsid w:val="00AD6EAF"/>
    <w:rsid w:val="00AD7AE8"/>
    <w:rsid w:val="00AE0136"/>
    <w:rsid w:val="00AE0283"/>
    <w:rsid w:val="00AE061E"/>
    <w:rsid w:val="00AE0ACE"/>
    <w:rsid w:val="00AE11EB"/>
    <w:rsid w:val="00AE121C"/>
    <w:rsid w:val="00AE1AFB"/>
    <w:rsid w:val="00AE21B6"/>
    <w:rsid w:val="00AE2655"/>
    <w:rsid w:val="00AE299C"/>
    <w:rsid w:val="00AE2F2C"/>
    <w:rsid w:val="00AE3048"/>
    <w:rsid w:val="00AE32EA"/>
    <w:rsid w:val="00AE33E2"/>
    <w:rsid w:val="00AE3494"/>
    <w:rsid w:val="00AE3B49"/>
    <w:rsid w:val="00AE40EE"/>
    <w:rsid w:val="00AE4174"/>
    <w:rsid w:val="00AE43EA"/>
    <w:rsid w:val="00AE4683"/>
    <w:rsid w:val="00AE5E54"/>
    <w:rsid w:val="00AE5ED7"/>
    <w:rsid w:val="00AE60A8"/>
    <w:rsid w:val="00AE6385"/>
    <w:rsid w:val="00AE66AC"/>
    <w:rsid w:val="00AE6765"/>
    <w:rsid w:val="00AE68AD"/>
    <w:rsid w:val="00AE695C"/>
    <w:rsid w:val="00AE6C61"/>
    <w:rsid w:val="00AE6D87"/>
    <w:rsid w:val="00AE7860"/>
    <w:rsid w:val="00AE7864"/>
    <w:rsid w:val="00AF033C"/>
    <w:rsid w:val="00AF04ED"/>
    <w:rsid w:val="00AF0549"/>
    <w:rsid w:val="00AF0947"/>
    <w:rsid w:val="00AF09B6"/>
    <w:rsid w:val="00AF1978"/>
    <w:rsid w:val="00AF1C39"/>
    <w:rsid w:val="00AF1E0C"/>
    <w:rsid w:val="00AF1F5D"/>
    <w:rsid w:val="00AF24EF"/>
    <w:rsid w:val="00AF257B"/>
    <w:rsid w:val="00AF2810"/>
    <w:rsid w:val="00AF2E7D"/>
    <w:rsid w:val="00AF303E"/>
    <w:rsid w:val="00AF310A"/>
    <w:rsid w:val="00AF419C"/>
    <w:rsid w:val="00AF44D6"/>
    <w:rsid w:val="00AF4AC5"/>
    <w:rsid w:val="00AF5A1B"/>
    <w:rsid w:val="00AF5E5A"/>
    <w:rsid w:val="00AF63AE"/>
    <w:rsid w:val="00AF6620"/>
    <w:rsid w:val="00AF695A"/>
    <w:rsid w:val="00AF6C69"/>
    <w:rsid w:val="00AF6FF8"/>
    <w:rsid w:val="00AF6FFE"/>
    <w:rsid w:val="00AF742E"/>
    <w:rsid w:val="00AF7443"/>
    <w:rsid w:val="00AF7B5C"/>
    <w:rsid w:val="00AF7CE0"/>
    <w:rsid w:val="00B0035F"/>
    <w:rsid w:val="00B00570"/>
    <w:rsid w:val="00B00A25"/>
    <w:rsid w:val="00B00B4B"/>
    <w:rsid w:val="00B00ED8"/>
    <w:rsid w:val="00B015CF"/>
    <w:rsid w:val="00B025C9"/>
    <w:rsid w:val="00B02937"/>
    <w:rsid w:val="00B0396D"/>
    <w:rsid w:val="00B03A97"/>
    <w:rsid w:val="00B04BDF"/>
    <w:rsid w:val="00B050E0"/>
    <w:rsid w:val="00B063A8"/>
    <w:rsid w:val="00B06AD0"/>
    <w:rsid w:val="00B06C10"/>
    <w:rsid w:val="00B06DE1"/>
    <w:rsid w:val="00B0743C"/>
    <w:rsid w:val="00B075C0"/>
    <w:rsid w:val="00B07784"/>
    <w:rsid w:val="00B100CF"/>
    <w:rsid w:val="00B10156"/>
    <w:rsid w:val="00B10F20"/>
    <w:rsid w:val="00B11164"/>
    <w:rsid w:val="00B118C4"/>
    <w:rsid w:val="00B11D10"/>
    <w:rsid w:val="00B11D4F"/>
    <w:rsid w:val="00B12329"/>
    <w:rsid w:val="00B12435"/>
    <w:rsid w:val="00B124AD"/>
    <w:rsid w:val="00B12AD4"/>
    <w:rsid w:val="00B12DEC"/>
    <w:rsid w:val="00B13101"/>
    <w:rsid w:val="00B1358B"/>
    <w:rsid w:val="00B13870"/>
    <w:rsid w:val="00B13D73"/>
    <w:rsid w:val="00B13D78"/>
    <w:rsid w:val="00B1424C"/>
    <w:rsid w:val="00B14695"/>
    <w:rsid w:val="00B14805"/>
    <w:rsid w:val="00B14CB4"/>
    <w:rsid w:val="00B14F81"/>
    <w:rsid w:val="00B1505B"/>
    <w:rsid w:val="00B153E2"/>
    <w:rsid w:val="00B15A8C"/>
    <w:rsid w:val="00B1640D"/>
    <w:rsid w:val="00B16B8B"/>
    <w:rsid w:val="00B16E88"/>
    <w:rsid w:val="00B171BF"/>
    <w:rsid w:val="00B17791"/>
    <w:rsid w:val="00B179BA"/>
    <w:rsid w:val="00B20369"/>
    <w:rsid w:val="00B209D3"/>
    <w:rsid w:val="00B2111B"/>
    <w:rsid w:val="00B2156C"/>
    <w:rsid w:val="00B21A12"/>
    <w:rsid w:val="00B2205D"/>
    <w:rsid w:val="00B22366"/>
    <w:rsid w:val="00B22703"/>
    <w:rsid w:val="00B2274B"/>
    <w:rsid w:val="00B22E94"/>
    <w:rsid w:val="00B22F0C"/>
    <w:rsid w:val="00B23224"/>
    <w:rsid w:val="00B23436"/>
    <w:rsid w:val="00B24367"/>
    <w:rsid w:val="00B247A8"/>
    <w:rsid w:val="00B24913"/>
    <w:rsid w:val="00B249E4"/>
    <w:rsid w:val="00B24CB2"/>
    <w:rsid w:val="00B2522A"/>
    <w:rsid w:val="00B256C7"/>
    <w:rsid w:val="00B2594C"/>
    <w:rsid w:val="00B25A9F"/>
    <w:rsid w:val="00B264ED"/>
    <w:rsid w:val="00B26F11"/>
    <w:rsid w:val="00B27479"/>
    <w:rsid w:val="00B3015F"/>
    <w:rsid w:val="00B301F7"/>
    <w:rsid w:val="00B308C9"/>
    <w:rsid w:val="00B30BFA"/>
    <w:rsid w:val="00B31C44"/>
    <w:rsid w:val="00B334D6"/>
    <w:rsid w:val="00B33BF4"/>
    <w:rsid w:val="00B345A3"/>
    <w:rsid w:val="00B34C48"/>
    <w:rsid w:val="00B35598"/>
    <w:rsid w:val="00B35712"/>
    <w:rsid w:val="00B358B6"/>
    <w:rsid w:val="00B36288"/>
    <w:rsid w:val="00B362E4"/>
    <w:rsid w:val="00B373DA"/>
    <w:rsid w:val="00B37461"/>
    <w:rsid w:val="00B37575"/>
    <w:rsid w:val="00B37A4C"/>
    <w:rsid w:val="00B37CE7"/>
    <w:rsid w:val="00B40086"/>
    <w:rsid w:val="00B40169"/>
    <w:rsid w:val="00B40774"/>
    <w:rsid w:val="00B407F0"/>
    <w:rsid w:val="00B415C3"/>
    <w:rsid w:val="00B41C25"/>
    <w:rsid w:val="00B41C2A"/>
    <w:rsid w:val="00B41D3D"/>
    <w:rsid w:val="00B42133"/>
    <w:rsid w:val="00B423E2"/>
    <w:rsid w:val="00B424D5"/>
    <w:rsid w:val="00B43A89"/>
    <w:rsid w:val="00B43D65"/>
    <w:rsid w:val="00B43EED"/>
    <w:rsid w:val="00B442FD"/>
    <w:rsid w:val="00B445B8"/>
    <w:rsid w:val="00B44E89"/>
    <w:rsid w:val="00B45073"/>
    <w:rsid w:val="00B458E7"/>
    <w:rsid w:val="00B45D2D"/>
    <w:rsid w:val="00B45DB6"/>
    <w:rsid w:val="00B45E5C"/>
    <w:rsid w:val="00B46F14"/>
    <w:rsid w:val="00B475CD"/>
    <w:rsid w:val="00B4776D"/>
    <w:rsid w:val="00B50E0E"/>
    <w:rsid w:val="00B518AB"/>
    <w:rsid w:val="00B51B8F"/>
    <w:rsid w:val="00B51BC5"/>
    <w:rsid w:val="00B51D99"/>
    <w:rsid w:val="00B522C7"/>
    <w:rsid w:val="00B54228"/>
    <w:rsid w:val="00B5429C"/>
    <w:rsid w:val="00B54501"/>
    <w:rsid w:val="00B549DF"/>
    <w:rsid w:val="00B550B4"/>
    <w:rsid w:val="00B55369"/>
    <w:rsid w:val="00B55951"/>
    <w:rsid w:val="00B561CC"/>
    <w:rsid w:val="00B56279"/>
    <w:rsid w:val="00B565FD"/>
    <w:rsid w:val="00B572FA"/>
    <w:rsid w:val="00B573F7"/>
    <w:rsid w:val="00B57429"/>
    <w:rsid w:val="00B57870"/>
    <w:rsid w:val="00B57E32"/>
    <w:rsid w:val="00B60110"/>
    <w:rsid w:val="00B6014F"/>
    <w:rsid w:val="00B6042B"/>
    <w:rsid w:val="00B607FD"/>
    <w:rsid w:val="00B61C27"/>
    <w:rsid w:val="00B61D77"/>
    <w:rsid w:val="00B61F5F"/>
    <w:rsid w:val="00B621B9"/>
    <w:rsid w:val="00B62719"/>
    <w:rsid w:val="00B62BE6"/>
    <w:rsid w:val="00B63219"/>
    <w:rsid w:val="00B6325B"/>
    <w:rsid w:val="00B63BE8"/>
    <w:rsid w:val="00B64C2D"/>
    <w:rsid w:val="00B64C97"/>
    <w:rsid w:val="00B6507A"/>
    <w:rsid w:val="00B65103"/>
    <w:rsid w:val="00B663D7"/>
    <w:rsid w:val="00B66A3B"/>
    <w:rsid w:val="00B670DE"/>
    <w:rsid w:val="00B676D9"/>
    <w:rsid w:val="00B67752"/>
    <w:rsid w:val="00B67BC9"/>
    <w:rsid w:val="00B67F3C"/>
    <w:rsid w:val="00B70073"/>
    <w:rsid w:val="00B7026D"/>
    <w:rsid w:val="00B70407"/>
    <w:rsid w:val="00B70816"/>
    <w:rsid w:val="00B708AB"/>
    <w:rsid w:val="00B70C44"/>
    <w:rsid w:val="00B70D60"/>
    <w:rsid w:val="00B70F61"/>
    <w:rsid w:val="00B71C60"/>
    <w:rsid w:val="00B720AE"/>
    <w:rsid w:val="00B720D9"/>
    <w:rsid w:val="00B7267D"/>
    <w:rsid w:val="00B72749"/>
    <w:rsid w:val="00B72781"/>
    <w:rsid w:val="00B7278C"/>
    <w:rsid w:val="00B72C9C"/>
    <w:rsid w:val="00B73F4D"/>
    <w:rsid w:val="00B742FA"/>
    <w:rsid w:val="00B74326"/>
    <w:rsid w:val="00B745AE"/>
    <w:rsid w:val="00B74CA9"/>
    <w:rsid w:val="00B755E3"/>
    <w:rsid w:val="00B75F40"/>
    <w:rsid w:val="00B7670C"/>
    <w:rsid w:val="00B76904"/>
    <w:rsid w:val="00B769A9"/>
    <w:rsid w:val="00B76D09"/>
    <w:rsid w:val="00B8018D"/>
    <w:rsid w:val="00B8054F"/>
    <w:rsid w:val="00B80B7A"/>
    <w:rsid w:val="00B80C4B"/>
    <w:rsid w:val="00B80E20"/>
    <w:rsid w:val="00B80F10"/>
    <w:rsid w:val="00B811D9"/>
    <w:rsid w:val="00B819F6"/>
    <w:rsid w:val="00B81C58"/>
    <w:rsid w:val="00B8226F"/>
    <w:rsid w:val="00B834DE"/>
    <w:rsid w:val="00B836B2"/>
    <w:rsid w:val="00B84504"/>
    <w:rsid w:val="00B84ACB"/>
    <w:rsid w:val="00B851D3"/>
    <w:rsid w:val="00B85428"/>
    <w:rsid w:val="00B85557"/>
    <w:rsid w:val="00B8569B"/>
    <w:rsid w:val="00B858ED"/>
    <w:rsid w:val="00B85B3C"/>
    <w:rsid w:val="00B85F34"/>
    <w:rsid w:val="00B85FB3"/>
    <w:rsid w:val="00B8620F"/>
    <w:rsid w:val="00B86550"/>
    <w:rsid w:val="00B86579"/>
    <w:rsid w:val="00B86A6E"/>
    <w:rsid w:val="00B86ABF"/>
    <w:rsid w:val="00B870C2"/>
    <w:rsid w:val="00B87E21"/>
    <w:rsid w:val="00B9002C"/>
    <w:rsid w:val="00B9083B"/>
    <w:rsid w:val="00B91EA3"/>
    <w:rsid w:val="00B91FA7"/>
    <w:rsid w:val="00B9229E"/>
    <w:rsid w:val="00B923D7"/>
    <w:rsid w:val="00B92574"/>
    <w:rsid w:val="00B93175"/>
    <w:rsid w:val="00B93392"/>
    <w:rsid w:val="00B937D5"/>
    <w:rsid w:val="00B93806"/>
    <w:rsid w:val="00B944C4"/>
    <w:rsid w:val="00B9455F"/>
    <w:rsid w:val="00B950E3"/>
    <w:rsid w:val="00B95724"/>
    <w:rsid w:val="00B95F64"/>
    <w:rsid w:val="00B96555"/>
    <w:rsid w:val="00B9667A"/>
    <w:rsid w:val="00B96BA4"/>
    <w:rsid w:val="00B970B0"/>
    <w:rsid w:val="00B97595"/>
    <w:rsid w:val="00B97DE3"/>
    <w:rsid w:val="00B97E0E"/>
    <w:rsid w:val="00B97EC6"/>
    <w:rsid w:val="00BA045F"/>
    <w:rsid w:val="00BA0D57"/>
    <w:rsid w:val="00BA11D5"/>
    <w:rsid w:val="00BA138C"/>
    <w:rsid w:val="00BA1720"/>
    <w:rsid w:val="00BA178D"/>
    <w:rsid w:val="00BA186A"/>
    <w:rsid w:val="00BA260A"/>
    <w:rsid w:val="00BA3371"/>
    <w:rsid w:val="00BA355B"/>
    <w:rsid w:val="00BA36F6"/>
    <w:rsid w:val="00BA382D"/>
    <w:rsid w:val="00BA3A03"/>
    <w:rsid w:val="00BA3BBB"/>
    <w:rsid w:val="00BA3EED"/>
    <w:rsid w:val="00BA4158"/>
    <w:rsid w:val="00BA42F8"/>
    <w:rsid w:val="00BA4361"/>
    <w:rsid w:val="00BA48A0"/>
    <w:rsid w:val="00BA49CA"/>
    <w:rsid w:val="00BA55C9"/>
    <w:rsid w:val="00BA56E0"/>
    <w:rsid w:val="00BA5841"/>
    <w:rsid w:val="00BA5A2D"/>
    <w:rsid w:val="00BA5C3C"/>
    <w:rsid w:val="00BA61FF"/>
    <w:rsid w:val="00BA6447"/>
    <w:rsid w:val="00BA6707"/>
    <w:rsid w:val="00BA6B78"/>
    <w:rsid w:val="00BA6DCD"/>
    <w:rsid w:val="00BA7080"/>
    <w:rsid w:val="00BA7504"/>
    <w:rsid w:val="00BA7CB3"/>
    <w:rsid w:val="00BB01F6"/>
    <w:rsid w:val="00BB074C"/>
    <w:rsid w:val="00BB0948"/>
    <w:rsid w:val="00BB184C"/>
    <w:rsid w:val="00BB2954"/>
    <w:rsid w:val="00BB2AE8"/>
    <w:rsid w:val="00BB35EF"/>
    <w:rsid w:val="00BB38F1"/>
    <w:rsid w:val="00BB3970"/>
    <w:rsid w:val="00BB4147"/>
    <w:rsid w:val="00BB41A1"/>
    <w:rsid w:val="00BB43AB"/>
    <w:rsid w:val="00BB43F5"/>
    <w:rsid w:val="00BB491D"/>
    <w:rsid w:val="00BB4E56"/>
    <w:rsid w:val="00BB5230"/>
    <w:rsid w:val="00BB5557"/>
    <w:rsid w:val="00BB5DD7"/>
    <w:rsid w:val="00BB6C25"/>
    <w:rsid w:val="00BB6C45"/>
    <w:rsid w:val="00BB6D3E"/>
    <w:rsid w:val="00BB6DDA"/>
    <w:rsid w:val="00BB6DFB"/>
    <w:rsid w:val="00BB6FE8"/>
    <w:rsid w:val="00BB7184"/>
    <w:rsid w:val="00BB71E0"/>
    <w:rsid w:val="00BB7635"/>
    <w:rsid w:val="00BB7F07"/>
    <w:rsid w:val="00BC035A"/>
    <w:rsid w:val="00BC0469"/>
    <w:rsid w:val="00BC0632"/>
    <w:rsid w:val="00BC0882"/>
    <w:rsid w:val="00BC0B78"/>
    <w:rsid w:val="00BC0CE9"/>
    <w:rsid w:val="00BC17CD"/>
    <w:rsid w:val="00BC1EFF"/>
    <w:rsid w:val="00BC26B3"/>
    <w:rsid w:val="00BC2A6F"/>
    <w:rsid w:val="00BC2A96"/>
    <w:rsid w:val="00BC359B"/>
    <w:rsid w:val="00BC3769"/>
    <w:rsid w:val="00BC3F1C"/>
    <w:rsid w:val="00BC518F"/>
    <w:rsid w:val="00BC51F0"/>
    <w:rsid w:val="00BC542E"/>
    <w:rsid w:val="00BC5622"/>
    <w:rsid w:val="00BC5672"/>
    <w:rsid w:val="00BC5E2D"/>
    <w:rsid w:val="00BC64DB"/>
    <w:rsid w:val="00BC64F5"/>
    <w:rsid w:val="00BC660B"/>
    <w:rsid w:val="00BC6BC6"/>
    <w:rsid w:val="00BC6CC4"/>
    <w:rsid w:val="00BC6CC8"/>
    <w:rsid w:val="00BC6FC5"/>
    <w:rsid w:val="00BC762E"/>
    <w:rsid w:val="00BC76F1"/>
    <w:rsid w:val="00BC78D8"/>
    <w:rsid w:val="00BC79AF"/>
    <w:rsid w:val="00BC79CD"/>
    <w:rsid w:val="00BD0235"/>
    <w:rsid w:val="00BD0A0B"/>
    <w:rsid w:val="00BD178B"/>
    <w:rsid w:val="00BD1A26"/>
    <w:rsid w:val="00BD1DBA"/>
    <w:rsid w:val="00BD2D3F"/>
    <w:rsid w:val="00BD3442"/>
    <w:rsid w:val="00BD3647"/>
    <w:rsid w:val="00BD36BC"/>
    <w:rsid w:val="00BD3831"/>
    <w:rsid w:val="00BD3F5B"/>
    <w:rsid w:val="00BD4346"/>
    <w:rsid w:val="00BD43BD"/>
    <w:rsid w:val="00BD4633"/>
    <w:rsid w:val="00BD4957"/>
    <w:rsid w:val="00BD4A3A"/>
    <w:rsid w:val="00BD4E83"/>
    <w:rsid w:val="00BD5288"/>
    <w:rsid w:val="00BD52CF"/>
    <w:rsid w:val="00BD5E16"/>
    <w:rsid w:val="00BD5E1F"/>
    <w:rsid w:val="00BD5E5E"/>
    <w:rsid w:val="00BD6166"/>
    <w:rsid w:val="00BD6208"/>
    <w:rsid w:val="00BD63F9"/>
    <w:rsid w:val="00BD66E9"/>
    <w:rsid w:val="00BD6C77"/>
    <w:rsid w:val="00BD6CCC"/>
    <w:rsid w:val="00BD7007"/>
    <w:rsid w:val="00BD76AE"/>
    <w:rsid w:val="00BD78C0"/>
    <w:rsid w:val="00BE0106"/>
    <w:rsid w:val="00BE0347"/>
    <w:rsid w:val="00BE054F"/>
    <w:rsid w:val="00BE0AB3"/>
    <w:rsid w:val="00BE0F64"/>
    <w:rsid w:val="00BE1159"/>
    <w:rsid w:val="00BE13FF"/>
    <w:rsid w:val="00BE1954"/>
    <w:rsid w:val="00BE1A7F"/>
    <w:rsid w:val="00BE30A0"/>
    <w:rsid w:val="00BE3B25"/>
    <w:rsid w:val="00BE3E06"/>
    <w:rsid w:val="00BE3F62"/>
    <w:rsid w:val="00BE4C9B"/>
    <w:rsid w:val="00BE5ACF"/>
    <w:rsid w:val="00BE62FE"/>
    <w:rsid w:val="00BE6519"/>
    <w:rsid w:val="00BE669D"/>
    <w:rsid w:val="00BE6A00"/>
    <w:rsid w:val="00BE6C92"/>
    <w:rsid w:val="00BE6D1C"/>
    <w:rsid w:val="00BE6F4C"/>
    <w:rsid w:val="00BE7056"/>
    <w:rsid w:val="00BE7791"/>
    <w:rsid w:val="00BE7BFF"/>
    <w:rsid w:val="00BF03E7"/>
    <w:rsid w:val="00BF0675"/>
    <w:rsid w:val="00BF0683"/>
    <w:rsid w:val="00BF06B5"/>
    <w:rsid w:val="00BF1077"/>
    <w:rsid w:val="00BF1194"/>
    <w:rsid w:val="00BF18DA"/>
    <w:rsid w:val="00BF1B46"/>
    <w:rsid w:val="00BF23CB"/>
    <w:rsid w:val="00BF24E1"/>
    <w:rsid w:val="00BF2B73"/>
    <w:rsid w:val="00BF2D5B"/>
    <w:rsid w:val="00BF2F78"/>
    <w:rsid w:val="00BF36EC"/>
    <w:rsid w:val="00BF3948"/>
    <w:rsid w:val="00BF40B5"/>
    <w:rsid w:val="00BF4D96"/>
    <w:rsid w:val="00BF4ED2"/>
    <w:rsid w:val="00BF54F7"/>
    <w:rsid w:val="00BF57B9"/>
    <w:rsid w:val="00BF5875"/>
    <w:rsid w:val="00BF5FEF"/>
    <w:rsid w:val="00BF6001"/>
    <w:rsid w:val="00BF68D9"/>
    <w:rsid w:val="00BF729D"/>
    <w:rsid w:val="00BF734D"/>
    <w:rsid w:val="00BF752D"/>
    <w:rsid w:val="00C001DF"/>
    <w:rsid w:val="00C00600"/>
    <w:rsid w:val="00C0072A"/>
    <w:rsid w:val="00C0078C"/>
    <w:rsid w:val="00C00D3C"/>
    <w:rsid w:val="00C021D1"/>
    <w:rsid w:val="00C0290F"/>
    <w:rsid w:val="00C02EBD"/>
    <w:rsid w:val="00C03588"/>
    <w:rsid w:val="00C03EC8"/>
    <w:rsid w:val="00C04C35"/>
    <w:rsid w:val="00C052E3"/>
    <w:rsid w:val="00C05793"/>
    <w:rsid w:val="00C061E4"/>
    <w:rsid w:val="00C062DB"/>
    <w:rsid w:val="00C06787"/>
    <w:rsid w:val="00C0679F"/>
    <w:rsid w:val="00C06931"/>
    <w:rsid w:val="00C06A1D"/>
    <w:rsid w:val="00C06BCD"/>
    <w:rsid w:val="00C076B2"/>
    <w:rsid w:val="00C07FD9"/>
    <w:rsid w:val="00C10888"/>
    <w:rsid w:val="00C10C6B"/>
    <w:rsid w:val="00C11066"/>
    <w:rsid w:val="00C1178D"/>
    <w:rsid w:val="00C12012"/>
    <w:rsid w:val="00C12161"/>
    <w:rsid w:val="00C122DF"/>
    <w:rsid w:val="00C1360F"/>
    <w:rsid w:val="00C13AF4"/>
    <w:rsid w:val="00C13FAA"/>
    <w:rsid w:val="00C14156"/>
    <w:rsid w:val="00C14235"/>
    <w:rsid w:val="00C14671"/>
    <w:rsid w:val="00C1491D"/>
    <w:rsid w:val="00C14A79"/>
    <w:rsid w:val="00C14C87"/>
    <w:rsid w:val="00C15045"/>
    <w:rsid w:val="00C1583D"/>
    <w:rsid w:val="00C15E54"/>
    <w:rsid w:val="00C160D2"/>
    <w:rsid w:val="00C16460"/>
    <w:rsid w:val="00C16EE7"/>
    <w:rsid w:val="00C16FC8"/>
    <w:rsid w:val="00C17D7E"/>
    <w:rsid w:val="00C17EA6"/>
    <w:rsid w:val="00C20256"/>
    <w:rsid w:val="00C205A7"/>
    <w:rsid w:val="00C20C23"/>
    <w:rsid w:val="00C20C72"/>
    <w:rsid w:val="00C20CDC"/>
    <w:rsid w:val="00C20EC1"/>
    <w:rsid w:val="00C20EC5"/>
    <w:rsid w:val="00C21C8A"/>
    <w:rsid w:val="00C22940"/>
    <w:rsid w:val="00C22D52"/>
    <w:rsid w:val="00C233C4"/>
    <w:rsid w:val="00C236FB"/>
    <w:rsid w:val="00C237BA"/>
    <w:rsid w:val="00C237E3"/>
    <w:rsid w:val="00C242CE"/>
    <w:rsid w:val="00C244D1"/>
    <w:rsid w:val="00C2473F"/>
    <w:rsid w:val="00C24A5C"/>
    <w:rsid w:val="00C24CF7"/>
    <w:rsid w:val="00C253F0"/>
    <w:rsid w:val="00C2586C"/>
    <w:rsid w:val="00C25905"/>
    <w:rsid w:val="00C25AEA"/>
    <w:rsid w:val="00C25F29"/>
    <w:rsid w:val="00C25FB0"/>
    <w:rsid w:val="00C2707C"/>
    <w:rsid w:val="00C27520"/>
    <w:rsid w:val="00C27D59"/>
    <w:rsid w:val="00C27DA6"/>
    <w:rsid w:val="00C27F93"/>
    <w:rsid w:val="00C3006A"/>
    <w:rsid w:val="00C30680"/>
    <w:rsid w:val="00C307DB"/>
    <w:rsid w:val="00C3092C"/>
    <w:rsid w:val="00C309FA"/>
    <w:rsid w:val="00C30E6B"/>
    <w:rsid w:val="00C3119E"/>
    <w:rsid w:val="00C314D2"/>
    <w:rsid w:val="00C31840"/>
    <w:rsid w:val="00C31DD2"/>
    <w:rsid w:val="00C31F6B"/>
    <w:rsid w:val="00C31F96"/>
    <w:rsid w:val="00C32291"/>
    <w:rsid w:val="00C32348"/>
    <w:rsid w:val="00C32400"/>
    <w:rsid w:val="00C327FF"/>
    <w:rsid w:val="00C32C75"/>
    <w:rsid w:val="00C334F6"/>
    <w:rsid w:val="00C342CE"/>
    <w:rsid w:val="00C35022"/>
    <w:rsid w:val="00C350B2"/>
    <w:rsid w:val="00C350C1"/>
    <w:rsid w:val="00C3538F"/>
    <w:rsid w:val="00C359B4"/>
    <w:rsid w:val="00C35F3C"/>
    <w:rsid w:val="00C362A4"/>
    <w:rsid w:val="00C36DAF"/>
    <w:rsid w:val="00C37569"/>
    <w:rsid w:val="00C4025A"/>
    <w:rsid w:val="00C40725"/>
    <w:rsid w:val="00C40A26"/>
    <w:rsid w:val="00C40B41"/>
    <w:rsid w:val="00C410C8"/>
    <w:rsid w:val="00C411EB"/>
    <w:rsid w:val="00C414B0"/>
    <w:rsid w:val="00C4191E"/>
    <w:rsid w:val="00C4217B"/>
    <w:rsid w:val="00C426A7"/>
    <w:rsid w:val="00C426A9"/>
    <w:rsid w:val="00C426B2"/>
    <w:rsid w:val="00C429CC"/>
    <w:rsid w:val="00C437C4"/>
    <w:rsid w:val="00C443C9"/>
    <w:rsid w:val="00C447BC"/>
    <w:rsid w:val="00C4492B"/>
    <w:rsid w:val="00C449E3"/>
    <w:rsid w:val="00C44E38"/>
    <w:rsid w:val="00C44E7B"/>
    <w:rsid w:val="00C455FF"/>
    <w:rsid w:val="00C45760"/>
    <w:rsid w:val="00C45877"/>
    <w:rsid w:val="00C45EC5"/>
    <w:rsid w:val="00C4607F"/>
    <w:rsid w:val="00C460E3"/>
    <w:rsid w:val="00C462FC"/>
    <w:rsid w:val="00C464EE"/>
    <w:rsid w:val="00C47090"/>
    <w:rsid w:val="00C47118"/>
    <w:rsid w:val="00C4744B"/>
    <w:rsid w:val="00C47521"/>
    <w:rsid w:val="00C476A7"/>
    <w:rsid w:val="00C47CA6"/>
    <w:rsid w:val="00C47D4A"/>
    <w:rsid w:val="00C50711"/>
    <w:rsid w:val="00C508A8"/>
    <w:rsid w:val="00C509AC"/>
    <w:rsid w:val="00C50E16"/>
    <w:rsid w:val="00C517A4"/>
    <w:rsid w:val="00C519D4"/>
    <w:rsid w:val="00C51AE3"/>
    <w:rsid w:val="00C51B4F"/>
    <w:rsid w:val="00C51C31"/>
    <w:rsid w:val="00C51E0D"/>
    <w:rsid w:val="00C5220E"/>
    <w:rsid w:val="00C52359"/>
    <w:rsid w:val="00C5236D"/>
    <w:rsid w:val="00C526DB"/>
    <w:rsid w:val="00C53BCC"/>
    <w:rsid w:val="00C53C28"/>
    <w:rsid w:val="00C5448E"/>
    <w:rsid w:val="00C551B9"/>
    <w:rsid w:val="00C552F5"/>
    <w:rsid w:val="00C55653"/>
    <w:rsid w:val="00C55AB0"/>
    <w:rsid w:val="00C56712"/>
    <w:rsid w:val="00C56990"/>
    <w:rsid w:val="00C56BCE"/>
    <w:rsid w:val="00C56CE3"/>
    <w:rsid w:val="00C56E13"/>
    <w:rsid w:val="00C56EE5"/>
    <w:rsid w:val="00C57045"/>
    <w:rsid w:val="00C573DF"/>
    <w:rsid w:val="00C5747A"/>
    <w:rsid w:val="00C5776C"/>
    <w:rsid w:val="00C579BA"/>
    <w:rsid w:val="00C57EC9"/>
    <w:rsid w:val="00C57FDF"/>
    <w:rsid w:val="00C60B47"/>
    <w:rsid w:val="00C612C5"/>
    <w:rsid w:val="00C61BDF"/>
    <w:rsid w:val="00C622D1"/>
    <w:rsid w:val="00C62A17"/>
    <w:rsid w:val="00C62C21"/>
    <w:rsid w:val="00C62D12"/>
    <w:rsid w:val="00C63184"/>
    <w:rsid w:val="00C6318B"/>
    <w:rsid w:val="00C631D8"/>
    <w:rsid w:val="00C632ED"/>
    <w:rsid w:val="00C63352"/>
    <w:rsid w:val="00C6361B"/>
    <w:rsid w:val="00C63913"/>
    <w:rsid w:val="00C63A77"/>
    <w:rsid w:val="00C63C97"/>
    <w:rsid w:val="00C63CB7"/>
    <w:rsid w:val="00C63D42"/>
    <w:rsid w:val="00C63DDA"/>
    <w:rsid w:val="00C64245"/>
    <w:rsid w:val="00C64B51"/>
    <w:rsid w:val="00C64DEE"/>
    <w:rsid w:val="00C6512B"/>
    <w:rsid w:val="00C65E79"/>
    <w:rsid w:val="00C66223"/>
    <w:rsid w:val="00C66322"/>
    <w:rsid w:val="00C665CE"/>
    <w:rsid w:val="00C66E74"/>
    <w:rsid w:val="00C678FC"/>
    <w:rsid w:val="00C67BA6"/>
    <w:rsid w:val="00C70023"/>
    <w:rsid w:val="00C707E2"/>
    <w:rsid w:val="00C710F0"/>
    <w:rsid w:val="00C712BB"/>
    <w:rsid w:val="00C71EAE"/>
    <w:rsid w:val="00C722BD"/>
    <w:rsid w:val="00C723FE"/>
    <w:rsid w:val="00C72AD0"/>
    <w:rsid w:val="00C73185"/>
    <w:rsid w:val="00C7337A"/>
    <w:rsid w:val="00C73564"/>
    <w:rsid w:val="00C74539"/>
    <w:rsid w:val="00C74CE4"/>
    <w:rsid w:val="00C75566"/>
    <w:rsid w:val="00C75D24"/>
    <w:rsid w:val="00C75E5C"/>
    <w:rsid w:val="00C75FEE"/>
    <w:rsid w:val="00C76745"/>
    <w:rsid w:val="00C7709A"/>
    <w:rsid w:val="00C775A5"/>
    <w:rsid w:val="00C77C02"/>
    <w:rsid w:val="00C77D3F"/>
    <w:rsid w:val="00C80080"/>
    <w:rsid w:val="00C80CE6"/>
    <w:rsid w:val="00C8100B"/>
    <w:rsid w:val="00C815A7"/>
    <w:rsid w:val="00C81E99"/>
    <w:rsid w:val="00C81F40"/>
    <w:rsid w:val="00C82310"/>
    <w:rsid w:val="00C8242C"/>
    <w:rsid w:val="00C82925"/>
    <w:rsid w:val="00C83DFF"/>
    <w:rsid w:val="00C84905"/>
    <w:rsid w:val="00C84B65"/>
    <w:rsid w:val="00C85167"/>
    <w:rsid w:val="00C85677"/>
    <w:rsid w:val="00C86A00"/>
    <w:rsid w:val="00C86A6F"/>
    <w:rsid w:val="00C86FA7"/>
    <w:rsid w:val="00C87033"/>
    <w:rsid w:val="00C8703C"/>
    <w:rsid w:val="00C87EAA"/>
    <w:rsid w:val="00C90094"/>
    <w:rsid w:val="00C90525"/>
    <w:rsid w:val="00C90665"/>
    <w:rsid w:val="00C90E58"/>
    <w:rsid w:val="00C9198E"/>
    <w:rsid w:val="00C9213E"/>
    <w:rsid w:val="00C92240"/>
    <w:rsid w:val="00C92599"/>
    <w:rsid w:val="00C9262E"/>
    <w:rsid w:val="00C92ABF"/>
    <w:rsid w:val="00C9320D"/>
    <w:rsid w:val="00C93697"/>
    <w:rsid w:val="00C94093"/>
    <w:rsid w:val="00C9416D"/>
    <w:rsid w:val="00C94A73"/>
    <w:rsid w:val="00C94BB8"/>
    <w:rsid w:val="00C94D9A"/>
    <w:rsid w:val="00C94EF9"/>
    <w:rsid w:val="00C9528E"/>
    <w:rsid w:val="00C957A2"/>
    <w:rsid w:val="00C96BD4"/>
    <w:rsid w:val="00C97988"/>
    <w:rsid w:val="00C97A56"/>
    <w:rsid w:val="00CA0C3D"/>
    <w:rsid w:val="00CA0D03"/>
    <w:rsid w:val="00CA0ED8"/>
    <w:rsid w:val="00CA0EF7"/>
    <w:rsid w:val="00CA1046"/>
    <w:rsid w:val="00CA12EB"/>
    <w:rsid w:val="00CA12FB"/>
    <w:rsid w:val="00CA1611"/>
    <w:rsid w:val="00CA172E"/>
    <w:rsid w:val="00CA217D"/>
    <w:rsid w:val="00CA244E"/>
    <w:rsid w:val="00CA29C6"/>
    <w:rsid w:val="00CA2AB3"/>
    <w:rsid w:val="00CA311B"/>
    <w:rsid w:val="00CA3122"/>
    <w:rsid w:val="00CA3E0F"/>
    <w:rsid w:val="00CA3FDE"/>
    <w:rsid w:val="00CA4C46"/>
    <w:rsid w:val="00CA4D6A"/>
    <w:rsid w:val="00CA58BE"/>
    <w:rsid w:val="00CA5EBD"/>
    <w:rsid w:val="00CA6331"/>
    <w:rsid w:val="00CA646A"/>
    <w:rsid w:val="00CA6542"/>
    <w:rsid w:val="00CA6B18"/>
    <w:rsid w:val="00CA7109"/>
    <w:rsid w:val="00CA725D"/>
    <w:rsid w:val="00CB0450"/>
    <w:rsid w:val="00CB0552"/>
    <w:rsid w:val="00CB05B7"/>
    <w:rsid w:val="00CB064B"/>
    <w:rsid w:val="00CB1AB7"/>
    <w:rsid w:val="00CB1F3C"/>
    <w:rsid w:val="00CB2868"/>
    <w:rsid w:val="00CB3204"/>
    <w:rsid w:val="00CB3649"/>
    <w:rsid w:val="00CB3AB6"/>
    <w:rsid w:val="00CB4172"/>
    <w:rsid w:val="00CB489D"/>
    <w:rsid w:val="00CB4A0D"/>
    <w:rsid w:val="00CB4B37"/>
    <w:rsid w:val="00CB5271"/>
    <w:rsid w:val="00CB5B04"/>
    <w:rsid w:val="00CB5CB1"/>
    <w:rsid w:val="00CB5CD7"/>
    <w:rsid w:val="00CB6CA9"/>
    <w:rsid w:val="00CB6EA5"/>
    <w:rsid w:val="00CB75D8"/>
    <w:rsid w:val="00CB7826"/>
    <w:rsid w:val="00CB7D9A"/>
    <w:rsid w:val="00CC0084"/>
    <w:rsid w:val="00CC0314"/>
    <w:rsid w:val="00CC03A4"/>
    <w:rsid w:val="00CC04F8"/>
    <w:rsid w:val="00CC060D"/>
    <w:rsid w:val="00CC065F"/>
    <w:rsid w:val="00CC0DB2"/>
    <w:rsid w:val="00CC0E71"/>
    <w:rsid w:val="00CC0EFC"/>
    <w:rsid w:val="00CC0F71"/>
    <w:rsid w:val="00CC10B5"/>
    <w:rsid w:val="00CC112E"/>
    <w:rsid w:val="00CC116D"/>
    <w:rsid w:val="00CC12BA"/>
    <w:rsid w:val="00CC1457"/>
    <w:rsid w:val="00CC1537"/>
    <w:rsid w:val="00CC1AE4"/>
    <w:rsid w:val="00CC219E"/>
    <w:rsid w:val="00CC22C7"/>
    <w:rsid w:val="00CC2831"/>
    <w:rsid w:val="00CC28C0"/>
    <w:rsid w:val="00CC2FA3"/>
    <w:rsid w:val="00CC3894"/>
    <w:rsid w:val="00CC3DC7"/>
    <w:rsid w:val="00CC4986"/>
    <w:rsid w:val="00CC4EA8"/>
    <w:rsid w:val="00CC4ED3"/>
    <w:rsid w:val="00CC5268"/>
    <w:rsid w:val="00CC534F"/>
    <w:rsid w:val="00CC5757"/>
    <w:rsid w:val="00CC5E1B"/>
    <w:rsid w:val="00CC606B"/>
    <w:rsid w:val="00CC6BBF"/>
    <w:rsid w:val="00CC720E"/>
    <w:rsid w:val="00CC7C2F"/>
    <w:rsid w:val="00CD06A7"/>
    <w:rsid w:val="00CD12B3"/>
    <w:rsid w:val="00CD132D"/>
    <w:rsid w:val="00CD1AF0"/>
    <w:rsid w:val="00CD1B27"/>
    <w:rsid w:val="00CD1D86"/>
    <w:rsid w:val="00CD1FBC"/>
    <w:rsid w:val="00CD22BA"/>
    <w:rsid w:val="00CD22E2"/>
    <w:rsid w:val="00CD2697"/>
    <w:rsid w:val="00CD2E1A"/>
    <w:rsid w:val="00CD359F"/>
    <w:rsid w:val="00CD3C2D"/>
    <w:rsid w:val="00CD3EA4"/>
    <w:rsid w:val="00CD4205"/>
    <w:rsid w:val="00CD4276"/>
    <w:rsid w:val="00CD4C36"/>
    <w:rsid w:val="00CD5287"/>
    <w:rsid w:val="00CD542D"/>
    <w:rsid w:val="00CD5DB5"/>
    <w:rsid w:val="00CD605B"/>
    <w:rsid w:val="00CD67AD"/>
    <w:rsid w:val="00CD6EB4"/>
    <w:rsid w:val="00CD6EBB"/>
    <w:rsid w:val="00CD6FFF"/>
    <w:rsid w:val="00CD7398"/>
    <w:rsid w:val="00CD7919"/>
    <w:rsid w:val="00CE0033"/>
    <w:rsid w:val="00CE0C11"/>
    <w:rsid w:val="00CE0EB0"/>
    <w:rsid w:val="00CE1445"/>
    <w:rsid w:val="00CE1511"/>
    <w:rsid w:val="00CE1540"/>
    <w:rsid w:val="00CE1783"/>
    <w:rsid w:val="00CE1936"/>
    <w:rsid w:val="00CE19E6"/>
    <w:rsid w:val="00CE1FA4"/>
    <w:rsid w:val="00CE255A"/>
    <w:rsid w:val="00CE26B1"/>
    <w:rsid w:val="00CE3189"/>
    <w:rsid w:val="00CE353F"/>
    <w:rsid w:val="00CE35BD"/>
    <w:rsid w:val="00CE391E"/>
    <w:rsid w:val="00CE3C01"/>
    <w:rsid w:val="00CE3FD3"/>
    <w:rsid w:val="00CE4509"/>
    <w:rsid w:val="00CE6054"/>
    <w:rsid w:val="00CE6359"/>
    <w:rsid w:val="00CE698B"/>
    <w:rsid w:val="00CE7057"/>
    <w:rsid w:val="00CE75E5"/>
    <w:rsid w:val="00CE7ACE"/>
    <w:rsid w:val="00CE7B71"/>
    <w:rsid w:val="00CE7C8B"/>
    <w:rsid w:val="00CE7F2F"/>
    <w:rsid w:val="00CF023D"/>
    <w:rsid w:val="00CF0325"/>
    <w:rsid w:val="00CF07BF"/>
    <w:rsid w:val="00CF0879"/>
    <w:rsid w:val="00CF10D7"/>
    <w:rsid w:val="00CF186E"/>
    <w:rsid w:val="00CF1902"/>
    <w:rsid w:val="00CF1A50"/>
    <w:rsid w:val="00CF1ACE"/>
    <w:rsid w:val="00CF2548"/>
    <w:rsid w:val="00CF2CF1"/>
    <w:rsid w:val="00CF350B"/>
    <w:rsid w:val="00CF3C26"/>
    <w:rsid w:val="00CF4004"/>
    <w:rsid w:val="00CF61B6"/>
    <w:rsid w:val="00CF6F6D"/>
    <w:rsid w:val="00CF720F"/>
    <w:rsid w:val="00CF757E"/>
    <w:rsid w:val="00CF76B6"/>
    <w:rsid w:val="00CF7971"/>
    <w:rsid w:val="00CF7995"/>
    <w:rsid w:val="00CF7A51"/>
    <w:rsid w:val="00CF7BAE"/>
    <w:rsid w:val="00D0000F"/>
    <w:rsid w:val="00D00612"/>
    <w:rsid w:val="00D00A02"/>
    <w:rsid w:val="00D00A7D"/>
    <w:rsid w:val="00D00AF6"/>
    <w:rsid w:val="00D00D3A"/>
    <w:rsid w:val="00D018F1"/>
    <w:rsid w:val="00D01BF6"/>
    <w:rsid w:val="00D01F26"/>
    <w:rsid w:val="00D020DB"/>
    <w:rsid w:val="00D02D37"/>
    <w:rsid w:val="00D03238"/>
    <w:rsid w:val="00D03539"/>
    <w:rsid w:val="00D0370A"/>
    <w:rsid w:val="00D03780"/>
    <w:rsid w:val="00D0395C"/>
    <w:rsid w:val="00D03B3E"/>
    <w:rsid w:val="00D03ED1"/>
    <w:rsid w:val="00D04314"/>
    <w:rsid w:val="00D047D2"/>
    <w:rsid w:val="00D04853"/>
    <w:rsid w:val="00D0486C"/>
    <w:rsid w:val="00D0499E"/>
    <w:rsid w:val="00D04C20"/>
    <w:rsid w:val="00D05A86"/>
    <w:rsid w:val="00D05B01"/>
    <w:rsid w:val="00D06B31"/>
    <w:rsid w:val="00D074C0"/>
    <w:rsid w:val="00D074F9"/>
    <w:rsid w:val="00D10055"/>
    <w:rsid w:val="00D10106"/>
    <w:rsid w:val="00D10567"/>
    <w:rsid w:val="00D10EC6"/>
    <w:rsid w:val="00D110E3"/>
    <w:rsid w:val="00D1113F"/>
    <w:rsid w:val="00D11947"/>
    <w:rsid w:val="00D12451"/>
    <w:rsid w:val="00D12EDC"/>
    <w:rsid w:val="00D13196"/>
    <w:rsid w:val="00D13580"/>
    <w:rsid w:val="00D136A0"/>
    <w:rsid w:val="00D139B4"/>
    <w:rsid w:val="00D14227"/>
    <w:rsid w:val="00D14666"/>
    <w:rsid w:val="00D148BD"/>
    <w:rsid w:val="00D14A16"/>
    <w:rsid w:val="00D14F18"/>
    <w:rsid w:val="00D1587E"/>
    <w:rsid w:val="00D15952"/>
    <w:rsid w:val="00D15DE7"/>
    <w:rsid w:val="00D1628F"/>
    <w:rsid w:val="00D16A9F"/>
    <w:rsid w:val="00D16DDA"/>
    <w:rsid w:val="00D16E7D"/>
    <w:rsid w:val="00D1701A"/>
    <w:rsid w:val="00D17317"/>
    <w:rsid w:val="00D17449"/>
    <w:rsid w:val="00D17868"/>
    <w:rsid w:val="00D17B0D"/>
    <w:rsid w:val="00D20B85"/>
    <w:rsid w:val="00D20CA2"/>
    <w:rsid w:val="00D21140"/>
    <w:rsid w:val="00D2141A"/>
    <w:rsid w:val="00D21622"/>
    <w:rsid w:val="00D21CCF"/>
    <w:rsid w:val="00D21F60"/>
    <w:rsid w:val="00D22258"/>
    <w:rsid w:val="00D2310B"/>
    <w:rsid w:val="00D23F9E"/>
    <w:rsid w:val="00D243BF"/>
    <w:rsid w:val="00D2461D"/>
    <w:rsid w:val="00D24700"/>
    <w:rsid w:val="00D24A98"/>
    <w:rsid w:val="00D24D24"/>
    <w:rsid w:val="00D24DA4"/>
    <w:rsid w:val="00D251C4"/>
    <w:rsid w:val="00D252E2"/>
    <w:rsid w:val="00D25441"/>
    <w:rsid w:val="00D260EF"/>
    <w:rsid w:val="00D26AE9"/>
    <w:rsid w:val="00D270FB"/>
    <w:rsid w:val="00D27BB9"/>
    <w:rsid w:val="00D30AFE"/>
    <w:rsid w:val="00D3119B"/>
    <w:rsid w:val="00D319CC"/>
    <w:rsid w:val="00D32763"/>
    <w:rsid w:val="00D32833"/>
    <w:rsid w:val="00D328BD"/>
    <w:rsid w:val="00D335D7"/>
    <w:rsid w:val="00D33D90"/>
    <w:rsid w:val="00D34024"/>
    <w:rsid w:val="00D341ED"/>
    <w:rsid w:val="00D34AF2"/>
    <w:rsid w:val="00D34E41"/>
    <w:rsid w:val="00D3510F"/>
    <w:rsid w:val="00D35132"/>
    <w:rsid w:val="00D359ED"/>
    <w:rsid w:val="00D35C0A"/>
    <w:rsid w:val="00D368E5"/>
    <w:rsid w:val="00D36B62"/>
    <w:rsid w:val="00D36F6C"/>
    <w:rsid w:val="00D3729B"/>
    <w:rsid w:val="00D37605"/>
    <w:rsid w:val="00D37657"/>
    <w:rsid w:val="00D409B4"/>
    <w:rsid w:val="00D413F8"/>
    <w:rsid w:val="00D416BC"/>
    <w:rsid w:val="00D4187D"/>
    <w:rsid w:val="00D41A02"/>
    <w:rsid w:val="00D41C74"/>
    <w:rsid w:val="00D42463"/>
    <w:rsid w:val="00D42945"/>
    <w:rsid w:val="00D42A05"/>
    <w:rsid w:val="00D43B39"/>
    <w:rsid w:val="00D43BB7"/>
    <w:rsid w:val="00D44088"/>
    <w:rsid w:val="00D4432E"/>
    <w:rsid w:val="00D44478"/>
    <w:rsid w:val="00D448EF"/>
    <w:rsid w:val="00D44973"/>
    <w:rsid w:val="00D44A19"/>
    <w:rsid w:val="00D44C5F"/>
    <w:rsid w:val="00D453CE"/>
    <w:rsid w:val="00D4568C"/>
    <w:rsid w:val="00D45CC7"/>
    <w:rsid w:val="00D46164"/>
    <w:rsid w:val="00D4637A"/>
    <w:rsid w:val="00D46447"/>
    <w:rsid w:val="00D468E7"/>
    <w:rsid w:val="00D46B80"/>
    <w:rsid w:val="00D46C06"/>
    <w:rsid w:val="00D46D99"/>
    <w:rsid w:val="00D4716C"/>
    <w:rsid w:val="00D472EB"/>
    <w:rsid w:val="00D47CAF"/>
    <w:rsid w:val="00D50791"/>
    <w:rsid w:val="00D50BBB"/>
    <w:rsid w:val="00D50F9A"/>
    <w:rsid w:val="00D51BFE"/>
    <w:rsid w:val="00D51CF6"/>
    <w:rsid w:val="00D51FED"/>
    <w:rsid w:val="00D51FEE"/>
    <w:rsid w:val="00D520D6"/>
    <w:rsid w:val="00D5222B"/>
    <w:rsid w:val="00D52669"/>
    <w:rsid w:val="00D52BC4"/>
    <w:rsid w:val="00D52ECD"/>
    <w:rsid w:val="00D530A0"/>
    <w:rsid w:val="00D53209"/>
    <w:rsid w:val="00D53772"/>
    <w:rsid w:val="00D53CC2"/>
    <w:rsid w:val="00D54662"/>
    <w:rsid w:val="00D54BD4"/>
    <w:rsid w:val="00D54EBD"/>
    <w:rsid w:val="00D54EC4"/>
    <w:rsid w:val="00D553B1"/>
    <w:rsid w:val="00D5613C"/>
    <w:rsid w:val="00D56796"/>
    <w:rsid w:val="00D57500"/>
    <w:rsid w:val="00D57566"/>
    <w:rsid w:val="00D575A7"/>
    <w:rsid w:val="00D57D95"/>
    <w:rsid w:val="00D60472"/>
    <w:rsid w:val="00D608B7"/>
    <w:rsid w:val="00D60D03"/>
    <w:rsid w:val="00D60F21"/>
    <w:rsid w:val="00D60F33"/>
    <w:rsid w:val="00D60F69"/>
    <w:rsid w:val="00D611F3"/>
    <w:rsid w:val="00D62347"/>
    <w:rsid w:val="00D62695"/>
    <w:rsid w:val="00D62972"/>
    <w:rsid w:val="00D62A60"/>
    <w:rsid w:val="00D62A94"/>
    <w:rsid w:val="00D64460"/>
    <w:rsid w:val="00D647B5"/>
    <w:rsid w:val="00D649AC"/>
    <w:rsid w:val="00D64B18"/>
    <w:rsid w:val="00D655B5"/>
    <w:rsid w:val="00D65F7C"/>
    <w:rsid w:val="00D6613F"/>
    <w:rsid w:val="00D66476"/>
    <w:rsid w:val="00D665AD"/>
    <w:rsid w:val="00D66AB8"/>
    <w:rsid w:val="00D66DB2"/>
    <w:rsid w:val="00D672A2"/>
    <w:rsid w:val="00D672F4"/>
    <w:rsid w:val="00D677D2"/>
    <w:rsid w:val="00D67D75"/>
    <w:rsid w:val="00D700AA"/>
    <w:rsid w:val="00D70646"/>
    <w:rsid w:val="00D7074C"/>
    <w:rsid w:val="00D70910"/>
    <w:rsid w:val="00D70981"/>
    <w:rsid w:val="00D711BF"/>
    <w:rsid w:val="00D71675"/>
    <w:rsid w:val="00D71BF0"/>
    <w:rsid w:val="00D71F48"/>
    <w:rsid w:val="00D72722"/>
    <w:rsid w:val="00D728FF"/>
    <w:rsid w:val="00D72F06"/>
    <w:rsid w:val="00D737B8"/>
    <w:rsid w:val="00D7384E"/>
    <w:rsid w:val="00D73AA9"/>
    <w:rsid w:val="00D741D1"/>
    <w:rsid w:val="00D74350"/>
    <w:rsid w:val="00D744F3"/>
    <w:rsid w:val="00D74B74"/>
    <w:rsid w:val="00D74C49"/>
    <w:rsid w:val="00D75096"/>
    <w:rsid w:val="00D752F3"/>
    <w:rsid w:val="00D7554A"/>
    <w:rsid w:val="00D757F2"/>
    <w:rsid w:val="00D75877"/>
    <w:rsid w:val="00D758EA"/>
    <w:rsid w:val="00D75E5D"/>
    <w:rsid w:val="00D770BF"/>
    <w:rsid w:val="00D77E51"/>
    <w:rsid w:val="00D8021B"/>
    <w:rsid w:val="00D80324"/>
    <w:rsid w:val="00D803E9"/>
    <w:rsid w:val="00D80471"/>
    <w:rsid w:val="00D807FF"/>
    <w:rsid w:val="00D809AD"/>
    <w:rsid w:val="00D80CAC"/>
    <w:rsid w:val="00D80D25"/>
    <w:rsid w:val="00D81383"/>
    <w:rsid w:val="00D827EB"/>
    <w:rsid w:val="00D82D8F"/>
    <w:rsid w:val="00D82E56"/>
    <w:rsid w:val="00D82F63"/>
    <w:rsid w:val="00D830EC"/>
    <w:rsid w:val="00D83851"/>
    <w:rsid w:val="00D83B75"/>
    <w:rsid w:val="00D83B8D"/>
    <w:rsid w:val="00D83E58"/>
    <w:rsid w:val="00D8422D"/>
    <w:rsid w:val="00D8441B"/>
    <w:rsid w:val="00D846F2"/>
    <w:rsid w:val="00D84810"/>
    <w:rsid w:val="00D84823"/>
    <w:rsid w:val="00D84B0C"/>
    <w:rsid w:val="00D84E4D"/>
    <w:rsid w:val="00D84F01"/>
    <w:rsid w:val="00D851B0"/>
    <w:rsid w:val="00D86385"/>
    <w:rsid w:val="00D86882"/>
    <w:rsid w:val="00D868C7"/>
    <w:rsid w:val="00D869D8"/>
    <w:rsid w:val="00D869E8"/>
    <w:rsid w:val="00D87385"/>
    <w:rsid w:val="00D87FA6"/>
    <w:rsid w:val="00D90F85"/>
    <w:rsid w:val="00D90F97"/>
    <w:rsid w:val="00D913A4"/>
    <w:rsid w:val="00D915B3"/>
    <w:rsid w:val="00D91D7D"/>
    <w:rsid w:val="00D92036"/>
    <w:rsid w:val="00D92986"/>
    <w:rsid w:val="00D92BC2"/>
    <w:rsid w:val="00D936CD"/>
    <w:rsid w:val="00D93866"/>
    <w:rsid w:val="00D93914"/>
    <w:rsid w:val="00D93AE3"/>
    <w:rsid w:val="00D93B7C"/>
    <w:rsid w:val="00D94B3F"/>
    <w:rsid w:val="00D94FB3"/>
    <w:rsid w:val="00D9566A"/>
    <w:rsid w:val="00D95B93"/>
    <w:rsid w:val="00D97402"/>
    <w:rsid w:val="00D976D7"/>
    <w:rsid w:val="00D97951"/>
    <w:rsid w:val="00DA020E"/>
    <w:rsid w:val="00DA02E0"/>
    <w:rsid w:val="00DA07BA"/>
    <w:rsid w:val="00DA0B6B"/>
    <w:rsid w:val="00DA0DFA"/>
    <w:rsid w:val="00DA0E47"/>
    <w:rsid w:val="00DA11F4"/>
    <w:rsid w:val="00DA191D"/>
    <w:rsid w:val="00DA27D3"/>
    <w:rsid w:val="00DA2892"/>
    <w:rsid w:val="00DA28D6"/>
    <w:rsid w:val="00DA2C1D"/>
    <w:rsid w:val="00DA31F8"/>
    <w:rsid w:val="00DA3F1D"/>
    <w:rsid w:val="00DA415F"/>
    <w:rsid w:val="00DA45ED"/>
    <w:rsid w:val="00DA4A75"/>
    <w:rsid w:val="00DA4BFD"/>
    <w:rsid w:val="00DA4CD8"/>
    <w:rsid w:val="00DA4FB2"/>
    <w:rsid w:val="00DA55C2"/>
    <w:rsid w:val="00DA5D22"/>
    <w:rsid w:val="00DA634C"/>
    <w:rsid w:val="00DA7698"/>
    <w:rsid w:val="00DA7A2E"/>
    <w:rsid w:val="00DA7D51"/>
    <w:rsid w:val="00DA7DD3"/>
    <w:rsid w:val="00DB0393"/>
    <w:rsid w:val="00DB03B5"/>
    <w:rsid w:val="00DB056E"/>
    <w:rsid w:val="00DB08DE"/>
    <w:rsid w:val="00DB0E84"/>
    <w:rsid w:val="00DB12EF"/>
    <w:rsid w:val="00DB1330"/>
    <w:rsid w:val="00DB1679"/>
    <w:rsid w:val="00DB171F"/>
    <w:rsid w:val="00DB1A8A"/>
    <w:rsid w:val="00DB1FF4"/>
    <w:rsid w:val="00DB2534"/>
    <w:rsid w:val="00DB2A4B"/>
    <w:rsid w:val="00DB2A69"/>
    <w:rsid w:val="00DB3156"/>
    <w:rsid w:val="00DB33F6"/>
    <w:rsid w:val="00DB37BB"/>
    <w:rsid w:val="00DB3CCA"/>
    <w:rsid w:val="00DB41A7"/>
    <w:rsid w:val="00DB4CB2"/>
    <w:rsid w:val="00DB4DAF"/>
    <w:rsid w:val="00DB4DC7"/>
    <w:rsid w:val="00DB55DE"/>
    <w:rsid w:val="00DB59F1"/>
    <w:rsid w:val="00DB5F95"/>
    <w:rsid w:val="00DB76EE"/>
    <w:rsid w:val="00DB7BB2"/>
    <w:rsid w:val="00DC000E"/>
    <w:rsid w:val="00DC0123"/>
    <w:rsid w:val="00DC020B"/>
    <w:rsid w:val="00DC030C"/>
    <w:rsid w:val="00DC03B7"/>
    <w:rsid w:val="00DC0C50"/>
    <w:rsid w:val="00DC1A2D"/>
    <w:rsid w:val="00DC1E5A"/>
    <w:rsid w:val="00DC2711"/>
    <w:rsid w:val="00DC2AB8"/>
    <w:rsid w:val="00DC2C2E"/>
    <w:rsid w:val="00DC30B5"/>
    <w:rsid w:val="00DC3BD3"/>
    <w:rsid w:val="00DC3D77"/>
    <w:rsid w:val="00DC4407"/>
    <w:rsid w:val="00DC4583"/>
    <w:rsid w:val="00DC4A03"/>
    <w:rsid w:val="00DC5790"/>
    <w:rsid w:val="00DC5A12"/>
    <w:rsid w:val="00DC5CA5"/>
    <w:rsid w:val="00DC5F2D"/>
    <w:rsid w:val="00DC6803"/>
    <w:rsid w:val="00DC6815"/>
    <w:rsid w:val="00DC6A3C"/>
    <w:rsid w:val="00DC6F08"/>
    <w:rsid w:val="00DC6F9C"/>
    <w:rsid w:val="00DC74A4"/>
    <w:rsid w:val="00DC74B0"/>
    <w:rsid w:val="00DC76CD"/>
    <w:rsid w:val="00DC7A8C"/>
    <w:rsid w:val="00DD023D"/>
    <w:rsid w:val="00DD0A8B"/>
    <w:rsid w:val="00DD0BCC"/>
    <w:rsid w:val="00DD0C67"/>
    <w:rsid w:val="00DD27D0"/>
    <w:rsid w:val="00DD2A44"/>
    <w:rsid w:val="00DD2F1B"/>
    <w:rsid w:val="00DD31C6"/>
    <w:rsid w:val="00DD31F5"/>
    <w:rsid w:val="00DD32C5"/>
    <w:rsid w:val="00DD4C96"/>
    <w:rsid w:val="00DD4E9B"/>
    <w:rsid w:val="00DD507E"/>
    <w:rsid w:val="00DD5163"/>
    <w:rsid w:val="00DD51B4"/>
    <w:rsid w:val="00DD523B"/>
    <w:rsid w:val="00DD53DC"/>
    <w:rsid w:val="00DD5866"/>
    <w:rsid w:val="00DD598C"/>
    <w:rsid w:val="00DD6061"/>
    <w:rsid w:val="00DD6312"/>
    <w:rsid w:val="00DD6A2E"/>
    <w:rsid w:val="00DD6BBA"/>
    <w:rsid w:val="00DD6CED"/>
    <w:rsid w:val="00DD7CC9"/>
    <w:rsid w:val="00DE0223"/>
    <w:rsid w:val="00DE1564"/>
    <w:rsid w:val="00DE1C2A"/>
    <w:rsid w:val="00DE1DA2"/>
    <w:rsid w:val="00DE1E7B"/>
    <w:rsid w:val="00DE2F02"/>
    <w:rsid w:val="00DE2F42"/>
    <w:rsid w:val="00DE30D4"/>
    <w:rsid w:val="00DE319D"/>
    <w:rsid w:val="00DE355F"/>
    <w:rsid w:val="00DE37E7"/>
    <w:rsid w:val="00DE399F"/>
    <w:rsid w:val="00DE3BA7"/>
    <w:rsid w:val="00DE3E2C"/>
    <w:rsid w:val="00DE45FF"/>
    <w:rsid w:val="00DE46A7"/>
    <w:rsid w:val="00DE507B"/>
    <w:rsid w:val="00DE54BD"/>
    <w:rsid w:val="00DE6360"/>
    <w:rsid w:val="00DE66B8"/>
    <w:rsid w:val="00DE6700"/>
    <w:rsid w:val="00DE67B1"/>
    <w:rsid w:val="00DE6CC0"/>
    <w:rsid w:val="00DE7A84"/>
    <w:rsid w:val="00DE7E43"/>
    <w:rsid w:val="00DF001B"/>
    <w:rsid w:val="00DF01D6"/>
    <w:rsid w:val="00DF065D"/>
    <w:rsid w:val="00DF0CEA"/>
    <w:rsid w:val="00DF17ED"/>
    <w:rsid w:val="00DF18C0"/>
    <w:rsid w:val="00DF1BFF"/>
    <w:rsid w:val="00DF221F"/>
    <w:rsid w:val="00DF271A"/>
    <w:rsid w:val="00DF2C4E"/>
    <w:rsid w:val="00DF3FF7"/>
    <w:rsid w:val="00DF4216"/>
    <w:rsid w:val="00DF4276"/>
    <w:rsid w:val="00DF46C2"/>
    <w:rsid w:val="00DF4729"/>
    <w:rsid w:val="00DF49A0"/>
    <w:rsid w:val="00DF4B65"/>
    <w:rsid w:val="00DF51F1"/>
    <w:rsid w:val="00DF5546"/>
    <w:rsid w:val="00DF5F1B"/>
    <w:rsid w:val="00DF5FD5"/>
    <w:rsid w:val="00DF6065"/>
    <w:rsid w:val="00DF6686"/>
    <w:rsid w:val="00DF66C6"/>
    <w:rsid w:val="00DF6C5A"/>
    <w:rsid w:val="00DF7038"/>
    <w:rsid w:val="00DF78B5"/>
    <w:rsid w:val="00DF78B9"/>
    <w:rsid w:val="00DF79C8"/>
    <w:rsid w:val="00DF7CD6"/>
    <w:rsid w:val="00DF7CE8"/>
    <w:rsid w:val="00DF7D72"/>
    <w:rsid w:val="00DF7E41"/>
    <w:rsid w:val="00E0032D"/>
    <w:rsid w:val="00E00B93"/>
    <w:rsid w:val="00E00E47"/>
    <w:rsid w:val="00E01FB7"/>
    <w:rsid w:val="00E0201C"/>
    <w:rsid w:val="00E02439"/>
    <w:rsid w:val="00E02A6F"/>
    <w:rsid w:val="00E039F7"/>
    <w:rsid w:val="00E03CB5"/>
    <w:rsid w:val="00E03E90"/>
    <w:rsid w:val="00E042B5"/>
    <w:rsid w:val="00E04523"/>
    <w:rsid w:val="00E048AF"/>
    <w:rsid w:val="00E0555B"/>
    <w:rsid w:val="00E058B5"/>
    <w:rsid w:val="00E05B35"/>
    <w:rsid w:val="00E06A72"/>
    <w:rsid w:val="00E06E42"/>
    <w:rsid w:val="00E07052"/>
    <w:rsid w:val="00E07652"/>
    <w:rsid w:val="00E0774C"/>
    <w:rsid w:val="00E07799"/>
    <w:rsid w:val="00E078BE"/>
    <w:rsid w:val="00E07C9C"/>
    <w:rsid w:val="00E103E9"/>
    <w:rsid w:val="00E10548"/>
    <w:rsid w:val="00E10872"/>
    <w:rsid w:val="00E10ED0"/>
    <w:rsid w:val="00E1197E"/>
    <w:rsid w:val="00E11CE1"/>
    <w:rsid w:val="00E120F5"/>
    <w:rsid w:val="00E122D7"/>
    <w:rsid w:val="00E12775"/>
    <w:rsid w:val="00E13147"/>
    <w:rsid w:val="00E13286"/>
    <w:rsid w:val="00E13499"/>
    <w:rsid w:val="00E13586"/>
    <w:rsid w:val="00E137A8"/>
    <w:rsid w:val="00E13B10"/>
    <w:rsid w:val="00E13C38"/>
    <w:rsid w:val="00E14206"/>
    <w:rsid w:val="00E14C16"/>
    <w:rsid w:val="00E1506B"/>
    <w:rsid w:val="00E152D1"/>
    <w:rsid w:val="00E1585B"/>
    <w:rsid w:val="00E15B09"/>
    <w:rsid w:val="00E15E55"/>
    <w:rsid w:val="00E161AD"/>
    <w:rsid w:val="00E1665E"/>
    <w:rsid w:val="00E16985"/>
    <w:rsid w:val="00E174D6"/>
    <w:rsid w:val="00E1779E"/>
    <w:rsid w:val="00E200FE"/>
    <w:rsid w:val="00E20335"/>
    <w:rsid w:val="00E205DC"/>
    <w:rsid w:val="00E20C47"/>
    <w:rsid w:val="00E219D8"/>
    <w:rsid w:val="00E21BBB"/>
    <w:rsid w:val="00E21F6B"/>
    <w:rsid w:val="00E221FE"/>
    <w:rsid w:val="00E22E50"/>
    <w:rsid w:val="00E22F2B"/>
    <w:rsid w:val="00E232E9"/>
    <w:rsid w:val="00E23486"/>
    <w:rsid w:val="00E23C83"/>
    <w:rsid w:val="00E243CB"/>
    <w:rsid w:val="00E24433"/>
    <w:rsid w:val="00E244AF"/>
    <w:rsid w:val="00E2475B"/>
    <w:rsid w:val="00E24928"/>
    <w:rsid w:val="00E249CB"/>
    <w:rsid w:val="00E24BFF"/>
    <w:rsid w:val="00E258A3"/>
    <w:rsid w:val="00E25BE6"/>
    <w:rsid w:val="00E265FD"/>
    <w:rsid w:val="00E2665C"/>
    <w:rsid w:val="00E26742"/>
    <w:rsid w:val="00E26769"/>
    <w:rsid w:val="00E268BD"/>
    <w:rsid w:val="00E2697A"/>
    <w:rsid w:val="00E26D21"/>
    <w:rsid w:val="00E27276"/>
    <w:rsid w:val="00E27690"/>
    <w:rsid w:val="00E27D6E"/>
    <w:rsid w:val="00E30182"/>
    <w:rsid w:val="00E301BA"/>
    <w:rsid w:val="00E30D1B"/>
    <w:rsid w:val="00E30E95"/>
    <w:rsid w:val="00E31E95"/>
    <w:rsid w:val="00E32A9C"/>
    <w:rsid w:val="00E3345E"/>
    <w:rsid w:val="00E34070"/>
    <w:rsid w:val="00E340AC"/>
    <w:rsid w:val="00E34EB0"/>
    <w:rsid w:val="00E3500A"/>
    <w:rsid w:val="00E356F7"/>
    <w:rsid w:val="00E35786"/>
    <w:rsid w:val="00E35999"/>
    <w:rsid w:val="00E35A9D"/>
    <w:rsid w:val="00E35B85"/>
    <w:rsid w:val="00E35EAC"/>
    <w:rsid w:val="00E36859"/>
    <w:rsid w:val="00E36A67"/>
    <w:rsid w:val="00E36B29"/>
    <w:rsid w:val="00E36B6B"/>
    <w:rsid w:val="00E37AB5"/>
    <w:rsid w:val="00E37BE6"/>
    <w:rsid w:val="00E37CD4"/>
    <w:rsid w:val="00E37F78"/>
    <w:rsid w:val="00E37F92"/>
    <w:rsid w:val="00E40722"/>
    <w:rsid w:val="00E4084B"/>
    <w:rsid w:val="00E40A1A"/>
    <w:rsid w:val="00E40DF4"/>
    <w:rsid w:val="00E410CF"/>
    <w:rsid w:val="00E4224F"/>
    <w:rsid w:val="00E4256F"/>
    <w:rsid w:val="00E42754"/>
    <w:rsid w:val="00E4286D"/>
    <w:rsid w:val="00E42BC7"/>
    <w:rsid w:val="00E42E97"/>
    <w:rsid w:val="00E43594"/>
    <w:rsid w:val="00E43983"/>
    <w:rsid w:val="00E44136"/>
    <w:rsid w:val="00E44A43"/>
    <w:rsid w:val="00E44CB7"/>
    <w:rsid w:val="00E44FBD"/>
    <w:rsid w:val="00E45612"/>
    <w:rsid w:val="00E4590F"/>
    <w:rsid w:val="00E4591A"/>
    <w:rsid w:val="00E45B0C"/>
    <w:rsid w:val="00E45E57"/>
    <w:rsid w:val="00E463A7"/>
    <w:rsid w:val="00E46504"/>
    <w:rsid w:val="00E46736"/>
    <w:rsid w:val="00E46D66"/>
    <w:rsid w:val="00E471D2"/>
    <w:rsid w:val="00E47EC7"/>
    <w:rsid w:val="00E47FC9"/>
    <w:rsid w:val="00E506A9"/>
    <w:rsid w:val="00E5088D"/>
    <w:rsid w:val="00E50CF6"/>
    <w:rsid w:val="00E51544"/>
    <w:rsid w:val="00E5156A"/>
    <w:rsid w:val="00E5214E"/>
    <w:rsid w:val="00E529AE"/>
    <w:rsid w:val="00E52CE1"/>
    <w:rsid w:val="00E52F20"/>
    <w:rsid w:val="00E538B0"/>
    <w:rsid w:val="00E539FE"/>
    <w:rsid w:val="00E53A5D"/>
    <w:rsid w:val="00E53DCB"/>
    <w:rsid w:val="00E5446A"/>
    <w:rsid w:val="00E54865"/>
    <w:rsid w:val="00E54D2C"/>
    <w:rsid w:val="00E55336"/>
    <w:rsid w:val="00E557BB"/>
    <w:rsid w:val="00E55C43"/>
    <w:rsid w:val="00E562B5"/>
    <w:rsid w:val="00E56AD1"/>
    <w:rsid w:val="00E56C05"/>
    <w:rsid w:val="00E57675"/>
    <w:rsid w:val="00E576A1"/>
    <w:rsid w:val="00E57D42"/>
    <w:rsid w:val="00E600D5"/>
    <w:rsid w:val="00E6034A"/>
    <w:rsid w:val="00E60BF5"/>
    <w:rsid w:val="00E615F4"/>
    <w:rsid w:val="00E619CD"/>
    <w:rsid w:val="00E6210A"/>
    <w:rsid w:val="00E6219D"/>
    <w:rsid w:val="00E6226E"/>
    <w:rsid w:val="00E6233C"/>
    <w:rsid w:val="00E6316A"/>
    <w:rsid w:val="00E63452"/>
    <w:rsid w:val="00E63EF2"/>
    <w:rsid w:val="00E63F85"/>
    <w:rsid w:val="00E65297"/>
    <w:rsid w:val="00E65F44"/>
    <w:rsid w:val="00E66392"/>
    <w:rsid w:val="00E664DB"/>
    <w:rsid w:val="00E66542"/>
    <w:rsid w:val="00E66883"/>
    <w:rsid w:val="00E66A5C"/>
    <w:rsid w:val="00E66F2B"/>
    <w:rsid w:val="00E67361"/>
    <w:rsid w:val="00E673AB"/>
    <w:rsid w:val="00E67CFC"/>
    <w:rsid w:val="00E70235"/>
    <w:rsid w:val="00E706BF"/>
    <w:rsid w:val="00E70986"/>
    <w:rsid w:val="00E710C0"/>
    <w:rsid w:val="00E71608"/>
    <w:rsid w:val="00E728D4"/>
    <w:rsid w:val="00E72B90"/>
    <w:rsid w:val="00E73382"/>
    <w:rsid w:val="00E7342E"/>
    <w:rsid w:val="00E73450"/>
    <w:rsid w:val="00E7371E"/>
    <w:rsid w:val="00E73BFE"/>
    <w:rsid w:val="00E73E28"/>
    <w:rsid w:val="00E749EA"/>
    <w:rsid w:val="00E74E69"/>
    <w:rsid w:val="00E759F6"/>
    <w:rsid w:val="00E75DB8"/>
    <w:rsid w:val="00E75E7D"/>
    <w:rsid w:val="00E76650"/>
    <w:rsid w:val="00E76E59"/>
    <w:rsid w:val="00E772B7"/>
    <w:rsid w:val="00E77671"/>
    <w:rsid w:val="00E778BE"/>
    <w:rsid w:val="00E77B1D"/>
    <w:rsid w:val="00E8000D"/>
    <w:rsid w:val="00E801A4"/>
    <w:rsid w:val="00E80207"/>
    <w:rsid w:val="00E80419"/>
    <w:rsid w:val="00E80552"/>
    <w:rsid w:val="00E805DC"/>
    <w:rsid w:val="00E806F4"/>
    <w:rsid w:val="00E8088E"/>
    <w:rsid w:val="00E80E5B"/>
    <w:rsid w:val="00E815F6"/>
    <w:rsid w:val="00E81B52"/>
    <w:rsid w:val="00E81BDE"/>
    <w:rsid w:val="00E81E6C"/>
    <w:rsid w:val="00E81E88"/>
    <w:rsid w:val="00E8218E"/>
    <w:rsid w:val="00E824A5"/>
    <w:rsid w:val="00E828C6"/>
    <w:rsid w:val="00E82961"/>
    <w:rsid w:val="00E829B3"/>
    <w:rsid w:val="00E83380"/>
    <w:rsid w:val="00E83475"/>
    <w:rsid w:val="00E83828"/>
    <w:rsid w:val="00E83C92"/>
    <w:rsid w:val="00E83C98"/>
    <w:rsid w:val="00E84285"/>
    <w:rsid w:val="00E8428C"/>
    <w:rsid w:val="00E8461F"/>
    <w:rsid w:val="00E85146"/>
    <w:rsid w:val="00E853C5"/>
    <w:rsid w:val="00E85C02"/>
    <w:rsid w:val="00E85D0F"/>
    <w:rsid w:val="00E86097"/>
    <w:rsid w:val="00E8662A"/>
    <w:rsid w:val="00E868EC"/>
    <w:rsid w:val="00E86A9D"/>
    <w:rsid w:val="00E86C5D"/>
    <w:rsid w:val="00E86E19"/>
    <w:rsid w:val="00E8725B"/>
    <w:rsid w:val="00E872C2"/>
    <w:rsid w:val="00E908C6"/>
    <w:rsid w:val="00E90B36"/>
    <w:rsid w:val="00E91D20"/>
    <w:rsid w:val="00E920A6"/>
    <w:rsid w:val="00E926F9"/>
    <w:rsid w:val="00E927AF"/>
    <w:rsid w:val="00E92A3C"/>
    <w:rsid w:val="00E93706"/>
    <w:rsid w:val="00E9428C"/>
    <w:rsid w:val="00E943F6"/>
    <w:rsid w:val="00E945AF"/>
    <w:rsid w:val="00E945EE"/>
    <w:rsid w:val="00E946EE"/>
    <w:rsid w:val="00E948A3"/>
    <w:rsid w:val="00E94ACF"/>
    <w:rsid w:val="00E94BD0"/>
    <w:rsid w:val="00E95400"/>
    <w:rsid w:val="00E9579D"/>
    <w:rsid w:val="00E96931"/>
    <w:rsid w:val="00E96996"/>
    <w:rsid w:val="00EA0576"/>
    <w:rsid w:val="00EA0758"/>
    <w:rsid w:val="00EA0C75"/>
    <w:rsid w:val="00EA108A"/>
    <w:rsid w:val="00EA160D"/>
    <w:rsid w:val="00EA1912"/>
    <w:rsid w:val="00EA2228"/>
    <w:rsid w:val="00EA22A3"/>
    <w:rsid w:val="00EA2B84"/>
    <w:rsid w:val="00EA3786"/>
    <w:rsid w:val="00EA4768"/>
    <w:rsid w:val="00EA4C43"/>
    <w:rsid w:val="00EA4C4D"/>
    <w:rsid w:val="00EA4D14"/>
    <w:rsid w:val="00EA4DC1"/>
    <w:rsid w:val="00EA51AB"/>
    <w:rsid w:val="00EA56CC"/>
    <w:rsid w:val="00EA618E"/>
    <w:rsid w:val="00EA66EF"/>
    <w:rsid w:val="00EA6731"/>
    <w:rsid w:val="00EA69A9"/>
    <w:rsid w:val="00EA6A25"/>
    <w:rsid w:val="00EA6E1F"/>
    <w:rsid w:val="00EA756E"/>
    <w:rsid w:val="00EB05A9"/>
    <w:rsid w:val="00EB064B"/>
    <w:rsid w:val="00EB1101"/>
    <w:rsid w:val="00EB119F"/>
    <w:rsid w:val="00EB14D1"/>
    <w:rsid w:val="00EB1DC5"/>
    <w:rsid w:val="00EB234F"/>
    <w:rsid w:val="00EB23E8"/>
    <w:rsid w:val="00EB26ED"/>
    <w:rsid w:val="00EB2DBA"/>
    <w:rsid w:val="00EB3478"/>
    <w:rsid w:val="00EB3BDB"/>
    <w:rsid w:val="00EB4193"/>
    <w:rsid w:val="00EB4651"/>
    <w:rsid w:val="00EB47C2"/>
    <w:rsid w:val="00EB4CFE"/>
    <w:rsid w:val="00EB54E9"/>
    <w:rsid w:val="00EB578D"/>
    <w:rsid w:val="00EB5C70"/>
    <w:rsid w:val="00EB5D7E"/>
    <w:rsid w:val="00EB6BA4"/>
    <w:rsid w:val="00EB6BFD"/>
    <w:rsid w:val="00EB6C6B"/>
    <w:rsid w:val="00EB6DA2"/>
    <w:rsid w:val="00EB6F56"/>
    <w:rsid w:val="00EB6F72"/>
    <w:rsid w:val="00EB74F8"/>
    <w:rsid w:val="00EB7500"/>
    <w:rsid w:val="00EB7A86"/>
    <w:rsid w:val="00EC012F"/>
    <w:rsid w:val="00EC03EA"/>
    <w:rsid w:val="00EC07AF"/>
    <w:rsid w:val="00EC0A3D"/>
    <w:rsid w:val="00EC117C"/>
    <w:rsid w:val="00EC13A2"/>
    <w:rsid w:val="00EC1497"/>
    <w:rsid w:val="00EC1DA8"/>
    <w:rsid w:val="00EC1F47"/>
    <w:rsid w:val="00EC2135"/>
    <w:rsid w:val="00EC217D"/>
    <w:rsid w:val="00EC24AE"/>
    <w:rsid w:val="00EC3077"/>
    <w:rsid w:val="00EC3174"/>
    <w:rsid w:val="00EC33E4"/>
    <w:rsid w:val="00EC35AB"/>
    <w:rsid w:val="00EC3BF6"/>
    <w:rsid w:val="00EC3F35"/>
    <w:rsid w:val="00EC4209"/>
    <w:rsid w:val="00EC42CD"/>
    <w:rsid w:val="00EC445D"/>
    <w:rsid w:val="00EC453A"/>
    <w:rsid w:val="00EC4550"/>
    <w:rsid w:val="00EC4AD1"/>
    <w:rsid w:val="00EC53B9"/>
    <w:rsid w:val="00EC5693"/>
    <w:rsid w:val="00EC569B"/>
    <w:rsid w:val="00EC5D68"/>
    <w:rsid w:val="00EC6458"/>
    <w:rsid w:val="00EC67CA"/>
    <w:rsid w:val="00EC6C5C"/>
    <w:rsid w:val="00EC6EAC"/>
    <w:rsid w:val="00EC7086"/>
    <w:rsid w:val="00EC73C7"/>
    <w:rsid w:val="00EC768B"/>
    <w:rsid w:val="00EC77C7"/>
    <w:rsid w:val="00ED0346"/>
    <w:rsid w:val="00ED080F"/>
    <w:rsid w:val="00ED0925"/>
    <w:rsid w:val="00ED0ACE"/>
    <w:rsid w:val="00ED0C91"/>
    <w:rsid w:val="00ED0FA5"/>
    <w:rsid w:val="00ED18FF"/>
    <w:rsid w:val="00ED22A4"/>
    <w:rsid w:val="00ED24F5"/>
    <w:rsid w:val="00ED350F"/>
    <w:rsid w:val="00ED36E3"/>
    <w:rsid w:val="00ED3A90"/>
    <w:rsid w:val="00ED4CDD"/>
    <w:rsid w:val="00ED4DD6"/>
    <w:rsid w:val="00ED4F79"/>
    <w:rsid w:val="00ED52AC"/>
    <w:rsid w:val="00ED542F"/>
    <w:rsid w:val="00ED54FF"/>
    <w:rsid w:val="00ED5AB4"/>
    <w:rsid w:val="00ED5BC3"/>
    <w:rsid w:val="00ED60A0"/>
    <w:rsid w:val="00ED635A"/>
    <w:rsid w:val="00ED667C"/>
    <w:rsid w:val="00ED6D6E"/>
    <w:rsid w:val="00ED703D"/>
    <w:rsid w:val="00ED7560"/>
    <w:rsid w:val="00ED7917"/>
    <w:rsid w:val="00ED7C46"/>
    <w:rsid w:val="00EE16F1"/>
    <w:rsid w:val="00EE1F2B"/>
    <w:rsid w:val="00EE24F8"/>
    <w:rsid w:val="00EE28FB"/>
    <w:rsid w:val="00EE2A71"/>
    <w:rsid w:val="00EE2A91"/>
    <w:rsid w:val="00EE32D8"/>
    <w:rsid w:val="00EE4279"/>
    <w:rsid w:val="00EE4621"/>
    <w:rsid w:val="00EE4A4C"/>
    <w:rsid w:val="00EE4A70"/>
    <w:rsid w:val="00EE4AA8"/>
    <w:rsid w:val="00EE4B55"/>
    <w:rsid w:val="00EE4D6B"/>
    <w:rsid w:val="00EE500D"/>
    <w:rsid w:val="00EE53D0"/>
    <w:rsid w:val="00EE5A0B"/>
    <w:rsid w:val="00EE5ACF"/>
    <w:rsid w:val="00EE63D0"/>
    <w:rsid w:val="00EE651D"/>
    <w:rsid w:val="00EE664A"/>
    <w:rsid w:val="00EE66D8"/>
    <w:rsid w:val="00EE7B2E"/>
    <w:rsid w:val="00EE7BC5"/>
    <w:rsid w:val="00EE7D14"/>
    <w:rsid w:val="00EE7D4B"/>
    <w:rsid w:val="00EE7FCE"/>
    <w:rsid w:val="00EF03BA"/>
    <w:rsid w:val="00EF0763"/>
    <w:rsid w:val="00EF0BD2"/>
    <w:rsid w:val="00EF0E02"/>
    <w:rsid w:val="00EF0EE8"/>
    <w:rsid w:val="00EF219E"/>
    <w:rsid w:val="00EF2957"/>
    <w:rsid w:val="00EF2FCB"/>
    <w:rsid w:val="00EF3E51"/>
    <w:rsid w:val="00EF400F"/>
    <w:rsid w:val="00EF4E52"/>
    <w:rsid w:val="00EF5142"/>
    <w:rsid w:val="00EF5435"/>
    <w:rsid w:val="00EF5483"/>
    <w:rsid w:val="00EF600B"/>
    <w:rsid w:val="00EF6483"/>
    <w:rsid w:val="00EF6554"/>
    <w:rsid w:val="00EF6A92"/>
    <w:rsid w:val="00EF7099"/>
    <w:rsid w:val="00EF732F"/>
    <w:rsid w:val="00EF77E2"/>
    <w:rsid w:val="00EF7D43"/>
    <w:rsid w:val="00EF7DBB"/>
    <w:rsid w:val="00F004D9"/>
    <w:rsid w:val="00F00FE6"/>
    <w:rsid w:val="00F0164B"/>
    <w:rsid w:val="00F01BA5"/>
    <w:rsid w:val="00F01BED"/>
    <w:rsid w:val="00F0213E"/>
    <w:rsid w:val="00F021FA"/>
    <w:rsid w:val="00F024CD"/>
    <w:rsid w:val="00F025C6"/>
    <w:rsid w:val="00F028DC"/>
    <w:rsid w:val="00F02ED6"/>
    <w:rsid w:val="00F03137"/>
    <w:rsid w:val="00F03488"/>
    <w:rsid w:val="00F0354A"/>
    <w:rsid w:val="00F035AF"/>
    <w:rsid w:val="00F03675"/>
    <w:rsid w:val="00F03C85"/>
    <w:rsid w:val="00F03E5B"/>
    <w:rsid w:val="00F04C95"/>
    <w:rsid w:val="00F050C5"/>
    <w:rsid w:val="00F0578E"/>
    <w:rsid w:val="00F059B4"/>
    <w:rsid w:val="00F0657B"/>
    <w:rsid w:val="00F069F4"/>
    <w:rsid w:val="00F06C80"/>
    <w:rsid w:val="00F06CEA"/>
    <w:rsid w:val="00F071F8"/>
    <w:rsid w:val="00F0749E"/>
    <w:rsid w:val="00F077A0"/>
    <w:rsid w:val="00F079FD"/>
    <w:rsid w:val="00F10A79"/>
    <w:rsid w:val="00F110F2"/>
    <w:rsid w:val="00F115CA"/>
    <w:rsid w:val="00F1176A"/>
    <w:rsid w:val="00F117C5"/>
    <w:rsid w:val="00F118BD"/>
    <w:rsid w:val="00F120E3"/>
    <w:rsid w:val="00F12425"/>
    <w:rsid w:val="00F127E3"/>
    <w:rsid w:val="00F12A2A"/>
    <w:rsid w:val="00F12F4B"/>
    <w:rsid w:val="00F12F95"/>
    <w:rsid w:val="00F13D60"/>
    <w:rsid w:val="00F13FDB"/>
    <w:rsid w:val="00F14414"/>
    <w:rsid w:val="00F15FB2"/>
    <w:rsid w:val="00F15FF5"/>
    <w:rsid w:val="00F16224"/>
    <w:rsid w:val="00F16D2A"/>
    <w:rsid w:val="00F16EAD"/>
    <w:rsid w:val="00F17451"/>
    <w:rsid w:val="00F17ABD"/>
    <w:rsid w:val="00F17BE0"/>
    <w:rsid w:val="00F17F16"/>
    <w:rsid w:val="00F2039E"/>
    <w:rsid w:val="00F20D5C"/>
    <w:rsid w:val="00F21329"/>
    <w:rsid w:val="00F21473"/>
    <w:rsid w:val="00F216B6"/>
    <w:rsid w:val="00F21D32"/>
    <w:rsid w:val="00F223EA"/>
    <w:rsid w:val="00F22505"/>
    <w:rsid w:val="00F22755"/>
    <w:rsid w:val="00F2314E"/>
    <w:rsid w:val="00F2319B"/>
    <w:rsid w:val="00F23BC0"/>
    <w:rsid w:val="00F23CD4"/>
    <w:rsid w:val="00F23FC3"/>
    <w:rsid w:val="00F24221"/>
    <w:rsid w:val="00F24497"/>
    <w:rsid w:val="00F2449E"/>
    <w:rsid w:val="00F24FAC"/>
    <w:rsid w:val="00F25EC3"/>
    <w:rsid w:val="00F26994"/>
    <w:rsid w:val="00F26DE5"/>
    <w:rsid w:val="00F2776F"/>
    <w:rsid w:val="00F2788A"/>
    <w:rsid w:val="00F27E77"/>
    <w:rsid w:val="00F30281"/>
    <w:rsid w:val="00F3050C"/>
    <w:rsid w:val="00F30B4D"/>
    <w:rsid w:val="00F30F74"/>
    <w:rsid w:val="00F313D0"/>
    <w:rsid w:val="00F319B4"/>
    <w:rsid w:val="00F31BBA"/>
    <w:rsid w:val="00F3224D"/>
    <w:rsid w:val="00F32264"/>
    <w:rsid w:val="00F32705"/>
    <w:rsid w:val="00F329E3"/>
    <w:rsid w:val="00F32D3E"/>
    <w:rsid w:val="00F32DD1"/>
    <w:rsid w:val="00F3316B"/>
    <w:rsid w:val="00F33420"/>
    <w:rsid w:val="00F3393C"/>
    <w:rsid w:val="00F33FAC"/>
    <w:rsid w:val="00F347BE"/>
    <w:rsid w:val="00F348D5"/>
    <w:rsid w:val="00F34C20"/>
    <w:rsid w:val="00F35067"/>
    <w:rsid w:val="00F3571A"/>
    <w:rsid w:val="00F35CAE"/>
    <w:rsid w:val="00F361DF"/>
    <w:rsid w:val="00F367EF"/>
    <w:rsid w:val="00F37218"/>
    <w:rsid w:val="00F37564"/>
    <w:rsid w:val="00F3782F"/>
    <w:rsid w:val="00F37CF6"/>
    <w:rsid w:val="00F4010E"/>
    <w:rsid w:val="00F4022A"/>
    <w:rsid w:val="00F40B85"/>
    <w:rsid w:val="00F41253"/>
    <w:rsid w:val="00F41B10"/>
    <w:rsid w:val="00F41E85"/>
    <w:rsid w:val="00F423C5"/>
    <w:rsid w:val="00F424B4"/>
    <w:rsid w:val="00F42E27"/>
    <w:rsid w:val="00F42FDC"/>
    <w:rsid w:val="00F4302F"/>
    <w:rsid w:val="00F4348C"/>
    <w:rsid w:val="00F43B13"/>
    <w:rsid w:val="00F447C1"/>
    <w:rsid w:val="00F448CF"/>
    <w:rsid w:val="00F44BE7"/>
    <w:rsid w:val="00F44E3F"/>
    <w:rsid w:val="00F45B2D"/>
    <w:rsid w:val="00F46124"/>
    <w:rsid w:val="00F46635"/>
    <w:rsid w:val="00F467EA"/>
    <w:rsid w:val="00F469CD"/>
    <w:rsid w:val="00F46F0D"/>
    <w:rsid w:val="00F47024"/>
    <w:rsid w:val="00F473AB"/>
    <w:rsid w:val="00F47445"/>
    <w:rsid w:val="00F47572"/>
    <w:rsid w:val="00F479EC"/>
    <w:rsid w:val="00F50529"/>
    <w:rsid w:val="00F510FE"/>
    <w:rsid w:val="00F51584"/>
    <w:rsid w:val="00F51B46"/>
    <w:rsid w:val="00F520ED"/>
    <w:rsid w:val="00F52571"/>
    <w:rsid w:val="00F52B00"/>
    <w:rsid w:val="00F52D2D"/>
    <w:rsid w:val="00F52FDE"/>
    <w:rsid w:val="00F53039"/>
    <w:rsid w:val="00F533BE"/>
    <w:rsid w:val="00F53438"/>
    <w:rsid w:val="00F5499A"/>
    <w:rsid w:val="00F54AF8"/>
    <w:rsid w:val="00F54D71"/>
    <w:rsid w:val="00F55EDB"/>
    <w:rsid w:val="00F5620E"/>
    <w:rsid w:val="00F562B0"/>
    <w:rsid w:val="00F56786"/>
    <w:rsid w:val="00F56957"/>
    <w:rsid w:val="00F569F2"/>
    <w:rsid w:val="00F56E5B"/>
    <w:rsid w:val="00F57362"/>
    <w:rsid w:val="00F57588"/>
    <w:rsid w:val="00F57C05"/>
    <w:rsid w:val="00F57CB6"/>
    <w:rsid w:val="00F60272"/>
    <w:rsid w:val="00F60EDA"/>
    <w:rsid w:val="00F61265"/>
    <w:rsid w:val="00F61426"/>
    <w:rsid w:val="00F619FE"/>
    <w:rsid w:val="00F6231C"/>
    <w:rsid w:val="00F62971"/>
    <w:rsid w:val="00F63066"/>
    <w:rsid w:val="00F63DEE"/>
    <w:rsid w:val="00F640C7"/>
    <w:rsid w:val="00F64ABF"/>
    <w:rsid w:val="00F64C0C"/>
    <w:rsid w:val="00F64C6D"/>
    <w:rsid w:val="00F64D08"/>
    <w:rsid w:val="00F65145"/>
    <w:rsid w:val="00F658B2"/>
    <w:rsid w:val="00F65AFA"/>
    <w:rsid w:val="00F65B87"/>
    <w:rsid w:val="00F65D4A"/>
    <w:rsid w:val="00F66E58"/>
    <w:rsid w:val="00F671BE"/>
    <w:rsid w:val="00F67B51"/>
    <w:rsid w:val="00F67CDA"/>
    <w:rsid w:val="00F7081E"/>
    <w:rsid w:val="00F70A35"/>
    <w:rsid w:val="00F70EA9"/>
    <w:rsid w:val="00F70FB1"/>
    <w:rsid w:val="00F715AC"/>
    <w:rsid w:val="00F71913"/>
    <w:rsid w:val="00F71EDA"/>
    <w:rsid w:val="00F7287F"/>
    <w:rsid w:val="00F72968"/>
    <w:rsid w:val="00F72C36"/>
    <w:rsid w:val="00F72CE7"/>
    <w:rsid w:val="00F72D97"/>
    <w:rsid w:val="00F73030"/>
    <w:rsid w:val="00F730B2"/>
    <w:rsid w:val="00F73B65"/>
    <w:rsid w:val="00F73C61"/>
    <w:rsid w:val="00F742A8"/>
    <w:rsid w:val="00F74FA9"/>
    <w:rsid w:val="00F761A5"/>
    <w:rsid w:val="00F769B7"/>
    <w:rsid w:val="00F76BEE"/>
    <w:rsid w:val="00F76DB5"/>
    <w:rsid w:val="00F76DEE"/>
    <w:rsid w:val="00F77147"/>
    <w:rsid w:val="00F803A3"/>
    <w:rsid w:val="00F8068C"/>
    <w:rsid w:val="00F806C6"/>
    <w:rsid w:val="00F80C5A"/>
    <w:rsid w:val="00F81176"/>
    <w:rsid w:val="00F81252"/>
    <w:rsid w:val="00F81348"/>
    <w:rsid w:val="00F8146A"/>
    <w:rsid w:val="00F822A9"/>
    <w:rsid w:val="00F82443"/>
    <w:rsid w:val="00F8286F"/>
    <w:rsid w:val="00F82CA7"/>
    <w:rsid w:val="00F8353E"/>
    <w:rsid w:val="00F83C06"/>
    <w:rsid w:val="00F83FA2"/>
    <w:rsid w:val="00F8404F"/>
    <w:rsid w:val="00F84666"/>
    <w:rsid w:val="00F84BA9"/>
    <w:rsid w:val="00F85883"/>
    <w:rsid w:val="00F866B8"/>
    <w:rsid w:val="00F86B51"/>
    <w:rsid w:val="00F870F8"/>
    <w:rsid w:val="00F872C1"/>
    <w:rsid w:val="00F872DA"/>
    <w:rsid w:val="00F875A4"/>
    <w:rsid w:val="00F87840"/>
    <w:rsid w:val="00F87CA0"/>
    <w:rsid w:val="00F9010B"/>
    <w:rsid w:val="00F90568"/>
    <w:rsid w:val="00F90C92"/>
    <w:rsid w:val="00F911C1"/>
    <w:rsid w:val="00F9181E"/>
    <w:rsid w:val="00F91F6A"/>
    <w:rsid w:val="00F9272A"/>
    <w:rsid w:val="00F93328"/>
    <w:rsid w:val="00F935ED"/>
    <w:rsid w:val="00F93CCB"/>
    <w:rsid w:val="00F943F7"/>
    <w:rsid w:val="00F94637"/>
    <w:rsid w:val="00F95568"/>
    <w:rsid w:val="00F95746"/>
    <w:rsid w:val="00F95C13"/>
    <w:rsid w:val="00F95F7F"/>
    <w:rsid w:val="00F96096"/>
    <w:rsid w:val="00F96229"/>
    <w:rsid w:val="00F962B3"/>
    <w:rsid w:val="00F96B2D"/>
    <w:rsid w:val="00F97A3E"/>
    <w:rsid w:val="00FA149B"/>
    <w:rsid w:val="00FA1CC7"/>
    <w:rsid w:val="00FA2A74"/>
    <w:rsid w:val="00FA2F38"/>
    <w:rsid w:val="00FA3029"/>
    <w:rsid w:val="00FA3615"/>
    <w:rsid w:val="00FA3BF8"/>
    <w:rsid w:val="00FA4213"/>
    <w:rsid w:val="00FA4629"/>
    <w:rsid w:val="00FA6150"/>
    <w:rsid w:val="00FA6655"/>
    <w:rsid w:val="00FA6A05"/>
    <w:rsid w:val="00FA715A"/>
    <w:rsid w:val="00FA72CE"/>
    <w:rsid w:val="00FA7F1C"/>
    <w:rsid w:val="00FA7FE7"/>
    <w:rsid w:val="00FB012F"/>
    <w:rsid w:val="00FB018B"/>
    <w:rsid w:val="00FB02DB"/>
    <w:rsid w:val="00FB058C"/>
    <w:rsid w:val="00FB098A"/>
    <w:rsid w:val="00FB1B8A"/>
    <w:rsid w:val="00FB1F2C"/>
    <w:rsid w:val="00FB211E"/>
    <w:rsid w:val="00FB2253"/>
    <w:rsid w:val="00FB2823"/>
    <w:rsid w:val="00FB286D"/>
    <w:rsid w:val="00FB2D87"/>
    <w:rsid w:val="00FB2E30"/>
    <w:rsid w:val="00FB368C"/>
    <w:rsid w:val="00FB42DD"/>
    <w:rsid w:val="00FB42DE"/>
    <w:rsid w:val="00FB4657"/>
    <w:rsid w:val="00FB472F"/>
    <w:rsid w:val="00FB4AD4"/>
    <w:rsid w:val="00FB4BEA"/>
    <w:rsid w:val="00FB5336"/>
    <w:rsid w:val="00FB5B45"/>
    <w:rsid w:val="00FB5BFE"/>
    <w:rsid w:val="00FB6319"/>
    <w:rsid w:val="00FB65CD"/>
    <w:rsid w:val="00FB67C1"/>
    <w:rsid w:val="00FB6BA6"/>
    <w:rsid w:val="00FB6D54"/>
    <w:rsid w:val="00FB6F17"/>
    <w:rsid w:val="00FB7178"/>
    <w:rsid w:val="00FB7397"/>
    <w:rsid w:val="00FB754F"/>
    <w:rsid w:val="00FB7A1A"/>
    <w:rsid w:val="00FB7BBA"/>
    <w:rsid w:val="00FB7C10"/>
    <w:rsid w:val="00FB7E3E"/>
    <w:rsid w:val="00FC048F"/>
    <w:rsid w:val="00FC07D6"/>
    <w:rsid w:val="00FC0C3B"/>
    <w:rsid w:val="00FC14F1"/>
    <w:rsid w:val="00FC1617"/>
    <w:rsid w:val="00FC1750"/>
    <w:rsid w:val="00FC19E0"/>
    <w:rsid w:val="00FC2376"/>
    <w:rsid w:val="00FC2CCF"/>
    <w:rsid w:val="00FC2EFC"/>
    <w:rsid w:val="00FC3D72"/>
    <w:rsid w:val="00FC43C2"/>
    <w:rsid w:val="00FC46F9"/>
    <w:rsid w:val="00FC487D"/>
    <w:rsid w:val="00FC5027"/>
    <w:rsid w:val="00FC5150"/>
    <w:rsid w:val="00FC5979"/>
    <w:rsid w:val="00FC5CA1"/>
    <w:rsid w:val="00FC5CA4"/>
    <w:rsid w:val="00FC6C03"/>
    <w:rsid w:val="00FC6EE3"/>
    <w:rsid w:val="00FC7208"/>
    <w:rsid w:val="00FC76AF"/>
    <w:rsid w:val="00FC770F"/>
    <w:rsid w:val="00FC780B"/>
    <w:rsid w:val="00FC78CF"/>
    <w:rsid w:val="00FC7CBB"/>
    <w:rsid w:val="00FC7E42"/>
    <w:rsid w:val="00FD02C1"/>
    <w:rsid w:val="00FD0676"/>
    <w:rsid w:val="00FD0891"/>
    <w:rsid w:val="00FD0A67"/>
    <w:rsid w:val="00FD0CA3"/>
    <w:rsid w:val="00FD1707"/>
    <w:rsid w:val="00FD1D44"/>
    <w:rsid w:val="00FD1F28"/>
    <w:rsid w:val="00FD1F7A"/>
    <w:rsid w:val="00FD2269"/>
    <w:rsid w:val="00FD316B"/>
    <w:rsid w:val="00FD3417"/>
    <w:rsid w:val="00FD3440"/>
    <w:rsid w:val="00FD37A2"/>
    <w:rsid w:val="00FD3956"/>
    <w:rsid w:val="00FD4032"/>
    <w:rsid w:val="00FD4201"/>
    <w:rsid w:val="00FD4587"/>
    <w:rsid w:val="00FD47F5"/>
    <w:rsid w:val="00FD4A06"/>
    <w:rsid w:val="00FD55C6"/>
    <w:rsid w:val="00FD56BF"/>
    <w:rsid w:val="00FD5926"/>
    <w:rsid w:val="00FD5E1A"/>
    <w:rsid w:val="00FD5E54"/>
    <w:rsid w:val="00FD62A4"/>
    <w:rsid w:val="00FD6DD7"/>
    <w:rsid w:val="00FD7DEF"/>
    <w:rsid w:val="00FD7E16"/>
    <w:rsid w:val="00FE03FE"/>
    <w:rsid w:val="00FE040A"/>
    <w:rsid w:val="00FE06BB"/>
    <w:rsid w:val="00FE086B"/>
    <w:rsid w:val="00FE089D"/>
    <w:rsid w:val="00FE112D"/>
    <w:rsid w:val="00FE149B"/>
    <w:rsid w:val="00FE1684"/>
    <w:rsid w:val="00FE1A89"/>
    <w:rsid w:val="00FE1ABA"/>
    <w:rsid w:val="00FE1FBC"/>
    <w:rsid w:val="00FE26EC"/>
    <w:rsid w:val="00FE2851"/>
    <w:rsid w:val="00FE315C"/>
    <w:rsid w:val="00FE3902"/>
    <w:rsid w:val="00FE3981"/>
    <w:rsid w:val="00FE4746"/>
    <w:rsid w:val="00FE4937"/>
    <w:rsid w:val="00FE4B54"/>
    <w:rsid w:val="00FE4FDA"/>
    <w:rsid w:val="00FE5603"/>
    <w:rsid w:val="00FE56A1"/>
    <w:rsid w:val="00FE597F"/>
    <w:rsid w:val="00FE5E80"/>
    <w:rsid w:val="00FE60B9"/>
    <w:rsid w:val="00FE66B4"/>
    <w:rsid w:val="00FE696F"/>
    <w:rsid w:val="00FE6A93"/>
    <w:rsid w:val="00FE6D01"/>
    <w:rsid w:val="00FE771B"/>
    <w:rsid w:val="00FF118E"/>
    <w:rsid w:val="00FF1488"/>
    <w:rsid w:val="00FF150E"/>
    <w:rsid w:val="00FF1710"/>
    <w:rsid w:val="00FF1FE7"/>
    <w:rsid w:val="00FF215C"/>
    <w:rsid w:val="00FF228F"/>
    <w:rsid w:val="00FF265B"/>
    <w:rsid w:val="00FF2A2D"/>
    <w:rsid w:val="00FF2B1E"/>
    <w:rsid w:val="00FF2F20"/>
    <w:rsid w:val="00FF3573"/>
    <w:rsid w:val="00FF36E4"/>
    <w:rsid w:val="00FF3769"/>
    <w:rsid w:val="00FF3771"/>
    <w:rsid w:val="00FF37F8"/>
    <w:rsid w:val="00FF37FE"/>
    <w:rsid w:val="00FF4AC5"/>
    <w:rsid w:val="00FF4B2C"/>
    <w:rsid w:val="00FF4DCC"/>
    <w:rsid w:val="00FF59FE"/>
    <w:rsid w:val="00FF5E13"/>
    <w:rsid w:val="00FF6180"/>
    <w:rsid w:val="00FF660E"/>
    <w:rsid w:val="00FF6656"/>
    <w:rsid w:val="00FF6B12"/>
    <w:rsid w:val="00FF6E7F"/>
    <w:rsid w:val="00FF771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FA0BE5"/>
  <w15:chartTrackingRefBased/>
  <w15:docId w15:val="{C823F5F1-9B0A-40F0-889F-180B5E9277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116D"/>
    <w:pPr>
      <w:jc w:val="both"/>
    </w:pPr>
    <w:rPr>
      <w:rFonts w:ascii="Arial" w:hAnsi="Arial"/>
    </w:rPr>
  </w:style>
  <w:style w:type="paragraph" w:styleId="Titre1">
    <w:name w:val="heading 1"/>
    <w:basedOn w:val="Normal"/>
    <w:next w:val="Normal"/>
    <w:link w:val="Titre1Car"/>
    <w:uiPriority w:val="9"/>
    <w:qFormat/>
    <w:rsid w:val="005C769C"/>
    <w:pPr>
      <w:keepNext/>
      <w:keepLines/>
      <w:spacing w:before="240" w:after="240"/>
      <w:outlineLvl w:val="0"/>
    </w:pPr>
    <w:rPr>
      <w:rFonts w:eastAsiaTheme="majorEastAsia" w:cstheme="majorBidi"/>
      <w:b/>
      <w:sz w:val="24"/>
      <w:szCs w:val="32"/>
    </w:rPr>
  </w:style>
  <w:style w:type="paragraph" w:styleId="Titre2">
    <w:name w:val="heading 2"/>
    <w:basedOn w:val="Normal"/>
    <w:link w:val="Titre2Car"/>
    <w:autoRedefine/>
    <w:uiPriority w:val="9"/>
    <w:unhideWhenUsed/>
    <w:qFormat/>
    <w:rsid w:val="00A63F35"/>
    <w:pPr>
      <w:widowControl w:val="0"/>
      <w:numPr>
        <w:ilvl w:val="1"/>
        <w:numId w:val="9"/>
      </w:numPr>
      <w:autoSpaceDE w:val="0"/>
      <w:autoSpaceDN w:val="0"/>
      <w:spacing w:after="120" w:line="240" w:lineRule="atLeast"/>
      <w:jc w:val="left"/>
      <w:outlineLvl w:val="1"/>
    </w:pPr>
    <w:rPr>
      <w:rFonts w:eastAsia="MS PGothic"/>
      <w:b/>
      <w:lang w:eastAsia="fr-FR"/>
    </w:rPr>
  </w:style>
  <w:style w:type="paragraph" w:styleId="Titre3">
    <w:name w:val="heading 3"/>
    <w:basedOn w:val="Normal"/>
    <w:next w:val="Normal"/>
    <w:link w:val="Titre3Car"/>
    <w:uiPriority w:val="9"/>
    <w:qFormat/>
    <w:rsid w:val="000A157C"/>
    <w:pPr>
      <w:keepNext/>
      <w:tabs>
        <w:tab w:val="num" w:pos="1440"/>
      </w:tabs>
      <w:spacing w:before="360" w:after="240" w:line="240" w:lineRule="auto"/>
      <w:ind w:left="284"/>
      <w:outlineLvl w:val="2"/>
    </w:pPr>
    <w:rPr>
      <w:rFonts w:eastAsia="Times New Roman" w:cs="Arial"/>
      <w:szCs w:val="26"/>
      <w:u w:val="single"/>
      <w:lang w:eastAsia="fr-FR"/>
    </w:rPr>
  </w:style>
  <w:style w:type="paragraph" w:styleId="Titre4">
    <w:name w:val="heading 4"/>
    <w:basedOn w:val="Normal"/>
    <w:next w:val="Normal"/>
    <w:link w:val="Titre4Car"/>
    <w:uiPriority w:val="9"/>
    <w:qFormat/>
    <w:rsid w:val="005C79BC"/>
    <w:pPr>
      <w:keepNext/>
      <w:tabs>
        <w:tab w:val="num" w:pos="1980"/>
      </w:tabs>
      <w:spacing w:before="240" w:after="120" w:line="240" w:lineRule="auto"/>
      <w:ind w:left="1979" w:hanging="902"/>
      <w:outlineLvl w:val="3"/>
    </w:pPr>
    <w:rPr>
      <w:rFonts w:eastAsia="Times New Roman" w:cs="Arial"/>
      <w:i/>
      <w:iCs/>
      <w:sz w:val="20"/>
      <w:szCs w:val="28"/>
      <w:lang w:val="fr-CA" w:eastAsia="fr-FR"/>
    </w:rPr>
  </w:style>
  <w:style w:type="paragraph" w:styleId="Titre5">
    <w:name w:val="heading 5"/>
    <w:basedOn w:val="Normal"/>
    <w:next w:val="Normal"/>
    <w:link w:val="Titre5Car"/>
    <w:uiPriority w:val="9"/>
    <w:semiHidden/>
    <w:unhideWhenUsed/>
    <w:qFormat/>
    <w:rsid w:val="00BC0882"/>
    <w:pPr>
      <w:keepNext/>
      <w:keepLines/>
      <w:spacing w:before="40" w:after="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qFormat/>
    <w:rsid w:val="00BC0882"/>
    <w:pPr>
      <w:keepNext/>
      <w:numPr>
        <w:numId w:val="1"/>
      </w:numPr>
      <w:tabs>
        <w:tab w:val="num" w:pos="540"/>
      </w:tabs>
      <w:spacing w:before="240" w:after="0" w:line="240" w:lineRule="auto"/>
      <w:ind w:left="538" w:hanging="357"/>
      <w:jc w:val="left"/>
      <w:outlineLvl w:val="5"/>
    </w:pPr>
    <w:rPr>
      <w:rFonts w:eastAsia="Times New Roman" w:cs="Times New Roman"/>
      <w:szCs w:val="24"/>
      <w:u w:val="single"/>
      <w:lang w:eastAsia="fr-FR"/>
    </w:rPr>
  </w:style>
  <w:style w:type="paragraph" w:styleId="Titre7">
    <w:name w:val="heading 7"/>
    <w:basedOn w:val="Normal"/>
    <w:next w:val="Normal"/>
    <w:link w:val="Titre7Car"/>
    <w:uiPriority w:val="9"/>
    <w:semiHidden/>
    <w:unhideWhenUsed/>
    <w:qFormat/>
    <w:rsid w:val="004907A9"/>
    <w:pPr>
      <w:keepNext/>
      <w:keepLines/>
      <w:spacing w:before="40" w:after="0"/>
      <w:outlineLvl w:val="6"/>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A63F35"/>
    <w:rPr>
      <w:rFonts w:ascii="Arial" w:eastAsia="MS PGothic" w:hAnsi="Arial"/>
      <w:b/>
      <w:lang w:eastAsia="fr-FR"/>
    </w:rPr>
  </w:style>
  <w:style w:type="paragraph" w:styleId="En-tte">
    <w:name w:val="header"/>
    <w:basedOn w:val="Normal"/>
    <w:link w:val="En-tteCar"/>
    <w:uiPriority w:val="99"/>
    <w:unhideWhenUsed/>
    <w:rsid w:val="008150C6"/>
    <w:pPr>
      <w:tabs>
        <w:tab w:val="center" w:pos="4536"/>
        <w:tab w:val="right" w:pos="9072"/>
      </w:tabs>
      <w:spacing w:after="0" w:line="240" w:lineRule="auto"/>
    </w:pPr>
  </w:style>
  <w:style w:type="character" w:customStyle="1" w:styleId="En-tteCar">
    <w:name w:val="En-tête Car"/>
    <w:basedOn w:val="Policepardfaut"/>
    <w:link w:val="En-tte"/>
    <w:uiPriority w:val="99"/>
    <w:rsid w:val="008150C6"/>
  </w:style>
  <w:style w:type="paragraph" w:styleId="Pieddepage">
    <w:name w:val="footer"/>
    <w:basedOn w:val="Normal"/>
    <w:link w:val="PieddepageCar"/>
    <w:uiPriority w:val="99"/>
    <w:unhideWhenUsed/>
    <w:rsid w:val="008150C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150C6"/>
  </w:style>
  <w:style w:type="paragraph" w:styleId="Textedebulles">
    <w:name w:val="Balloon Text"/>
    <w:basedOn w:val="Normal"/>
    <w:link w:val="TextedebullesCar"/>
    <w:uiPriority w:val="99"/>
    <w:semiHidden/>
    <w:unhideWhenUsed/>
    <w:rsid w:val="008150C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8150C6"/>
    <w:rPr>
      <w:rFonts w:ascii="Segoe UI" w:hAnsi="Segoe UI" w:cs="Segoe UI"/>
      <w:sz w:val="18"/>
      <w:szCs w:val="18"/>
    </w:rPr>
  </w:style>
  <w:style w:type="paragraph" w:customStyle="1" w:styleId="ValrieN1">
    <w:name w:val="Valérie N1"/>
    <w:basedOn w:val="Normal"/>
    <w:link w:val="ValrieN1Car"/>
    <w:qFormat/>
    <w:rsid w:val="00026C60"/>
    <w:pPr>
      <w:ind w:left="-284"/>
    </w:pPr>
    <w:rPr>
      <w:rFonts w:cs="Arial"/>
      <w:b/>
      <w:sz w:val="24"/>
      <w:szCs w:val="24"/>
    </w:rPr>
  </w:style>
  <w:style w:type="paragraph" w:customStyle="1" w:styleId="ValrieN2">
    <w:name w:val="Valérie N2"/>
    <w:basedOn w:val="Normal"/>
    <w:link w:val="ValrieN2Car"/>
    <w:qFormat/>
    <w:rsid w:val="00026C60"/>
    <w:pPr>
      <w:ind w:left="-284"/>
    </w:pPr>
    <w:rPr>
      <w:rFonts w:cs="Arial"/>
      <w:b/>
    </w:rPr>
  </w:style>
  <w:style w:type="character" w:customStyle="1" w:styleId="ValrieN1Car">
    <w:name w:val="Valérie N1 Car"/>
    <w:basedOn w:val="Policepardfaut"/>
    <w:link w:val="ValrieN1"/>
    <w:rsid w:val="00026C60"/>
    <w:rPr>
      <w:rFonts w:ascii="Arial" w:hAnsi="Arial" w:cs="Arial"/>
      <w:b/>
      <w:sz w:val="24"/>
      <w:szCs w:val="24"/>
    </w:rPr>
  </w:style>
  <w:style w:type="character" w:customStyle="1" w:styleId="ValrieN2Car">
    <w:name w:val="Valérie N2 Car"/>
    <w:basedOn w:val="Policepardfaut"/>
    <w:link w:val="ValrieN2"/>
    <w:rsid w:val="00026C60"/>
    <w:rPr>
      <w:rFonts w:ascii="Arial" w:hAnsi="Arial" w:cs="Arial"/>
      <w:b/>
    </w:rPr>
  </w:style>
  <w:style w:type="paragraph" w:styleId="Corpsdetexte">
    <w:name w:val="Body Text"/>
    <w:basedOn w:val="Normal"/>
    <w:link w:val="CorpsdetexteCar"/>
    <w:qFormat/>
    <w:rsid w:val="003F3F29"/>
    <w:pPr>
      <w:autoSpaceDE w:val="0"/>
      <w:autoSpaceDN w:val="0"/>
      <w:adjustRightInd w:val="0"/>
      <w:spacing w:before="120" w:after="0" w:line="276" w:lineRule="auto"/>
    </w:pPr>
    <w:rPr>
      <w:rFonts w:eastAsia="Times New Roman" w:cs="Arial"/>
      <w:szCs w:val="20"/>
      <w:lang w:eastAsia="fr-FR"/>
    </w:rPr>
  </w:style>
  <w:style w:type="character" w:customStyle="1" w:styleId="CorpsdetexteCar">
    <w:name w:val="Corps de texte Car"/>
    <w:basedOn w:val="Policepardfaut"/>
    <w:link w:val="Corpsdetexte"/>
    <w:rsid w:val="003F3F29"/>
    <w:rPr>
      <w:rFonts w:ascii="Arial" w:eastAsia="Times New Roman" w:hAnsi="Arial" w:cs="Arial"/>
      <w:szCs w:val="20"/>
      <w:lang w:eastAsia="fr-FR"/>
    </w:rPr>
  </w:style>
  <w:style w:type="paragraph" w:styleId="Lgende">
    <w:name w:val="caption"/>
    <w:basedOn w:val="Normal"/>
    <w:next w:val="Normal"/>
    <w:link w:val="LgendeCar"/>
    <w:uiPriority w:val="35"/>
    <w:qFormat/>
    <w:rsid w:val="00187C22"/>
    <w:pPr>
      <w:keepNext/>
      <w:spacing w:after="120" w:line="240" w:lineRule="auto"/>
      <w:ind w:left="-170" w:right="-170"/>
      <w:jc w:val="center"/>
    </w:pPr>
    <w:rPr>
      <w:rFonts w:eastAsia="Times New Roman" w:cs="Arial"/>
      <w:bCs/>
      <w:i/>
      <w:iCs/>
      <w:sz w:val="20"/>
      <w:szCs w:val="20"/>
      <w:lang w:eastAsia="fr-FR"/>
    </w:rPr>
  </w:style>
  <w:style w:type="paragraph" w:customStyle="1" w:styleId="Source">
    <w:name w:val="Source"/>
    <w:basedOn w:val="Corpsdetexte"/>
    <w:rsid w:val="003F3F29"/>
    <w:pPr>
      <w:spacing w:before="60" w:after="240"/>
      <w:jc w:val="center"/>
    </w:pPr>
    <w:rPr>
      <w:sz w:val="18"/>
    </w:rPr>
  </w:style>
  <w:style w:type="paragraph" w:customStyle="1" w:styleId="Puce2">
    <w:name w:val="Puce 2"/>
    <w:basedOn w:val="Normal"/>
    <w:rsid w:val="003F3F29"/>
    <w:pPr>
      <w:numPr>
        <w:ilvl w:val="1"/>
        <w:numId w:val="2"/>
      </w:numPr>
      <w:tabs>
        <w:tab w:val="clear" w:pos="1440"/>
        <w:tab w:val="num" w:pos="1080"/>
      </w:tabs>
      <w:overflowPunct w:val="0"/>
      <w:autoSpaceDE w:val="0"/>
      <w:autoSpaceDN w:val="0"/>
      <w:adjustRightInd w:val="0"/>
      <w:spacing w:before="60" w:after="0" w:line="240" w:lineRule="auto"/>
      <w:ind w:left="1077" w:hanging="357"/>
      <w:textAlignment w:val="baseline"/>
    </w:pPr>
    <w:rPr>
      <w:rFonts w:eastAsia="Times New Roman" w:cs="Times New Roman"/>
      <w:color w:val="000000"/>
      <w:szCs w:val="20"/>
      <w:lang w:eastAsia="fr-FR"/>
    </w:rPr>
  </w:style>
  <w:style w:type="paragraph" w:customStyle="1" w:styleId="Lgendecomplment">
    <w:name w:val="Légende complément"/>
    <w:basedOn w:val="Normal"/>
    <w:rsid w:val="003F3F29"/>
    <w:pPr>
      <w:keepNext/>
      <w:spacing w:after="120" w:line="240" w:lineRule="auto"/>
      <w:ind w:left="-170" w:right="-170"/>
      <w:jc w:val="center"/>
    </w:pPr>
    <w:rPr>
      <w:rFonts w:eastAsia="Times New Roman" w:cs="Times New Roman"/>
      <w:szCs w:val="24"/>
      <w:lang w:eastAsia="fr-FR"/>
    </w:rPr>
  </w:style>
  <w:style w:type="table" w:styleId="Grilledutableau">
    <w:name w:val="Table Grid"/>
    <w:basedOn w:val="TableauNormal"/>
    <w:uiPriority w:val="59"/>
    <w:rsid w:val="003F3F29"/>
    <w:pPr>
      <w:spacing w:after="0" w:line="240" w:lineRule="auto"/>
    </w:pPr>
    <w:rPr>
      <w:rFonts w:ascii="Times New Roman" w:eastAsia="Times New Roman" w:hAnsi="Times New Roman" w:cs="Times New Roman"/>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ccentuation">
    <w:name w:val="Emphasis"/>
    <w:basedOn w:val="Policepardfaut"/>
    <w:uiPriority w:val="20"/>
    <w:qFormat/>
    <w:rsid w:val="002312BF"/>
    <w:rPr>
      <w:i/>
      <w:iCs/>
    </w:rPr>
  </w:style>
  <w:style w:type="paragraph" w:styleId="Paragraphedeliste">
    <w:name w:val="List Paragraph"/>
    <w:basedOn w:val="Normal"/>
    <w:link w:val="ParagraphedelisteCar"/>
    <w:uiPriority w:val="34"/>
    <w:qFormat/>
    <w:rsid w:val="00B00570"/>
    <w:pPr>
      <w:numPr>
        <w:numId w:val="4"/>
      </w:numPr>
      <w:suppressAutoHyphens/>
      <w:spacing w:before="120" w:after="0" w:line="240" w:lineRule="auto"/>
      <w:contextualSpacing/>
    </w:pPr>
    <w:rPr>
      <w:rFonts w:eastAsia="Arial Unicode MS" w:cs="Arial"/>
      <w:kern w:val="1"/>
      <w:szCs w:val="24"/>
      <w:lang w:eastAsia="ar-SA"/>
    </w:rPr>
  </w:style>
  <w:style w:type="character" w:customStyle="1" w:styleId="ParagraphedelisteCar">
    <w:name w:val="Paragraphe de liste Car"/>
    <w:link w:val="Paragraphedeliste"/>
    <w:uiPriority w:val="34"/>
    <w:locked/>
    <w:rsid w:val="00B00570"/>
    <w:rPr>
      <w:rFonts w:ascii="Arial" w:eastAsia="Arial Unicode MS" w:hAnsi="Arial" w:cs="Arial"/>
      <w:kern w:val="1"/>
      <w:szCs w:val="24"/>
      <w:lang w:eastAsia="ar-SA"/>
    </w:rPr>
  </w:style>
  <w:style w:type="paragraph" w:customStyle="1" w:styleId="Point">
    <w:name w:val="Point"/>
    <w:basedOn w:val="Normal"/>
    <w:qFormat/>
    <w:rsid w:val="00CC116D"/>
    <w:pPr>
      <w:numPr>
        <w:numId w:val="3"/>
      </w:numPr>
      <w:suppressAutoHyphens/>
      <w:spacing w:before="120" w:after="240" w:line="240" w:lineRule="auto"/>
    </w:pPr>
    <w:rPr>
      <w:rFonts w:eastAsia="Arial Unicode MS" w:cs="Arial"/>
      <w:kern w:val="22"/>
      <w:lang w:eastAsia="ar-SA"/>
    </w:rPr>
  </w:style>
  <w:style w:type="character" w:styleId="lev">
    <w:name w:val="Strong"/>
    <w:basedOn w:val="Policepardfaut"/>
    <w:uiPriority w:val="22"/>
    <w:qFormat/>
    <w:rsid w:val="00B00570"/>
    <w:rPr>
      <w:b/>
      <w:bCs/>
    </w:rPr>
  </w:style>
  <w:style w:type="character" w:customStyle="1" w:styleId="Titre1Car">
    <w:name w:val="Titre 1 Car"/>
    <w:basedOn w:val="Policepardfaut"/>
    <w:link w:val="Titre1"/>
    <w:rsid w:val="005C769C"/>
    <w:rPr>
      <w:rFonts w:ascii="Arial" w:eastAsiaTheme="majorEastAsia" w:hAnsi="Arial" w:cstheme="majorBidi"/>
      <w:b/>
      <w:sz w:val="24"/>
      <w:szCs w:val="32"/>
    </w:rPr>
  </w:style>
  <w:style w:type="paragraph" w:customStyle="1" w:styleId="facebook">
    <w:name w:val="facebook"/>
    <w:basedOn w:val="Normal"/>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511211"/>
    <w:rPr>
      <w:color w:val="0000FF"/>
      <w:u w:val="single"/>
    </w:rPr>
  </w:style>
  <w:style w:type="paragraph" w:customStyle="1" w:styleId="google">
    <w:name w:val="google"/>
    <w:basedOn w:val="Normal"/>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witter">
    <w:name w:val="twitter"/>
    <w:basedOn w:val="Normal"/>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linkedin">
    <w:name w:val="linkedin"/>
    <w:basedOn w:val="Normal"/>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NormalWeb">
    <w:name w:val="Normal (Web)"/>
    <w:basedOn w:val="Normal"/>
    <w:uiPriority w:val="99"/>
    <w:unhideWhenUsed/>
    <w:rsid w:val="00511211"/>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JRPrefbiblio">
    <w:name w:val="JRP_ref_biblio"/>
    <w:basedOn w:val="Normal"/>
    <w:qFormat/>
    <w:rsid w:val="002426AC"/>
    <w:pPr>
      <w:widowControl w:val="0"/>
      <w:numPr>
        <w:numId w:val="5"/>
      </w:numPr>
      <w:autoSpaceDE w:val="0"/>
      <w:autoSpaceDN w:val="0"/>
      <w:adjustRightInd w:val="0"/>
      <w:spacing w:after="0" w:line="200" w:lineRule="atLeast"/>
      <w:textAlignment w:val="center"/>
    </w:pPr>
    <w:rPr>
      <w:rFonts w:ascii="Calibri" w:eastAsia="Times New Roman" w:hAnsi="Calibri" w:cs="Times New Roman"/>
      <w:color w:val="000000"/>
      <w:sz w:val="17"/>
      <w:szCs w:val="20"/>
      <w:lang w:val="en-US" w:eastAsia="fr-FR"/>
    </w:rPr>
  </w:style>
  <w:style w:type="character" w:customStyle="1" w:styleId="Titre3Car">
    <w:name w:val="Titre 3 Car"/>
    <w:basedOn w:val="Policepardfaut"/>
    <w:link w:val="Titre3"/>
    <w:rsid w:val="000A157C"/>
    <w:rPr>
      <w:rFonts w:ascii="Arial" w:eastAsia="Times New Roman" w:hAnsi="Arial" w:cs="Arial"/>
      <w:szCs w:val="26"/>
      <w:u w:val="single"/>
      <w:lang w:eastAsia="fr-FR"/>
    </w:rPr>
  </w:style>
  <w:style w:type="character" w:styleId="Mentionnonrsolue">
    <w:name w:val="Unresolved Mention"/>
    <w:basedOn w:val="Policepardfaut"/>
    <w:uiPriority w:val="99"/>
    <w:semiHidden/>
    <w:unhideWhenUsed/>
    <w:rsid w:val="00D14F18"/>
    <w:rPr>
      <w:color w:val="605E5C"/>
      <w:shd w:val="clear" w:color="auto" w:fill="E1DFDD"/>
    </w:rPr>
  </w:style>
  <w:style w:type="character" w:customStyle="1" w:styleId="dataarticle">
    <w:name w:val="data_article"/>
    <w:basedOn w:val="Policepardfaut"/>
    <w:rsid w:val="0084061A"/>
  </w:style>
  <w:style w:type="character" w:customStyle="1" w:styleId="Titre4Car">
    <w:name w:val="Titre 4 Car"/>
    <w:basedOn w:val="Policepardfaut"/>
    <w:link w:val="Titre4"/>
    <w:uiPriority w:val="9"/>
    <w:rsid w:val="005C79BC"/>
    <w:rPr>
      <w:rFonts w:ascii="Arial" w:eastAsia="Times New Roman" w:hAnsi="Arial" w:cs="Arial"/>
      <w:i/>
      <w:iCs/>
      <w:sz w:val="20"/>
      <w:szCs w:val="28"/>
      <w:lang w:val="fr-CA" w:eastAsia="fr-FR"/>
    </w:rPr>
  </w:style>
  <w:style w:type="character" w:styleId="Textedelespacerserv">
    <w:name w:val="Placeholder Text"/>
    <w:basedOn w:val="Policepardfaut"/>
    <w:uiPriority w:val="99"/>
    <w:semiHidden/>
    <w:rsid w:val="00D827EB"/>
    <w:rPr>
      <w:color w:val="808080"/>
    </w:rPr>
  </w:style>
  <w:style w:type="paragraph" w:styleId="En-ttedetabledesmatires">
    <w:name w:val="TOC Heading"/>
    <w:basedOn w:val="Titre1"/>
    <w:next w:val="Normal"/>
    <w:uiPriority w:val="39"/>
    <w:unhideWhenUsed/>
    <w:qFormat/>
    <w:rsid w:val="00CC116D"/>
    <w:pPr>
      <w:outlineLvl w:val="9"/>
    </w:pPr>
    <w:rPr>
      <w:lang w:val="en-US"/>
    </w:rPr>
  </w:style>
  <w:style w:type="paragraph" w:styleId="TM1">
    <w:name w:val="toc 1"/>
    <w:basedOn w:val="Normal"/>
    <w:next w:val="Normal"/>
    <w:autoRedefine/>
    <w:uiPriority w:val="39"/>
    <w:unhideWhenUsed/>
    <w:qFormat/>
    <w:rsid w:val="00CC116D"/>
    <w:pPr>
      <w:spacing w:after="100"/>
    </w:pPr>
  </w:style>
  <w:style w:type="paragraph" w:styleId="TM2">
    <w:name w:val="toc 2"/>
    <w:basedOn w:val="Normal"/>
    <w:next w:val="Normal"/>
    <w:autoRedefine/>
    <w:uiPriority w:val="39"/>
    <w:unhideWhenUsed/>
    <w:qFormat/>
    <w:rsid w:val="00CC116D"/>
    <w:pPr>
      <w:spacing w:after="100"/>
      <w:ind w:left="220"/>
    </w:pPr>
  </w:style>
  <w:style w:type="paragraph" w:styleId="TM3">
    <w:name w:val="toc 3"/>
    <w:basedOn w:val="Normal"/>
    <w:next w:val="Normal"/>
    <w:autoRedefine/>
    <w:uiPriority w:val="39"/>
    <w:unhideWhenUsed/>
    <w:rsid w:val="001856F9"/>
    <w:pPr>
      <w:tabs>
        <w:tab w:val="right" w:leader="dot" w:pos="9060"/>
      </w:tabs>
      <w:spacing w:after="100"/>
      <w:ind w:left="440"/>
    </w:pPr>
  </w:style>
  <w:style w:type="paragraph" w:customStyle="1" w:styleId="INTRO">
    <w:name w:val="INTRO"/>
    <w:basedOn w:val="Normal"/>
    <w:link w:val="INTROCar"/>
    <w:qFormat/>
    <w:rsid w:val="00CC116D"/>
    <w:rPr>
      <w:rFonts w:cs="Arial"/>
      <w:b/>
      <w:i/>
      <w:sz w:val="24"/>
    </w:rPr>
  </w:style>
  <w:style w:type="paragraph" w:styleId="TM5">
    <w:name w:val="toc 5"/>
    <w:basedOn w:val="Normal"/>
    <w:next w:val="Normal"/>
    <w:autoRedefine/>
    <w:uiPriority w:val="39"/>
    <w:unhideWhenUsed/>
    <w:rsid w:val="00ED22A4"/>
    <w:pPr>
      <w:tabs>
        <w:tab w:val="right" w:leader="dot" w:pos="9060"/>
      </w:tabs>
      <w:spacing w:after="100"/>
      <w:ind w:left="880"/>
    </w:pPr>
  </w:style>
  <w:style w:type="character" w:customStyle="1" w:styleId="INTROCar">
    <w:name w:val="INTRO Car"/>
    <w:basedOn w:val="Policepardfaut"/>
    <w:link w:val="INTRO"/>
    <w:rsid w:val="00CC116D"/>
    <w:rPr>
      <w:rFonts w:ascii="Arial" w:hAnsi="Arial" w:cs="Arial"/>
      <w:b/>
      <w:i/>
      <w:sz w:val="24"/>
    </w:rPr>
  </w:style>
  <w:style w:type="paragraph" w:styleId="TM4">
    <w:name w:val="toc 4"/>
    <w:basedOn w:val="Normal"/>
    <w:next w:val="Normal"/>
    <w:autoRedefine/>
    <w:uiPriority w:val="39"/>
    <w:unhideWhenUsed/>
    <w:rsid w:val="005827CD"/>
    <w:pPr>
      <w:tabs>
        <w:tab w:val="right" w:leader="dot" w:pos="9060"/>
      </w:tabs>
      <w:spacing w:after="100"/>
      <w:ind w:left="660"/>
    </w:pPr>
  </w:style>
  <w:style w:type="paragraph" w:styleId="Notedebasdepage">
    <w:name w:val="footnote text"/>
    <w:basedOn w:val="Normal"/>
    <w:link w:val="NotedebasdepageCar"/>
    <w:uiPriority w:val="99"/>
    <w:semiHidden/>
    <w:unhideWhenUsed/>
    <w:rsid w:val="00E00E47"/>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E00E47"/>
    <w:rPr>
      <w:rFonts w:ascii="Arial" w:hAnsi="Arial"/>
      <w:sz w:val="20"/>
      <w:szCs w:val="20"/>
    </w:rPr>
  </w:style>
  <w:style w:type="character" w:styleId="Appelnotedebasdep">
    <w:name w:val="footnote reference"/>
    <w:basedOn w:val="Policepardfaut"/>
    <w:uiPriority w:val="99"/>
    <w:unhideWhenUsed/>
    <w:rsid w:val="00E00E47"/>
    <w:rPr>
      <w:vertAlign w:val="superscript"/>
    </w:rPr>
  </w:style>
  <w:style w:type="paragraph" w:customStyle="1" w:styleId="figure">
    <w:name w:val="figure"/>
    <w:basedOn w:val="Lgende"/>
    <w:link w:val="figureCar"/>
    <w:qFormat/>
    <w:rsid w:val="005267CA"/>
    <w:pPr>
      <w:spacing w:before="120" w:after="0"/>
      <w:ind w:left="0"/>
    </w:pPr>
    <w:rPr>
      <w:b/>
      <w:i w:val="0"/>
    </w:rPr>
  </w:style>
  <w:style w:type="paragraph" w:customStyle="1" w:styleId="PARTIE">
    <w:name w:val="PARTIE"/>
    <w:basedOn w:val="Titre1"/>
    <w:qFormat/>
    <w:rsid w:val="005C769C"/>
    <w:pPr>
      <w:keepLines w:val="0"/>
      <w:spacing w:before="720" w:line="240" w:lineRule="auto"/>
    </w:pPr>
    <w:rPr>
      <w:rFonts w:eastAsia="Times New Roman" w:cs="Arial"/>
      <w:bCs/>
      <w:kern w:val="32"/>
      <w:sz w:val="28"/>
      <w:lang w:eastAsia="fr-FR"/>
    </w:rPr>
  </w:style>
  <w:style w:type="character" w:customStyle="1" w:styleId="LgendeCar">
    <w:name w:val="Légende Car"/>
    <w:basedOn w:val="Policepardfaut"/>
    <w:link w:val="Lgende"/>
    <w:rsid w:val="00187C22"/>
    <w:rPr>
      <w:rFonts w:ascii="Arial" w:eastAsia="Times New Roman" w:hAnsi="Arial" w:cs="Arial"/>
      <w:bCs/>
      <w:i/>
      <w:iCs/>
      <w:sz w:val="20"/>
      <w:szCs w:val="20"/>
      <w:lang w:eastAsia="fr-FR"/>
    </w:rPr>
  </w:style>
  <w:style w:type="character" w:customStyle="1" w:styleId="figureCar">
    <w:name w:val="figure Car"/>
    <w:basedOn w:val="LgendeCar"/>
    <w:link w:val="figure"/>
    <w:rsid w:val="005267CA"/>
    <w:rPr>
      <w:rFonts w:ascii="Arial" w:eastAsia="Times New Roman" w:hAnsi="Arial" w:cs="Arial"/>
      <w:b/>
      <w:bCs/>
      <w:i w:val="0"/>
      <w:iCs/>
      <w:sz w:val="20"/>
      <w:szCs w:val="20"/>
      <w:lang w:eastAsia="fr-FR"/>
    </w:rPr>
  </w:style>
  <w:style w:type="paragraph" w:styleId="Tabledesillustrations">
    <w:name w:val="table of figures"/>
    <w:basedOn w:val="Normal"/>
    <w:next w:val="Normal"/>
    <w:uiPriority w:val="99"/>
    <w:unhideWhenUsed/>
    <w:rsid w:val="00FF228F"/>
    <w:pPr>
      <w:spacing w:after="0"/>
    </w:pPr>
  </w:style>
  <w:style w:type="character" w:customStyle="1" w:styleId="Titre5Car">
    <w:name w:val="Titre 5 Car"/>
    <w:basedOn w:val="Policepardfaut"/>
    <w:link w:val="Titre5"/>
    <w:uiPriority w:val="9"/>
    <w:semiHidden/>
    <w:rsid w:val="00BC0882"/>
    <w:rPr>
      <w:rFonts w:asciiTheme="majorHAnsi" w:eastAsiaTheme="majorEastAsia" w:hAnsiTheme="majorHAnsi" w:cstheme="majorBidi"/>
      <w:color w:val="2F5496" w:themeColor="accent1" w:themeShade="BF"/>
    </w:rPr>
  </w:style>
  <w:style w:type="character" w:customStyle="1" w:styleId="Titre6Car">
    <w:name w:val="Titre 6 Car"/>
    <w:basedOn w:val="Policepardfaut"/>
    <w:link w:val="Titre6"/>
    <w:rsid w:val="00BC0882"/>
    <w:rPr>
      <w:rFonts w:ascii="Arial" w:eastAsia="Times New Roman" w:hAnsi="Arial" w:cs="Times New Roman"/>
      <w:szCs w:val="24"/>
      <w:u w:val="single"/>
      <w:lang w:eastAsia="fr-FR"/>
    </w:rPr>
  </w:style>
  <w:style w:type="paragraph" w:customStyle="1" w:styleId="Puce1">
    <w:name w:val="Puce 1"/>
    <w:basedOn w:val="Normal"/>
    <w:rsid w:val="001A478A"/>
    <w:pPr>
      <w:tabs>
        <w:tab w:val="num" w:pos="720"/>
      </w:tabs>
      <w:overflowPunct w:val="0"/>
      <w:autoSpaceDE w:val="0"/>
      <w:autoSpaceDN w:val="0"/>
      <w:adjustRightInd w:val="0"/>
      <w:spacing w:before="60" w:after="0" w:line="240" w:lineRule="auto"/>
      <w:ind w:left="714" w:hanging="357"/>
      <w:textAlignment w:val="baseline"/>
    </w:pPr>
    <w:rPr>
      <w:rFonts w:eastAsia="Times New Roman" w:cs="Arial"/>
      <w:szCs w:val="20"/>
      <w:lang w:eastAsia="fr-FR"/>
    </w:rPr>
  </w:style>
  <w:style w:type="character" w:customStyle="1" w:styleId="wb-inv">
    <w:name w:val="wb-inv"/>
    <w:basedOn w:val="Policepardfaut"/>
    <w:rsid w:val="002343D3"/>
  </w:style>
  <w:style w:type="character" w:styleId="Marquedecommentaire">
    <w:name w:val="annotation reference"/>
    <w:basedOn w:val="Policepardfaut"/>
    <w:uiPriority w:val="99"/>
    <w:semiHidden/>
    <w:unhideWhenUsed/>
    <w:rsid w:val="005B5F2D"/>
    <w:rPr>
      <w:sz w:val="16"/>
      <w:szCs w:val="16"/>
    </w:rPr>
  </w:style>
  <w:style w:type="paragraph" w:styleId="Commentaire">
    <w:name w:val="annotation text"/>
    <w:basedOn w:val="Normal"/>
    <w:link w:val="CommentaireCar"/>
    <w:uiPriority w:val="99"/>
    <w:unhideWhenUsed/>
    <w:rsid w:val="005B5F2D"/>
    <w:pPr>
      <w:spacing w:line="240" w:lineRule="auto"/>
    </w:pPr>
    <w:rPr>
      <w:sz w:val="20"/>
      <w:szCs w:val="20"/>
    </w:rPr>
  </w:style>
  <w:style w:type="character" w:customStyle="1" w:styleId="CommentaireCar">
    <w:name w:val="Commentaire Car"/>
    <w:basedOn w:val="Policepardfaut"/>
    <w:link w:val="Commentaire"/>
    <w:uiPriority w:val="99"/>
    <w:rsid w:val="005B5F2D"/>
    <w:rPr>
      <w:rFonts w:ascii="Arial" w:hAnsi="Arial"/>
      <w:sz w:val="20"/>
      <w:szCs w:val="20"/>
    </w:rPr>
  </w:style>
  <w:style w:type="paragraph" w:customStyle="1" w:styleId="JRPcorpstexte">
    <w:name w:val="JRP_corps_texte"/>
    <w:basedOn w:val="Normal"/>
    <w:qFormat/>
    <w:rsid w:val="00C63913"/>
    <w:pPr>
      <w:widowControl w:val="0"/>
      <w:autoSpaceDE w:val="0"/>
      <w:autoSpaceDN w:val="0"/>
      <w:adjustRightInd w:val="0"/>
      <w:spacing w:after="57" w:line="230" w:lineRule="atLeast"/>
      <w:textAlignment w:val="center"/>
    </w:pPr>
    <w:rPr>
      <w:rFonts w:ascii="Calibri" w:eastAsia="Times New Roman" w:hAnsi="Calibri" w:cs="Times New Roman"/>
      <w:color w:val="000000"/>
      <w:sz w:val="19"/>
      <w:szCs w:val="20"/>
      <w:lang w:eastAsia="fr-FR"/>
    </w:rPr>
  </w:style>
  <w:style w:type="paragraph" w:styleId="Objetducommentaire">
    <w:name w:val="annotation subject"/>
    <w:basedOn w:val="Commentaire"/>
    <w:next w:val="Commentaire"/>
    <w:link w:val="ObjetducommentaireCar"/>
    <w:uiPriority w:val="99"/>
    <w:semiHidden/>
    <w:unhideWhenUsed/>
    <w:rsid w:val="00870812"/>
    <w:rPr>
      <w:b/>
      <w:bCs/>
    </w:rPr>
  </w:style>
  <w:style w:type="paragraph" w:styleId="Titre">
    <w:name w:val="Title"/>
    <w:basedOn w:val="Normal"/>
    <w:link w:val="TitreCar"/>
    <w:uiPriority w:val="10"/>
    <w:qFormat/>
    <w:rsid w:val="007478E0"/>
    <w:pPr>
      <w:widowControl w:val="0"/>
      <w:autoSpaceDE w:val="0"/>
      <w:autoSpaceDN w:val="0"/>
      <w:spacing w:after="0" w:line="851" w:lineRule="exact"/>
      <w:ind w:left="6656"/>
      <w:jc w:val="left"/>
    </w:pPr>
    <w:rPr>
      <w:rFonts w:ascii="Trebuchet MS" w:eastAsia="Trebuchet MS" w:hAnsi="Trebuchet MS" w:cs="Trebuchet MS"/>
      <w:b/>
      <w:bCs/>
      <w:i/>
      <w:iCs/>
      <w:sz w:val="88"/>
      <w:szCs w:val="88"/>
    </w:rPr>
  </w:style>
  <w:style w:type="character" w:customStyle="1" w:styleId="TitreCar">
    <w:name w:val="Titre Car"/>
    <w:basedOn w:val="Policepardfaut"/>
    <w:link w:val="Titre"/>
    <w:uiPriority w:val="10"/>
    <w:rsid w:val="007478E0"/>
    <w:rPr>
      <w:rFonts w:ascii="Trebuchet MS" w:eastAsia="Trebuchet MS" w:hAnsi="Trebuchet MS" w:cs="Trebuchet MS"/>
      <w:b/>
      <w:bCs/>
      <w:i/>
      <w:iCs/>
      <w:sz w:val="88"/>
      <w:szCs w:val="88"/>
    </w:rPr>
  </w:style>
  <w:style w:type="paragraph" w:customStyle="1" w:styleId="TableParagraph">
    <w:name w:val="Table Paragraph"/>
    <w:basedOn w:val="Normal"/>
    <w:uiPriority w:val="1"/>
    <w:qFormat/>
    <w:rsid w:val="007478E0"/>
    <w:pPr>
      <w:widowControl w:val="0"/>
      <w:autoSpaceDE w:val="0"/>
      <w:autoSpaceDN w:val="0"/>
      <w:spacing w:after="0" w:line="240" w:lineRule="auto"/>
      <w:jc w:val="right"/>
    </w:pPr>
    <w:rPr>
      <w:rFonts w:ascii="Arial MT" w:eastAsia="Arial MT" w:hAnsi="Arial MT" w:cs="Arial MT"/>
    </w:rPr>
  </w:style>
  <w:style w:type="character" w:customStyle="1" w:styleId="author">
    <w:name w:val="author"/>
    <w:basedOn w:val="Policepardfaut"/>
    <w:rsid w:val="005205A1"/>
  </w:style>
  <w:style w:type="paragraph" w:customStyle="1" w:styleId="titre-article">
    <w:name w:val="titre-article"/>
    <w:basedOn w:val="Normal"/>
    <w:rsid w:val="00F95F7F"/>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paragraph" w:customStyle="1" w:styleId="meta">
    <w:name w:val="meta"/>
    <w:basedOn w:val="Normal"/>
    <w:rsid w:val="00F95F7F"/>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auteur">
    <w:name w:val="auteur"/>
    <w:basedOn w:val="Policepardfaut"/>
    <w:rsid w:val="00F95F7F"/>
  </w:style>
  <w:style w:type="character" w:customStyle="1" w:styleId="in-revue">
    <w:name w:val="in-revue"/>
    <w:basedOn w:val="Policepardfaut"/>
    <w:rsid w:val="00F95F7F"/>
  </w:style>
  <w:style w:type="character" w:customStyle="1" w:styleId="titre-revue">
    <w:name w:val="titre-revue"/>
    <w:basedOn w:val="Policepardfaut"/>
    <w:rsid w:val="00F95F7F"/>
  </w:style>
  <w:style w:type="paragraph" w:customStyle="1" w:styleId="courant">
    <w:name w:val="courant"/>
    <w:basedOn w:val="Normal"/>
    <w:rsid w:val="00DC5CA5"/>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denree-denomination">
    <w:name w:val="denree-denomination"/>
    <w:basedOn w:val="Policepardfaut"/>
    <w:rsid w:val="00DC5CA5"/>
  </w:style>
  <w:style w:type="paragraph" w:customStyle="1" w:styleId="courant-csans">
    <w:name w:val="courant-csans"/>
    <w:basedOn w:val="Normal"/>
    <w:rsid w:val="00DC5CA5"/>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boll-courant">
    <w:name w:val="boll-courant"/>
    <w:basedOn w:val="Policepardfaut"/>
    <w:rsid w:val="00C350C1"/>
  </w:style>
  <w:style w:type="paragraph" w:styleId="TM6">
    <w:name w:val="toc 6"/>
    <w:basedOn w:val="Normal"/>
    <w:next w:val="Normal"/>
    <w:autoRedefine/>
    <w:uiPriority w:val="39"/>
    <w:unhideWhenUsed/>
    <w:rsid w:val="003238A3"/>
    <w:pPr>
      <w:spacing w:after="100"/>
      <w:ind w:left="1100"/>
      <w:jc w:val="left"/>
    </w:pPr>
    <w:rPr>
      <w:rFonts w:asciiTheme="minorHAnsi" w:eastAsiaTheme="minorEastAsia" w:hAnsiTheme="minorHAnsi"/>
      <w:lang w:val="en-US"/>
    </w:rPr>
  </w:style>
  <w:style w:type="paragraph" w:styleId="TM7">
    <w:name w:val="toc 7"/>
    <w:basedOn w:val="Normal"/>
    <w:next w:val="Normal"/>
    <w:autoRedefine/>
    <w:uiPriority w:val="39"/>
    <w:unhideWhenUsed/>
    <w:rsid w:val="003238A3"/>
    <w:pPr>
      <w:spacing w:after="100"/>
      <w:ind w:left="1320"/>
      <w:jc w:val="left"/>
    </w:pPr>
    <w:rPr>
      <w:rFonts w:asciiTheme="minorHAnsi" w:eastAsiaTheme="minorEastAsia" w:hAnsiTheme="minorHAnsi"/>
      <w:lang w:val="en-US"/>
    </w:rPr>
  </w:style>
  <w:style w:type="paragraph" w:styleId="TM8">
    <w:name w:val="toc 8"/>
    <w:basedOn w:val="Normal"/>
    <w:next w:val="Normal"/>
    <w:autoRedefine/>
    <w:uiPriority w:val="39"/>
    <w:unhideWhenUsed/>
    <w:rsid w:val="003238A3"/>
    <w:pPr>
      <w:spacing w:after="100"/>
      <w:ind w:left="1540"/>
      <w:jc w:val="left"/>
    </w:pPr>
    <w:rPr>
      <w:rFonts w:asciiTheme="minorHAnsi" w:eastAsiaTheme="minorEastAsia" w:hAnsiTheme="minorHAnsi"/>
      <w:lang w:val="en-US"/>
    </w:rPr>
  </w:style>
  <w:style w:type="paragraph" w:styleId="TM9">
    <w:name w:val="toc 9"/>
    <w:basedOn w:val="Normal"/>
    <w:next w:val="Normal"/>
    <w:autoRedefine/>
    <w:uiPriority w:val="39"/>
    <w:unhideWhenUsed/>
    <w:rsid w:val="003238A3"/>
    <w:pPr>
      <w:spacing w:after="100"/>
      <w:ind w:left="1760"/>
      <w:jc w:val="left"/>
    </w:pPr>
    <w:rPr>
      <w:rFonts w:asciiTheme="minorHAnsi" w:eastAsiaTheme="minorEastAsia" w:hAnsiTheme="minorHAnsi"/>
      <w:lang w:val="en-US"/>
    </w:rPr>
  </w:style>
  <w:style w:type="character" w:customStyle="1" w:styleId="gsct1">
    <w:name w:val="gs_ct1"/>
    <w:basedOn w:val="Policepardfaut"/>
    <w:rsid w:val="008C2479"/>
  </w:style>
  <w:style w:type="character" w:customStyle="1" w:styleId="Titre7Car">
    <w:name w:val="Titre 7 Car"/>
    <w:basedOn w:val="Policepardfaut"/>
    <w:link w:val="Titre7"/>
    <w:uiPriority w:val="9"/>
    <w:semiHidden/>
    <w:rsid w:val="004907A9"/>
    <w:rPr>
      <w:rFonts w:asciiTheme="majorHAnsi" w:eastAsiaTheme="majorEastAsia" w:hAnsiTheme="majorHAnsi" w:cstheme="majorBidi"/>
      <w:i/>
      <w:iCs/>
      <w:color w:val="1F3763" w:themeColor="accent1" w:themeShade="7F"/>
    </w:rPr>
  </w:style>
  <w:style w:type="character" w:styleId="Accentuationlgre">
    <w:name w:val="Subtle Emphasis"/>
    <w:basedOn w:val="Policepardfaut"/>
    <w:uiPriority w:val="19"/>
    <w:qFormat/>
    <w:rsid w:val="00442E5D"/>
    <w:rPr>
      <w:i/>
      <w:iCs/>
      <w:color w:val="404040" w:themeColor="text1" w:themeTint="BF"/>
    </w:rPr>
  </w:style>
  <w:style w:type="paragraph" w:customStyle="1" w:styleId="articleitem">
    <w:name w:val="article__item"/>
    <w:basedOn w:val="Normal"/>
    <w:rsid w:val="008979C0"/>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table" w:customStyle="1" w:styleId="TableNormal1">
    <w:name w:val="Table Normal1"/>
    <w:uiPriority w:val="2"/>
    <w:semiHidden/>
    <w:unhideWhenUsed/>
    <w:qFormat/>
    <w:rsid w:val="007B0D5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ObjetducommentaireCar">
    <w:name w:val="Objet du commentaire Car"/>
    <w:basedOn w:val="CommentaireCar"/>
    <w:link w:val="Objetducommentaire"/>
    <w:uiPriority w:val="99"/>
    <w:semiHidden/>
    <w:rsid w:val="00870812"/>
    <w:rPr>
      <w:rFonts w:ascii="Arial" w:hAnsi="Arial"/>
      <w:b/>
      <w:bCs/>
      <w:sz w:val="20"/>
      <w:szCs w:val="20"/>
    </w:rPr>
  </w:style>
  <w:style w:type="paragraph" w:styleId="Rvision">
    <w:name w:val="Revision"/>
    <w:hidden/>
    <w:uiPriority w:val="99"/>
    <w:semiHidden/>
    <w:rsid w:val="009175CD"/>
    <w:pPr>
      <w:spacing w:after="0" w:line="240" w:lineRule="auto"/>
    </w:pPr>
    <w:rPr>
      <w:rFonts w:ascii="Arial" w:hAnsi="Arial"/>
    </w:rPr>
  </w:style>
  <w:style w:type="paragraph" w:customStyle="1" w:styleId="bilantitre2objectifsresultats">
    <w:name w:val="bilan_titre2_objectifs/resultats"/>
    <w:basedOn w:val="Normal"/>
    <w:uiPriority w:val="99"/>
    <w:qFormat/>
    <w:rsid w:val="00C51AE3"/>
    <w:pPr>
      <w:widowControl w:val="0"/>
      <w:autoSpaceDE w:val="0"/>
      <w:autoSpaceDN w:val="0"/>
      <w:adjustRightInd w:val="0"/>
      <w:spacing w:before="170" w:after="0" w:line="288" w:lineRule="auto"/>
      <w:textAlignment w:val="center"/>
    </w:pPr>
    <w:rPr>
      <w:rFonts w:cs="MyriadPro-Semibold"/>
      <w:b/>
      <w:color w:val="002060"/>
      <w:w w:val="95"/>
      <w:szCs w:val="18"/>
    </w:rPr>
  </w:style>
  <w:style w:type="paragraph" w:customStyle="1" w:styleId="Bilantextenormal">
    <w:name w:val="Bilan_texte normal"/>
    <w:basedOn w:val="Normal"/>
    <w:uiPriority w:val="99"/>
    <w:qFormat/>
    <w:rsid w:val="00C51AE3"/>
    <w:pPr>
      <w:widowControl w:val="0"/>
      <w:autoSpaceDE w:val="0"/>
      <w:autoSpaceDN w:val="0"/>
      <w:adjustRightInd w:val="0"/>
      <w:spacing w:after="60" w:line="240" w:lineRule="auto"/>
      <w:textAlignment w:val="center"/>
    </w:pPr>
    <w:rPr>
      <w:rFonts w:cs="MyriadPro-Light"/>
      <w:color w:val="000000"/>
      <w:w w:val="95"/>
      <w:sz w:val="20"/>
      <w:szCs w:val="18"/>
    </w:rPr>
  </w:style>
  <w:style w:type="character" w:customStyle="1" w:styleId="Textedelespacerserv0">
    <w:name w:val="Texte de l’espace réservé"/>
    <w:basedOn w:val="Policepardfaut"/>
    <w:uiPriority w:val="99"/>
    <w:semiHidden/>
    <w:rsid w:val="00603472"/>
    <w:rPr>
      <w:color w:val="808080"/>
    </w:rPr>
  </w:style>
  <w:style w:type="character" w:customStyle="1" w:styleId="title-text">
    <w:name w:val="title-text"/>
    <w:basedOn w:val="Policepardfaut"/>
    <w:rsid w:val="00EC6C5C"/>
  </w:style>
  <w:style w:type="character" w:customStyle="1" w:styleId="text">
    <w:name w:val="text"/>
    <w:basedOn w:val="Policepardfaut"/>
    <w:rsid w:val="001A5091"/>
  </w:style>
  <w:style w:type="character" w:customStyle="1" w:styleId="author-ref">
    <w:name w:val="author-ref"/>
    <w:basedOn w:val="Policepardfaut"/>
    <w:rsid w:val="001A50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760155">
      <w:bodyDiv w:val="1"/>
      <w:marLeft w:val="0"/>
      <w:marRight w:val="0"/>
      <w:marTop w:val="0"/>
      <w:marBottom w:val="0"/>
      <w:divBdr>
        <w:top w:val="none" w:sz="0" w:space="0" w:color="auto"/>
        <w:left w:val="none" w:sz="0" w:space="0" w:color="auto"/>
        <w:bottom w:val="none" w:sz="0" w:space="0" w:color="auto"/>
        <w:right w:val="none" w:sz="0" w:space="0" w:color="auto"/>
      </w:divBdr>
    </w:div>
    <w:div w:id="6911645">
      <w:bodyDiv w:val="1"/>
      <w:marLeft w:val="0"/>
      <w:marRight w:val="0"/>
      <w:marTop w:val="0"/>
      <w:marBottom w:val="0"/>
      <w:divBdr>
        <w:top w:val="none" w:sz="0" w:space="0" w:color="auto"/>
        <w:left w:val="none" w:sz="0" w:space="0" w:color="auto"/>
        <w:bottom w:val="none" w:sz="0" w:space="0" w:color="auto"/>
        <w:right w:val="none" w:sz="0" w:space="0" w:color="auto"/>
      </w:divBdr>
    </w:div>
    <w:div w:id="11996646">
      <w:bodyDiv w:val="1"/>
      <w:marLeft w:val="0"/>
      <w:marRight w:val="0"/>
      <w:marTop w:val="0"/>
      <w:marBottom w:val="0"/>
      <w:divBdr>
        <w:top w:val="none" w:sz="0" w:space="0" w:color="auto"/>
        <w:left w:val="none" w:sz="0" w:space="0" w:color="auto"/>
        <w:bottom w:val="none" w:sz="0" w:space="0" w:color="auto"/>
        <w:right w:val="none" w:sz="0" w:space="0" w:color="auto"/>
      </w:divBdr>
    </w:div>
    <w:div w:id="15889338">
      <w:bodyDiv w:val="1"/>
      <w:marLeft w:val="0"/>
      <w:marRight w:val="0"/>
      <w:marTop w:val="0"/>
      <w:marBottom w:val="0"/>
      <w:divBdr>
        <w:top w:val="none" w:sz="0" w:space="0" w:color="auto"/>
        <w:left w:val="none" w:sz="0" w:space="0" w:color="auto"/>
        <w:bottom w:val="none" w:sz="0" w:space="0" w:color="auto"/>
        <w:right w:val="none" w:sz="0" w:space="0" w:color="auto"/>
      </w:divBdr>
    </w:div>
    <w:div w:id="17704259">
      <w:bodyDiv w:val="1"/>
      <w:marLeft w:val="0"/>
      <w:marRight w:val="0"/>
      <w:marTop w:val="0"/>
      <w:marBottom w:val="0"/>
      <w:divBdr>
        <w:top w:val="none" w:sz="0" w:space="0" w:color="auto"/>
        <w:left w:val="none" w:sz="0" w:space="0" w:color="auto"/>
        <w:bottom w:val="none" w:sz="0" w:space="0" w:color="auto"/>
        <w:right w:val="none" w:sz="0" w:space="0" w:color="auto"/>
      </w:divBdr>
    </w:div>
    <w:div w:id="29040219">
      <w:bodyDiv w:val="1"/>
      <w:marLeft w:val="0"/>
      <w:marRight w:val="0"/>
      <w:marTop w:val="0"/>
      <w:marBottom w:val="0"/>
      <w:divBdr>
        <w:top w:val="none" w:sz="0" w:space="0" w:color="auto"/>
        <w:left w:val="none" w:sz="0" w:space="0" w:color="auto"/>
        <w:bottom w:val="none" w:sz="0" w:space="0" w:color="auto"/>
        <w:right w:val="none" w:sz="0" w:space="0" w:color="auto"/>
      </w:divBdr>
    </w:div>
    <w:div w:id="38172609">
      <w:bodyDiv w:val="1"/>
      <w:marLeft w:val="0"/>
      <w:marRight w:val="0"/>
      <w:marTop w:val="0"/>
      <w:marBottom w:val="0"/>
      <w:divBdr>
        <w:top w:val="none" w:sz="0" w:space="0" w:color="auto"/>
        <w:left w:val="none" w:sz="0" w:space="0" w:color="auto"/>
        <w:bottom w:val="none" w:sz="0" w:space="0" w:color="auto"/>
        <w:right w:val="none" w:sz="0" w:space="0" w:color="auto"/>
      </w:divBdr>
      <w:divsChild>
        <w:div w:id="496771071">
          <w:marLeft w:val="1166"/>
          <w:marRight w:val="0"/>
          <w:marTop w:val="91"/>
          <w:marBottom w:val="0"/>
          <w:divBdr>
            <w:top w:val="none" w:sz="0" w:space="0" w:color="auto"/>
            <w:left w:val="none" w:sz="0" w:space="0" w:color="auto"/>
            <w:bottom w:val="none" w:sz="0" w:space="0" w:color="auto"/>
            <w:right w:val="none" w:sz="0" w:space="0" w:color="auto"/>
          </w:divBdr>
        </w:div>
        <w:div w:id="587806584">
          <w:marLeft w:val="1166"/>
          <w:marRight w:val="0"/>
          <w:marTop w:val="91"/>
          <w:marBottom w:val="0"/>
          <w:divBdr>
            <w:top w:val="none" w:sz="0" w:space="0" w:color="auto"/>
            <w:left w:val="none" w:sz="0" w:space="0" w:color="auto"/>
            <w:bottom w:val="none" w:sz="0" w:space="0" w:color="auto"/>
            <w:right w:val="none" w:sz="0" w:space="0" w:color="auto"/>
          </w:divBdr>
        </w:div>
        <w:div w:id="685055599">
          <w:marLeft w:val="1166"/>
          <w:marRight w:val="0"/>
          <w:marTop w:val="91"/>
          <w:marBottom w:val="0"/>
          <w:divBdr>
            <w:top w:val="none" w:sz="0" w:space="0" w:color="auto"/>
            <w:left w:val="none" w:sz="0" w:space="0" w:color="auto"/>
            <w:bottom w:val="none" w:sz="0" w:space="0" w:color="auto"/>
            <w:right w:val="none" w:sz="0" w:space="0" w:color="auto"/>
          </w:divBdr>
        </w:div>
        <w:div w:id="1021933867">
          <w:marLeft w:val="547"/>
          <w:marRight w:val="0"/>
          <w:marTop w:val="91"/>
          <w:marBottom w:val="0"/>
          <w:divBdr>
            <w:top w:val="none" w:sz="0" w:space="0" w:color="auto"/>
            <w:left w:val="none" w:sz="0" w:space="0" w:color="auto"/>
            <w:bottom w:val="none" w:sz="0" w:space="0" w:color="auto"/>
            <w:right w:val="none" w:sz="0" w:space="0" w:color="auto"/>
          </w:divBdr>
        </w:div>
        <w:div w:id="1976984960">
          <w:marLeft w:val="1166"/>
          <w:marRight w:val="0"/>
          <w:marTop w:val="91"/>
          <w:marBottom w:val="0"/>
          <w:divBdr>
            <w:top w:val="none" w:sz="0" w:space="0" w:color="auto"/>
            <w:left w:val="none" w:sz="0" w:space="0" w:color="auto"/>
            <w:bottom w:val="none" w:sz="0" w:space="0" w:color="auto"/>
            <w:right w:val="none" w:sz="0" w:space="0" w:color="auto"/>
          </w:divBdr>
        </w:div>
      </w:divsChild>
    </w:div>
    <w:div w:id="44575004">
      <w:bodyDiv w:val="1"/>
      <w:marLeft w:val="0"/>
      <w:marRight w:val="0"/>
      <w:marTop w:val="0"/>
      <w:marBottom w:val="0"/>
      <w:divBdr>
        <w:top w:val="none" w:sz="0" w:space="0" w:color="auto"/>
        <w:left w:val="none" w:sz="0" w:space="0" w:color="auto"/>
        <w:bottom w:val="none" w:sz="0" w:space="0" w:color="auto"/>
        <w:right w:val="none" w:sz="0" w:space="0" w:color="auto"/>
      </w:divBdr>
    </w:div>
    <w:div w:id="57746150">
      <w:bodyDiv w:val="1"/>
      <w:marLeft w:val="0"/>
      <w:marRight w:val="0"/>
      <w:marTop w:val="0"/>
      <w:marBottom w:val="0"/>
      <w:divBdr>
        <w:top w:val="none" w:sz="0" w:space="0" w:color="auto"/>
        <w:left w:val="none" w:sz="0" w:space="0" w:color="auto"/>
        <w:bottom w:val="none" w:sz="0" w:space="0" w:color="auto"/>
        <w:right w:val="none" w:sz="0" w:space="0" w:color="auto"/>
      </w:divBdr>
    </w:div>
    <w:div w:id="60296666">
      <w:bodyDiv w:val="1"/>
      <w:marLeft w:val="0"/>
      <w:marRight w:val="0"/>
      <w:marTop w:val="0"/>
      <w:marBottom w:val="0"/>
      <w:divBdr>
        <w:top w:val="none" w:sz="0" w:space="0" w:color="auto"/>
        <w:left w:val="none" w:sz="0" w:space="0" w:color="auto"/>
        <w:bottom w:val="none" w:sz="0" w:space="0" w:color="auto"/>
        <w:right w:val="none" w:sz="0" w:space="0" w:color="auto"/>
      </w:divBdr>
    </w:div>
    <w:div w:id="63066364">
      <w:bodyDiv w:val="1"/>
      <w:marLeft w:val="0"/>
      <w:marRight w:val="0"/>
      <w:marTop w:val="0"/>
      <w:marBottom w:val="0"/>
      <w:divBdr>
        <w:top w:val="none" w:sz="0" w:space="0" w:color="auto"/>
        <w:left w:val="none" w:sz="0" w:space="0" w:color="auto"/>
        <w:bottom w:val="none" w:sz="0" w:space="0" w:color="auto"/>
        <w:right w:val="none" w:sz="0" w:space="0" w:color="auto"/>
      </w:divBdr>
      <w:divsChild>
        <w:div w:id="224144924">
          <w:marLeft w:val="446"/>
          <w:marRight w:val="0"/>
          <w:marTop w:val="0"/>
          <w:marBottom w:val="0"/>
          <w:divBdr>
            <w:top w:val="none" w:sz="0" w:space="0" w:color="auto"/>
            <w:left w:val="none" w:sz="0" w:space="0" w:color="auto"/>
            <w:bottom w:val="none" w:sz="0" w:space="0" w:color="auto"/>
            <w:right w:val="none" w:sz="0" w:space="0" w:color="auto"/>
          </w:divBdr>
        </w:div>
      </w:divsChild>
    </w:div>
    <w:div w:id="64573456">
      <w:bodyDiv w:val="1"/>
      <w:marLeft w:val="0"/>
      <w:marRight w:val="0"/>
      <w:marTop w:val="0"/>
      <w:marBottom w:val="0"/>
      <w:divBdr>
        <w:top w:val="none" w:sz="0" w:space="0" w:color="auto"/>
        <w:left w:val="none" w:sz="0" w:space="0" w:color="auto"/>
        <w:bottom w:val="none" w:sz="0" w:space="0" w:color="auto"/>
        <w:right w:val="none" w:sz="0" w:space="0" w:color="auto"/>
      </w:divBdr>
    </w:div>
    <w:div w:id="66540702">
      <w:bodyDiv w:val="1"/>
      <w:marLeft w:val="0"/>
      <w:marRight w:val="0"/>
      <w:marTop w:val="0"/>
      <w:marBottom w:val="0"/>
      <w:divBdr>
        <w:top w:val="none" w:sz="0" w:space="0" w:color="auto"/>
        <w:left w:val="none" w:sz="0" w:space="0" w:color="auto"/>
        <w:bottom w:val="none" w:sz="0" w:space="0" w:color="auto"/>
        <w:right w:val="none" w:sz="0" w:space="0" w:color="auto"/>
      </w:divBdr>
    </w:div>
    <w:div w:id="71047384">
      <w:bodyDiv w:val="1"/>
      <w:marLeft w:val="0"/>
      <w:marRight w:val="0"/>
      <w:marTop w:val="0"/>
      <w:marBottom w:val="0"/>
      <w:divBdr>
        <w:top w:val="none" w:sz="0" w:space="0" w:color="auto"/>
        <w:left w:val="none" w:sz="0" w:space="0" w:color="auto"/>
        <w:bottom w:val="none" w:sz="0" w:space="0" w:color="auto"/>
        <w:right w:val="none" w:sz="0" w:space="0" w:color="auto"/>
      </w:divBdr>
    </w:div>
    <w:div w:id="73939925">
      <w:bodyDiv w:val="1"/>
      <w:marLeft w:val="0"/>
      <w:marRight w:val="0"/>
      <w:marTop w:val="0"/>
      <w:marBottom w:val="0"/>
      <w:divBdr>
        <w:top w:val="none" w:sz="0" w:space="0" w:color="auto"/>
        <w:left w:val="none" w:sz="0" w:space="0" w:color="auto"/>
        <w:bottom w:val="none" w:sz="0" w:space="0" w:color="auto"/>
        <w:right w:val="none" w:sz="0" w:space="0" w:color="auto"/>
      </w:divBdr>
    </w:div>
    <w:div w:id="74517902">
      <w:bodyDiv w:val="1"/>
      <w:marLeft w:val="0"/>
      <w:marRight w:val="0"/>
      <w:marTop w:val="0"/>
      <w:marBottom w:val="0"/>
      <w:divBdr>
        <w:top w:val="none" w:sz="0" w:space="0" w:color="auto"/>
        <w:left w:val="none" w:sz="0" w:space="0" w:color="auto"/>
        <w:bottom w:val="none" w:sz="0" w:space="0" w:color="auto"/>
        <w:right w:val="none" w:sz="0" w:space="0" w:color="auto"/>
      </w:divBdr>
    </w:div>
    <w:div w:id="90898683">
      <w:bodyDiv w:val="1"/>
      <w:marLeft w:val="0"/>
      <w:marRight w:val="0"/>
      <w:marTop w:val="0"/>
      <w:marBottom w:val="0"/>
      <w:divBdr>
        <w:top w:val="none" w:sz="0" w:space="0" w:color="auto"/>
        <w:left w:val="none" w:sz="0" w:space="0" w:color="auto"/>
        <w:bottom w:val="none" w:sz="0" w:space="0" w:color="auto"/>
        <w:right w:val="none" w:sz="0" w:space="0" w:color="auto"/>
      </w:divBdr>
      <w:divsChild>
        <w:div w:id="554968674">
          <w:marLeft w:val="446"/>
          <w:marRight w:val="0"/>
          <w:marTop w:val="0"/>
          <w:marBottom w:val="0"/>
          <w:divBdr>
            <w:top w:val="none" w:sz="0" w:space="0" w:color="auto"/>
            <w:left w:val="none" w:sz="0" w:space="0" w:color="auto"/>
            <w:bottom w:val="none" w:sz="0" w:space="0" w:color="auto"/>
            <w:right w:val="none" w:sz="0" w:space="0" w:color="auto"/>
          </w:divBdr>
        </w:div>
      </w:divsChild>
    </w:div>
    <w:div w:id="93980982">
      <w:bodyDiv w:val="1"/>
      <w:marLeft w:val="0"/>
      <w:marRight w:val="0"/>
      <w:marTop w:val="0"/>
      <w:marBottom w:val="0"/>
      <w:divBdr>
        <w:top w:val="none" w:sz="0" w:space="0" w:color="auto"/>
        <w:left w:val="none" w:sz="0" w:space="0" w:color="auto"/>
        <w:bottom w:val="none" w:sz="0" w:space="0" w:color="auto"/>
        <w:right w:val="none" w:sz="0" w:space="0" w:color="auto"/>
      </w:divBdr>
    </w:div>
    <w:div w:id="101338257">
      <w:bodyDiv w:val="1"/>
      <w:marLeft w:val="0"/>
      <w:marRight w:val="0"/>
      <w:marTop w:val="0"/>
      <w:marBottom w:val="0"/>
      <w:divBdr>
        <w:top w:val="none" w:sz="0" w:space="0" w:color="auto"/>
        <w:left w:val="none" w:sz="0" w:space="0" w:color="auto"/>
        <w:bottom w:val="none" w:sz="0" w:space="0" w:color="auto"/>
        <w:right w:val="none" w:sz="0" w:space="0" w:color="auto"/>
      </w:divBdr>
      <w:divsChild>
        <w:div w:id="1909030127">
          <w:marLeft w:val="0"/>
          <w:marRight w:val="0"/>
          <w:marTop w:val="0"/>
          <w:marBottom w:val="0"/>
          <w:divBdr>
            <w:top w:val="none" w:sz="0" w:space="0" w:color="auto"/>
            <w:left w:val="none" w:sz="0" w:space="0" w:color="auto"/>
            <w:bottom w:val="none" w:sz="0" w:space="0" w:color="auto"/>
            <w:right w:val="none" w:sz="0" w:space="0" w:color="auto"/>
          </w:divBdr>
        </w:div>
      </w:divsChild>
    </w:div>
    <w:div w:id="108742120">
      <w:bodyDiv w:val="1"/>
      <w:marLeft w:val="0"/>
      <w:marRight w:val="0"/>
      <w:marTop w:val="0"/>
      <w:marBottom w:val="0"/>
      <w:divBdr>
        <w:top w:val="none" w:sz="0" w:space="0" w:color="auto"/>
        <w:left w:val="none" w:sz="0" w:space="0" w:color="auto"/>
        <w:bottom w:val="none" w:sz="0" w:space="0" w:color="auto"/>
        <w:right w:val="none" w:sz="0" w:space="0" w:color="auto"/>
      </w:divBdr>
      <w:divsChild>
        <w:div w:id="1352337878">
          <w:marLeft w:val="0"/>
          <w:marRight w:val="0"/>
          <w:marTop w:val="0"/>
          <w:marBottom w:val="0"/>
          <w:divBdr>
            <w:top w:val="none" w:sz="0" w:space="0" w:color="auto"/>
            <w:left w:val="none" w:sz="0" w:space="0" w:color="auto"/>
            <w:bottom w:val="none" w:sz="0" w:space="0" w:color="auto"/>
            <w:right w:val="none" w:sz="0" w:space="0" w:color="auto"/>
          </w:divBdr>
          <w:divsChild>
            <w:div w:id="1359352468">
              <w:marLeft w:val="-225"/>
              <w:marRight w:val="0"/>
              <w:marTop w:val="0"/>
              <w:marBottom w:val="0"/>
              <w:divBdr>
                <w:top w:val="none" w:sz="0" w:space="0" w:color="auto"/>
                <w:left w:val="none" w:sz="0" w:space="0" w:color="auto"/>
                <w:bottom w:val="none" w:sz="0" w:space="0" w:color="auto"/>
                <w:right w:val="none" w:sz="0" w:space="0" w:color="auto"/>
              </w:divBdr>
              <w:divsChild>
                <w:div w:id="2049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260133">
          <w:marLeft w:val="0"/>
          <w:marRight w:val="0"/>
          <w:marTop w:val="0"/>
          <w:marBottom w:val="0"/>
          <w:divBdr>
            <w:top w:val="none" w:sz="0" w:space="0" w:color="auto"/>
            <w:left w:val="none" w:sz="0" w:space="0" w:color="auto"/>
            <w:bottom w:val="none" w:sz="0" w:space="0" w:color="auto"/>
            <w:right w:val="none" w:sz="0" w:space="0" w:color="auto"/>
          </w:divBdr>
        </w:div>
      </w:divsChild>
    </w:div>
    <w:div w:id="112411142">
      <w:bodyDiv w:val="1"/>
      <w:marLeft w:val="0"/>
      <w:marRight w:val="0"/>
      <w:marTop w:val="0"/>
      <w:marBottom w:val="0"/>
      <w:divBdr>
        <w:top w:val="none" w:sz="0" w:space="0" w:color="auto"/>
        <w:left w:val="none" w:sz="0" w:space="0" w:color="auto"/>
        <w:bottom w:val="none" w:sz="0" w:space="0" w:color="auto"/>
        <w:right w:val="none" w:sz="0" w:space="0" w:color="auto"/>
      </w:divBdr>
    </w:div>
    <w:div w:id="130102210">
      <w:bodyDiv w:val="1"/>
      <w:marLeft w:val="0"/>
      <w:marRight w:val="0"/>
      <w:marTop w:val="0"/>
      <w:marBottom w:val="0"/>
      <w:divBdr>
        <w:top w:val="none" w:sz="0" w:space="0" w:color="auto"/>
        <w:left w:val="none" w:sz="0" w:space="0" w:color="auto"/>
        <w:bottom w:val="none" w:sz="0" w:space="0" w:color="auto"/>
        <w:right w:val="none" w:sz="0" w:space="0" w:color="auto"/>
      </w:divBdr>
    </w:div>
    <w:div w:id="130563748">
      <w:bodyDiv w:val="1"/>
      <w:marLeft w:val="0"/>
      <w:marRight w:val="0"/>
      <w:marTop w:val="0"/>
      <w:marBottom w:val="0"/>
      <w:divBdr>
        <w:top w:val="none" w:sz="0" w:space="0" w:color="auto"/>
        <w:left w:val="none" w:sz="0" w:space="0" w:color="auto"/>
        <w:bottom w:val="none" w:sz="0" w:space="0" w:color="auto"/>
        <w:right w:val="none" w:sz="0" w:space="0" w:color="auto"/>
      </w:divBdr>
    </w:div>
    <w:div w:id="141043333">
      <w:bodyDiv w:val="1"/>
      <w:marLeft w:val="0"/>
      <w:marRight w:val="0"/>
      <w:marTop w:val="0"/>
      <w:marBottom w:val="0"/>
      <w:divBdr>
        <w:top w:val="none" w:sz="0" w:space="0" w:color="auto"/>
        <w:left w:val="none" w:sz="0" w:space="0" w:color="auto"/>
        <w:bottom w:val="none" w:sz="0" w:space="0" w:color="auto"/>
        <w:right w:val="none" w:sz="0" w:space="0" w:color="auto"/>
      </w:divBdr>
      <w:divsChild>
        <w:div w:id="1255943962">
          <w:marLeft w:val="446"/>
          <w:marRight w:val="0"/>
          <w:marTop w:val="0"/>
          <w:marBottom w:val="0"/>
          <w:divBdr>
            <w:top w:val="none" w:sz="0" w:space="0" w:color="auto"/>
            <w:left w:val="none" w:sz="0" w:space="0" w:color="auto"/>
            <w:bottom w:val="none" w:sz="0" w:space="0" w:color="auto"/>
            <w:right w:val="none" w:sz="0" w:space="0" w:color="auto"/>
          </w:divBdr>
        </w:div>
        <w:div w:id="382946106">
          <w:marLeft w:val="446"/>
          <w:marRight w:val="0"/>
          <w:marTop w:val="0"/>
          <w:marBottom w:val="0"/>
          <w:divBdr>
            <w:top w:val="none" w:sz="0" w:space="0" w:color="auto"/>
            <w:left w:val="none" w:sz="0" w:space="0" w:color="auto"/>
            <w:bottom w:val="none" w:sz="0" w:space="0" w:color="auto"/>
            <w:right w:val="none" w:sz="0" w:space="0" w:color="auto"/>
          </w:divBdr>
        </w:div>
        <w:div w:id="1497259992">
          <w:marLeft w:val="446"/>
          <w:marRight w:val="0"/>
          <w:marTop w:val="0"/>
          <w:marBottom w:val="0"/>
          <w:divBdr>
            <w:top w:val="none" w:sz="0" w:space="0" w:color="auto"/>
            <w:left w:val="none" w:sz="0" w:space="0" w:color="auto"/>
            <w:bottom w:val="none" w:sz="0" w:space="0" w:color="auto"/>
            <w:right w:val="none" w:sz="0" w:space="0" w:color="auto"/>
          </w:divBdr>
        </w:div>
      </w:divsChild>
    </w:div>
    <w:div w:id="153641491">
      <w:bodyDiv w:val="1"/>
      <w:marLeft w:val="0"/>
      <w:marRight w:val="0"/>
      <w:marTop w:val="0"/>
      <w:marBottom w:val="0"/>
      <w:divBdr>
        <w:top w:val="none" w:sz="0" w:space="0" w:color="auto"/>
        <w:left w:val="none" w:sz="0" w:space="0" w:color="auto"/>
        <w:bottom w:val="none" w:sz="0" w:space="0" w:color="auto"/>
        <w:right w:val="none" w:sz="0" w:space="0" w:color="auto"/>
      </w:divBdr>
    </w:div>
    <w:div w:id="158624318">
      <w:bodyDiv w:val="1"/>
      <w:marLeft w:val="0"/>
      <w:marRight w:val="0"/>
      <w:marTop w:val="0"/>
      <w:marBottom w:val="0"/>
      <w:divBdr>
        <w:top w:val="none" w:sz="0" w:space="0" w:color="auto"/>
        <w:left w:val="none" w:sz="0" w:space="0" w:color="auto"/>
        <w:bottom w:val="none" w:sz="0" w:space="0" w:color="auto"/>
        <w:right w:val="none" w:sz="0" w:space="0" w:color="auto"/>
      </w:divBdr>
    </w:div>
    <w:div w:id="170996495">
      <w:bodyDiv w:val="1"/>
      <w:marLeft w:val="0"/>
      <w:marRight w:val="0"/>
      <w:marTop w:val="0"/>
      <w:marBottom w:val="0"/>
      <w:divBdr>
        <w:top w:val="none" w:sz="0" w:space="0" w:color="auto"/>
        <w:left w:val="none" w:sz="0" w:space="0" w:color="auto"/>
        <w:bottom w:val="none" w:sz="0" w:space="0" w:color="auto"/>
        <w:right w:val="none" w:sz="0" w:space="0" w:color="auto"/>
      </w:divBdr>
    </w:div>
    <w:div w:id="176892287">
      <w:bodyDiv w:val="1"/>
      <w:marLeft w:val="0"/>
      <w:marRight w:val="0"/>
      <w:marTop w:val="0"/>
      <w:marBottom w:val="0"/>
      <w:divBdr>
        <w:top w:val="none" w:sz="0" w:space="0" w:color="auto"/>
        <w:left w:val="none" w:sz="0" w:space="0" w:color="auto"/>
        <w:bottom w:val="none" w:sz="0" w:space="0" w:color="auto"/>
        <w:right w:val="none" w:sz="0" w:space="0" w:color="auto"/>
      </w:divBdr>
      <w:divsChild>
        <w:div w:id="2036685613">
          <w:marLeft w:val="446"/>
          <w:marRight w:val="0"/>
          <w:marTop w:val="0"/>
          <w:marBottom w:val="0"/>
          <w:divBdr>
            <w:top w:val="none" w:sz="0" w:space="0" w:color="auto"/>
            <w:left w:val="none" w:sz="0" w:space="0" w:color="auto"/>
            <w:bottom w:val="none" w:sz="0" w:space="0" w:color="auto"/>
            <w:right w:val="none" w:sz="0" w:space="0" w:color="auto"/>
          </w:divBdr>
        </w:div>
        <w:div w:id="1464081510">
          <w:marLeft w:val="446"/>
          <w:marRight w:val="0"/>
          <w:marTop w:val="0"/>
          <w:marBottom w:val="0"/>
          <w:divBdr>
            <w:top w:val="none" w:sz="0" w:space="0" w:color="auto"/>
            <w:left w:val="none" w:sz="0" w:space="0" w:color="auto"/>
            <w:bottom w:val="none" w:sz="0" w:space="0" w:color="auto"/>
            <w:right w:val="none" w:sz="0" w:space="0" w:color="auto"/>
          </w:divBdr>
        </w:div>
        <w:div w:id="1368411552">
          <w:marLeft w:val="446"/>
          <w:marRight w:val="0"/>
          <w:marTop w:val="0"/>
          <w:marBottom w:val="0"/>
          <w:divBdr>
            <w:top w:val="none" w:sz="0" w:space="0" w:color="auto"/>
            <w:left w:val="none" w:sz="0" w:space="0" w:color="auto"/>
            <w:bottom w:val="none" w:sz="0" w:space="0" w:color="auto"/>
            <w:right w:val="none" w:sz="0" w:space="0" w:color="auto"/>
          </w:divBdr>
        </w:div>
      </w:divsChild>
    </w:div>
    <w:div w:id="177160736">
      <w:bodyDiv w:val="1"/>
      <w:marLeft w:val="0"/>
      <w:marRight w:val="0"/>
      <w:marTop w:val="0"/>
      <w:marBottom w:val="0"/>
      <w:divBdr>
        <w:top w:val="none" w:sz="0" w:space="0" w:color="auto"/>
        <w:left w:val="none" w:sz="0" w:space="0" w:color="auto"/>
        <w:bottom w:val="none" w:sz="0" w:space="0" w:color="auto"/>
        <w:right w:val="none" w:sz="0" w:space="0" w:color="auto"/>
      </w:divBdr>
    </w:div>
    <w:div w:id="177427172">
      <w:bodyDiv w:val="1"/>
      <w:marLeft w:val="0"/>
      <w:marRight w:val="0"/>
      <w:marTop w:val="0"/>
      <w:marBottom w:val="0"/>
      <w:divBdr>
        <w:top w:val="none" w:sz="0" w:space="0" w:color="auto"/>
        <w:left w:val="none" w:sz="0" w:space="0" w:color="auto"/>
        <w:bottom w:val="none" w:sz="0" w:space="0" w:color="auto"/>
        <w:right w:val="none" w:sz="0" w:space="0" w:color="auto"/>
      </w:divBdr>
    </w:div>
    <w:div w:id="183904470">
      <w:bodyDiv w:val="1"/>
      <w:marLeft w:val="0"/>
      <w:marRight w:val="0"/>
      <w:marTop w:val="0"/>
      <w:marBottom w:val="0"/>
      <w:divBdr>
        <w:top w:val="none" w:sz="0" w:space="0" w:color="auto"/>
        <w:left w:val="none" w:sz="0" w:space="0" w:color="auto"/>
        <w:bottom w:val="none" w:sz="0" w:space="0" w:color="auto"/>
        <w:right w:val="none" w:sz="0" w:space="0" w:color="auto"/>
      </w:divBdr>
    </w:div>
    <w:div w:id="188416192">
      <w:bodyDiv w:val="1"/>
      <w:marLeft w:val="0"/>
      <w:marRight w:val="0"/>
      <w:marTop w:val="0"/>
      <w:marBottom w:val="0"/>
      <w:divBdr>
        <w:top w:val="none" w:sz="0" w:space="0" w:color="auto"/>
        <w:left w:val="none" w:sz="0" w:space="0" w:color="auto"/>
        <w:bottom w:val="none" w:sz="0" w:space="0" w:color="auto"/>
        <w:right w:val="none" w:sz="0" w:space="0" w:color="auto"/>
      </w:divBdr>
    </w:div>
    <w:div w:id="190848500">
      <w:bodyDiv w:val="1"/>
      <w:marLeft w:val="0"/>
      <w:marRight w:val="0"/>
      <w:marTop w:val="0"/>
      <w:marBottom w:val="0"/>
      <w:divBdr>
        <w:top w:val="none" w:sz="0" w:space="0" w:color="auto"/>
        <w:left w:val="none" w:sz="0" w:space="0" w:color="auto"/>
        <w:bottom w:val="none" w:sz="0" w:space="0" w:color="auto"/>
        <w:right w:val="none" w:sz="0" w:space="0" w:color="auto"/>
      </w:divBdr>
    </w:div>
    <w:div w:id="194270220">
      <w:bodyDiv w:val="1"/>
      <w:marLeft w:val="0"/>
      <w:marRight w:val="0"/>
      <w:marTop w:val="0"/>
      <w:marBottom w:val="0"/>
      <w:divBdr>
        <w:top w:val="none" w:sz="0" w:space="0" w:color="auto"/>
        <w:left w:val="none" w:sz="0" w:space="0" w:color="auto"/>
        <w:bottom w:val="none" w:sz="0" w:space="0" w:color="auto"/>
        <w:right w:val="none" w:sz="0" w:space="0" w:color="auto"/>
      </w:divBdr>
    </w:div>
    <w:div w:id="195392692">
      <w:bodyDiv w:val="1"/>
      <w:marLeft w:val="0"/>
      <w:marRight w:val="0"/>
      <w:marTop w:val="0"/>
      <w:marBottom w:val="0"/>
      <w:divBdr>
        <w:top w:val="none" w:sz="0" w:space="0" w:color="auto"/>
        <w:left w:val="none" w:sz="0" w:space="0" w:color="auto"/>
        <w:bottom w:val="none" w:sz="0" w:space="0" w:color="auto"/>
        <w:right w:val="none" w:sz="0" w:space="0" w:color="auto"/>
      </w:divBdr>
    </w:div>
    <w:div w:id="195898740">
      <w:bodyDiv w:val="1"/>
      <w:marLeft w:val="0"/>
      <w:marRight w:val="0"/>
      <w:marTop w:val="0"/>
      <w:marBottom w:val="0"/>
      <w:divBdr>
        <w:top w:val="none" w:sz="0" w:space="0" w:color="auto"/>
        <w:left w:val="none" w:sz="0" w:space="0" w:color="auto"/>
        <w:bottom w:val="none" w:sz="0" w:space="0" w:color="auto"/>
        <w:right w:val="none" w:sz="0" w:space="0" w:color="auto"/>
      </w:divBdr>
    </w:div>
    <w:div w:id="196280417">
      <w:bodyDiv w:val="1"/>
      <w:marLeft w:val="0"/>
      <w:marRight w:val="0"/>
      <w:marTop w:val="0"/>
      <w:marBottom w:val="0"/>
      <w:divBdr>
        <w:top w:val="none" w:sz="0" w:space="0" w:color="auto"/>
        <w:left w:val="none" w:sz="0" w:space="0" w:color="auto"/>
        <w:bottom w:val="none" w:sz="0" w:space="0" w:color="auto"/>
        <w:right w:val="none" w:sz="0" w:space="0" w:color="auto"/>
      </w:divBdr>
      <w:divsChild>
        <w:div w:id="1982885584">
          <w:marLeft w:val="446"/>
          <w:marRight w:val="0"/>
          <w:marTop w:val="0"/>
          <w:marBottom w:val="0"/>
          <w:divBdr>
            <w:top w:val="none" w:sz="0" w:space="0" w:color="auto"/>
            <w:left w:val="none" w:sz="0" w:space="0" w:color="auto"/>
            <w:bottom w:val="none" w:sz="0" w:space="0" w:color="auto"/>
            <w:right w:val="none" w:sz="0" w:space="0" w:color="auto"/>
          </w:divBdr>
        </w:div>
        <w:div w:id="353966052">
          <w:marLeft w:val="446"/>
          <w:marRight w:val="0"/>
          <w:marTop w:val="0"/>
          <w:marBottom w:val="0"/>
          <w:divBdr>
            <w:top w:val="none" w:sz="0" w:space="0" w:color="auto"/>
            <w:left w:val="none" w:sz="0" w:space="0" w:color="auto"/>
            <w:bottom w:val="none" w:sz="0" w:space="0" w:color="auto"/>
            <w:right w:val="none" w:sz="0" w:space="0" w:color="auto"/>
          </w:divBdr>
        </w:div>
      </w:divsChild>
    </w:div>
    <w:div w:id="209999714">
      <w:bodyDiv w:val="1"/>
      <w:marLeft w:val="0"/>
      <w:marRight w:val="0"/>
      <w:marTop w:val="0"/>
      <w:marBottom w:val="0"/>
      <w:divBdr>
        <w:top w:val="none" w:sz="0" w:space="0" w:color="auto"/>
        <w:left w:val="none" w:sz="0" w:space="0" w:color="auto"/>
        <w:bottom w:val="none" w:sz="0" w:space="0" w:color="auto"/>
        <w:right w:val="none" w:sz="0" w:space="0" w:color="auto"/>
      </w:divBdr>
    </w:div>
    <w:div w:id="210970277">
      <w:bodyDiv w:val="1"/>
      <w:marLeft w:val="0"/>
      <w:marRight w:val="0"/>
      <w:marTop w:val="0"/>
      <w:marBottom w:val="0"/>
      <w:divBdr>
        <w:top w:val="none" w:sz="0" w:space="0" w:color="auto"/>
        <w:left w:val="none" w:sz="0" w:space="0" w:color="auto"/>
        <w:bottom w:val="none" w:sz="0" w:space="0" w:color="auto"/>
        <w:right w:val="none" w:sz="0" w:space="0" w:color="auto"/>
      </w:divBdr>
    </w:div>
    <w:div w:id="215244663">
      <w:bodyDiv w:val="1"/>
      <w:marLeft w:val="0"/>
      <w:marRight w:val="0"/>
      <w:marTop w:val="0"/>
      <w:marBottom w:val="0"/>
      <w:divBdr>
        <w:top w:val="none" w:sz="0" w:space="0" w:color="auto"/>
        <w:left w:val="none" w:sz="0" w:space="0" w:color="auto"/>
        <w:bottom w:val="none" w:sz="0" w:space="0" w:color="auto"/>
        <w:right w:val="none" w:sz="0" w:space="0" w:color="auto"/>
      </w:divBdr>
    </w:div>
    <w:div w:id="224803143">
      <w:bodyDiv w:val="1"/>
      <w:marLeft w:val="0"/>
      <w:marRight w:val="0"/>
      <w:marTop w:val="0"/>
      <w:marBottom w:val="0"/>
      <w:divBdr>
        <w:top w:val="none" w:sz="0" w:space="0" w:color="auto"/>
        <w:left w:val="none" w:sz="0" w:space="0" w:color="auto"/>
        <w:bottom w:val="none" w:sz="0" w:space="0" w:color="auto"/>
        <w:right w:val="none" w:sz="0" w:space="0" w:color="auto"/>
      </w:divBdr>
    </w:div>
    <w:div w:id="225796963">
      <w:bodyDiv w:val="1"/>
      <w:marLeft w:val="0"/>
      <w:marRight w:val="0"/>
      <w:marTop w:val="0"/>
      <w:marBottom w:val="0"/>
      <w:divBdr>
        <w:top w:val="none" w:sz="0" w:space="0" w:color="auto"/>
        <w:left w:val="none" w:sz="0" w:space="0" w:color="auto"/>
        <w:bottom w:val="none" w:sz="0" w:space="0" w:color="auto"/>
        <w:right w:val="none" w:sz="0" w:space="0" w:color="auto"/>
      </w:divBdr>
    </w:div>
    <w:div w:id="227114973">
      <w:bodyDiv w:val="1"/>
      <w:marLeft w:val="0"/>
      <w:marRight w:val="0"/>
      <w:marTop w:val="0"/>
      <w:marBottom w:val="0"/>
      <w:divBdr>
        <w:top w:val="none" w:sz="0" w:space="0" w:color="auto"/>
        <w:left w:val="none" w:sz="0" w:space="0" w:color="auto"/>
        <w:bottom w:val="none" w:sz="0" w:space="0" w:color="auto"/>
        <w:right w:val="none" w:sz="0" w:space="0" w:color="auto"/>
      </w:divBdr>
    </w:div>
    <w:div w:id="230360043">
      <w:bodyDiv w:val="1"/>
      <w:marLeft w:val="0"/>
      <w:marRight w:val="0"/>
      <w:marTop w:val="0"/>
      <w:marBottom w:val="0"/>
      <w:divBdr>
        <w:top w:val="none" w:sz="0" w:space="0" w:color="auto"/>
        <w:left w:val="none" w:sz="0" w:space="0" w:color="auto"/>
        <w:bottom w:val="none" w:sz="0" w:space="0" w:color="auto"/>
        <w:right w:val="none" w:sz="0" w:space="0" w:color="auto"/>
      </w:divBdr>
    </w:div>
    <w:div w:id="234975544">
      <w:bodyDiv w:val="1"/>
      <w:marLeft w:val="0"/>
      <w:marRight w:val="0"/>
      <w:marTop w:val="0"/>
      <w:marBottom w:val="0"/>
      <w:divBdr>
        <w:top w:val="none" w:sz="0" w:space="0" w:color="auto"/>
        <w:left w:val="none" w:sz="0" w:space="0" w:color="auto"/>
        <w:bottom w:val="none" w:sz="0" w:space="0" w:color="auto"/>
        <w:right w:val="none" w:sz="0" w:space="0" w:color="auto"/>
      </w:divBdr>
      <w:divsChild>
        <w:div w:id="1196191805">
          <w:marLeft w:val="274"/>
          <w:marRight w:val="0"/>
          <w:marTop w:val="0"/>
          <w:marBottom w:val="0"/>
          <w:divBdr>
            <w:top w:val="none" w:sz="0" w:space="0" w:color="auto"/>
            <w:left w:val="none" w:sz="0" w:space="0" w:color="auto"/>
            <w:bottom w:val="none" w:sz="0" w:space="0" w:color="auto"/>
            <w:right w:val="none" w:sz="0" w:space="0" w:color="auto"/>
          </w:divBdr>
        </w:div>
      </w:divsChild>
    </w:div>
    <w:div w:id="246773062">
      <w:bodyDiv w:val="1"/>
      <w:marLeft w:val="0"/>
      <w:marRight w:val="0"/>
      <w:marTop w:val="0"/>
      <w:marBottom w:val="0"/>
      <w:divBdr>
        <w:top w:val="none" w:sz="0" w:space="0" w:color="auto"/>
        <w:left w:val="none" w:sz="0" w:space="0" w:color="auto"/>
        <w:bottom w:val="none" w:sz="0" w:space="0" w:color="auto"/>
        <w:right w:val="none" w:sz="0" w:space="0" w:color="auto"/>
      </w:divBdr>
    </w:div>
    <w:div w:id="256787618">
      <w:bodyDiv w:val="1"/>
      <w:marLeft w:val="0"/>
      <w:marRight w:val="0"/>
      <w:marTop w:val="0"/>
      <w:marBottom w:val="0"/>
      <w:divBdr>
        <w:top w:val="none" w:sz="0" w:space="0" w:color="auto"/>
        <w:left w:val="none" w:sz="0" w:space="0" w:color="auto"/>
        <w:bottom w:val="none" w:sz="0" w:space="0" w:color="auto"/>
        <w:right w:val="none" w:sz="0" w:space="0" w:color="auto"/>
      </w:divBdr>
    </w:div>
    <w:div w:id="261764293">
      <w:bodyDiv w:val="1"/>
      <w:marLeft w:val="0"/>
      <w:marRight w:val="0"/>
      <w:marTop w:val="0"/>
      <w:marBottom w:val="0"/>
      <w:divBdr>
        <w:top w:val="none" w:sz="0" w:space="0" w:color="auto"/>
        <w:left w:val="none" w:sz="0" w:space="0" w:color="auto"/>
        <w:bottom w:val="none" w:sz="0" w:space="0" w:color="auto"/>
        <w:right w:val="none" w:sz="0" w:space="0" w:color="auto"/>
      </w:divBdr>
    </w:div>
    <w:div w:id="261954989">
      <w:bodyDiv w:val="1"/>
      <w:marLeft w:val="0"/>
      <w:marRight w:val="0"/>
      <w:marTop w:val="0"/>
      <w:marBottom w:val="0"/>
      <w:divBdr>
        <w:top w:val="none" w:sz="0" w:space="0" w:color="auto"/>
        <w:left w:val="none" w:sz="0" w:space="0" w:color="auto"/>
        <w:bottom w:val="none" w:sz="0" w:space="0" w:color="auto"/>
        <w:right w:val="none" w:sz="0" w:space="0" w:color="auto"/>
      </w:divBdr>
    </w:div>
    <w:div w:id="263150901">
      <w:bodyDiv w:val="1"/>
      <w:marLeft w:val="0"/>
      <w:marRight w:val="0"/>
      <w:marTop w:val="0"/>
      <w:marBottom w:val="0"/>
      <w:divBdr>
        <w:top w:val="none" w:sz="0" w:space="0" w:color="auto"/>
        <w:left w:val="none" w:sz="0" w:space="0" w:color="auto"/>
        <w:bottom w:val="none" w:sz="0" w:space="0" w:color="auto"/>
        <w:right w:val="none" w:sz="0" w:space="0" w:color="auto"/>
      </w:divBdr>
    </w:div>
    <w:div w:id="270555602">
      <w:bodyDiv w:val="1"/>
      <w:marLeft w:val="0"/>
      <w:marRight w:val="0"/>
      <w:marTop w:val="0"/>
      <w:marBottom w:val="0"/>
      <w:divBdr>
        <w:top w:val="none" w:sz="0" w:space="0" w:color="auto"/>
        <w:left w:val="none" w:sz="0" w:space="0" w:color="auto"/>
        <w:bottom w:val="none" w:sz="0" w:space="0" w:color="auto"/>
        <w:right w:val="none" w:sz="0" w:space="0" w:color="auto"/>
      </w:divBdr>
    </w:div>
    <w:div w:id="271596143">
      <w:bodyDiv w:val="1"/>
      <w:marLeft w:val="0"/>
      <w:marRight w:val="0"/>
      <w:marTop w:val="0"/>
      <w:marBottom w:val="0"/>
      <w:divBdr>
        <w:top w:val="none" w:sz="0" w:space="0" w:color="auto"/>
        <w:left w:val="none" w:sz="0" w:space="0" w:color="auto"/>
        <w:bottom w:val="none" w:sz="0" w:space="0" w:color="auto"/>
        <w:right w:val="none" w:sz="0" w:space="0" w:color="auto"/>
      </w:divBdr>
    </w:div>
    <w:div w:id="273296367">
      <w:bodyDiv w:val="1"/>
      <w:marLeft w:val="0"/>
      <w:marRight w:val="0"/>
      <w:marTop w:val="0"/>
      <w:marBottom w:val="0"/>
      <w:divBdr>
        <w:top w:val="none" w:sz="0" w:space="0" w:color="auto"/>
        <w:left w:val="none" w:sz="0" w:space="0" w:color="auto"/>
        <w:bottom w:val="none" w:sz="0" w:space="0" w:color="auto"/>
        <w:right w:val="none" w:sz="0" w:space="0" w:color="auto"/>
      </w:divBdr>
    </w:div>
    <w:div w:id="282542861">
      <w:bodyDiv w:val="1"/>
      <w:marLeft w:val="0"/>
      <w:marRight w:val="0"/>
      <w:marTop w:val="0"/>
      <w:marBottom w:val="0"/>
      <w:divBdr>
        <w:top w:val="none" w:sz="0" w:space="0" w:color="auto"/>
        <w:left w:val="none" w:sz="0" w:space="0" w:color="auto"/>
        <w:bottom w:val="none" w:sz="0" w:space="0" w:color="auto"/>
        <w:right w:val="none" w:sz="0" w:space="0" w:color="auto"/>
      </w:divBdr>
    </w:div>
    <w:div w:id="282659675">
      <w:bodyDiv w:val="1"/>
      <w:marLeft w:val="0"/>
      <w:marRight w:val="0"/>
      <w:marTop w:val="0"/>
      <w:marBottom w:val="0"/>
      <w:divBdr>
        <w:top w:val="none" w:sz="0" w:space="0" w:color="auto"/>
        <w:left w:val="none" w:sz="0" w:space="0" w:color="auto"/>
        <w:bottom w:val="none" w:sz="0" w:space="0" w:color="auto"/>
        <w:right w:val="none" w:sz="0" w:space="0" w:color="auto"/>
      </w:divBdr>
    </w:div>
    <w:div w:id="290212033">
      <w:bodyDiv w:val="1"/>
      <w:marLeft w:val="0"/>
      <w:marRight w:val="0"/>
      <w:marTop w:val="0"/>
      <w:marBottom w:val="0"/>
      <w:divBdr>
        <w:top w:val="none" w:sz="0" w:space="0" w:color="auto"/>
        <w:left w:val="none" w:sz="0" w:space="0" w:color="auto"/>
        <w:bottom w:val="none" w:sz="0" w:space="0" w:color="auto"/>
        <w:right w:val="none" w:sz="0" w:space="0" w:color="auto"/>
      </w:divBdr>
    </w:div>
    <w:div w:id="299117652">
      <w:bodyDiv w:val="1"/>
      <w:marLeft w:val="0"/>
      <w:marRight w:val="0"/>
      <w:marTop w:val="0"/>
      <w:marBottom w:val="0"/>
      <w:divBdr>
        <w:top w:val="none" w:sz="0" w:space="0" w:color="auto"/>
        <w:left w:val="none" w:sz="0" w:space="0" w:color="auto"/>
        <w:bottom w:val="none" w:sz="0" w:space="0" w:color="auto"/>
        <w:right w:val="none" w:sz="0" w:space="0" w:color="auto"/>
      </w:divBdr>
      <w:divsChild>
        <w:div w:id="2080395992">
          <w:marLeft w:val="446"/>
          <w:marRight w:val="0"/>
          <w:marTop w:val="0"/>
          <w:marBottom w:val="0"/>
          <w:divBdr>
            <w:top w:val="none" w:sz="0" w:space="0" w:color="auto"/>
            <w:left w:val="none" w:sz="0" w:space="0" w:color="auto"/>
            <w:bottom w:val="none" w:sz="0" w:space="0" w:color="auto"/>
            <w:right w:val="none" w:sz="0" w:space="0" w:color="auto"/>
          </w:divBdr>
        </w:div>
        <w:div w:id="1441950687">
          <w:marLeft w:val="446"/>
          <w:marRight w:val="0"/>
          <w:marTop w:val="0"/>
          <w:marBottom w:val="0"/>
          <w:divBdr>
            <w:top w:val="none" w:sz="0" w:space="0" w:color="auto"/>
            <w:left w:val="none" w:sz="0" w:space="0" w:color="auto"/>
            <w:bottom w:val="none" w:sz="0" w:space="0" w:color="auto"/>
            <w:right w:val="none" w:sz="0" w:space="0" w:color="auto"/>
          </w:divBdr>
        </w:div>
        <w:div w:id="1377393854">
          <w:marLeft w:val="446"/>
          <w:marRight w:val="0"/>
          <w:marTop w:val="0"/>
          <w:marBottom w:val="0"/>
          <w:divBdr>
            <w:top w:val="none" w:sz="0" w:space="0" w:color="auto"/>
            <w:left w:val="none" w:sz="0" w:space="0" w:color="auto"/>
            <w:bottom w:val="none" w:sz="0" w:space="0" w:color="auto"/>
            <w:right w:val="none" w:sz="0" w:space="0" w:color="auto"/>
          </w:divBdr>
        </w:div>
      </w:divsChild>
    </w:div>
    <w:div w:id="308903037">
      <w:bodyDiv w:val="1"/>
      <w:marLeft w:val="0"/>
      <w:marRight w:val="0"/>
      <w:marTop w:val="0"/>
      <w:marBottom w:val="0"/>
      <w:divBdr>
        <w:top w:val="none" w:sz="0" w:space="0" w:color="auto"/>
        <w:left w:val="none" w:sz="0" w:space="0" w:color="auto"/>
        <w:bottom w:val="none" w:sz="0" w:space="0" w:color="auto"/>
        <w:right w:val="none" w:sz="0" w:space="0" w:color="auto"/>
      </w:divBdr>
    </w:div>
    <w:div w:id="309754602">
      <w:bodyDiv w:val="1"/>
      <w:marLeft w:val="0"/>
      <w:marRight w:val="0"/>
      <w:marTop w:val="0"/>
      <w:marBottom w:val="0"/>
      <w:divBdr>
        <w:top w:val="none" w:sz="0" w:space="0" w:color="auto"/>
        <w:left w:val="none" w:sz="0" w:space="0" w:color="auto"/>
        <w:bottom w:val="none" w:sz="0" w:space="0" w:color="auto"/>
        <w:right w:val="none" w:sz="0" w:space="0" w:color="auto"/>
      </w:divBdr>
    </w:div>
    <w:div w:id="314838654">
      <w:bodyDiv w:val="1"/>
      <w:marLeft w:val="0"/>
      <w:marRight w:val="0"/>
      <w:marTop w:val="0"/>
      <w:marBottom w:val="0"/>
      <w:divBdr>
        <w:top w:val="none" w:sz="0" w:space="0" w:color="auto"/>
        <w:left w:val="none" w:sz="0" w:space="0" w:color="auto"/>
        <w:bottom w:val="none" w:sz="0" w:space="0" w:color="auto"/>
        <w:right w:val="none" w:sz="0" w:space="0" w:color="auto"/>
      </w:divBdr>
    </w:div>
    <w:div w:id="324478718">
      <w:bodyDiv w:val="1"/>
      <w:marLeft w:val="0"/>
      <w:marRight w:val="0"/>
      <w:marTop w:val="0"/>
      <w:marBottom w:val="0"/>
      <w:divBdr>
        <w:top w:val="none" w:sz="0" w:space="0" w:color="auto"/>
        <w:left w:val="none" w:sz="0" w:space="0" w:color="auto"/>
        <w:bottom w:val="none" w:sz="0" w:space="0" w:color="auto"/>
        <w:right w:val="none" w:sz="0" w:space="0" w:color="auto"/>
      </w:divBdr>
    </w:div>
    <w:div w:id="339739652">
      <w:bodyDiv w:val="1"/>
      <w:marLeft w:val="0"/>
      <w:marRight w:val="0"/>
      <w:marTop w:val="0"/>
      <w:marBottom w:val="0"/>
      <w:divBdr>
        <w:top w:val="none" w:sz="0" w:space="0" w:color="auto"/>
        <w:left w:val="none" w:sz="0" w:space="0" w:color="auto"/>
        <w:bottom w:val="none" w:sz="0" w:space="0" w:color="auto"/>
        <w:right w:val="none" w:sz="0" w:space="0" w:color="auto"/>
      </w:divBdr>
    </w:div>
    <w:div w:id="340163692">
      <w:bodyDiv w:val="1"/>
      <w:marLeft w:val="0"/>
      <w:marRight w:val="0"/>
      <w:marTop w:val="0"/>
      <w:marBottom w:val="0"/>
      <w:divBdr>
        <w:top w:val="none" w:sz="0" w:space="0" w:color="auto"/>
        <w:left w:val="none" w:sz="0" w:space="0" w:color="auto"/>
        <w:bottom w:val="none" w:sz="0" w:space="0" w:color="auto"/>
        <w:right w:val="none" w:sz="0" w:space="0" w:color="auto"/>
      </w:divBdr>
    </w:div>
    <w:div w:id="343753812">
      <w:bodyDiv w:val="1"/>
      <w:marLeft w:val="0"/>
      <w:marRight w:val="0"/>
      <w:marTop w:val="0"/>
      <w:marBottom w:val="0"/>
      <w:divBdr>
        <w:top w:val="none" w:sz="0" w:space="0" w:color="auto"/>
        <w:left w:val="none" w:sz="0" w:space="0" w:color="auto"/>
        <w:bottom w:val="none" w:sz="0" w:space="0" w:color="auto"/>
        <w:right w:val="none" w:sz="0" w:space="0" w:color="auto"/>
      </w:divBdr>
    </w:div>
    <w:div w:id="358942668">
      <w:bodyDiv w:val="1"/>
      <w:marLeft w:val="0"/>
      <w:marRight w:val="0"/>
      <w:marTop w:val="0"/>
      <w:marBottom w:val="0"/>
      <w:divBdr>
        <w:top w:val="none" w:sz="0" w:space="0" w:color="auto"/>
        <w:left w:val="none" w:sz="0" w:space="0" w:color="auto"/>
        <w:bottom w:val="none" w:sz="0" w:space="0" w:color="auto"/>
        <w:right w:val="none" w:sz="0" w:space="0" w:color="auto"/>
      </w:divBdr>
    </w:div>
    <w:div w:id="361517748">
      <w:bodyDiv w:val="1"/>
      <w:marLeft w:val="0"/>
      <w:marRight w:val="0"/>
      <w:marTop w:val="0"/>
      <w:marBottom w:val="0"/>
      <w:divBdr>
        <w:top w:val="none" w:sz="0" w:space="0" w:color="auto"/>
        <w:left w:val="none" w:sz="0" w:space="0" w:color="auto"/>
        <w:bottom w:val="none" w:sz="0" w:space="0" w:color="auto"/>
        <w:right w:val="none" w:sz="0" w:space="0" w:color="auto"/>
      </w:divBdr>
    </w:div>
    <w:div w:id="364527231">
      <w:bodyDiv w:val="1"/>
      <w:marLeft w:val="0"/>
      <w:marRight w:val="0"/>
      <w:marTop w:val="0"/>
      <w:marBottom w:val="0"/>
      <w:divBdr>
        <w:top w:val="none" w:sz="0" w:space="0" w:color="auto"/>
        <w:left w:val="none" w:sz="0" w:space="0" w:color="auto"/>
        <w:bottom w:val="none" w:sz="0" w:space="0" w:color="auto"/>
        <w:right w:val="none" w:sz="0" w:space="0" w:color="auto"/>
      </w:divBdr>
    </w:div>
    <w:div w:id="377635080">
      <w:bodyDiv w:val="1"/>
      <w:marLeft w:val="0"/>
      <w:marRight w:val="0"/>
      <w:marTop w:val="0"/>
      <w:marBottom w:val="0"/>
      <w:divBdr>
        <w:top w:val="none" w:sz="0" w:space="0" w:color="auto"/>
        <w:left w:val="none" w:sz="0" w:space="0" w:color="auto"/>
        <w:bottom w:val="none" w:sz="0" w:space="0" w:color="auto"/>
        <w:right w:val="none" w:sz="0" w:space="0" w:color="auto"/>
      </w:divBdr>
    </w:div>
    <w:div w:id="378869830">
      <w:bodyDiv w:val="1"/>
      <w:marLeft w:val="0"/>
      <w:marRight w:val="0"/>
      <w:marTop w:val="0"/>
      <w:marBottom w:val="0"/>
      <w:divBdr>
        <w:top w:val="none" w:sz="0" w:space="0" w:color="auto"/>
        <w:left w:val="none" w:sz="0" w:space="0" w:color="auto"/>
        <w:bottom w:val="none" w:sz="0" w:space="0" w:color="auto"/>
        <w:right w:val="none" w:sz="0" w:space="0" w:color="auto"/>
      </w:divBdr>
      <w:divsChild>
        <w:div w:id="173308720">
          <w:marLeft w:val="0"/>
          <w:marRight w:val="0"/>
          <w:marTop w:val="0"/>
          <w:marBottom w:val="0"/>
          <w:divBdr>
            <w:top w:val="none" w:sz="0" w:space="0" w:color="auto"/>
            <w:left w:val="none" w:sz="0" w:space="0" w:color="auto"/>
            <w:bottom w:val="none" w:sz="0" w:space="0" w:color="auto"/>
            <w:right w:val="none" w:sz="0" w:space="0" w:color="auto"/>
          </w:divBdr>
          <w:divsChild>
            <w:div w:id="907114041">
              <w:marLeft w:val="0"/>
              <w:marRight w:val="0"/>
              <w:marTop w:val="0"/>
              <w:marBottom w:val="225"/>
              <w:divBdr>
                <w:top w:val="none" w:sz="0" w:space="0" w:color="auto"/>
                <w:left w:val="none" w:sz="0" w:space="0" w:color="auto"/>
                <w:bottom w:val="none" w:sz="0" w:space="0" w:color="auto"/>
                <w:right w:val="none" w:sz="0" w:space="0" w:color="auto"/>
              </w:divBdr>
            </w:div>
          </w:divsChild>
        </w:div>
        <w:div w:id="1488403134">
          <w:marLeft w:val="0"/>
          <w:marRight w:val="0"/>
          <w:marTop w:val="0"/>
          <w:marBottom w:val="0"/>
          <w:divBdr>
            <w:top w:val="none" w:sz="0" w:space="0" w:color="auto"/>
            <w:left w:val="none" w:sz="0" w:space="0" w:color="auto"/>
            <w:bottom w:val="none" w:sz="0" w:space="0" w:color="auto"/>
            <w:right w:val="none" w:sz="0" w:space="0" w:color="auto"/>
          </w:divBdr>
          <w:divsChild>
            <w:div w:id="202088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650026">
      <w:bodyDiv w:val="1"/>
      <w:marLeft w:val="0"/>
      <w:marRight w:val="0"/>
      <w:marTop w:val="0"/>
      <w:marBottom w:val="0"/>
      <w:divBdr>
        <w:top w:val="none" w:sz="0" w:space="0" w:color="auto"/>
        <w:left w:val="none" w:sz="0" w:space="0" w:color="auto"/>
        <w:bottom w:val="none" w:sz="0" w:space="0" w:color="auto"/>
        <w:right w:val="none" w:sz="0" w:space="0" w:color="auto"/>
      </w:divBdr>
    </w:div>
    <w:div w:id="397679041">
      <w:bodyDiv w:val="1"/>
      <w:marLeft w:val="0"/>
      <w:marRight w:val="0"/>
      <w:marTop w:val="0"/>
      <w:marBottom w:val="0"/>
      <w:divBdr>
        <w:top w:val="none" w:sz="0" w:space="0" w:color="auto"/>
        <w:left w:val="none" w:sz="0" w:space="0" w:color="auto"/>
        <w:bottom w:val="none" w:sz="0" w:space="0" w:color="auto"/>
        <w:right w:val="none" w:sz="0" w:space="0" w:color="auto"/>
      </w:divBdr>
    </w:div>
    <w:div w:id="410129299">
      <w:bodyDiv w:val="1"/>
      <w:marLeft w:val="0"/>
      <w:marRight w:val="0"/>
      <w:marTop w:val="0"/>
      <w:marBottom w:val="0"/>
      <w:divBdr>
        <w:top w:val="none" w:sz="0" w:space="0" w:color="auto"/>
        <w:left w:val="none" w:sz="0" w:space="0" w:color="auto"/>
        <w:bottom w:val="none" w:sz="0" w:space="0" w:color="auto"/>
        <w:right w:val="none" w:sz="0" w:space="0" w:color="auto"/>
      </w:divBdr>
    </w:div>
    <w:div w:id="411050158">
      <w:bodyDiv w:val="1"/>
      <w:marLeft w:val="0"/>
      <w:marRight w:val="0"/>
      <w:marTop w:val="0"/>
      <w:marBottom w:val="0"/>
      <w:divBdr>
        <w:top w:val="none" w:sz="0" w:space="0" w:color="auto"/>
        <w:left w:val="none" w:sz="0" w:space="0" w:color="auto"/>
        <w:bottom w:val="none" w:sz="0" w:space="0" w:color="auto"/>
        <w:right w:val="none" w:sz="0" w:space="0" w:color="auto"/>
      </w:divBdr>
    </w:div>
    <w:div w:id="424500809">
      <w:bodyDiv w:val="1"/>
      <w:marLeft w:val="0"/>
      <w:marRight w:val="0"/>
      <w:marTop w:val="0"/>
      <w:marBottom w:val="0"/>
      <w:divBdr>
        <w:top w:val="none" w:sz="0" w:space="0" w:color="auto"/>
        <w:left w:val="none" w:sz="0" w:space="0" w:color="auto"/>
        <w:bottom w:val="none" w:sz="0" w:space="0" w:color="auto"/>
        <w:right w:val="none" w:sz="0" w:space="0" w:color="auto"/>
      </w:divBdr>
    </w:div>
    <w:div w:id="426270293">
      <w:bodyDiv w:val="1"/>
      <w:marLeft w:val="0"/>
      <w:marRight w:val="0"/>
      <w:marTop w:val="0"/>
      <w:marBottom w:val="0"/>
      <w:divBdr>
        <w:top w:val="none" w:sz="0" w:space="0" w:color="auto"/>
        <w:left w:val="none" w:sz="0" w:space="0" w:color="auto"/>
        <w:bottom w:val="none" w:sz="0" w:space="0" w:color="auto"/>
        <w:right w:val="none" w:sz="0" w:space="0" w:color="auto"/>
      </w:divBdr>
    </w:div>
    <w:div w:id="438717249">
      <w:bodyDiv w:val="1"/>
      <w:marLeft w:val="0"/>
      <w:marRight w:val="0"/>
      <w:marTop w:val="0"/>
      <w:marBottom w:val="0"/>
      <w:divBdr>
        <w:top w:val="none" w:sz="0" w:space="0" w:color="auto"/>
        <w:left w:val="none" w:sz="0" w:space="0" w:color="auto"/>
        <w:bottom w:val="none" w:sz="0" w:space="0" w:color="auto"/>
        <w:right w:val="none" w:sz="0" w:space="0" w:color="auto"/>
      </w:divBdr>
    </w:div>
    <w:div w:id="445581947">
      <w:bodyDiv w:val="1"/>
      <w:marLeft w:val="0"/>
      <w:marRight w:val="0"/>
      <w:marTop w:val="0"/>
      <w:marBottom w:val="0"/>
      <w:divBdr>
        <w:top w:val="none" w:sz="0" w:space="0" w:color="auto"/>
        <w:left w:val="none" w:sz="0" w:space="0" w:color="auto"/>
        <w:bottom w:val="none" w:sz="0" w:space="0" w:color="auto"/>
        <w:right w:val="none" w:sz="0" w:space="0" w:color="auto"/>
      </w:divBdr>
    </w:div>
    <w:div w:id="459883340">
      <w:bodyDiv w:val="1"/>
      <w:marLeft w:val="0"/>
      <w:marRight w:val="0"/>
      <w:marTop w:val="0"/>
      <w:marBottom w:val="0"/>
      <w:divBdr>
        <w:top w:val="none" w:sz="0" w:space="0" w:color="auto"/>
        <w:left w:val="none" w:sz="0" w:space="0" w:color="auto"/>
        <w:bottom w:val="none" w:sz="0" w:space="0" w:color="auto"/>
        <w:right w:val="none" w:sz="0" w:space="0" w:color="auto"/>
      </w:divBdr>
    </w:div>
    <w:div w:id="463933771">
      <w:bodyDiv w:val="1"/>
      <w:marLeft w:val="0"/>
      <w:marRight w:val="0"/>
      <w:marTop w:val="0"/>
      <w:marBottom w:val="0"/>
      <w:divBdr>
        <w:top w:val="none" w:sz="0" w:space="0" w:color="auto"/>
        <w:left w:val="none" w:sz="0" w:space="0" w:color="auto"/>
        <w:bottom w:val="none" w:sz="0" w:space="0" w:color="auto"/>
        <w:right w:val="none" w:sz="0" w:space="0" w:color="auto"/>
      </w:divBdr>
    </w:div>
    <w:div w:id="464742828">
      <w:bodyDiv w:val="1"/>
      <w:marLeft w:val="0"/>
      <w:marRight w:val="0"/>
      <w:marTop w:val="0"/>
      <w:marBottom w:val="0"/>
      <w:divBdr>
        <w:top w:val="none" w:sz="0" w:space="0" w:color="auto"/>
        <w:left w:val="none" w:sz="0" w:space="0" w:color="auto"/>
        <w:bottom w:val="none" w:sz="0" w:space="0" w:color="auto"/>
        <w:right w:val="none" w:sz="0" w:space="0" w:color="auto"/>
      </w:divBdr>
    </w:div>
    <w:div w:id="472254868">
      <w:bodyDiv w:val="1"/>
      <w:marLeft w:val="0"/>
      <w:marRight w:val="0"/>
      <w:marTop w:val="0"/>
      <w:marBottom w:val="0"/>
      <w:divBdr>
        <w:top w:val="none" w:sz="0" w:space="0" w:color="auto"/>
        <w:left w:val="none" w:sz="0" w:space="0" w:color="auto"/>
        <w:bottom w:val="none" w:sz="0" w:space="0" w:color="auto"/>
        <w:right w:val="none" w:sz="0" w:space="0" w:color="auto"/>
      </w:divBdr>
    </w:div>
    <w:div w:id="475882291">
      <w:bodyDiv w:val="1"/>
      <w:marLeft w:val="0"/>
      <w:marRight w:val="0"/>
      <w:marTop w:val="0"/>
      <w:marBottom w:val="0"/>
      <w:divBdr>
        <w:top w:val="none" w:sz="0" w:space="0" w:color="auto"/>
        <w:left w:val="none" w:sz="0" w:space="0" w:color="auto"/>
        <w:bottom w:val="none" w:sz="0" w:space="0" w:color="auto"/>
        <w:right w:val="none" w:sz="0" w:space="0" w:color="auto"/>
      </w:divBdr>
      <w:divsChild>
        <w:div w:id="928273608">
          <w:marLeft w:val="446"/>
          <w:marRight w:val="0"/>
          <w:marTop w:val="0"/>
          <w:marBottom w:val="0"/>
          <w:divBdr>
            <w:top w:val="none" w:sz="0" w:space="0" w:color="auto"/>
            <w:left w:val="none" w:sz="0" w:space="0" w:color="auto"/>
            <w:bottom w:val="none" w:sz="0" w:space="0" w:color="auto"/>
            <w:right w:val="none" w:sz="0" w:space="0" w:color="auto"/>
          </w:divBdr>
        </w:div>
      </w:divsChild>
    </w:div>
    <w:div w:id="476916922">
      <w:bodyDiv w:val="1"/>
      <w:marLeft w:val="0"/>
      <w:marRight w:val="0"/>
      <w:marTop w:val="0"/>
      <w:marBottom w:val="0"/>
      <w:divBdr>
        <w:top w:val="none" w:sz="0" w:space="0" w:color="auto"/>
        <w:left w:val="none" w:sz="0" w:space="0" w:color="auto"/>
        <w:bottom w:val="none" w:sz="0" w:space="0" w:color="auto"/>
        <w:right w:val="none" w:sz="0" w:space="0" w:color="auto"/>
      </w:divBdr>
    </w:div>
    <w:div w:id="477579248">
      <w:bodyDiv w:val="1"/>
      <w:marLeft w:val="0"/>
      <w:marRight w:val="0"/>
      <w:marTop w:val="0"/>
      <w:marBottom w:val="0"/>
      <w:divBdr>
        <w:top w:val="none" w:sz="0" w:space="0" w:color="auto"/>
        <w:left w:val="none" w:sz="0" w:space="0" w:color="auto"/>
        <w:bottom w:val="none" w:sz="0" w:space="0" w:color="auto"/>
        <w:right w:val="none" w:sz="0" w:space="0" w:color="auto"/>
      </w:divBdr>
      <w:divsChild>
        <w:div w:id="1144928714">
          <w:marLeft w:val="446"/>
          <w:marRight w:val="0"/>
          <w:marTop w:val="0"/>
          <w:marBottom w:val="0"/>
          <w:divBdr>
            <w:top w:val="none" w:sz="0" w:space="0" w:color="auto"/>
            <w:left w:val="none" w:sz="0" w:space="0" w:color="auto"/>
            <w:bottom w:val="none" w:sz="0" w:space="0" w:color="auto"/>
            <w:right w:val="none" w:sz="0" w:space="0" w:color="auto"/>
          </w:divBdr>
        </w:div>
      </w:divsChild>
    </w:div>
    <w:div w:id="485782758">
      <w:bodyDiv w:val="1"/>
      <w:marLeft w:val="0"/>
      <w:marRight w:val="0"/>
      <w:marTop w:val="0"/>
      <w:marBottom w:val="0"/>
      <w:divBdr>
        <w:top w:val="none" w:sz="0" w:space="0" w:color="auto"/>
        <w:left w:val="none" w:sz="0" w:space="0" w:color="auto"/>
        <w:bottom w:val="none" w:sz="0" w:space="0" w:color="auto"/>
        <w:right w:val="none" w:sz="0" w:space="0" w:color="auto"/>
      </w:divBdr>
    </w:div>
    <w:div w:id="486439656">
      <w:bodyDiv w:val="1"/>
      <w:marLeft w:val="0"/>
      <w:marRight w:val="0"/>
      <w:marTop w:val="0"/>
      <w:marBottom w:val="0"/>
      <w:divBdr>
        <w:top w:val="none" w:sz="0" w:space="0" w:color="auto"/>
        <w:left w:val="none" w:sz="0" w:space="0" w:color="auto"/>
        <w:bottom w:val="none" w:sz="0" w:space="0" w:color="auto"/>
        <w:right w:val="none" w:sz="0" w:space="0" w:color="auto"/>
      </w:divBdr>
      <w:divsChild>
        <w:div w:id="1496410590">
          <w:marLeft w:val="0"/>
          <w:marRight w:val="0"/>
          <w:marTop w:val="0"/>
          <w:marBottom w:val="0"/>
          <w:divBdr>
            <w:top w:val="none" w:sz="0" w:space="0" w:color="auto"/>
            <w:left w:val="none" w:sz="0" w:space="0" w:color="auto"/>
            <w:bottom w:val="none" w:sz="0" w:space="0" w:color="auto"/>
            <w:right w:val="none" w:sz="0" w:space="0" w:color="auto"/>
          </w:divBdr>
          <w:divsChild>
            <w:div w:id="1467042087">
              <w:marLeft w:val="0"/>
              <w:marRight w:val="0"/>
              <w:marTop w:val="0"/>
              <w:marBottom w:val="0"/>
              <w:divBdr>
                <w:top w:val="none" w:sz="0" w:space="0" w:color="auto"/>
                <w:left w:val="none" w:sz="0" w:space="0" w:color="auto"/>
                <w:bottom w:val="none" w:sz="0" w:space="0" w:color="auto"/>
                <w:right w:val="none" w:sz="0" w:space="0" w:color="auto"/>
              </w:divBdr>
            </w:div>
            <w:div w:id="1677151233">
              <w:marLeft w:val="0"/>
              <w:marRight w:val="0"/>
              <w:marTop w:val="0"/>
              <w:marBottom w:val="0"/>
              <w:divBdr>
                <w:top w:val="none" w:sz="0" w:space="0" w:color="auto"/>
                <w:left w:val="none" w:sz="0" w:space="0" w:color="auto"/>
                <w:bottom w:val="none" w:sz="0" w:space="0" w:color="auto"/>
                <w:right w:val="none" w:sz="0" w:space="0" w:color="auto"/>
              </w:divBdr>
              <w:divsChild>
                <w:div w:id="1304385771">
                  <w:marLeft w:val="0"/>
                  <w:marRight w:val="0"/>
                  <w:marTop w:val="0"/>
                  <w:marBottom w:val="300"/>
                  <w:divBdr>
                    <w:top w:val="none" w:sz="0" w:space="0" w:color="auto"/>
                    <w:left w:val="none" w:sz="0" w:space="0" w:color="auto"/>
                    <w:bottom w:val="none" w:sz="0" w:space="0" w:color="auto"/>
                    <w:right w:val="none" w:sz="0" w:space="0" w:color="auto"/>
                  </w:divBdr>
                  <w:divsChild>
                    <w:div w:id="882325219">
                      <w:marLeft w:val="0"/>
                      <w:marRight w:val="0"/>
                      <w:marTop w:val="0"/>
                      <w:marBottom w:val="0"/>
                      <w:divBdr>
                        <w:top w:val="none" w:sz="0" w:space="0" w:color="auto"/>
                        <w:left w:val="none" w:sz="0" w:space="0" w:color="auto"/>
                        <w:bottom w:val="none" w:sz="0" w:space="0" w:color="auto"/>
                        <w:right w:val="none" w:sz="0" w:space="0" w:color="auto"/>
                      </w:divBdr>
                      <w:divsChild>
                        <w:div w:id="1988238269">
                          <w:marLeft w:val="0"/>
                          <w:marRight w:val="0"/>
                          <w:marTop w:val="0"/>
                          <w:marBottom w:val="0"/>
                          <w:divBdr>
                            <w:top w:val="none" w:sz="0" w:space="0" w:color="auto"/>
                            <w:left w:val="none" w:sz="0" w:space="0" w:color="auto"/>
                            <w:bottom w:val="none" w:sz="0" w:space="0" w:color="auto"/>
                            <w:right w:val="none" w:sz="0" w:space="0" w:color="auto"/>
                          </w:divBdr>
                          <w:divsChild>
                            <w:div w:id="181247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0447622">
          <w:marLeft w:val="0"/>
          <w:marRight w:val="0"/>
          <w:marTop w:val="240"/>
          <w:marBottom w:val="240"/>
          <w:divBdr>
            <w:top w:val="none" w:sz="0" w:space="0" w:color="auto"/>
            <w:left w:val="none" w:sz="0" w:space="0" w:color="auto"/>
            <w:bottom w:val="none" w:sz="0" w:space="0" w:color="auto"/>
            <w:right w:val="none" w:sz="0" w:space="0" w:color="auto"/>
          </w:divBdr>
        </w:div>
      </w:divsChild>
    </w:div>
    <w:div w:id="492836429">
      <w:bodyDiv w:val="1"/>
      <w:marLeft w:val="0"/>
      <w:marRight w:val="0"/>
      <w:marTop w:val="0"/>
      <w:marBottom w:val="0"/>
      <w:divBdr>
        <w:top w:val="none" w:sz="0" w:space="0" w:color="auto"/>
        <w:left w:val="none" w:sz="0" w:space="0" w:color="auto"/>
        <w:bottom w:val="none" w:sz="0" w:space="0" w:color="auto"/>
        <w:right w:val="none" w:sz="0" w:space="0" w:color="auto"/>
      </w:divBdr>
    </w:div>
    <w:div w:id="495993418">
      <w:bodyDiv w:val="1"/>
      <w:marLeft w:val="0"/>
      <w:marRight w:val="0"/>
      <w:marTop w:val="0"/>
      <w:marBottom w:val="0"/>
      <w:divBdr>
        <w:top w:val="none" w:sz="0" w:space="0" w:color="auto"/>
        <w:left w:val="none" w:sz="0" w:space="0" w:color="auto"/>
        <w:bottom w:val="none" w:sz="0" w:space="0" w:color="auto"/>
        <w:right w:val="none" w:sz="0" w:space="0" w:color="auto"/>
      </w:divBdr>
    </w:div>
    <w:div w:id="496961967">
      <w:bodyDiv w:val="1"/>
      <w:marLeft w:val="0"/>
      <w:marRight w:val="0"/>
      <w:marTop w:val="0"/>
      <w:marBottom w:val="0"/>
      <w:divBdr>
        <w:top w:val="none" w:sz="0" w:space="0" w:color="auto"/>
        <w:left w:val="none" w:sz="0" w:space="0" w:color="auto"/>
        <w:bottom w:val="none" w:sz="0" w:space="0" w:color="auto"/>
        <w:right w:val="none" w:sz="0" w:space="0" w:color="auto"/>
      </w:divBdr>
    </w:div>
    <w:div w:id="504899404">
      <w:bodyDiv w:val="1"/>
      <w:marLeft w:val="0"/>
      <w:marRight w:val="0"/>
      <w:marTop w:val="0"/>
      <w:marBottom w:val="0"/>
      <w:divBdr>
        <w:top w:val="none" w:sz="0" w:space="0" w:color="auto"/>
        <w:left w:val="none" w:sz="0" w:space="0" w:color="auto"/>
        <w:bottom w:val="none" w:sz="0" w:space="0" w:color="auto"/>
        <w:right w:val="none" w:sz="0" w:space="0" w:color="auto"/>
      </w:divBdr>
    </w:div>
    <w:div w:id="508368377">
      <w:bodyDiv w:val="1"/>
      <w:marLeft w:val="0"/>
      <w:marRight w:val="0"/>
      <w:marTop w:val="0"/>
      <w:marBottom w:val="0"/>
      <w:divBdr>
        <w:top w:val="none" w:sz="0" w:space="0" w:color="auto"/>
        <w:left w:val="none" w:sz="0" w:space="0" w:color="auto"/>
        <w:bottom w:val="none" w:sz="0" w:space="0" w:color="auto"/>
        <w:right w:val="none" w:sz="0" w:space="0" w:color="auto"/>
      </w:divBdr>
    </w:div>
    <w:div w:id="508445242">
      <w:bodyDiv w:val="1"/>
      <w:marLeft w:val="0"/>
      <w:marRight w:val="0"/>
      <w:marTop w:val="0"/>
      <w:marBottom w:val="0"/>
      <w:divBdr>
        <w:top w:val="none" w:sz="0" w:space="0" w:color="auto"/>
        <w:left w:val="none" w:sz="0" w:space="0" w:color="auto"/>
        <w:bottom w:val="none" w:sz="0" w:space="0" w:color="auto"/>
        <w:right w:val="none" w:sz="0" w:space="0" w:color="auto"/>
      </w:divBdr>
    </w:div>
    <w:div w:id="520438295">
      <w:bodyDiv w:val="1"/>
      <w:marLeft w:val="0"/>
      <w:marRight w:val="0"/>
      <w:marTop w:val="0"/>
      <w:marBottom w:val="0"/>
      <w:divBdr>
        <w:top w:val="none" w:sz="0" w:space="0" w:color="auto"/>
        <w:left w:val="none" w:sz="0" w:space="0" w:color="auto"/>
        <w:bottom w:val="none" w:sz="0" w:space="0" w:color="auto"/>
        <w:right w:val="none" w:sz="0" w:space="0" w:color="auto"/>
      </w:divBdr>
      <w:divsChild>
        <w:div w:id="1492603875">
          <w:marLeft w:val="446"/>
          <w:marRight w:val="0"/>
          <w:marTop w:val="0"/>
          <w:marBottom w:val="0"/>
          <w:divBdr>
            <w:top w:val="none" w:sz="0" w:space="0" w:color="auto"/>
            <w:left w:val="none" w:sz="0" w:space="0" w:color="auto"/>
            <w:bottom w:val="none" w:sz="0" w:space="0" w:color="auto"/>
            <w:right w:val="none" w:sz="0" w:space="0" w:color="auto"/>
          </w:divBdr>
        </w:div>
        <w:div w:id="1899243390">
          <w:marLeft w:val="446"/>
          <w:marRight w:val="0"/>
          <w:marTop w:val="0"/>
          <w:marBottom w:val="0"/>
          <w:divBdr>
            <w:top w:val="none" w:sz="0" w:space="0" w:color="auto"/>
            <w:left w:val="none" w:sz="0" w:space="0" w:color="auto"/>
            <w:bottom w:val="none" w:sz="0" w:space="0" w:color="auto"/>
            <w:right w:val="none" w:sz="0" w:space="0" w:color="auto"/>
          </w:divBdr>
        </w:div>
      </w:divsChild>
    </w:div>
    <w:div w:id="523830179">
      <w:bodyDiv w:val="1"/>
      <w:marLeft w:val="0"/>
      <w:marRight w:val="0"/>
      <w:marTop w:val="0"/>
      <w:marBottom w:val="0"/>
      <w:divBdr>
        <w:top w:val="none" w:sz="0" w:space="0" w:color="auto"/>
        <w:left w:val="none" w:sz="0" w:space="0" w:color="auto"/>
        <w:bottom w:val="none" w:sz="0" w:space="0" w:color="auto"/>
        <w:right w:val="none" w:sz="0" w:space="0" w:color="auto"/>
      </w:divBdr>
    </w:div>
    <w:div w:id="524485603">
      <w:bodyDiv w:val="1"/>
      <w:marLeft w:val="0"/>
      <w:marRight w:val="0"/>
      <w:marTop w:val="0"/>
      <w:marBottom w:val="0"/>
      <w:divBdr>
        <w:top w:val="none" w:sz="0" w:space="0" w:color="auto"/>
        <w:left w:val="none" w:sz="0" w:space="0" w:color="auto"/>
        <w:bottom w:val="none" w:sz="0" w:space="0" w:color="auto"/>
        <w:right w:val="none" w:sz="0" w:space="0" w:color="auto"/>
      </w:divBdr>
    </w:div>
    <w:div w:id="548222650">
      <w:bodyDiv w:val="1"/>
      <w:marLeft w:val="0"/>
      <w:marRight w:val="0"/>
      <w:marTop w:val="0"/>
      <w:marBottom w:val="0"/>
      <w:divBdr>
        <w:top w:val="none" w:sz="0" w:space="0" w:color="auto"/>
        <w:left w:val="none" w:sz="0" w:space="0" w:color="auto"/>
        <w:bottom w:val="none" w:sz="0" w:space="0" w:color="auto"/>
        <w:right w:val="none" w:sz="0" w:space="0" w:color="auto"/>
      </w:divBdr>
    </w:div>
    <w:div w:id="554199509">
      <w:bodyDiv w:val="1"/>
      <w:marLeft w:val="0"/>
      <w:marRight w:val="0"/>
      <w:marTop w:val="0"/>
      <w:marBottom w:val="0"/>
      <w:divBdr>
        <w:top w:val="none" w:sz="0" w:space="0" w:color="auto"/>
        <w:left w:val="none" w:sz="0" w:space="0" w:color="auto"/>
        <w:bottom w:val="none" w:sz="0" w:space="0" w:color="auto"/>
        <w:right w:val="none" w:sz="0" w:space="0" w:color="auto"/>
      </w:divBdr>
    </w:div>
    <w:div w:id="554512331">
      <w:bodyDiv w:val="1"/>
      <w:marLeft w:val="0"/>
      <w:marRight w:val="0"/>
      <w:marTop w:val="0"/>
      <w:marBottom w:val="0"/>
      <w:divBdr>
        <w:top w:val="none" w:sz="0" w:space="0" w:color="auto"/>
        <w:left w:val="none" w:sz="0" w:space="0" w:color="auto"/>
        <w:bottom w:val="none" w:sz="0" w:space="0" w:color="auto"/>
        <w:right w:val="none" w:sz="0" w:space="0" w:color="auto"/>
      </w:divBdr>
    </w:div>
    <w:div w:id="557475877">
      <w:bodyDiv w:val="1"/>
      <w:marLeft w:val="0"/>
      <w:marRight w:val="0"/>
      <w:marTop w:val="0"/>
      <w:marBottom w:val="0"/>
      <w:divBdr>
        <w:top w:val="none" w:sz="0" w:space="0" w:color="auto"/>
        <w:left w:val="none" w:sz="0" w:space="0" w:color="auto"/>
        <w:bottom w:val="none" w:sz="0" w:space="0" w:color="auto"/>
        <w:right w:val="none" w:sz="0" w:space="0" w:color="auto"/>
      </w:divBdr>
    </w:div>
    <w:div w:id="558592488">
      <w:bodyDiv w:val="1"/>
      <w:marLeft w:val="0"/>
      <w:marRight w:val="0"/>
      <w:marTop w:val="0"/>
      <w:marBottom w:val="0"/>
      <w:divBdr>
        <w:top w:val="none" w:sz="0" w:space="0" w:color="auto"/>
        <w:left w:val="none" w:sz="0" w:space="0" w:color="auto"/>
        <w:bottom w:val="none" w:sz="0" w:space="0" w:color="auto"/>
        <w:right w:val="none" w:sz="0" w:space="0" w:color="auto"/>
      </w:divBdr>
    </w:div>
    <w:div w:id="561523281">
      <w:bodyDiv w:val="1"/>
      <w:marLeft w:val="0"/>
      <w:marRight w:val="0"/>
      <w:marTop w:val="0"/>
      <w:marBottom w:val="0"/>
      <w:divBdr>
        <w:top w:val="none" w:sz="0" w:space="0" w:color="auto"/>
        <w:left w:val="none" w:sz="0" w:space="0" w:color="auto"/>
        <w:bottom w:val="none" w:sz="0" w:space="0" w:color="auto"/>
        <w:right w:val="none" w:sz="0" w:space="0" w:color="auto"/>
      </w:divBdr>
    </w:div>
    <w:div w:id="570623034">
      <w:bodyDiv w:val="1"/>
      <w:marLeft w:val="0"/>
      <w:marRight w:val="0"/>
      <w:marTop w:val="0"/>
      <w:marBottom w:val="0"/>
      <w:divBdr>
        <w:top w:val="none" w:sz="0" w:space="0" w:color="auto"/>
        <w:left w:val="none" w:sz="0" w:space="0" w:color="auto"/>
        <w:bottom w:val="none" w:sz="0" w:space="0" w:color="auto"/>
        <w:right w:val="none" w:sz="0" w:space="0" w:color="auto"/>
      </w:divBdr>
    </w:div>
    <w:div w:id="570698296">
      <w:bodyDiv w:val="1"/>
      <w:marLeft w:val="0"/>
      <w:marRight w:val="0"/>
      <w:marTop w:val="0"/>
      <w:marBottom w:val="0"/>
      <w:divBdr>
        <w:top w:val="none" w:sz="0" w:space="0" w:color="auto"/>
        <w:left w:val="none" w:sz="0" w:space="0" w:color="auto"/>
        <w:bottom w:val="none" w:sz="0" w:space="0" w:color="auto"/>
        <w:right w:val="none" w:sz="0" w:space="0" w:color="auto"/>
      </w:divBdr>
    </w:div>
    <w:div w:id="572087674">
      <w:bodyDiv w:val="1"/>
      <w:marLeft w:val="0"/>
      <w:marRight w:val="0"/>
      <w:marTop w:val="0"/>
      <w:marBottom w:val="0"/>
      <w:divBdr>
        <w:top w:val="none" w:sz="0" w:space="0" w:color="auto"/>
        <w:left w:val="none" w:sz="0" w:space="0" w:color="auto"/>
        <w:bottom w:val="none" w:sz="0" w:space="0" w:color="auto"/>
        <w:right w:val="none" w:sz="0" w:space="0" w:color="auto"/>
      </w:divBdr>
    </w:div>
    <w:div w:id="580023429">
      <w:bodyDiv w:val="1"/>
      <w:marLeft w:val="0"/>
      <w:marRight w:val="0"/>
      <w:marTop w:val="0"/>
      <w:marBottom w:val="0"/>
      <w:divBdr>
        <w:top w:val="none" w:sz="0" w:space="0" w:color="auto"/>
        <w:left w:val="none" w:sz="0" w:space="0" w:color="auto"/>
        <w:bottom w:val="none" w:sz="0" w:space="0" w:color="auto"/>
        <w:right w:val="none" w:sz="0" w:space="0" w:color="auto"/>
      </w:divBdr>
    </w:div>
    <w:div w:id="582033207">
      <w:bodyDiv w:val="1"/>
      <w:marLeft w:val="0"/>
      <w:marRight w:val="0"/>
      <w:marTop w:val="0"/>
      <w:marBottom w:val="0"/>
      <w:divBdr>
        <w:top w:val="none" w:sz="0" w:space="0" w:color="auto"/>
        <w:left w:val="none" w:sz="0" w:space="0" w:color="auto"/>
        <w:bottom w:val="none" w:sz="0" w:space="0" w:color="auto"/>
        <w:right w:val="none" w:sz="0" w:space="0" w:color="auto"/>
      </w:divBdr>
    </w:div>
    <w:div w:id="594050747">
      <w:bodyDiv w:val="1"/>
      <w:marLeft w:val="0"/>
      <w:marRight w:val="0"/>
      <w:marTop w:val="0"/>
      <w:marBottom w:val="0"/>
      <w:divBdr>
        <w:top w:val="none" w:sz="0" w:space="0" w:color="auto"/>
        <w:left w:val="none" w:sz="0" w:space="0" w:color="auto"/>
        <w:bottom w:val="none" w:sz="0" w:space="0" w:color="auto"/>
        <w:right w:val="none" w:sz="0" w:space="0" w:color="auto"/>
      </w:divBdr>
    </w:div>
    <w:div w:id="614752420">
      <w:bodyDiv w:val="1"/>
      <w:marLeft w:val="0"/>
      <w:marRight w:val="0"/>
      <w:marTop w:val="0"/>
      <w:marBottom w:val="0"/>
      <w:divBdr>
        <w:top w:val="none" w:sz="0" w:space="0" w:color="auto"/>
        <w:left w:val="none" w:sz="0" w:space="0" w:color="auto"/>
        <w:bottom w:val="none" w:sz="0" w:space="0" w:color="auto"/>
        <w:right w:val="none" w:sz="0" w:space="0" w:color="auto"/>
      </w:divBdr>
      <w:divsChild>
        <w:div w:id="1834760387">
          <w:marLeft w:val="274"/>
          <w:marRight w:val="0"/>
          <w:marTop w:val="0"/>
          <w:marBottom w:val="0"/>
          <w:divBdr>
            <w:top w:val="none" w:sz="0" w:space="0" w:color="auto"/>
            <w:left w:val="none" w:sz="0" w:space="0" w:color="auto"/>
            <w:bottom w:val="none" w:sz="0" w:space="0" w:color="auto"/>
            <w:right w:val="none" w:sz="0" w:space="0" w:color="auto"/>
          </w:divBdr>
        </w:div>
      </w:divsChild>
    </w:div>
    <w:div w:id="625506678">
      <w:bodyDiv w:val="1"/>
      <w:marLeft w:val="0"/>
      <w:marRight w:val="0"/>
      <w:marTop w:val="0"/>
      <w:marBottom w:val="0"/>
      <w:divBdr>
        <w:top w:val="none" w:sz="0" w:space="0" w:color="auto"/>
        <w:left w:val="none" w:sz="0" w:space="0" w:color="auto"/>
        <w:bottom w:val="none" w:sz="0" w:space="0" w:color="auto"/>
        <w:right w:val="none" w:sz="0" w:space="0" w:color="auto"/>
      </w:divBdr>
      <w:divsChild>
        <w:div w:id="1276521050">
          <w:marLeft w:val="446"/>
          <w:marRight w:val="0"/>
          <w:marTop w:val="0"/>
          <w:marBottom w:val="0"/>
          <w:divBdr>
            <w:top w:val="none" w:sz="0" w:space="0" w:color="auto"/>
            <w:left w:val="none" w:sz="0" w:space="0" w:color="auto"/>
            <w:bottom w:val="none" w:sz="0" w:space="0" w:color="auto"/>
            <w:right w:val="none" w:sz="0" w:space="0" w:color="auto"/>
          </w:divBdr>
        </w:div>
        <w:div w:id="160396711">
          <w:marLeft w:val="446"/>
          <w:marRight w:val="0"/>
          <w:marTop w:val="0"/>
          <w:marBottom w:val="0"/>
          <w:divBdr>
            <w:top w:val="none" w:sz="0" w:space="0" w:color="auto"/>
            <w:left w:val="none" w:sz="0" w:space="0" w:color="auto"/>
            <w:bottom w:val="none" w:sz="0" w:space="0" w:color="auto"/>
            <w:right w:val="none" w:sz="0" w:space="0" w:color="auto"/>
          </w:divBdr>
        </w:div>
      </w:divsChild>
    </w:div>
    <w:div w:id="628780421">
      <w:bodyDiv w:val="1"/>
      <w:marLeft w:val="0"/>
      <w:marRight w:val="0"/>
      <w:marTop w:val="0"/>
      <w:marBottom w:val="0"/>
      <w:divBdr>
        <w:top w:val="none" w:sz="0" w:space="0" w:color="auto"/>
        <w:left w:val="none" w:sz="0" w:space="0" w:color="auto"/>
        <w:bottom w:val="none" w:sz="0" w:space="0" w:color="auto"/>
        <w:right w:val="none" w:sz="0" w:space="0" w:color="auto"/>
      </w:divBdr>
    </w:div>
    <w:div w:id="635642149">
      <w:bodyDiv w:val="1"/>
      <w:marLeft w:val="0"/>
      <w:marRight w:val="0"/>
      <w:marTop w:val="0"/>
      <w:marBottom w:val="0"/>
      <w:divBdr>
        <w:top w:val="none" w:sz="0" w:space="0" w:color="auto"/>
        <w:left w:val="none" w:sz="0" w:space="0" w:color="auto"/>
        <w:bottom w:val="none" w:sz="0" w:space="0" w:color="auto"/>
        <w:right w:val="none" w:sz="0" w:space="0" w:color="auto"/>
      </w:divBdr>
    </w:div>
    <w:div w:id="642933842">
      <w:bodyDiv w:val="1"/>
      <w:marLeft w:val="0"/>
      <w:marRight w:val="0"/>
      <w:marTop w:val="0"/>
      <w:marBottom w:val="0"/>
      <w:divBdr>
        <w:top w:val="none" w:sz="0" w:space="0" w:color="auto"/>
        <w:left w:val="none" w:sz="0" w:space="0" w:color="auto"/>
        <w:bottom w:val="none" w:sz="0" w:space="0" w:color="auto"/>
        <w:right w:val="none" w:sz="0" w:space="0" w:color="auto"/>
      </w:divBdr>
    </w:div>
    <w:div w:id="644505657">
      <w:bodyDiv w:val="1"/>
      <w:marLeft w:val="0"/>
      <w:marRight w:val="0"/>
      <w:marTop w:val="0"/>
      <w:marBottom w:val="0"/>
      <w:divBdr>
        <w:top w:val="none" w:sz="0" w:space="0" w:color="auto"/>
        <w:left w:val="none" w:sz="0" w:space="0" w:color="auto"/>
        <w:bottom w:val="none" w:sz="0" w:space="0" w:color="auto"/>
        <w:right w:val="none" w:sz="0" w:space="0" w:color="auto"/>
      </w:divBdr>
    </w:div>
    <w:div w:id="648098033">
      <w:bodyDiv w:val="1"/>
      <w:marLeft w:val="0"/>
      <w:marRight w:val="0"/>
      <w:marTop w:val="0"/>
      <w:marBottom w:val="0"/>
      <w:divBdr>
        <w:top w:val="none" w:sz="0" w:space="0" w:color="auto"/>
        <w:left w:val="none" w:sz="0" w:space="0" w:color="auto"/>
        <w:bottom w:val="none" w:sz="0" w:space="0" w:color="auto"/>
        <w:right w:val="none" w:sz="0" w:space="0" w:color="auto"/>
      </w:divBdr>
    </w:div>
    <w:div w:id="648830552">
      <w:bodyDiv w:val="1"/>
      <w:marLeft w:val="0"/>
      <w:marRight w:val="0"/>
      <w:marTop w:val="0"/>
      <w:marBottom w:val="0"/>
      <w:divBdr>
        <w:top w:val="none" w:sz="0" w:space="0" w:color="auto"/>
        <w:left w:val="none" w:sz="0" w:space="0" w:color="auto"/>
        <w:bottom w:val="none" w:sz="0" w:space="0" w:color="auto"/>
        <w:right w:val="none" w:sz="0" w:space="0" w:color="auto"/>
      </w:divBdr>
    </w:div>
    <w:div w:id="652103869">
      <w:bodyDiv w:val="1"/>
      <w:marLeft w:val="0"/>
      <w:marRight w:val="0"/>
      <w:marTop w:val="0"/>
      <w:marBottom w:val="0"/>
      <w:divBdr>
        <w:top w:val="none" w:sz="0" w:space="0" w:color="auto"/>
        <w:left w:val="none" w:sz="0" w:space="0" w:color="auto"/>
        <w:bottom w:val="none" w:sz="0" w:space="0" w:color="auto"/>
        <w:right w:val="none" w:sz="0" w:space="0" w:color="auto"/>
      </w:divBdr>
    </w:div>
    <w:div w:id="653023376">
      <w:bodyDiv w:val="1"/>
      <w:marLeft w:val="0"/>
      <w:marRight w:val="0"/>
      <w:marTop w:val="0"/>
      <w:marBottom w:val="0"/>
      <w:divBdr>
        <w:top w:val="none" w:sz="0" w:space="0" w:color="auto"/>
        <w:left w:val="none" w:sz="0" w:space="0" w:color="auto"/>
        <w:bottom w:val="none" w:sz="0" w:space="0" w:color="auto"/>
        <w:right w:val="none" w:sz="0" w:space="0" w:color="auto"/>
      </w:divBdr>
    </w:div>
    <w:div w:id="653992345">
      <w:bodyDiv w:val="1"/>
      <w:marLeft w:val="0"/>
      <w:marRight w:val="0"/>
      <w:marTop w:val="0"/>
      <w:marBottom w:val="0"/>
      <w:divBdr>
        <w:top w:val="none" w:sz="0" w:space="0" w:color="auto"/>
        <w:left w:val="none" w:sz="0" w:space="0" w:color="auto"/>
        <w:bottom w:val="none" w:sz="0" w:space="0" w:color="auto"/>
        <w:right w:val="none" w:sz="0" w:space="0" w:color="auto"/>
      </w:divBdr>
    </w:div>
    <w:div w:id="657730723">
      <w:bodyDiv w:val="1"/>
      <w:marLeft w:val="0"/>
      <w:marRight w:val="0"/>
      <w:marTop w:val="0"/>
      <w:marBottom w:val="0"/>
      <w:divBdr>
        <w:top w:val="none" w:sz="0" w:space="0" w:color="auto"/>
        <w:left w:val="none" w:sz="0" w:space="0" w:color="auto"/>
        <w:bottom w:val="none" w:sz="0" w:space="0" w:color="auto"/>
        <w:right w:val="none" w:sz="0" w:space="0" w:color="auto"/>
      </w:divBdr>
    </w:div>
    <w:div w:id="659191353">
      <w:bodyDiv w:val="1"/>
      <w:marLeft w:val="0"/>
      <w:marRight w:val="0"/>
      <w:marTop w:val="0"/>
      <w:marBottom w:val="0"/>
      <w:divBdr>
        <w:top w:val="none" w:sz="0" w:space="0" w:color="auto"/>
        <w:left w:val="none" w:sz="0" w:space="0" w:color="auto"/>
        <w:bottom w:val="none" w:sz="0" w:space="0" w:color="auto"/>
        <w:right w:val="none" w:sz="0" w:space="0" w:color="auto"/>
      </w:divBdr>
    </w:div>
    <w:div w:id="664363599">
      <w:bodyDiv w:val="1"/>
      <w:marLeft w:val="0"/>
      <w:marRight w:val="0"/>
      <w:marTop w:val="0"/>
      <w:marBottom w:val="0"/>
      <w:divBdr>
        <w:top w:val="none" w:sz="0" w:space="0" w:color="auto"/>
        <w:left w:val="none" w:sz="0" w:space="0" w:color="auto"/>
        <w:bottom w:val="none" w:sz="0" w:space="0" w:color="auto"/>
        <w:right w:val="none" w:sz="0" w:space="0" w:color="auto"/>
      </w:divBdr>
    </w:div>
    <w:div w:id="669143032">
      <w:bodyDiv w:val="1"/>
      <w:marLeft w:val="0"/>
      <w:marRight w:val="0"/>
      <w:marTop w:val="0"/>
      <w:marBottom w:val="0"/>
      <w:divBdr>
        <w:top w:val="none" w:sz="0" w:space="0" w:color="auto"/>
        <w:left w:val="none" w:sz="0" w:space="0" w:color="auto"/>
        <w:bottom w:val="none" w:sz="0" w:space="0" w:color="auto"/>
        <w:right w:val="none" w:sz="0" w:space="0" w:color="auto"/>
      </w:divBdr>
    </w:div>
    <w:div w:id="672727513">
      <w:bodyDiv w:val="1"/>
      <w:marLeft w:val="0"/>
      <w:marRight w:val="0"/>
      <w:marTop w:val="0"/>
      <w:marBottom w:val="0"/>
      <w:divBdr>
        <w:top w:val="none" w:sz="0" w:space="0" w:color="auto"/>
        <w:left w:val="none" w:sz="0" w:space="0" w:color="auto"/>
        <w:bottom w:val="none" w:sz="0" w:space="0" w:color="auto"/>
        <w:right w:val="none" w:sz="0" w:space="0" w:color="auto"/>
      </w:divBdr>
    </w:div>
    <w:div w:id="679620526">
      <w:bodyDiv w:val="1"/>
      <w:marLeft w:val="0"/>
      <w:marRight w:val="0"/>
      <w:marTop w:val="0"/>
      <w:marBottom w:val="0"/>
      <w:divBdr>
        <w:top w:val="none" w:sz="0" w:space="0" w:color="auto"/>
        <w:left w:val="none" w:sz="0" w:space="0" w:color="auto"/>
        <w:bottom w:val="none" w:sz="0" w:space="0" w:color="auto"/>
        <w:right w:val="none" w:sz="0" w:space="0" w:color="auto"/>
      </w:divBdr>
    </w:div>
    <w:div w:id="681081583">
      <w:bodyDiv w:val="1"/>
      <w:marLeft w:val="0"/>
      <w:marRight w:val="0"/>
      <w:marTop w:val="0"/>
      <w:marBottom w:val="0"/>
      <w:divBdr>
        <w:top w:val="none" w:sz="0" w:space="0" w:color="auto"/>
        <w:left w:val="none" w:sz="0" w:space="0" w:color="auto"/>
        <w:bottom w:val="none" w:sz="0" w:space="0" w:color="auto"/>
        <w:right w:val="none" w:sz="0" w:space="0" w:color="auto"/>
      </w:divBdr>
    </w:div>
    <w:div w:id="683480093">
      <w:bodyDiv w:val="1"/>
      <w:marLeft w:val="0"/>
      <w:marRight w:val="0"/>
      <w:marTop w:val="0"/>
      <w:marBottom w:val="0"/>
      <w:divBdr>
        <w:top w:val="none" w:sz="0" w:space="0" w:color="auto"/>
        <w:left w:val="none" w:sz="0" w:space="0" w:color="auto"/>
        <w:bottom w:val="none" w:sz="0" w:space="0" w:color="auto"/>
        <w:right w:val="none" w:sz="0" w:space="0" w:color="auto"/>
      </w:divBdr>
    </w:div>
    <w:div w:id="684944448">
      <w:bodyDiv w:val="1"/>
      <w:marLeft w:val="0"/>
      <w:marRight w:val="0"/>
      <w:marTop w:val="0"/>
      <w:marBottom w:val="0"/>
      <w:divBdr>
        <w:top w:val="none" w:sz="0" w:space="0" w:color="auto"/>
        <w:left w:val="none" w:sz="0" w:space="0" w:color="auto"/>
        <w:bottom w:val="none" w:sz="0" w:space="0" w:color="auto"/>
        <w:right w:val="none" w:sz="0" w:space="0" w:color="auto"/>
      </w:divBdr>
    </w:div>
    <w:div w:id="692194324">
      <w:bodyDiv w:val="1"/>
      <w:marLeft w:val="0"/>
      <w:marRight w:val="0"/>
      <w:marTop w:val="0"/>
      <w:marBottom w:val="0"/>
      <w:divBdr>
        <w:top w:val="none" w:sz="0" w:space="0" w:color="auto"/>
        <w:left w:val="none" w:sz="0" w:space="0" w:color="auto"/>
        <w:bottom w:val="none" w:sz="0" w:space="0" w:color="auto"/>
        <w:right w:val="none" w:sz="0" w:space="0" w:color="auto"/>
      </w:divBdr>
    </w:div>
    <w:div w:id="699011030">
      <w:bodyDiv w:val="1"/>
      <w:marLeft w:val="0"/>
      <w:marRight w:val="0"/>
      <w:marTop w:val="0"/>
      <w:marBottom w:val="0"/>
      <w:divBdr>
        <w:top w:val="none" w:sz="0" w:space="0" w:color="auto"/>
        <w:left w:val="none" w:sz="0" w:space="0" w:color="auto"/>
        <w:bottom w:val="none" w:sz="0" w:space="0" w:color="auto"/>
        <w:right w:val="none" w:sz="0" w:space="0" w:color="auto"/>
      </w:divBdr>
      <w:divsChild>
        <w:div w:id="1372457715">
          <w:marLeft w:val="274"/>
          <w:marRight w:val="0"/>
          <w:marTop w:val="0"/>
          <w:marBottom w:val="0"/>
          <w:divBdr>
            <w:top w:val="none" w:sz="0" w:space="0" w:color="auto"/>
            <w:left w:val="none" w:sz="0" w:space="0" w:color="auto"/>
            <w:bottom w:val="none" w:sz="0" w:space="0" w:color="auto"/>
            <w:right w:val="none" w:sz="0" w:space="0" w:color="auto"/>
          </w:divBdr>
        </w:div>
        <w:div w:id="1962958204">
          <w:marLeft w:val="274"/>
          <w:marRight w:val="0"/>
          <w:marTop w:val="0"/>
          <w:marBottom w:val="0"/>
          <w:divBdr>
            <w:top w:val="none" w:sz="0" w:space="0" w:color="auto"/>
            <w:left w:val="none" w:sz="0" w:space="0" w:color="auto"/>
            <w:bottom w:val="none" w:sz="0" w:space="0" w:color="auto"/>
            <w:right w:val="none" w:sz="0" w:space="0" w:color="auto"/>
          </w:divBdr>
        </w:div>
        <w:div w:id="910769691">
          <w:marLeft w:val="274"/>
          <w:marRight w:val="0"/>
          <w:marTop w:val="0"/>
          <w:marBottom w:val="0"/>
          <w:divBdr>
            <w:top w:val="none" w:sz="0" w:space="0" w:color="auto"/>
            <w:left w:val="none" w:sz="0" w:space="0" w:color="auto"/>
            <w:bottom w:val="none" w:sz="0" w:space="0" w:color="auto"/>
            <w:right w:val="none" w:sz="0" w:space="0" w:color="auto"/>
          </w:divBdr>
        </w:div>
      </w:divsChild>
    </w:div>
    <w:div w:id="713505939">
      <w:bodyDiv w:val="1"/>
      <w:marLeft w:val="0"/>
      <w:marRight w:val="0"/>
      <w:marTop w:val="0"/>
      <w:marBottom w:val="0"/>
      <w:divBdr>
        <w:top w:val="none" w:sz="0" w:space="0" w:color="auto"/>
        <w:left w:val="none" w:sz="0" w:space="0" w:color="auto"/>
        <w:bottom w:val="none" w:sz="0" w:space="0" w:color="auto"/>
        <w:right w:val="none" w:sz="0" w:space="0" w:color="auto"/>
      </w:divBdr>
    </w:div>
    <w:div w:id="729772704">
      <w:bodyDiv w:val="1"/>
      <w:marLeft w:val="0"/>
      <w:marRight w:val="0"/>
      <w:marTop w:val="0"/>
      <w:marBottom w:val="0"/>
      <w:divBdr>
        <w:top w:val="none" w:sz="0" w:space="0" w:color="auto"/>
        <w:left w:val="none" w:sz="0" w:space="0" w:color="auto"/>
        <w:bottom w:val="none" w:sz="0" w:space="0" w:color="auto"/>
        <w:right w:val="none" w:sz="0" w:space="0" w:color="auto"/>
      </w:divBdr>
    </w:div>
    <w:div w:id="735132437">
      <w:bodyDiv w:val="1"/>
      <w:marLeft w:val="0"/>
      <w:marRight w:val="0"/>
      <w:marTop w:val="0"/>
      <w:marBottom w:val="0"/>
      <w:divBdr>
        <w:top w:val="none" w:sz="0" w:space="0" w:color="auto"/>
        <w:left w:val="none" w:sz="0" w:space="0" w:color="auto"/>
        <w:bottom w:val="none" w:sz="0" w:space="0" w:color="auto"/>
        <w:right w:val="none" w:sz="0" w:space="0" w:color="auto"/>
      </w:divBdr>
      <w:divsChild>
        <w:div w:id="1185287146">
          <w:marLeft w:val="446"/>
          <w:marRight w:val="0"/>
          <w:marTop w:val="0"/>
          <w:marBottom w:val="0"/>
          <w:divBdr>
            <w:top w:val="none" w:sz="0" w:space="0" w:color="auto"/>
            <w:left w:val="none" w:sz="0" w:space="0" w:color="auto"/>
            <w:bottom w:val="none" w:sz="0" w:space="0" w:color="auto"/>
            <w:right w:val="none" w:sz="0" w:space="0" w:color="auto"/>
          </w:divBdr>
        </w:div>
        <w:div w:id="1639409599">
          <w:marLeft w:val="446"/>
          <w:marRight w:val="0"/>
          <w:marTop w:val="0"/>
          <w:marBottom w:val="0"/>
          <w:divBdr>
            <w:top w:val="none" w:sz="0" w:space="0" w:color="auto"/>
            <w:left w:val="none" w:sz="0" w:space="0" w:color="auto"/>
            <w:bottom w:val="none" w:sz="0" w:space="0" w:color="auto"/>
            <w:right w:val="none" w:sz="0" w:space="0" w:color="auto"/>
          </w:divBdr>
        </w:div>
      </w:divsChild>
    </w:div>
    <w:div w:id="741101687">
      <w:bodyDiv w:val="1"/>
      <w:marLeft w:val="0"/>
      <w:marRight w:val="0"/>
      <w:marTop w:val="0"/>
      <w:marBottom w:val="0"/>
      <w:divBdr>
        <w:top w:val="none" w:sz="0" w:space="0" w:color="auto"/>
        <w:left w:val="none" w:sz="0" w:space="0" w:color="auto"/>
        <w:bottom w:val="none" w:sz="0" w:space="0" w:color="auto"/>
        <w:right w:val="none" w:sz="0" w:space="0" w:color="auto"/>
      </w:divBdr>
    </w:div>
    <w:div w:id="741685956">
      <w:bodyDiv w:val="1"/>
      <w:marLeft w:val="0"/>
      <w:marRight w:val="0"/>
      <w:marTop w:val="0"/>
      <w:marBottom w:val="0"/>
      <w:divBdr>
        <w:top w:val="none" w:sz="0" w:space="0" w:color="auto"/>
        <w:left w:val="none" w:sz="0" w:space="0" w:color="auto"/>
        <w:bottom w:val="none" w:sz="0" w:space="0" w:color="auto"/>
        <w:right w:val="none" w:sz="0" w:space="0" w:color="auto"/>
      </w:divBdr>
    </w:div>
    <w:div w:id="750584656">
      <w:bodyDiv w:val="1"/>
      <w:marLeft w:val="0"/>
      <w:marRight w:val="0"/>
      <w:marTop w:val="0"/>
      <w:marBottom w:val="0"/>
      <w:divBdr>
        <w:top w:val="none" w:sz="0" w:space="0" w:color="auto"/>
        <w:left w:val="none" w:sz="0" w:space="0" w:color="auto"/>
        <w:bottom w:val="none" w:sz="0" w:space="0" w:color="auto"/>
        <w:right w:val="none" w:sz="0" w:space="0" w:color="auto"/>
      </w:divBdr>
    </w:div>
    <w:div w:id="751662064">
      <w:bodyDiv w:val="1"/>
      <w:marLeft w:val="0"/>
      <w:marRight w:val="0"/>
      <w:marTop w:val="0"/>
      <w:marBottom w:val="0"/>
      <w:divBdr>
        <w:top w:val="none" w:sz="0" w:space="0" w:color="auto"/>
        <w:left w:val="none" w:sz="0" w:space="0" w:color="auto"/>
        <w:bottom w:val="none" w:sz="0" w:space="0" w:color="auto"/>
        <w:right w:val="none" w:sz="0" w:space="0" w:color="auto"/>
      </w:divBdr>
    </w:div>
    <w:div w:id="758794228">
      <w:bodyDiv w:val="1"/>
      <w:marLeft w:val="0"/>
      <w:marRight w:val="0"/>
      <w:marTop w:val="0"/>
      <w:marBottom w:val="0"/>
      <w:divBdr>
        <w:top w:val="none" w:sz="0" w:space="0" w:color="auto"/>
        <w:left w:val="none" w:sz="0" w:space="0" w:color="auto"/>
        <w:bottom w:val="none" w:sz="0" w:space="0" w:color="auto"/>
        <w:right w:val="none" w:sz="0" w:space="0" w:color="auto"/>
      </w:divBdr>
    </w:div>
    <w:div w:id="765493063">
      <w:bodyDiv w:val="1"/>
      <w:marLeft w:val="0"/>
      <w:marRight w:val="0"/>
      <w:marTop w:val="0"/>
      <w:marBottom w:val="0"/>
      <w:divBdr>
        <w:top w:val="none" w:sz="0" w:space="0" w:color="auto"/>
        <w:left w:val="none" w:sz="0" w:space="0" w:color="auto"/>
        <w:bottom w:val="none" w:sz="0" w:space="0" w:color="auto"/>
        <w:right w:val="none" w:sz="0" w:space="0" w:color="auto"/>
      </w:divBdr>
    </w:div>
    <w:div w:id="777945028">
      <w:bodyDiv w:val="1"/>
      <w:marLeft w:val="0"/>
      <w:marRight w:val="0"/>
      <w:marTop w:val="0"/>
      <w:marBottom w:val="0"/>
      <w:divBdr>
        <w:top w:val="none" w:sz="0" w:space="0" w:color="auto"/>
        <w:left w:val="none" w:sz="0" w:space="0" w:color="auto"/>
        <w:bottom w:val="none" w:sz="0" w:space="0" w:color="auto"/>
        <w:right w:val="none" w:sz="0" w:space="0" w:color="auto"/>
      </w:divBdr>
    </w:div>
    <w:div w:id="779451785">
      <w:bodyDiv w:val="1"/>
      <w:marLeft w:val="0"/>
      <w:marRight w:val="0"/>
      <w:marTop w:val="0"/>
      <w:marBottom w:val="0"/>
      <w:divBdr>
        <w:top w:val="none" w:sz="0" w:space="0" w:color="auto"/>
        <w:left w:val="none" w:sz="0" w:space="0" w:color="auto"/>
        <w:bottom w:val="none" w:sz="0" w:space="0" w:color="auto"/>
        <w:right w:val="none" w:sz="0" w:space="0" w:color="auto"/>
      </w:divBdr>
    </w:div>
    <w:div w:id="784886585">
      <w:bodyDiv w:val="1"/>
      <w:marLeft w:val="0"/>
      <w:marRight w:val="0"/>
      <w:marTop w:val="0"/>
      <w:marBottom w:val="0"/>
      <w:divBdr>
        <w:top w:val="none" w:sz="0" w:space="0" w:color="auto"/>
        <w:left w:val="none" w:sz="0" w:space="0" w:color="auto"/>
        <w:bottom w:val="none" w:sz="0" w:space="0" w:color="auto"/>
        <w:right w:val="none" w:sz="0" w:space="0" w:color="auto"/>
      </w:divBdr>
    </w:div>
    <w:div w:id="792021150">
      <w:bodyDiv w:val="1"/>
      <w:marLeft w:val="0"/>
      <w:marRight w:val="0"/>
      <w:marTop w:val="0"/>
      <w:marBottom w:val="0"/>
      <w:divBdr>
        <w:top w:val="none" w:sz="0" w:space="0" w:color="auto"/>
        <w:left w:val="none" w:sz="0" w:space="0" w:color="auto"/>
        <w:bottom w:val="none" w:sz="0" w:space="0" w:color="auto"/>
        <w:right w:val="none" w:sz="0" w:space="0" w:color="auto"/>
      </w:divBdr>
    </w:div>
    <w:div w:id="796098431">
      <w:bodyDiv w:val="1"/>
      <w:marLeft w:val="0"/>
      <w:marRight w:val="0"/>
      <w:marTop w:val="0"/>
      <w:marBottom w:val="0"/>
      <w:divBdr>
        <w:top w:val="none" w:sz="0" w:space="0" w:color="auto"/>
        <w:left w:val="none" w:sz="0" w:space="0" w:color="auto"/>
        <w:bottom w:val="none" w:sz="0" w:space="0" w:color="auto"/>
        <w:right w:val="none" w:sz="0" w:space="0" w:color="auto"/>
      </w:divBdr>
    </w:div>
    <w:div w:id="798645979">
      <w:bodyDiv w:val="1"/>
      <w:marLeft w:val="0"/>
      <w:marRight w:val="0"/>
      <w:marTop w:val="0"/>
      <w:marBottom w:val="0"/>
      <w:divBdr>
        <w:top w:val="none" w:sz="0" w:space="0" w:color="auto"/>
        <w:left w:val="none" w:sz="0" w:space="0" w:color="auto"/>
        <w:bottom w:val="none" w:sz="0" w:space="0" w:color="auto"/>
        <w:right w:val="none" w:sz="0" w:space="0" w:color="auto"/>
      </w:divBdr>
    </w:div>
    <w:div w:id="799374555">
      <w:bodyDiv w:val="1"/>
      <w:marLeft w:val="0"/>
      <w:marRight w:val="0"/>
      <w:marTop w:val="0"/>
      <w:marBottom w:val="0"/>
      <w:divBdr>
        <w:top w:val="none" w:sz="0" w:space="0" w:color="auto"/>
        <w:left w:val="none" w:sz="0" w:space="0" w:color="auto"/>
        <w:bottom w:val="none" w:sz="0" w:space="0" w:color="auto"/>
        <w:right w:val="none" w:sz="0" w:space="0" w:color="auto"/>
      </w:divBdr>
    </w:div>
    <w:div w:id="799616701">
      <w:bodyDiv w:val="1"/>
      <w:marLeft w:val="0"/>
      <w:marRight w:val="0"/>
      <w:marTop w:val="0"/>
      <w:marBottom w:val="0"/>
      <w:divBdr>
        <w:top w:val="none" w:sz="0" w:space="0" w:color="auto"/>
        <w:left w:val="none" w:sz="0" w:space="0" w:color="auto"/>
        <w:bottom w:val="none" w:sz="0" w:space="0" w:color="auto"/>
        <w:right w:val="none" w:sz="0" w:space="0" w:color="auto"/>
      </w:divBdr>
    </w:div>
    <w:div w:id="799687263">
      <w:bodyDiv w:val="1"/>
      <w:marLeft w:val="0"/>
      <w:marRight w:val="0"/>
      <w:marTop w:val="0"/>
      <w:marBottom w:val="0"/>
      <w:divBdr>
        <w:top w:val="none" w:sz="0" w:space="0" w:color="auto"/>
        <w:left w:val="none" w:sz="0" w:space="0" w:color="auto"/>
        <w:bottom w:val="none" w:sz="0" w:space="0" w:color="auto"/>
        <w:right w:val="none" w:sz="0" w:space="0" w:color="auto"/>
      </w:divBdr>
    </w:div>
    <w:div w:id="818379428">
      <w:bodyDiv w:val="1"/>
      <w:marLeft w:val="0"/>
      <w:marRight w:val="0"/>
      <w:marTop w:val="0"/>
      <w:marBottom w:val="0"/>
      <w:divBdr>
        <w:top w:val="none" w:sz="0" w:space="0" w:color="auto"/>
        <w:left w:val="none" w:sz="0" w:space="0" w:color="auto"/>
        <w:bottom w:val="none" w:sz="0" w:space="0" w:color="auto"/>
        <w:right w:val="none" w:sz="0" w:space="0" w:color="auto"/>
      </w:divBdr>
    </w:div>
    <w:div w:id="818958740">
      <w:bodyDiv w:val="1"/>
      <w:marLeft w:val="0"/>
      <w:marRight w:val="0"/>
      <w:marTop w:val="0"/>
      <w:marBottom w:val="0"/>
      <w:divBdr>
        <w:top w:val="none" w:sz="0" w:space="0" w:color="auto"/>
        <w:left w:val="none" w:sz="0" w:space="0" w:color="auto"/>
        <w:bottom w:val="none" w:sz="0" w:space="0" w:color="auto"/>
        <w:right w:val="none" w:sz="0" w:space="0" w:color="auto"/>
      </w:divBdr>
      <w:divsChild>
        <w:div w:id="40525168">
          <w:marLeft w:val="446"/>
          <w:marRight w:val="0"/>
          <w:marTop w:val="0"/>
          <w:marBottom w:val="0"/>
          <w:divBdr>
            <w:top w:val="none" w:sz="0" w:space="0" w:color="auto"/>
            <w:left w:val="none" w:sz="0" w:space="0" w:color="auto"/>
            <w:bottom w:val="none" w:sz="0" w:space="0" w:color="auto"/>
            <w:right w:val="none" w:sz="0" w:space="0" w:color="auto"/>
          </w:divBdr>
        </w:div>
        <w:div w:id="807362754">
          <w:marLeft w:val="446"/>
          <w:marRight w:val="0"/>
          <w:marTop w:val="0"/>
          <w:marBottom w:val="0"/>
          <w:divBdr>
            <w:top w:val="none" w:sz="0" w:space="0" w:color="auto"/>
            <w:left w:val="none" w:sz="0" w:space="0" w:color="auto"/>
            <w:bottom w:val="none" w:sz="0" w:space="0" w:color="auto"/>
            <w:right w:val="none" w:sz="0" w:space="0" w:color="auto"/>
          </w:divBdr>
        </w:div>
      </w:divsChild>
    </w:div>
    <w:div w:id="829099222">
      <w:bodyDiv w:val="1"/>
      <w:marLeft w:val="0"/>
      <w:marRight w:val="0"/>
      <w:marTop w:val="0"/>
      <w:marBottom w:val="0"/>
      <w:divBdr>
        <w:top w:val="none" w:sz="0" w:space="0" w:color="auto"/>
        <w:left w:val="none" w:sz="0" w:space="0" w:color="auto"/>
        <w:bottom w:val="none" w:sz="0" w:space="0" w:color="auto"/>
        <w:right w:val="none" w:sz="0" w:space="0" w:color="auto"/>
      </w:divBdr>
      <w:divsChild>
        <w:div w:id="1454011898">
          <w:marLeft w:val="0"/>
          <w:marRight w:val="0"/>
          <w:marTop w:val="0"/>
          <w:marBottom w:val="0"/>
          <w:divBdr>
            <w:top w:val="none" w:sz="0" w:space="0" w:color="auto"/>
            <w:left w:val="none" w:sz="0" w:space="0" w:color="auto"/>
            <w:bottom w:val="none" w:sz="0" w:space="0" w:color="auto"/>
            <w:right w:val="none" w:sz="0" w:space="0" w:color="auto"/>
          </w:divBdr>
        </w:div>
      </w:divsChild>
    </w:div>
    <w:div w:id="834346942">
      <w:bodyDiv w:val="1"/>
      <w:marLeft w:val="0"/>
      <w:marRight w:val="0"/>
      <w:marTop w:val="0"/>
      <w:marBottom w:val="0"/>
      <w:divBdr>
        <w:top w:val="none" w:sz="0" w:space="0" w:color="auto"/>
        <w:left w:val="none" w:sz="0" w:space="0" w:color="auto"/>
        <w:bottom w:val="none" w:sz="0" w:space="0" w:color="auto"/>
        <w:right w:val="none" w:sz="0" w:space="0" w:color="auto"/>
      </w:divBdr>
    </w:div>
    <w:div w:id="843126426">
      <w:bodyDiv w:val="1"/>
      <w:marLeft w:val="0"/>
      <w:marRight w:val="0"/>
      <w:marTop w:val="0"/>
      <w:marBottom w:val="0"/>
      <w:divBdr>
        <w:top w:val="none" w:sz="0" w:space="0" w:color="auto"/>
        <w:left w:val="none" w:sz="0" w:space="0" w:color="auto"/>
        <w:bottom w:val="none" w:sz="0" w:space="0" w:color="auto"/>
        <w:right w:val="none" w:sz="0" w:space="0" w:color="auto"/>
      </w:divBdr>
    </w:div>
    <w:div w:id="845291312">
      <w:bodyDiv w:val="1"/>
      <w:marLeft w:val="0"/>
      <w:marRight w:val="0"/>
      <w:marTop w:val="0"/>
      <w:marBottom w:val="0"/>
      <w:divBdr>
        <w:top w:val="none" w:sz="0" w:space="0" w:color="auto"/>
        <w:left w:val="none" w:sz="0" w:space="0" w:color="auto"/>
        <w:bottom w:val="none" w:sz="0" w:space="0" w:color="auto"/>
        <w:right w:val="none" w:sz="0" w:space="0" w:color="auto"/>
      </w:divBdr>
    </w:div>
    <w:div w:id="851535105">
      <w:bodyDiv w:val="1"/>
      <w:marLeft w:val="0"/>
      <w:marRight w:val="0"/>
      <w:marTop w:val="0"/>
      <w:marBottom w:val="0"/>
      <w:divBdr>
        <w:top w:val="none" w:sz="0" w:space="0" w:color="auto"/>
        <w:left w:val="none" w:sz="0" w:space="0" w:color="auto"/>
        <w:bottom w:val="none" w:sz="0" w:space="0" w:color="auto"/>
        <w:right w:val="none" w:sz="0" w:space="0" w:color="auto"/>
      </w:divBdr>
    </w:div>
    <w:div w:id="851915017">
      <w:bodyDiv w:val="1"/>
      <w:marLeft w:val="0"/>
      <w:marRight w:val="0"/>
      <w:marTop w:val="0"/>
      <w:marBottom w:val="0"/>
      <w:divBdr>
        <w:top w:val="none" w:sz="0" w:space="0" w:color="auto"/>
        <w:left w:val="none" w:sz="0" w:space="0" w:color="auto"/>
        <w:bottom w:val="none" w:sz="0" w:space="0" w:color="auto"/>
        <w:right w:val="none" w:sz="0" w:space="0" w:color="auto"/>
      </w:divBdr>
    </w:div>
    <w:div w:id="854881549">
      <w:bodyDiv w:val="1"/>
      <w:marLeft w:val="0"/>
      <w:marRight w:val="0"/>
      <w:marTop w:val="0"/>
      <w:marBottom w:val="0"/>
      <w:divBdr>
        <w:top w:val="none" w:sz="0" w:space="0" w:color="auto"/>
        <w:left w:val="none" w:sz="0" w:space="0" w:color="auto"/>
        <w:bottom w:val="none" w:sz="0" w:space="0" w:color="auto"/>
        <w:right w:val="none" w:sz="0" w:space="0" w:color="auto"/>
      </w:divBdr>
    </w:div>
    <w:div w:id="874780849">
      <w:bodyDiv w:val="1"/>
      <w:marLeft w:val="0"/>
      <w:marRight w:val="0"/>
      <w:marTop w:val="0"/>
      <w:marBottom w:val="0"/>
      <w:divBdr>
        <w:top w:val="none" w:sz="0" w:space="0" w:color="auto"/>
        <w:left w:val="none" w:sz="0" w:space="0" w:color="auto"/>
        <w:bottom w:val="none" w:sz="0" w:space="0" w:color="auto"/>
        <w:right w:val="none" w:sz="0" w:space="0" w:color="auto"/>
      </w:divBdr>
    </w:div>
    <w:div w:id="878593595">
      <w:bodyDiv w:val="1"/>
      <w:marLeft w:val="0"/>
      <w:marRight w:val="0"/>
      <w:marTop w:val="0"/>
      <w:marBottom w:val="0"/>
      <w:divBdr>
        <w:top w:val="none" w:sz="0" w:space="0" w:color="auto"/>
        <w:left w:val="none" w:sz="0" w:space="0" w:color="auto"/>
        <w:bottom w:val="none" w:sz="0" w:space="0" w:color="auto"/>
        <w:right w:val="none" w:sz="0" w:space="0" w:color="auto"/>
      </w:divBdr>
    </w:div>
    <w:div w:id="884100980">
      <w:bodyDiv w:val="1"/>
      <w:marLeft w:val="0"/>
      <w:marRight w:val="0"/>
      <w:marTop w:val="0"/>
      <w:marBottom w:val="0"/>
      <w:divBdr>
        <w:top w:val="none" w:sz="0" w:space="0" w:color="auto"/>
        <w:left w:val="none" w:sz="0" w:space="0" w:color="auto"/>
        <w:bottom w:val="none" w:sz="0" w:space="0" w:color="auto"/>
        <w:right w:val="none" w:sz="0" w:space="0" w:color="auto"/>
      </w:divBdr>
    </w:div>
    <w:div w:id="893780195">
      <w:bodyDiv w:val="1"/>
      <w:marLeft w:val="0"/>
      <w:marRight w:val="0"/>
      <w:marTop w:val="0"/>
      <w:marBottom w:val="0"/>
      <w:divBdr>
        <w:top w:val="none" w:sz="0" w:space="0" w:color="auto"/>
        <w:left w:val="none" w:sz="0" w:space="0" w:color="auto"/>
        <w:bottom w:val="none" w:sz="0" w:space="0" w:color="auto"/>
        <w:right w:val="none" w:sz="0" w:space="0" w:color="auto"/>
      </w:divBdr>
    </w:div>
    <w:div w:id="902985703">
      <w:bodyDiv w:val="1"/>
      <w:marLeft w:val="0"/>
      <w:marRight w:val="0"/>
      <w:marTop w:val="0"/>
      <w:marBottom w:val="0"/>
      <w:divBdr>
        <w:top w:val="none" w:sz="0" w:space="0" w:color="auto"/>
        <w:left w:val="none" w:sz="0" w:space="0" w:color="auto"/>
        <w:bottom w:val="none" w:sz="0" w:space="0" w:color="auto"/>
        <w:right w:val="none" w:sz="0" w:space="0" w:color="auto"/>
      </w:divBdr>
    </w:div>
    <w:div w:id="908463723">
      <w:bodyDiv w:val="1"/>
      <w:marLeft w:val="0"/>
      <w:marRight w:val="0"/>
      <w:marTop w:val="0"/>
      <w:marBottom w:val="0"/>
      <w:divBdr>
        <w:top w:val="none" w:sz="0" w:space="0" w:color="auto"/>
        <w:left w:val="none" w:sz="0" w:space="0" w:color="auto"/>
        <w:bottom w:val="none" w:sz="0" w:space="0" w:color="auto"/>
        <w:right w:val="none" w:sz="0" w:space="0" w:color="auto"/>
      </w:divBdr>
    </w:div>
    <w:div w:id="925043192">
      <w:bodyDiv w:val="1"/>
      <w:marLeft w:val="0"/>
      <w:marRight w:val="0"/>
      <w:marTop w:val="0"/>
      <w:marBottom w:val="0"/>
      <w:divBdr>
        <w:top w:val="none" w:sz="0" w:space="0" w:color="auto"/>
        <w:left w:val="none" w:sz="0" w:space="0" w:color="auto"/>
        <w:bottom w:val="none" w:sz="0" w:space="0" w:color="auto"/>
        <w:right w:val="none" w:sz="0" w:space="0" w:color="auto"/>
      </w:divBdr>
      <w:divsChild>
        <w:div w:id="1165050140">
          <w:marLeft w:val="0"/>
          <w:marRight w:val="0"/>
          <w:marTop w:val="0"/>
          <w:marBottom w:val="210"/>
          <w:divBdr>
            <w:top w:val="none" w:sz="0" w:space="0" w:color="E2E2E2"/>
            <w:left w:val="none" w:sz="0" w:space="0" w:color="E2E2E2"/>
            <w:bottom w:val="dotted" w:sz="6" w:space="8" w:color="333333"/>
            <w:right w:val="none" w:sz="0" w:space="0" w:color="E2E2E2"/>
          </w:divBdr>
        </w:div>
        <w:div w:id="1790585076">
          <w:marLeft w:val="0"/>
          <w:marRight w:val="0"/>
          <w:marTop w:val="0"/>
          <w:marBottom w:val="0"/>
          <w:divBdr>
            <w:top w:val="none" w:sz="0" w:space="0" w:color="auto"/>
            <w:left w:val="none" w:sz="0" w:space="0" w:color="auto"/>
            <w:bottom w:val="none" w:sz="0" w:space="0" w:color="auto"/>
            <w:right w:val="none" w:sz="0" w:space="0" w:color="auto"/>
          </w:divBdr>
        </w:div>
      </w:divsChild>
    </w:div>
    <w:div w:id="930234922">
      <w:bodyDiv w:val="1"/>
      <w:marLeft w:val="0"/>
      <w:marRight w:val="0"/>
      <w:marTop w:val="0"/>
      <w:marBottom w:val="0"/>
      <w:divBdr>
        <w:top w:val="none" w:sz="0" w:space="0" w:color="auto"/>
        <w:left w:val="none" w:sz="0" w:space="0" w:color="auto"/>
        <w:bottom w:val="none" w:sz="0" w:space="0" w:color="auto"/>
        <w:right w:val="none" w:sz="0" w:space="0" w:color="auto"/>
      </w:divBdr>
    </w:div>
    <w:div w:id="938295989">
      <w:bodyDiv w:val="1"/>
      <w:marLeft w:val="0"/>
      <w:marRight w:val="0"/>
      <w:marTop w:val="0"/>
      <w:marBottom w:val="0"/>
      <w:divBdr>
        <w:top w:val="none" w:sz="0" w:space="0" w:color="auto"/>
        <w:left w:val="none" w:sz="0" w:space="0" w:color="auto"/>
        <w:bottom w:val="none" w:sz="0" w:space="0" w:color="auto"/>
        <w:right w:val="none" w:sz="0" w:space="0" w:color="auto"/>
      </w:divBdr>
    </w:div>
    <w:div w:id="938681517">
      <w:bodyDiv w:val="1"/>
      <w:marLeft w:val="0"/>
      <w:marRight w:val="0"/>
      <w:marTop w:val="0"/>
      <w:marBottom w:val="0"/>
      <w:divBdr>
        <w:top w:val="none" w:sz="0" w:space="0" w:color="auto"/>
        <w:left w:val="none" w:sz="0" w:space="0" w:color="auto"/>
        <w:bottom w:val="none" w:sz="0" w:space="0" w:color="auto"/>
        <w:right w:val="none" w:sz="0" w:space="0" w:color="auto"/>
      </w:divBdr>
    </w:div>
    <w:div w:id="939677673">
      <w:bodyDiv w:val="1"/>
      <w:marLeft w:val="0"/>
      <w:marRight w:val="0"/>
      <w:marTop w:val="0"/>
      <w:marBottom w:val="0"/>
      <w:divBdr>
        <w:top w:val="none" w:sz="0" w:space="0" w:color="auto"/>
        <w:left w:val="none" w:sz="0" w:space="0" w:color="auto"/>
        <w:bottom w:val="none" w:sz="0" w:space="0" w:color="auto"/>
        <w:right w:val="none" w:sz="0" w:space="0" w:color="auto"/>
      </w:divBdr>
    </w:div>
    <w:div w:id="940797100">
      <w:bodyDiv w:val="1"/>
      <w:marLeft w:val="0"/>
      <w:marRight w:val="0"/>
      <w:marTop w:val="0"/>
      <w:marBottom w:val="0"/>
      <w:divBdr>
        <w:top w:val="none" w:sz="0" w:space="0" w:color="auto"/>
        <w:left w:val="none" w:sz="0" w:space="0" w:color="auto"/>
        <w:bottom w:val="none" w:sz="0" w:space="0" w:color="auto"/>
        <w:right w:val="none" w:sz="0" w:space="0" w:color="auto"/>
      </w:divBdr>
    </w:div>
    <w:div w:id="944654302">
      <w:bodyDiv w:val="1"/>
      <w:marLeft w:val="0"/>
      <w:marRight w:val="0"/>
      <w:marTop w:val="0"/>
      <w:marBottom w:val="0"/>
      <w:divBdr>
        <w:top w:val="none" w:sz="0" w:space="0" w:color="auto"/>
        <w:left w:val="none" w:sz="0" w:space="0" w:color="auto"/>
        <w:bottom w:val="none" w:sz="0" w:space="0" w:color="auto"/>
        <w:right w:val="none" w:sz="0" w:space="0" w:color="auto"/>
      </w:divBdr>
    </w:div>
    <w:div w:id="946274745">
      <w:bodyDiv w:val="1"/>
      <w:marLeft w:val="0"/>
      <w:marRight w:val="0"/>
      <w:marTop w:val="0"/>
      <w:marBottom w:val="0"/>
      <w:divBdr>
        <w:top w:val="none" w:sz="0" w:space="0" w:color="auto"/>
        <w:left w:val="none" w:sz="0" w:space="0" w:color="auto"/>
        <w:bottom w:val="none" w:sz="0" w:space="0" w:color="auto"/>
        <w:right w:val="none" w:sz="0" w:space="0" w:color="auto"/>
      </w:divBdr>
    </w:div>
    <w:div w:id="949623716">
      <w:bodyDiv w:val="1"/>
      <w:marLeft w:val="0"/>
      <w:marRight w:val="0"/>
      <w:marTop w:val="0"/>
      <w:marBottom w:val="0"/>
      <w:divBdr>
        <w:top w:val="none" w:sz="0" w:space="0" w:color="auto"/>
        <w:left w:val="none" w:sz="0" w:space="0" w:color="auto"/>
        <w:bottom w:val="none" w:sz="0" w:space="0" w:color="auto"/>
        <w:right w:val="none" w:sz="0" w:space="0" w:color="auto"/>
      </w:divBdr>
    </w:div>
    <w:div w:id="958103133">
      <w:bodyDiv w:val="1"/>
      <w:marLeft w:val="0"/>
      <w:marRight w:val="0"/>
      <w:marTop w:val="0"/>
      <w:marBottom w:val="0"/>
      <w:divBdr>
        <w:top w:val="none" w:sz="0" w:space="0" w:color="auto"/>
        <w:left w:val="none" w:sz="0" w:space="0" w:color="auto"/>
        <w:bottom w:val="none" w:sz="0" w:space="0" w:color="auto"/>
        <w:right w:val="none" w:sz="0" w:space="0" w:color="auto"/>
      </w:divBdr>
    </w:div>
    <w:div w:id="967003821">
      <w:bodyDiv w:val="1"/>
      <w:marLeft w:val="0"/>
      <w:marRight w:val="0"/>
      <w:marTop w:val="0"/>
      <w:marBottom w:val="0"/>
      <w:divBdr>
        <w:top w:val="none" w:sz="0" w:space="0" w:color="auto"/>
        <w:left w:val="none" w:sz="0" w:space="0" w:color="auto"/>
        <w:bottom w:val="none" w:sz="0" w:space="0" w:color="auto"/>
        <w:right w:val="none" w:sz="0" w:space="0" w:color="auto"/>
      </w:divBdr>
      <w:divsChild>
        <w:div w:id="789325892">
          <w:marLeft w:val="0"/>
          <w:marRight w:val="0"/>
          <w:marTop w:val="0"/>
          <w:marBottom w:val="525"/>
          <w:divBdr>
            <w:top w:val="none" w:sz="0" w:space="0" w:color="auto"/>
            <w:left w:val="none" w:sz="0" w:space="0" w:color="auto"/>
            <w:bottom w:val="none" w:sz="0" w:space="0" w:color="auto"/>
            <w:right w:val="none" w:sz="0" w:space="0" w:color="auto"/>
          </w:divBdr>
          <w:divsChild>
            <w:div w:id="14958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666257">
      <w:bodyDiv w:val="1"/>
      <w:marLeft w:val="0"/>
      <w:marRight w:val="0"/>
      <w:marTop w:val="0"/>
      <w:marBottom w:val="0"/>
      <w:divBdr>
        <w:top w:val="none" w:sz="0" w:space="0" w:color="auto"/>
        <w:left w:val="none" w:sz="0" w:space="0" w:color="auto"/>
        <w:bottom w:val="none" w:sz="0" w:space="0" w:color="auto"/>
        <w:right w:val="none" w:sz="0" w:space="0" w:color="auto"/>
      </w:divBdr>
    </w:div>
    <w:div w:id="969361556">
      <w:bodyDiv w:val="1"/>
      <w:marLeft w:val="0"/>
      <w:marRight w:val="0"/>
      <w:marTop w:val="0"/>
      <w:marBottom w:val="0"/>
      <w:divBdr>
        <w:top w:val="none" w:sz="0" w:space="0" w:color="auto"/>
        <w:left w:val="none" w:sz="0" w:space="0" w:color="auto"/>
        <w:bottom w:val="none" w:sz="0" w:space="0" w:color="auto"/>
        <w:right w:val="none" w:sz="0" w:space="0" w:color="auto"/>
      </w:divBdr>
    </w:div>
    <w:div w:id="973831835">
      <w:bodyDiv w:val="1"/>
      <w:marLeft w:val="0"/>
      <w:marRight w:val="0"/>
      <w:marTop w:val="0"/>
      <w:marBottom w:val="0"/>
      <w:divBdr>
        <w:top w:val="none" w:sz="0" w:space="0" w:color="auto"/>
        <w:left w:val="none" w:sz="0" w:space="0" w:color="auto"/>
        <w:bottom w:val="none" w:sz="0" w:space="0" w:color="auto"/>
        <w:right w:val="none" w:sz="0" w:space="0" w:color="auto"/>
      </w:divBdr>
      <w:divsChild>
        <w:div w:id="147676713">
          <w:marLeft w:val="446"/>
          <w:marRight w:val="0"/>
          <w:marTop w:val="0"/>
          <w:marBottom w:val="0"/>
          <w:divBdr>
            <w:top w:val="none" w:sz="0" w:space="0" w:color="auto"/>
            <w:left w:val="none" w:sz="0" w:space="0" w:color="auto"/>
            <w:bottom w:val="none" w:sz="0" w:space="0" w:color="auto"/>
            <w:right w:val="none" w:sz="0" w:space="0" w:color="auto"/>
          </w:divBdr>
        </w:div>
        <w:div w:id="622616090">
          <w:marLeft w:val="446"/>
          <w:marRight w:val="0"/>
          <w:marTop w:val="0"/>
          <w:marBottom w:val="0"/>
          <w:divBdr>
            <w:top w:val="none" w:sz="0" w:space="0" w:color="auto"/>
            <w:left w:val="none" w:sz="0" w:space="0" w:color="auto"/>
            <w:bottom w:val="none" w:sz="0" w:space="0" w:color="auto"/>
            <w:right w:val="none" w:sz="0" w:space="0" w:color="auto"/>
          </w:divBdr>
        </w:div>
      </w:divsChild>
    </w:div>
    <w:div w:id="977950602">
      <w:bodyDiv w:val="1"/>
      <w:marLeft w:val="0"/>
      <w:marRight w:val="0"/>
      <w:marTop w:val="0"/>
      <w:marBottom w:val="0"/>
      <w:divBdr>
        <w:top w:val="none" w:sz="0" w:space="0" w:color="auto"/>
        <w:left w:val="none" w:sz="0" w:space="0" w:color="auto"/>
        <w:bottom w:val="none" w:sz="0" w:space="0" w:color="auto"/>
        <w:right w:val="none" w:sz="0" w:space="0" w:color="auto"/>
      </w:divBdr>
    </w:div>
    <w:div w:id="1003507856">
      <w:bodyDiv w:val="1"/>
      <w:marLeft w:val="0"/>
      <w:marRight w:val="0"/>
      <w:marTop w:val="0"/>
      <w:marBottom w:val="0"/>
      <w:divBdr>
        <w:top w:val="none" w:sz="0" w:space="0" w:color="auto"/>
        <w:left w:val="none" w:sz="0" w:space="0" w:color="auto"/>
        <w:bottom w:val="none" w:sz="0" w:space="0" w:color="auto"/>
        <w:right w:val="none" w:sz="0" w:space="0" w:color="auto"/>
      </w:divBdr>
    </w:div>
    <w:div w:id="1005747852">
      <w:bodyDiv w:val="1"/>
      <w:marLeft w:val="0"/>
      <w:marRight w:val="0"/>
      <w:marTop w:val="0"/>
      <w:marBottom w:val="0"/>
      <w:divBdr>
        <w:top w:val="none" w:sz="0" w:space="0" w:color="auto"/>
        <w:left w:val="none" w:sz="0" w:space="0" w:color="auto"/>
        <w:bottom w:val="none" w:sz="0" w:space="0" w:color="auto"/>
        <w:right w:val="none" w:sz="0" w:space="0" w:color="auto"/>
      </w:divBdr>
    </w:div>
    <w:div w:id="1006832793">
      <w:bodyDiv w:val="1"/>
      <w:marLeft w:val="0"/>
      <w:marRight w:val="0"/>
      <w:marTop w:val="0"/>
      <w:marBottom w:val="0"/>
      <w:divBdr>
        <w:top w:val="none" w:sz="0" w:space="0" w:color="auto"/>
        <w:left w:val="none" w:sz="0" w:space="0" w:color="auto"/>
        <w:bottom w:val="none" w:sz="0" w:space="0" w:color="auto"/>
        <w:right w:val="none" w:sz="0" w:space="0" w:color="auto"/>
      </w:divBdr>
    </w:div>
    <w:div w:id="1014113677">
      <w:bodyDiv w:val="1"/>
      <w:marLeft w:val="0"/>
      <w:marRight w:val="0"/>
      <w:marTop w:val="0"/>
      <w:marBottom w:val="0"/>
      <w:divBdr>
        <w:top w:val="none" w:sz="0" w:space="0" w:color="auto"/>
        <w:left w:val="none" w:sz="0" w:space="0" w:color="auto"/>
        <w:bottom w:val="none" w:sz="0" w:space="0" w:color="auto"/>
        <w:right w:val="none" w:sz="0" w:space="0" w:color="auto"/>
      </w:divBdr>
      <w:divsChild>
        <w:div w:id="688482393">
          <w:marLeft w:val="446"/>
          <w:marRight w:val="0"/>
          <w:marTop w:val="0"/>
          <w:marBottom w:val="0"/>
          <w:divBdr>
            <w:top w:val="none" w:sz="0" w:space="0" w:color="auto"/>
            <w:left w:val="none" w:sz="0" w:space="0" w:color="auto"/>
            <w:bottom w:val="none" w:sz="0" w:space="0" w:color="auto"/>
            <w:right w:val="none" w:sz="0" w:space="0" w:color="auto"/>
          </w:divBdr>
        </w:div>
      </w:divsChild>
    </w:div>
    <w:div w:id="1014115400">
      <w:bodyDiv w:val="1"/>
      <w:marLeft w:val="0"/>
      <w:marRight w:val="0"/>
      <w:marTop w:val="0"/>
      <w:marBottom w:val="0"/>
      <w:divBdr>
        <w:top w:val="none" w:sz="0" w:space="0" w:color="auto"/>
        <w:left w:val="none" w:sz="0" w:space="0" w:color="auto"/>
        <w:bottom w:val="none" w:sz="0" w:space="0" w:color="auto"/>
        <w:right w:val="none" w:sz="0" w:space="0" w:color="auto"/>
      </w:divBdr>
    </w:div>
    <w:div w:id="1015768162">
      <w:bodyDiv w:val="1"/>
      <w:marLeft w:val="0"/>
      <w:marRight w:val="0"/>
      <w:marTop w:val="0"/>
      <w:marBottom w:val="0"/>
      <w:divBdr>
        <w:top w:val="none" w:sz="0" w:space="0" w:color="auto"/>
        <w:left w:val="none" w:sz="0" w:space="0" w:color="auto"/>
        <w:bottom w:val="none" w:sz="0" w:space="0" w:color="auto"/>
        <w:right w:val="none" w:sz="0" w:space="0" w:color="auto"/>
      </w:divBdr>
    </w:div>
    <w:div w:id="1021470156">
      <w:bodyDiv w:val="1"/>
      <w:marLeft w:val="0"/>
      <w:marRight w:val="0"/>
      <w:marTop w:val="0"/>
      <w:marBottom w:val="0"/>
      <w:divBdr>
        <w:top w:val="none" w:sz="0" w:space="0" w:color="auto"/>
        <w:left w:val="none" w:sz="0" w:space="0" w:color="auto"/>
        <w:bottom w:val="none" w:sz="0" w:space="0" w:color="auto"/>
        <w:right w:val="none" w:sz="0" w:space="0" w:color="auto"/>
      </w:divBdr>
    </w:div>
    <w:div w:id="1023704569">
      <w:bodyDiv w:val="1"/>
      <w:marLeft w:val="0"/>
      <w:marRight w:val="0"/>
      <w:marTop w:val="0"/>
      <w:marBottom w:val="0"/>
      <w:divBdr>
        <w:top w:val="none" w:sz="0" w:space="0" w:color="auto"/>
        <w:left w:val="none" w:sz="0" w:space="0" w:color="auto"/>
        <w:bottom w:val="none" w:sz="0" w:space="0" w:color="auto"/>
        <w:right w:val="none" w:sz="0" w:space="0" w:color="auto"/>
      </w:divBdr>
      <w:divsChild>
        <w:div w:id="492525313">
          <w:marLeft w:val="446"/>
          <w:marRight w:val="0"/>
          <w:marTop w:val="0"/>
          <w:marBottom w:val="0"/>
          <w:divBdr>
            <w:top w:val="none" w:sz="0" w:space="0" w:color="auto"/>
            <w:left w:val="none" w:sz="0" w:space="0" w:color="auto"/>
            <w:bottom w:val="none" w:sz="0" w:space="0" w:color="auto"/>
            <w:right w:val="none" w:sz="0" w:space="0" w:color="auto"/>
          </w:divBdr>
        </w:div>
        <w:div w:id="1530220420">
          <w:marLeft w:val="446"/>
          <w:marRight w:val="0"/>
          <w:marTop w:val="0"/>
          <w:marBottom w:val="0"/>
          <w:divBdr>
            <w:top w:val="none" w:sz="0" w:space="0" w:color="auto"/>
            <w:left w:val="none" w:sz="0" w:space="0" w:color="auto"/>
            <w:bottom w:val="none" w:sz="0" w:space="0" w:color="auto"/>
            <w:right w:val="none" w:sz="0" w:space="0" w:color="auto"/>
          </w:divBdr>
        </w:div>
        <w:div w:id="1797940883">
          <w:marLeft w:val="446"/>
          <w:marRight w:val="0"/>
          <w:marTop w:val="0"/>
          <w:marBottom w:val="0"/>
          <w:divBdr>
            <w:top w:val="none" w:sz="0" w:space="0" w:color="auto"/>
            <w:left w:val="none" w:sz="0" w:space="0" w:color="auto"/>
            <w:bottom w:val="none" w:sz="0" w:space="0" w:color="auto"/>
            <w:right w:val="none" w:sz="0" w:space="0" w:color="auto"/>
          </w:divBdr>
        </w:div>
      </w:divsChild>
    </w:div>
    <w:div w:id="1023942132">
      <w:bodyDiv w:val="1"/>
      <w:marLeft w:val="0"/>
      <w:marRight w:val="0"/>
      <w:marTop w:val="0"/>
      <w:marBottom w:val="0"/>
      <w:divBdr>
        <w:top w:val="none" w:sz="0" w:space="0" w:color="auto"/>
        <w:left w:val="none" w:sz="0" w:space="0" w:color="auto"/>
        <w:bottom w:val="none" w:sz="0" w:space="0" w:color="auto"/>
        <w:right w:val="none" w:sz="0" w:space="0" w:color="auto"/>
      </w:divBdr>
    </w:div>
    <w:div w:id="1029991148">
      <w:bodyDiv w:val="1"/>
      <w:marLeft w:val="0"/>
      <w:marRight w:val="0"/>
      <w:marTop w:val="0"/>
      <w:marBottom w:val="0"/>
      <w:divBdr>
        <w:top w:val="none" w:sz="0" w:space="0" w:color="auto"/>
        <w:left w:val="none" w:sz="0" w:space="0" w:color="auto"/>
        <w:bottom w:val="none" w:sz="0" w:space="0" w:color="auto"/>
        <w:right w:val="none" w:sz="0" w:space="0" w:color="auto"/>
      </w:divBdr>
    </w:div>
    <w:div w:id="1030227480">
      <w:bodyDiv w:val="1"/>
      <w:marLeft w:val="0"/>
      <w:marRight w:val="0"/>
      <w:marTop w:val="0"/>
      <w:marBottom w:val="0"/>
      <w:divBdr>
        <w:top w:val="none" w:sz="0" w:space="0" w:color="auto"/>
        <w:left w:val="none" w:sz="0" w:space="0" w:color="auto"/>
        <w:bottom w:val="none" w:sz="0" w:space="0" w:color="auto"/>
        <w:right w:val="none" w:sz="0" w:space="0" w:color="auto"/>
      </w:divBdr>
    </w:div>
    <w:div w:id="1030913082">
      <w:bodyDiv w:val="1"/>
      <w:marLeft w:val="0"/>
      <w:marRight w:val="0"/>
      <w:marTop w:val="0"/>
      <w:marBottom w:val="0"/>
      <w:divBdr>
        <w:top w:val="none" w:sz="0" w:space="0" w:color="auto"/>
        <w:left w:val="none" w:sz="0" w:space="0" w:color="auto"/>
        <w:bottom w:val="none" w:sz="0" w:space="0" w:color="auto"/>
        <w:right w:val="none" w:sz="0" w:space="0" w:color="auto"/>
      </w:divBdr>
    </w:div>
    <w:div w:id="1031683140">
      <w:bodyDiv w:val="1"/>
      <w:marLeft w:val="0"/>
      <w:marRight w:val="0"/>
      <w:marTop w:val="0"/>
      <w:marBottom w:val="0"/>
      <w:divBdr>
        <w:top w:val="none" w:sz="0" w:space="0" w:color="auto"/>
        <w:left w:val="none" w:sz="0" w:space="0" w:color="auto"/>
        <w:bottom w:val="none" w:sz="0" w:space="0" w:color="auto"/>
        <w:right w:val="none" w:sz="0" w:space="0" w:color="auto"/>
      </w:divBdr>
    </w:div>
    <w:div w:id="1043553543">
      <w:bodyDiv w:val="1"/>
      <w:marLeft w:val="0"/>
      <w:marRight w:val="0"/>
      <w:marTop w:val="0"/>
      <w:marBottom w:val="0"/>
      <w:divBdr>
        <w:top w:val="none" w:sz="0" w:space="0" w:color="auto"/>
        <w:left w:val="none" w:sz="0" w:space="0" w:color="auto"/>
        <w:bottom w:val="none" w:sz="0" w:space="0" w:color="auto"/>
        <w:right w:val="none" w:sz="0" w:space="0" w:color="auto"/>
      </w:divBdr>
    </w:div>
    <w:div w:id="1047069145">
      <w:bodyDiv w:val="1"/>
      <w:marLeft w:val="0"/>
      <w:marRight w:val="0"/>
      <w:marTop w:val="0"/>
      <w:marBottom w:val="0"/>
      <w:divBdr>
        <w:top w:val="none" w:sz="0" w:space="0" w:color="auto"/>
        <w:left w:val="none" w:sz="0" w:space="0" w:color="auto"/>
        <w:bottom w:val="none" w:sz="0" w:space="0" w:color="auto"/>
        <w:right w:val="none" w:sz="0" w:space="0" w:color="auto"/>
      </w:divBdr>
    </w:div>
    <w:div w:id="1056784143">
      <w:bodyDiv w:val="1"/>
      <w:marLeft w:val="0"/>
      <w:marRight w:val="0"/>
      <w:marTop w:val="0"/>
      <w:marBottom w:val="0"/>
      <w:divBdr>
        <w:top w:val="none" w:sz="0" w:space="0" w:color="auto"/>
        <w:left w:val="none" w:sz="0" w:space="0" w:color="auto"/>
        <w:bottom w:val="none" w:sz="0" w:space="0" w:color="auto"/>
        <w:right w:val="none" w:sz="0" w:space="0" w:color="auto"/>
      </w:divBdr>
    </w:div>
    <w:div w:id="1068379215">
      <w:bodyDiv w:val="1"/>
      <w:marLeft w:val="0"/>
      <w:marRight w:val="0"/>
      <w:marTop w:val="0"/>
      <w:marBottom w:val="0"/>
      <w:divBdr>
        <w:top w:val="none" w:sz="0" w:space="0" w:color="auto"/>
        <w:left w:val="none" w:sz="0" w:space="0" w:color="auto"/>
        <w:bottom w:val="none" w:sz="0" w:space="0" w:color="auto"/>
        <w:right w:val="none" w:sz="0" w:space="0" w:color="auto"/>
      </w:divBdr>
    </w:div>
    <w:div w:id="1073505727">
      <w:bodyDiv w:val="1"/>
      <w:marLeft w:val="0"/>
      <w:marRight w:val="0"/>
      <w:marTop w:val="0"/>
      <w:marBottom w:val="0"/>
      <w:divBdr>
        <w:top w:val="none" w:sz="0" w:space="0" w:color="auto"/>
        <w:left w:val="none" w:sz="0" w:space="0" w:color="auto"/>
        <w:bottom w:val="none" w:sz="0" w:space="0" w:color="auto"/>
        <w:right w:val="none" w:sz="0" w:space="0" w:color="auto"/>
      </w:divBdr>
    </w:div>
    <w:div w:id="1075249362">
      <w:bodyDiv w:val="1"/>
      <w:marLeft w:val="0"/>
      <w:marRight w:val="0"/>
      <w:marTop w:val="0"/>
      <w:marBottom w:val="0"/>
      <w:divBdr>
        <w:top w:val="none" w:sz="0" w:space="0" w:color="auto"/>
        <w:left w:val="none" w:sz="0" w:space="0" w:color="auto"/>
        <w:bottom w:val="none" w:sz="0" w:space="0" w:color="auto"/>
        <w:right w:val="none" w:sz="0" w:space="0" w:color="auto"/>
      </w:divBdr>
    </w:div>
    <w:div w:id="1077358928">
      <w:bodyDiv w:val="1"/>
      <w:marLeft w:val="0"/>
      <w:marRight w:val="0"/>
      <w:marTop w:val="0"/>
      <w:marBottom w:val="0"/>
      <w:divBdr>
        <w:top w:val="none" w:sz="0" w:space="0" w:color="auto"/>
        <w:left w:val="none" w:sz="0" w:space="0" w:color="auto"/>
        <w:bottom w:val="none" w:sz="0" w:space="0" w:color="auto"/>
        <w:right w:val="none" w:sz="0" w:space="0" w:color="auto"/>
      </w:divBdr>
    </w:div>
    <w:div w:id="1077439561">
      <w:bodyDiv w:val="1"/>
      <w:marLeft w:val="0"/>
      <w:marRight w:val="0"/>
      <w:marTop w:val="0"/>
      <w:marBottom w:val="0"/>
      <w:divBdr>
        <w:top w:val="none" w:sz="0" w:space="0" w:color="auto"/>
        <w:left w:val="none" w:sz="0" w:space="0" w:color="auto"/>
        <w:bottom w:val="none" w:sz="0" w:space="0" w:color="auto"/>
        <w:right w:val="none" w:sz="0" w:space="0" w:color="auto"/>
      </w:divBdr>
    </w:div>
    <w:div w:id="1079785580">
      <w:bodyDiv w:val="1"/>
      <w:marLeft w:val="0"/>
      <w:marRight w:val="0"/>
      <w:marTop w:val="0"/>
      <w:marBottom w:val="0"/>
      <w:divBdr>
        <w:top w:val="none" w:sz="0" w:space="0" w:color="auto"/>
        <w:left w:val="none" w:sz="0" w:space="0" w:color="auto"/>
        <w:bottom w:val="none" w:sz="0" w:space="0" w:color="auto"/>
        <w:right w:val="none" w:sz="0" w:space="0" w:color="auto"/>
      </w:divBdr>
    </w:div>
    <w:div w:id="1106772520">
      <w:bodyDiv w:val="1"/>
      <w:marLeft w:val="0"/>
      <w:marRight w:val="0"/>
      <w:marTop w:val="0"/>
      <w:marBottom w:val="0"/>
      <w:divBdr>
        <w:top w:val="none" w:sz="0" w:space="0" w:color="auto"/>
        <w:left w:val="none" w:sz="0" w:space="0" w:color="auto"/>
        <w:bottom w:val="none" w:sz="0" w:space="0" w:color="auto"/>
        <w:right w:val="none" w:sz="0" w:space="0" w:color="auto"/>
      </w:divBdr>
    </w:div>
    <w:div w:id="1111168587">
      <w:bodyDiv w:val="1"/>
      <w:marLeft w:val="0"/>
      <w:marRight w:val="0"/>
      <w:marTop w:val="0"/>
      <w:marBottom w:val="0"/>
      <w:divBdr>
        <w:top w:val="none" w:sz="0" w:space="0" w:color="auto"/>
        <w:left w:val="none" w:sz="0" w:space="0" w:color="auto"/>
        <w:bottom w:val="none" w:sz="0" w:space="0" w:color="auto"/>
        <w:right w:val="none" w:sz="0" w:space="0" w:color="auto"/>
      </w:divBdr>
    </w:div>
    <w:div w:id="1111247811">
      <w:bodyDiv w:val="1"/>
      <w:marLeft w:val="0"/>
      <w:marRight w:val="0"/>
      <w:marTop w:val="0"/>
      <w:marBottom w:val="0"/>
      <w:divBdr>
        <w:top w:val="none" w:sz="0" w:space="0" w:color="auto"/>
        <w:left w:val="none" w:sz="0" w:space="0" w:color="auto"/>
        <w:bottom w:val="none" w:sz="0" w:space="0" w:color="auto"/>
        <w:right w:val="none" w:sz="0" w:space="0" w:color="auto"/>
      </w:divBdr>
    </w:div>
    <w:div w:id="1116145465">
      <w:bodyDiv w:val="1"/>
      <w:marLeft w:val="0"/>
      <w:marRight w:val="0"/>
      <w:marTop w:val="0"/>
      <w:marBottom w:val="0"/>
      <w:divBdr>
        <w:top w:val="none" w:sz="0" w:space="0" w:color="auto"/>
        <w:left w:val="none" w:sz="0" w:space="0" w:color="auto"/>
        <w:bottom w:val="none" w:sz="0" w:space="0" w:color="auto"/>
        <w:right w:val="none" w:sz="0" w:space="0" w:color="auto"/>
      </w:divBdr>
    </w:div>
    <w:div w:id="1122387424">
      <w:bodyDiv w:val="1"/>
      <w:marLeft w:val="0"/>
      <w:marRight w:val="0"/>
      <w:marTop w:val="0"/>
      <w:marBottom w:val="0"/>
      <w:divBdr>
        <w:top w:val="none" w:sz="0" w:space="0" w:color="auto"/>
        <w:left w:val="none" w:sz="0" w:space="0" w:color="auto"/>
        <w:bottom w:val="none" w:sz="0" w:space="0" w:color="auto"/>
        <w:right w:val="none" w:sz="0" w:space="0" w:color="auto"/>
      </w:divBdr>
    </w:div>
    <w:div w:id="1125538466">
      <w:bodyDiv w:val="1"/>
      <w:marLeft w:val="0"/>
      <w:marRight w:val="0"/>
      <w:marTop w:val="0"/>
      <w:marBottom w:val="0"/>
      <w:divBdr>
        <w:top w:val="none" w:sz="0" w:space="0" w:color="auto"/>
        <w:left w:val="none" w:sz="0" w:space="0" w:color="auto"/>
        <w:bottom w:val="none" w:sz="0" w:space="0" w:color="auto"/>
        <w:right w:val="none" w:sz="0" w:space="0" w:color="auto"/>
      </w:divBdr>
    </w:div>
    <w:div w:id="1126310326">
      <w:bodyDiv w:val="1"/>
      <w:marLeft w:val="0"/>
      <w:marRight w:val="0"/>
      <w:marTop w:val="0"/>
      <w:marBottom w:val="0"/>
      <w:divBdr>
        <w:top w:val="none" w:sz="0" w:space="0" w:color="auto"/>
        <w:left w:val="none" w:sz="0" w:space="0" w:color="auto"/>
        <w:bottom w:val="none" w:sz="0" w:space="0" w:color="auto"/>
        <w:right w:val="none" w:sz="0" w:space="0" w:color="auto"/>
      </w:divBdr>
    </w:div>
    <w:div w:id="1131747535">
      <w:bodyDiv w:val="1"/>
      <w:marLeft w:val="0"/>
      <w:marRight w:val="0"/>
      <w:marTop w:val="0"/>
      <w:marBottom w:val="0"/>
      <w:divBdr>
        <w:top w:val="none" w:sz="0" w:space="0" w:color="auto"/>
        <w:left w:val="none" w:sz="0" w:space="0" w:color="auto"/>
        <w:bottom w:val="none" w:sz="0" w:space="0" w:color="auto"/>
        <w:right w:val="none" w:sz="0" w:space="0" w:color="auto"/>
      </w:divBdr>
    </w:div>
    <w:div w:id="1134371551">
      <w:bodyDiv w:val="1"/>
      <w:marLeft w:val="0"/>
      <w:marRight w:val="0"/>
      <w:marTop w:val="0"/>
      <w:marBottom w:val="0"/>
      <w:divBdr>
        <w:top w:val="none" w:sz="0" w:space="0" w:color="auto"/>
        <w:left w:val="none" w:sz="0" w:space="0" w:color="auto"/>
        <w:bottom w:val="none" w:sz="0" w:space="0" w:color="auto"/>
        <w:right w:val="none" w:sz="0" w:space="0" w:color="auto"/>
      </w:divBdr>
    </w:div>
    <w:div w:id="1134519583">
      <w:bodyDiv w:val="1"/>
      <w:marLeft w:val="0"/>
      <w:marRight w:val="0"/>
      <w:marTop w:val="0"/>
      <w:marBottom w:val="0"/>
      <w:divBdr>
        <w:top w:val="none" w:sz="0" w:space="0" w:color="auto"/>
        <w:left w:val="none" w:sz="0" w:space="0" w:color="auto"/>
        <w:bottom w:val="none" w:sz="0" w:space="0" w:color="auto"/>
        <w:right w:val="none" w:sz="0" w:space="0" w:color="auto"/>
      </w:divBdr>
    </w:div>
    <w:div w:id="1136145011">
      <w:bodyDiv w:val="1"/>
      <w:marLeft w:val="0"/>
      <w:marRight w:val="0"/>
      <w:marTop w:val="0"/>
      <w:marBottom w:val="0"/>
      <w:divBdr>
        <w:top w:val="none" w:sz="0" w:space="0" w:color="auto"/>
        <w:left w:val="none" w:sz="0" w:space="0" w:color="auto"/>
        <w:bottom w:val="none" w:sz="0" w:space="0" w:color="auto"/>
        <w:right w:val="none" w:sz="0" w:space="0" w:color="auto"/>
      </w:divBdr>
    </w:div>
    <w:div w:id="1147818650">
      <w:bodyDiv w:val="1"/>
      <w:marLeft w:val="0"/>
      <w:marRight w:val="0"/>
      <w:marTop w:val="0"/>
      <w:marBottom w:val="0"/>
      <w:divBdr>
        <w:top w:val="none" w:sz="0" w:space="0" w:color="auto"/>
        <w:left w:val="none" w:sz="0" w:space="0" w:color="auto"/>
        <w:bottom w:val="none" w:sz="0" w:space="0" w:color="auto"/>
        <w:right w:val="none" w:sz="0" w:space="0" w:color="auto"/>
      </w:divBdr>
    </w:div>
    <w:div w:id="1150949700">
      <w:bodyDiv w:val="1"/>
      <w:marLeft w:val="0"/>
      <w:marRight w:val="0"/>
      <w:marTop w:val="0"/>
      <w:marBottom w:val="0"/>
      <w:divBdr>
        <w:top w:val="none" w:sz="0" w:space="0" w:color="auto"/>
        <w:left w:val="none" w:sz="0" w:space="0" w:color="auto"/>
        <w:bottom w:val="none" w:sz="0" w:space="0" w:color="auto"/>
        <w:right w:val="none" w:sz="0" w:space="0" w:color="auto"/>
      </w:divBdr>
      <w:divsChild>
        <w:div w:id="1865829723">
          <w:marLeft w:val="446"/>
          <w:marRight w:val="0"/>
          <w:marTop w:val="0"/>
          <w:marBottom w:val="0"/>
          <w:divBdr>
            <w:top w:val="none" w:sz="0" w:space="0" w:color="auto"/>
            <w:left w:val="none" w:sz="0" w:space="0" w:color="auto"/>
            <w:bottom w:val="none" w:sz="0" w:space="0" w:color="auto"/>
            <w:right w:val="none" w:sz="0" w:space="0" w:color="auto"/>
          </w:divBdr>
        </w:div>
      </w:divsChild>
    </w:div>
    <w:div w:id="1155150734">
      <w:bodyDiv w:val="1"/>
      <w:marLeft w:val="0"/>
      <w:marRight w:val="0"/>
      <w:marTop w:val="0"/>
      <w:marBottom w:val="0"/>
      <w:divBdr>
        <w:top w:val="none" w:sz="0" w:space="0" w:color="auto"/>
        <w:left w:val="none" w:sz="0" w:space="0" w:color="auto"/>
        <w:bottom w:val="none" w:sz="0" w:space="0" w:color="auto"/>
        <w:right w:val="none" w:sz="0" w:space="0" w:color="auto"/>
      </w:divBdr>
    </w:div>
    <w:div w:id="1155300435">
      <w:bodyDiv w:val="1"/>
      <w:marLeft w:val="0"/>
      <w:marRight w:val="0"/>
      <w:marTop w:val="0"/>
      <w:marBottom w:val="0"/>
      <w:divBdr>
        <w:top w:val="none" w:sz="0" w:space="0" w:color="auto"/>
        <w:left w:val="none" w:sz="0" w:space="0" w:color="auto"/>
        <w:bottom w:val="none" w:sz="0" w:space="0" w:color="auto"/>
        <w:right w:val="none" w:sz="0" w:space="0" w:color="auto"/>
      </w:divBdr>
    </w:div>
    <w:div w:id="1159806746">
      <w:bodyDiv w:val="1"/>
      <w:marLeft w:val="0"/>
      <w:marRight w:val="0"/>
      <w:marTop w:val="0"/>
      <w:marBottom w:val="0"/>
      <w:divBdr>
        <w:top w:val="none" w:sz="0" w:space="0" w:color="auto"/>
        <w:left w:val="none" w:sz="0" w:space="0" w:color="auto"/>
        <w:bottom w:val="none" w:sz="0" w:space="0" w:color="auto"/>
        <w:right w:val="none" w:sz="0" w:space="0" w:color="auto"/>
      </w:divBdr>
    </w:div>
    <w:div w:id="1160729478">
      <w:bodyDiv w:val="1"/>
      <w:marLeft w:val="0"/>
      <w:marRight w:val="0"/>
      <w:marTop w:val="0"/>
      <w:marBottom w:val="0"/>
      <w:divBdr>
        <w:top w:val="none" w:sz="0" w:space="0" w:color="auto"/>
        <w:left w:val="none" w:sz="0" w:space="0" w:color="auto"/>
        <w:bottom w:val="none" w:sz="0" w:space="0" w:color="auto"/>
        <w:right w:val="none" w:sz="0" w:space="0" w:color="auto"/>
      </w:divBdr>
    </w:div>
    <w:div w:id="1168867101">
      <w:bodyDiv w:val="1"/>
      <w:marLeft w:val="0"/>
      <w:marRight w:val="0"/>
      <w:marTop w:val="0"/>
      <w:marBottom w:val="0"/>
      <w:divBdr>
        <w:top w:val="none" w:sz="0" w:space="0" w:color="auto"/>
        <w:left w:val="none" w:sz="0" w:space="0" w:color="auto"/>
        <w:bottom w:val="none" w:sz="0" w:space="0" w:color="auto"/>
        <w:right w:val="none" w:sz="0" w:space="0" w:color="auto"/>
      </w:divBdr>
    </w:div>
    <w:div w:id="1169709167">
      <w:bodyDiv w:val="1"/>
      <w:marLeft w:val="0"/>
      <w:marRight w:val="0"/>
      <w:marTop w:val="0"/>
      <w:marBottom w:val="0"/>
      <w:divBdr>
        <w:top w:val="none" w:sz="0" w:space="0" w:color="auto"/>
        <w:left w:val="none" w:sz="0" w:space="0" w:color="auto"/>
        <w:bottom w:val="none" w:sz="0" w:space="0" w:color="auto"/>
        <w:right w:val="none" w:sz="0" w:space="0" w:color="auto"/>
      </w:divBdr>
    </w:div>
    <w:div w:id="1171600104">
      <w:bodyDiv w:val="1"/>
      <w:marLeft w:val="0"/>
      <w:marRight w:val="0"/>
      <w:marTop w:val="0"/>
      <w:marBottom w:val="0"/>
      <w:divBdr>
        <w:top w:val="none" w:sz="0" w:space="0" w:color="auto"/>
        <w:left w:val="none" w:sz="0" w:space="0" w:color="auto"/>
        <w:bottom w:val="none" w:sz="0" w:space="0" w:color="auto"/>
        <w:right w:val="none" w:sz="0" w:space="0" w:color="auto"/>
      </w:divBdr>
    </w:div>
    <w:div w:id="1182473526">
      <w:bodyDiv w:val="1"/>
      <w:marLeft w:val="0"/>
      <w:marRight w:val="0"/>
      <w:marTop w:val="0"/>
      <w:marBottom w:val="0"/>
      <w:divBdr>
        <w:top w:val="none" w:sz="0" w:space="0" w:color="auto"/>
        <w:left w:val="none" w:sz="0" w:space="0" w:color="auto"/>
        <w:bottom w:val="none" w:sz="0" w:space="0" w:color="auto"/>
        <w:right w:val="none" w:sz="0" w:space="0" w:color="auto"/>
      </w:divBdr>
    </w:div>
    <w:div w:id="1183010505">
      <w:bodyDiv w:val="1"/>
      <w:marLeft w:val="0"/>
      <w:marRight w:val="0"/>
      <w:marTop w:val="0"/>
      <w:marBottom w:val="0"/>
      <w:divBdr>
        <w:top w:val="none" w:sz="0" w:space="0" w:color="auto"/>
        <w:left w:val="none" w:sz="0" w:space="0" w:color="auto"/>
        <w:bottom w:val="none" w:sz="0" w:space="0" w:color="auto"/>
        <w:right w:val="none" w:sz="0" w:space="0" w:color="auto"/>
      </w:divBdr>
    </w:div>
    <w:div w:id="1187255806">
      <w:bodyDiv w:val="1"/>
      <w:marLeft w:val="0"/>
      <w:marRight w:val="0"/>
      <w:marTop w:val="0"/>
      <w:marBottom w:val="0"/>
      <w:divBdr>
        <w:top w:val="none" w:sz="0" w:space="0" w:color="auto"/>
        <w:left w:val="none" w:sz="0" w:space="0" w:color="auto"/>
        <w:bottom w:val="none" w:sz="0" w:space="0" w:color="auto"/>
        <w:right w:val="none" w:sz="0" w:space="0" w:color="auto"/>
      </w:divBdr>
    </w:div>
    <w:div w:id="1208646326">
      <w:bodyDiv w:val="1"/>
      <w:marLeft w:val="0"/>
      <w:marRight w:val="0"/>
      <w:marTop w:val="0"/>
      <w:marBottom w:val="0"/>
      <w:divBdr>
        <w:top w:val="none" w:sz="0" w:space="0" w:color="auto"/>
        <w:left w:val="none" w:sz="0" w:space="0" w:color="auto"/>
        <w:bottom w:val="none" w:sz="0" w:space="0" w:color="auto"/>
        <w:right w:val="none" w:sz="0" w:space="0" w:color="auto"/>
      </w:divBdr>
    </w:div>
    <w:div w:id="1210414791">
      <w:bodyDiv w:val="1"/>
      <w:marLeft w:val="0"/>
      <w:marRight w:val="0"/>
      <w:marTop w:val="0"/>
      <w:marBottom w:val="0"/>
      <w:divBdr>
        <w:top w:val="none" w:sz="0" w:space="0" w:color="auto"/>
        <w:left w:val="none" w:sz="0" w:space="0" w:color="auto"/>
        <w:bottom w:val="none" w:sz="0" w:space="0" w:color="auto"/>
        <w:right w:val="none" w:sz="0" w:space="0" w:color="auto"/>
      </w:divBdr>
      <w:divsChild>
        <w:div w:id="817576904">
          <w:marLeft w:val="446"/>
          <w:marRight w:val="0"/>
          <w:marTop w:val="0"/>
          <w:marBottom w:val="0"/>
          <w:divBdr>
            <w:top w:val="none" w:sz="0" w:space="0" w:color="auto"/>
            <w:left w:val="none" w:sz="0" w:space="0" w:color="auto"/>
            <w:bottom w:val="none" w:sz="0" w:space="0" w:color="auto"/>
            <w:right w:val="none" w:sz="0" w:space="0" w:color="auto"/>
          </w:divBdr>
        </w:div>
        <w:div w:id="513879472">
          <w:marLeft w:val="446"/>
          <w:marRight w:val="0"/>
          <w:marTop w:val="0"/>
          <w:marBottom w:val="0"/>
          <w:divBdr>
            <w:top w:val="none" w:sz="0" w:space="0" w:color="auto"/>
            <w:left w:val="none" w:sz="0" w:space="0" w:color="auto"/>
            <w:bottom w:val="none" w:sz="0" w:space="0" w:color="auto"/>
            <w:right w:val="none" w:sz="0" w:space="0" w:color="auto"/>
          </w:divBdr>
        </w:div>
      </w:divsChild>
    </w:div>
    <w:div w:id="1210915179">
      <w:bodyDiv w:val="1"/>
      <w:marLeft w:val="0"/>
      <w:marRight w:val="0"/>
      <w:marTop w:val="0"/>
      <w:marBottom w:val="0"/>
      <w:divBdr>
        <w:top w:val="none" w:sz="0" w:space="0" w:color="auto"/>
        <w:left w:val="none" w:sz="0" w:space="0" w:color="auto"/>
        <w:bottom w:val="none" w:sz="0" w:space="0" w:color="auto"/>
        <w:right w:val="none" w:sz="0" w:space="0" w:color="auto"/>
      </w:divBdr>
    </w:div>
    <w:div w:id="1211770348">
      <w:bodyDiv w:val="1"/>
      <w:marLeft w:val="0"/>
      <w:marRight w:val="0"/>
      <w:marTop w:val="0"/>
      <w:marBottom w:val="0"/>
      <w:divBdr>
        <w:top w:val="none" w:sz="0" w:space="0" w:color="auto"/>
        <w:left w:val="none" w:sz="0" w:space="0" w:color="auto"/>
        <w:bottom w:val="none" w:sz="0" w:space="0" w:color="auto"/>
        <w:right w:val="none" w:sz="0" w:space="0" w:color="auto"/>
      </w:divBdr>
    </w:div>
    <w:div w:id="1213928283">
      <w:bodyDiv w:val="1"/>
      <w:marLeft w:val="0"/>
      <w:marRight w:val="0"/>
      <w:marTop w:val="0"/>
      <w:marBottom w:val="0"/>
      <w:divBdr>
        <w:top w:val="none" w:sz="0" w:space="0" w:color="auto"/>
        <w:left w:val="none" w:sz="0" w:space="0" w:color="auto"/>
        <w:bottom w:val="none" w:sz="0" w:space="0" w:color="auto"/>
        <w:right w:val="none" w:sz="0" w:space="0" w:color="auto"/>
      </w:divBdr>
    </w:div>
    <w:div w:id="1252740092">
      <w:bodyDiv w:val="1"/>
      <w:marLeft w:val="0"/>
      <w:marRight w:val="0"/>
      <w:marTop w:val="0"/>
      <w:marBottom w:val="0"/>
      <w:divBdr>
        <w:top w:val="none" w:sz="0" w:space="0" w:color="auto"/>
        <w:left w:val="none" w:sz="0" w:space="0" w:color="auto"/>
        <w:bottom w:val="none" w:sz="0" w:space="0" w:color="auto"/>
        <w:right w:val="none" w:sz="0" w:space="0" w:color="auto"/>
      </w:divBdr>
    </w:div>
    <w:div w:id="1253778981">
      <w:bodyDiv w:val="1"/>
      <w:marLeft w:val="0"/>
      <w:marRight w:val="0"/>
      <w:marTop w:val="0"/>
      <w:marBottom w:val="0"/>
      <w:divBdr>
        <w:top w:val="none" w:sz="0" w:space="0" w:color="auto"/>
        <w:left w:val="none" w:sz="0" w:space="0" w:color="auto"/>
        <w:bottom w:val="none" w:sz="0" w:space="0" w:color="auto"/>
        <w:right w:val="none" w:sz="0" w:space="0" w:color="auto"/>
      </w:divBdr>
      <w:divsChild>
        <w:div w:id="2134248808">
          <w:marLeft w:val="0"/>
          <w:marRight w:val="0"/>
          <w:marTop w:val="0"/>
          <w:marBottom w:val="300"/>
          <w:divBdr>
            <w:top w:val="none" w:sz="0" w:space="0" w:color="auto"/>
            <w:left w:val="none" w:sz="0" w:space="0" w:color="auto"/>
            <w:bottom w:val="none" w:sz="0" w:space="0" w:color="auto"/>
            <w:right w:val="none" w:sz="0" w:space="0" w:color="auto"/>
          </w:divBdr>
          <w:divsChild>
            <w:div w:id="1852527802">
              <w:marLeft w:val="0"/>
              <w:marRight w:val="0"/>
              <w:marTop w:val="0"/>
              <w:marBottom w:val="0"/>
              <w:divBdr>
                <w:top w:val="none" w:sz="0" w:space="0" w:color="auto"/>
                <w:left w:val="none" w:sz="0" w:space="0" w:color="auto"/>
                <w:bottom w:val="none" w:sz="0" w:space="0" w:color="auto"/>
                <w:right w:val="none" w:sz="0" w:space="0" w:color="auto"/>
              </w:divBdr>
              <w:divsChild>
                <w:div w:id="704913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500458">
          <w:marLeft w:val="0"/>
          <w:marRight w:val="0"/>
          <w:marTop w:val="0"/>
          <w:marBottom w:val="0"/>
          <w:divBdr>
            <w:top w:val="none" w:sz="0" w:space="0" w:color="auto"/>
            <w:left w:val="none" w:sz="0" w:space="0" w:color="auto"/>
            <w:bottom w:val="none" w:sz="0" w:space="0" w:color="auto"/>
            <w:right w:val="none" w:sz="0" w:space="0" w:color="auto"/>
          </w:divBdr>
          <w:divsChild>
            <w:div w:id="164589264">
              <w:marLeft w:val="0"/>
              <w:marRight w:val="0"/>
              <w:marTop w:val="0"/>
              <w:marBottom w:val="0"/>
              <w:divBdr>
                <w:top w:val="none" w:sz="0" w:space="0" w:color="auto"/>
                <w:left w:val="none" w:sz="0" w:space="0" w:color="auto"/>
                <w:bottom w:val="none" w:sz="0" w:space="0" w:color="auto"/>
                <w:right w:val="none" w:sz="0" w:space="0" w:color="auto"/>
              </w:divBdr>
              <w:divsChild>
                <w:div w:id="75176385">
                  <w:marLeft w:val="0"/>
                  <w:marRight w:val="0"/>
                  <w:marTop w:val="0"/>
                  <w:marBottom w:val="0"/>
                  <w:divBdr>
                    <w:top w:val="none" w:sz="0" w:space="0" w:color="auto"/>
                    <w:left w:val="none" w:sz="0" w:space="0" w:color="auto"/>
                    <w:bottom w:val="none" w:sz="0" w:space="0" w:color="auto"/>
                    <w:right w:val="none" w:sz="0" w:space="0" w:color="auto"/>
                  </w:divBdr>
                  <w:divsChild>
                    <w:div w:id="1762530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337769">
      <w:bodyDiv w:val="1"/>
      <w:marLeft w:val="0"/>
      <w:marRight w:val="0"/>
      <w:marTop w:val="0"/>
      <w:marBottom w:val="0"/>
      <w:divBdr>
        <w:top w:val="none" w:sz="0" w:space="0" w:color="auto"/>
        <w:left w:val="none" w:sz="0" w:space="0" w:color="auto"/>
        <w:bottom w:val="none" w:sz="0" w:space="0" w:color="auto"/>
        <w:right w:val="none" w:sz="0" w:space="0" w:color="auto"/>
      </w:divBdr>
    </w:div>
    <w:div w:id="1267498408">
      <w:bodyDiv w:val="1"/>
      <w:marLeft w:val="0"/>
      <w:marRight w:val="0"/>
      <w:marTop w:val="0"/>
      <w:marBottom w:val="0"/>
      <w:divBdr>
        <w:top w:val="none" w:sz="0" w:space="0" w:color="auto"/>
        <w:left w:val="none" w:sz="0" w:space="0" w:color="auto"/>
        <w:bottom w:val="none" w:sz="0" w:space="0" w:color="auto"/>
        <w:right w:val="none" w:sz="0" w:space="0" w:color="auto"/>
      </w:divBdr>
    </w:div>
    <w:div w:id="1276014013">
      <w:bodyDiv w:val="1"/>
      <w:marLeft w:val="0"/>
      <w:marRight w:val="0"/>
      <w:marTop w:val="0"/>
      <w:marBottom w:val="0"/>
      <w:divBdr>
        <w:top w:val="none" w:sz="0" w:space="0" w:color="auto"/>
        <w:left w:val="none" w:sz="0" w:space="0" w:color="auto"/>
        <w:bottom w:val="none" w:sz="0" w:space="0" w:color="auto"/>
        <w:right w:val="none" w:sz="0" w:space="0" w:color="auto"/>
      </w:divBdr>
      <w:divsChild>
        <w:div w:id="1522276549">
          <w:marLeft w:val="446"/>
          <w:marRight w:val="0"/>
          <w:marTop w:val="0"/>
          <w:marBottom w:val="0"/>
          <w:divBdr>
            <w:top w:val="none" w:sz="0" w:space="0" w:color="auto"/>
            <w:left w:val="none" w:sz="0" w:space="0" w:color="auto"/>
            <w:bottom w:val="none" w:sz="0" w:space="0" w:color="auto"/>
            <w:right w:val="none" w:sz="0" w:space="0" w:color="auto"/>
          </w:divBdr>
        </w:div>
      </w:divsChild>
    </w:div>
    <w:div w:id="1313756835">
      <w:bodyDiv w:val="1"/>
      <w:marLeft w:val="0"/>
      <w:marRight w:val="0"/>
      <w:marTop w:val="0"/>
      <w:marBottom w:val="0"/>
      <w:divBdr>
        <w:top w:val="none" w:sz="0" w:space="0" w:color="auto"/>
        <w:left w:val="none" w:sz="0" w:space="0" w:color="auto"/>
        <w:bottom w:val="none" w:sz="0" w:space="0" w:color="auto"/>
        <w:right w:val="none" w:sz="0" w:space="0" w:color="auto"/>
      </w:divBdr>
    </w:div>
    <w:div w:id="1316913100">
      <w:bodyDiv w:val="1"/>
      <w:marLeft w:val="0"/>
      <w:marRight w:val="0"/>
      <w:marTop w:val="0"/>
      <w:marBottom w:val="0"/>
      <w:divBdr>
        <w:top w:val="none" w:sz="0" w:space="0" w:color="auto"/>
        <w:left w:val="none" w:sz="0" w:space="0" w:color="auto"/>
        <w:bottom w:val="none" w:sz="0" w:space="0" w:color="auto"/>
        <w:right w:val="none" w:sz="0" w:space="0" w:color="auto"/>
      </w:divBdr>
    </w:div>
    <w:div w:id="1317339215">
      <w:bodyDiv w:val="1"/>
      <w:marLeft w:val="0"/>
      <w:marRight w:val="0"/>
      <w:marTop w:val="0"/>
      <w:marBottom w:val="0"/>
      <w:divBdr>
        <w:top w:val="none" w:sz="0" w:space="0" w:color="auto"/>
        <w:left w:val="none" w:sz="0" w:space="0" w:color="auto"/>
        <w:bottom w:val="none" w:sz="0" w:space="0" w:color="auto"/>
        <w:right w:val="none" w:sz="0" w:space="0" w:color="auto"/>
      </w:divBdr>
      <w:divsChild>
        <w:div w:id="1258976594">
          <w:marLeft w:val="446"/>
          <w:marRight w:val="0"/>
          <w:marTop w:val="0"/>
          <w:marBottom w:val="0"/>
          <w:divBdr>
            <w:top w:val="none" w:sz="0" w:space="0" w:color="auto"/>
            <w:left w:val="none" w:sz="0" w:space="0" w:color="auto"/>
            <w:bottom w:val="none" w:sz="0" w:space="0" w:color="auto"/>
            <w:right w:val="none" w:sz="0" w:space="0" w:color="auto"/>
          </w:divBdr>
        </w:div>
      </w:divsChild>
    </w:div>
    <w:div w:id="1322537616">
      <w:bodyDiv w:val="1"/>
      <w:marLeft w:val="0"/>
      <w:marRight w:val="0"/>
      <w:marTop w:val="0"/>
      <w:marBottom w:val="0"/>
      <w:divBdr>
        <w:top w:val="none" w:sz="0" w:space="0" w:color="auto"/>
        <w:left w:val="none" w:sz="0" w:space="0" w:color="auto"/>
        <w:bottom w:val="none" w:sz="0" w:space="0" w:color="auto"/>
        <w:right w:val="none" w:sz="0" w:space="0" w:color="auto"/>
      </w:divBdr>
    </w:div>
    <w:div w:id="1322811317">
      <w:bodyDiv w:val="1"/>
      <w:marLeft w:val="0"/>
      <w:marRight w:val="0"/>
      <w:marTop w:val="0"/>
      <w:marBottom w:val="0"/>
      <w:divBdr>
        <w:top w:val="none" w:sz="0" w:space="0" w:color="auto"/>
        <w:left w:val="none" w:sz="0" w:space="0" w:color="auto"/>
        <w:bottom w:val="none" w:sz="0" w:space="0" w:color="auto"/>
        <w:right w:val="none" w:sz="0" w:space="0" w:color="auto"/>
      </w:divBdr>
    </w:div>
    <w:div w:id="1327248506">
      <w:bodyDiv w:val="1"/>
      <w:marLeft w:val="0"/>
      <w:marRight w:val="0"/>
      <w:marTop w:val="0"/>
      <w:marBottom w:val="0"/>
      <w:divBdr>
        <w:top w:val="none" w:sz="0" w:space="0" w:color="auto"/>
        <w:left w:val="none" w:sz="0" w:space="0" w:color="auto"/>
        <w:bottom w:val="none" w:sz="0" w:space="0" w:color="auto"/>
        <w:right w:val="none" w:sz="0" w:space="0" w:color="auto"/>
      </w:divBdr>
    </w:div>
    <w:div w:id="1334651055">
      <w:bodyDiv w:val="1"/>
      <w:marLeft w:val="0"/>
      <w:marRight w:val="0"/>
      <w:marTop w:val="0"/>
      <w:marBottom w:val="0"/>
      <w:divBdr>
        <w:top w:val="none" w:sz="0" w:space="0" w:color="auto"/>
        <w:left w:val="none" w:sz="0" w:space="0" w:color="auto"/>
        <w:bottom w:val="none" w:sz="0" w:space="0" w:color="auto"/>
        <w:right w:val="none" w:sz="0" w:space="0" w:color="auto"/>
      </w:divBdr>
    </w:div>
    <w:div w:id="1336499764">
      <w:bodyDiv w:val="1"/>
      <w:marLeft w:val="0"/>
      <w:marRight w:val="0"/>
      <w:marTop w:val="0"/>
      <w:marBottom w:val="0"/>
      <w:divBdr>
        <w:top w:val="none" w:sz="0" w:space="0" w:color="auto"/>
        <w:left w:val="none" w:sz="0" w:space="0" w:color="auto"/>
        <w:bottom w:val="none" w:sz="0" w:space="0" w:color="auto"/>
        <w:right w:val="none" w:sz="0" w:space="0" w:color="auto"/>
      </w:divBdr>
      <w:divsChild>
        <w:div w:id="183370447">
          <w:marLeft w:val="274"/>
          <w:marRight w:val="0"/>
          <w:marTop w:val="0"/>
          <w:marBottom w:val="0"/>
          <w:divBdr>
            <w:top w:val="none" w:sz="0" w:space="0" w:color="auto"/>
            <w:left w:val="none" w:sz="0" w:space="0" w:color="auto"/>
            <w:bottom w:val="none" w:sz="0" w:space="0" w:color="auto"/>
            <w:right w:val="none" w:sz="0" w:space="0" w:color="auto"/>
          </w:divBdr>
        </w:div>
      </w:divsChild>
    </w:div>
    <w:div w:id="1337414474">
      <w:bodyDiv w:val="1"/>
      <w:marLeft w:val="0"/>
      <w:marRight w:val="0"/>
      <w:marTop w:val="0"/>
      <w:marBottom w:val="0"/>
      <w:divBdr>
        <w:top w:val="none" w:sz="0" w:space="0" w:color="auto"/>
        <w:left w:val="none" w:sz="0" w:space="0" w:color="auto"/>
        <w:bottom w:val="none" w:sz="0" w:space="0" w:color="auto"/>
        <w:right w:val="none" w:sz="0" w:space="0" w:color="auto"/>
      </w:divBdr>
    </w:div>
    <w:div w:id="1338271043">
      <w:bodyDiv w:val="1"/>
      <w:marLeft w:val="0"/>
      <w:marRight w:val="0"/>
      <w:marTop w:val="0"/>
      <w:marBottom w:val="0"/>
      <w:divBdr>
        <w:top w:val="none" w:sz="0" w:space="0" w:color="auto"/>
        <w:left w:val="none" w:sz="0" w:space="0" w:color="auto"/>
        <w:bottom w:val="none" w:sz="0" w:space="0" w:color="auto"/>
        <w:right w:val="none" w:sz="0" w:space="0" w:color="auto"/>
      </w:divBdr>
      <w:divsChild>
        <w:div w:id="862011377">
          <w:marLeft w:val="446"/>
          <w:marRight w:val="0"/>
          <w:marTop w:val="0"/>
          <w:marBottom w:val="0"/>
          <w:divBdr>
            <w:top w:val="none" w:sz="0" w:space="0" w:color="auto"/>
            <w:left w:val="none" w:sz="0" w:space="0" w:color="auto"/>
            <w:bottom w:val="none" w:sz="0" w:space="0" w:color="auto"/>
            <w:right w:val="none" w:sz="0" w:space="0" w:color="auto"/>
          </w:divBdr>
        </w:div>
        <w:div w:id="1039429398">
          <w:marLeft w:val="446"/>
          <w:marRight w:val="0"/>
          <w:marTop w:val="0"/>
          <w:marBottom w:val="0"/>
          <w:divBdr>
            <w:top w:val="none" w:sz="0" w:space="0" w:color="auto"/>
            <w:left w:val="none" w:sz="0" w:space="0" w:color="auto"/>
            <w:bottom w:val="none" w:sz="0" w:space="0" w:color="auto"/>
            <w:right w:val="none" w:sz="0" w:space="0" w:color="auto"/>
          </w:divBdr>
        </w:div>
      </w:divsChild>
    </w:div>
    <w:div w:id="1348680031">
      <w:bodyDiv w:val="1"/>
      <w:marLeft w:val="0"/>
      <w:marRight w:val="0"/>
      <w:marTop w:val="0"/>
      <w:marBottom w:val="0"/>
      <w:divBdr>
        <w:top w:val="none" w:sz="0" w:space="0" w:color="auto"/>
        <w:left w:val="none" w:sz="0" w:space="0" w:color="auto"/>
        <w:bottom w:val="none" w:sz="0" w:space="0" w:color="auto"/>
        <w:right w:val="none" w:sz="0" w:space="0" w:color="auto"/>
      </w:divBdr>
    </w:div>
    <w:div w:id="1348823744">
      <w:bodyDiv w:val="1"/>
      <w:marLeft w:val="0"/>
      <w:marRight w:val="0"/>
      <w:marTop w:val="0"/>
      <w:marBottom w:val="0"/>
      <w:divBdr>
        <w:top w:val="none" w:sz="0" w:space="0" w:color="auto"/>
        <w:left w:val="none" w:sz="0" w:space="0" w:color="auto"/>
        <w:bottom w:val="none" w:sz="0" w:space="0" w:color="auto"/>
        <w:right w:val="none" w:sz="0" w:space="0" w:color="auto"/>
      </w:divBdr>
      <w:divsChild>
        <w:div w:id="10375198">
          <w:marLeft w:val="1022"/>
          <w:marRight w:val="0"/>
          <w:marTop w:val="0"/>
          <w:marBottom w:val="0"/>
          <w:divBdr>
            <w:top w:val="none" w:sz="0" w:space="0" w:color="auto"/>
            <w:left w:val="none" w:sz="0" w:space="0" w:color="auto"/>
            <w:bottom w:val="none" w:sz="0" w:space="0" w:color="auto"/>
            <w:right w:val="none" w:sz="0" w:space="0" w:color="auto"/>
          </w:divBdr>
        </w:div>
        <w:div w:id="429397324">
          <w:marLeft w:val="446"/>
          <w:marRight w:val="0"/>
          <w:marTop w:val="0"/>
          <w:marBottom w:val="0"/>
          <w:divBdr>
            <w:top w:val="none" w:sz="0" w:space="0" w:color="auto"/>
            <w:left w:val="none" w:sz="0" w:space="0" w:color="auto"/>
            <w:bottom w:val="none" w:sz="0" w:space="0" w:color="auto"/>
            <w:right w:val="none" w:sz="0" w:space="0" w:color="auto"/>
          </w:divBdr>
        </w:div>
        <w:div w:id="432091755">
          <w:marLeft w:val="1022"/>
          <w:marRight w:val="0"/>
          <w:marTop w:val="0"/>
          <w:marBottom w:val="0"/>
          <w:divBdr>
            <w:top w:val="none" w:sz="0" w:space="0" w:color="auto"/>
            <w:left w:val="none" w:sz="0" w:space="0" w:color="auto"/>
            <w:bottom w:val="none" w:sz="0" w:space="0" w:color="auto"/>
            <w:right w:val="none" w:sz="0" w:space="0" w:color="auto"/>
          </w:divBdr>
        </w:div>
        <w:div w:id="978460529">
          <w:marLeft w:val="1022"/>
          <w:marRight w:val="0"/>
          <w:marTop w:val="0"/>
          <w:marBottom w:val="0"/>
          <w:divBdr>
            <w:top w:val="none" w:sz="0" w:space="0" w:color="auto"/>
            <w:left w:val="none" w:sz="0" w:space="0" w:color="auto"/>
            <w:bottom w:val="none" w:sz="0" w:space="0" w:color="auto"/>
            <w:right w:val="none" w:sz="0" w:space="0" w:color="auto"/>
          </w:divBdr>
        </w:div>
        <w:div w:id="1950620093">
          <w:marLeft w:val="1022"/>
          <w:marRight w:val="0"/>
          <w:marTop w:val="0"/>
          <w:marBottom w:val="0"/>
          <w:divBdr>
            <w:top w:val="none" w:sz="0" w:space="0" w:color="auto"/>
            <w:left w:val="none" w:sz="0" w:space="0" w:color="auto"/>
            <w:bottom w:val="none" w:sz="0" w:space="0" w:color="auto"/>
            <w:right w:val="none" w:sz="0" w:space="0" w:color="auto"/>
          </w:divBdr>
        </w:div>
        <w:div w:id="2027170517">
          <w:marLeft w:val="576"/>
          <w:marRight w:val="0"/>
          <w:marTop w:val="0"/>
          <w:marBottom w:val="0"/>
          <w:divBdr>
            <w:top w:val="none" w:sz="0" w:space="0" w:color="auto"/>
            <w:left w:val="none" w:sz="0" w:space="0" w:color="auto"/>
            <w:bottom w:val="none" w:sz="0" w:space="0" w:color="auto"/>
            <w:right w:val="none" w:sz="0" w:space="0" w:color="auto"/>
          </w:divBdr>
        </w:div>
      </w:divsChild>
    </w:div>
    <w:div w:id="1359548042">
      <w:bodyDiv w:val="1"/>
      <w:marLeft w:val="0"/>
      <w:marRight w:val="0"/>
      <w:marTop w:val="0"/>
      <w:marBottom w:val="0"/>
      <w:divBdr>
        <w:top w:val="none" w:sz="0" w:space="0" w:color="auto"/>
        <w:left w:val="none" w:sz="0" w:space="0" w:color="auto"/>
        <w:bottom w:val="none" w:sz="0" w:space="0" w:color="auto"/>
        <w:right w:val="none" w:sz="0" w:space="0" w:color="auto"/>
      </w:divBdr>
    </w:div>
    <w:div w:id="1360207642">
      <w:bodyDiv w:val="1"/>
      <w:marLeft w:val="0"/>
      <w:marRight w:val="0"/>
      <w:marTop w:val="0"/>
      <w:marBottom w:val="0"/>
      <w:divBdr>
        <w:top w:val="none" w:sz="0" w:space="0" w:color="auto"/>
        <w:left w:val="none" w:sz="0" w:space="0" w:color="auto"/>
        <w:bottom w:val="none" w:sz="0" w:space="0" w:color="auto"/>
        <w:right w:val="none" w:sz="0" w:space="0" w:color="auto"/>
      </w:divBdr>
    </w:div>
    <w:div w:id="1362440085">
      <w:bodyDiv w:val="1"/>
      <w:marLeft w:val="0"/>
      <w:marRight w:val="0"/>
      <w:marTop w:val="0"/>
      <w:marBottom w:val="0"/>
      <w:divBdr>
        <w:top w:val="none" w:sz="0" w:space="0" w:color="auto"/>
        <w:left w:val="none" w:sz="0" w:space="0" w:color="auto"/>
        <w:bottom w:val="none" w:sz="0" w:space="0" w:color="auto"/>
        <w:right w:val="none" w:sz="0" w:space="0" w:color="auto"/>
      </w:divBdr>
    </w:div>
    <w:div w:id="1379163260">
      <w:bodyDiv w:val="1"/>
      <w:marLeft w:val="0"/>
      <w:marRight w:val="0"/>
      <w:marTop w:val="0"/>
      <w:marBottom w:val="0"/>
      <w:divBdr>
        <w:top w:val="none" w:sz="0" w:space="0" w:color="auto"/>
        <w:left w:val="none" w:sz="0" w:space="0" w:color="auto"/>
        <w:bottom w:val="none" w:sz="0" w:space="0" w:color="auto"/>
        <w:right w:val="none" w:sz="0" w:space="0" w:color="auto"/>
      </w:divBdr>
    </w:div>
    <w:div w:id="1379667629">
      <w:bodyDiv w:val="1"/>
      <w:marLeft w:val="0"/>
      <w:marRight w:val="0"/>
      <w:marTop w:val="0"/>
      <w:marBottom w:val="0"/>
      <w:divBdr>
        <w:top w:val="none" w:sz="0" w:space="0" w:color="auto"/>
        <w:left w:val="none" w:sz="0" w:space="0" w:color="auto"/>
        <w:bottom w:val="none" w:sz="0" w:space="0" w:color="auto"/>
        <w:right w:val="none" w:sz="0" w:space="0" w:color="auto"/>
      </w:divBdr>
    </w:div>
    <w:div w:id="1379823220">
      <w:bodyDiv w:val="1"/>
      <w:marLeft w:val="0"/>
      <w:marRight w:val="0"/>
      <w:marTop w:val="0"/>
      <w:marBottom w:val="0"/>
      <w:divBdr>
        <w:top w:val="none" w:sz="0" w:space="0" w:color="auto"/>
        <w:left w:val="none" w:sz="0" w:space="0" w:color="auto"/>
        <w:bottom w:val="none" w:sz="0" w:space="0" w:color="auto"/>
        <w:right w:val="none" w:sz="0" w:space="0" w:color="auto"/>
      </w:divBdr>
    </w:div>
    <w:div w:id="1391805902">
      <w:bodyDiv w:val="1"/>
      <w:marLeft w:val="0"/>
      <w:marRight w:val="0"/>
      <w:marTop w:val="0"/>
      <w:marBottom w:val="0"/>
      <w:divBdr>
        <w:top w:val="none" w:sz="0" w:space="0" w:color="auto"/>
        <w:left w:val="none" w:sz="0" w:space="0" w:color="auto"/>
        <w:bottom w:val="none" w:sz="0" w:space="0" w:color="auto"/>
        <w:right w:val="none" w:sz="0" w:space="0" w:color="auto"/>
      </w:divBdr>
    </w:div>
    <w:div w:id="1391807267">
      <w:bodyDiv w:val="1"/>
      <w:marLeft w:val="0"/>
      <w:marRight w:val="0"/>
      <w:marTop w:val="0"/>
      <w:marBottom w:val="0"/>
      <w:divBdr>
        <w:top w:val="none" w:sz="0" w:space="0" w:color="auto"/>
        <w:left w:val="none" w:sz="0" w:space="0" w:color="auto"/>
        <w:bottom w:val="none" w:sz="0" w:space="0" w:color="auto"/>
        <w:right w:val="none" w:sz="0" w:space="0" w:color="auto"/>
      </w:divBdr>
    </w:div>
    <w:div w:id="1396391785">
      <w:bodyDiv w:val="1"/>
      <w:marLeft w:val="0"/>
      <w:marRight w:val="0"/>
      <w:marTop w:val="0"/>
      <w:marBottom w:val="0"/>
      <w:divBdr>
        <w:top w:val="none" w:sz="0" w:space="0" w:color="auto"/>
        <w:left w:val="none" w:sz="0" w:space="0" w:color="auto"/>
        <w:bottom w:val="none" w:sz="0" w:space="0" w:color="auto"/>
        <w:right w:val="none" w:sz="0" w:space="0" w:color="auto"/>
      </w:divBdr>
    </w:div>
    <w:div w:id="1398241359">
      <w:bodyDiv w:val="1"/>
      <w:marLeft w:val="0"/>
      <w:marRight w:val="0"/>
      <w:marTop w:val="0"/>
      <w:marBottom w:val="0"/>
      <w:divBdr>
        <w:top w:val="none" w:sz="0" w:space="0" w:color="auto"/>
        <w:left w:val="none" w:sz="0" w:space="0" w:color="auto"/>
        <w:bottom w:val="none" w:sz="0" w:space="0" w:color="auto"/>
        <w:right w:val="none" w:sz="0" w:space="0" w:color="auto"/>
      </w:divBdr>
    </w:div>
    <w:div w:id="1402410958">
      <w:bodyDiv w:val="1"/>
      <w:marLeft w:val="0"/>
      <w:marRight w:val="0"/>
      <w:marTop w:val="0"/>
      <w:marBottom w:val="0"/>
      <w:divBdr>
        <w:top w:val="none" w:sz="0" w:space="0" w:color="auto"/>
        <w:left w:val="none" w:sz="0" w:space="0" w:color="auto"/>
        <w:bottom w:val="none" w:sz="0" w:space="0" w:color="auto"/>
        <w:right w:val="none" w:sz="0" w:space="0" w:color="auto"/>
      </w:divBdr>
      <w:divsChild>
        <w:div w:id="270941352">
          <w:marLeft w:val="274"/>
          <w:marRight w:val="0"/>
          <w:marTop w:val="0"/>
          <w:marBottom w:val="0"/>
          <w:divBdr>
            <w:top w:val="none" w:sz="0" w:space="0" w:color="auto"/>
            <w:left w:val="none" w:sz="0" w:space="0" w:color="auto"/>
            <w:bottom w:val="none" w:sz="0" w:space="0" w:color="auto"/>
            <w:right w:val="none" w:sz="0" w:space="0" w:color="auto"/>
          </w:divBdr>
        </w:div>
        <w:div w:id="285964122">
          <w:marLeft w:val="274"/>
          <w:marRight w:val="0"/>
          <w:marTop w:val="0"/>
          <w:marBottom w:val="0"/>
          <w:divBdr>
            <w:top w:val="none" w:sz="0" w:space="0" w:color="auto"/>
            <w:left w:val="none" w:sz="0" w:space="0" w:color="auto"/>
            <w:bottom w:val="none" w:sz="0" w:space="0" w:color="auto"/>
            <w:right w:val="none" w:sz="0" w:space="0" w:color="auto"/>
          </w:divBdr>
        </w:div>
      </w:divsChild>
    </w:div>
    <w:div w:id="1406488732">
      <w:bodyDiv w:val="1"/>
      <w:marLeft w:val="0"/>
      <w:marRight w:val="0"/>
      <w:marTop w:val="0"/>
      <w:marBottom w:val="0"/>
      <w:divBdr>
        <w:top w:val="none" w:sz="0" w:space="0" w:color="auto"/>
        <w:left w:val="none" w:sz="0" w:space="0" w:color="auto"/>
        <w:bottom w:val="none" w:sz="0" w:space="0" w:color="auto"/>
        <w:right w:val="none" w:sz="0" w:space="0" w:color="auto"/>
      </w:divBdr>
    </w:div>
    <w:div w:id="1411537481">
      <w:bodyDiv w:val="1"/>
      <w:marLeft w:val="0"/>
      <w:marRight w:val="0"/>
      <w:marTop w:val="0"/>
      <w:marBottom w:val="0"/>
      <w:divBdr>
        <w:top w:val="none" w:sz="0" w:space="0" w:color="auto"/>
        <w:left w:val="none" w:sz="0" w:space="0" w:color="auto"/>
        <w:bottom w:val="none" w:sz="0" w:space="0" w:color="auto"/>
        <w:right w:val="none" w:sz="0" w:space="0" w:color="auto"/>
      </w:divBdr>
    </w:div>
    <w:div w:id="1414276677">
      <w:bodyDiv w:val="1"/>
      <w:marLeft w:val="0"/>
      <w:marRight w:val="0"/>
      <w:marTop w:val="0"/>
      <w:marBottom w:val="0"/>
      <w:divBdr>
        <w:top w:val="none" w:sz="0" w:space="0" w:color="auto"/>
        <w:left w:val="none" w:sz="0" w:space="0" w:color="auto"/>
        <w:bottom w:val="none" w:sz="0" w:space="0" w:color="auto"/>
        <w:right w:val="none" w:sz="0" w:space="0" w:color="auto"/>
      </w:divBdr>
    </w:div>
    <w:div w:id="1415972409">
      <w:bodyDiv w:val="1"/>
      <w:marLeft w:val="0"/>
      <w:marRight w:val="0"/>
      <w:marTop w:val="0"/>
      <w:marBottom w:val="0"/>
      <w:divBdr>
        <w:top w:val="none" w:sz="0" w:space="0" w:color="auto"/>
        <w:left w:val="none" w:sz="0" w:space="0" w:color="auto"/>
        <w:bottom w:val="none" w:sz="0" w:space="0" w:color="auto"/>
        <w:right w:val="none" w:sz="0" w:space="0" w:color="auto"/>
      </w:divBdr>
    </w:div>
    <w:div w:id="1418212014">
      <w:bodyDiv w:val="1"/>
      <w:marLeft w:val="0"/>
      <w:marRight w:val="0"/>
      <w:marTop w:val="0"/>
      <w:marBottom w:val="0"/>
      <w:divBdr>
        <w:top w:val="none" w:sz="0" w:space="0" w:color="auto"/>
        <w:left w:val="none" w:sz="0" w:space="0" w:color="auto"/>
        <w:bottom w:val="none" w:sz="0" w:space="0" w:color="auto"/>
        <w:right w:val="none" w:sz="0" w:space="0" w:color="auto"/>
      </w:divBdr>
    </w:div>
    <w:div w:id="1422603447">
      <w:bodyDiv w:val="1"/>
      <w:marLeft w:val="0"/>
      <w:marRight w:val="0"/>
      <w:marTop w:val="0"/>
      <w:marBottom w:val="0"/>
      <w:divBdr>
        <w:top w:val="none" w:sz="0" w:space="0" w:color="auto"/>
        <w:left w:val="none" w:sz="0" w:space="0" w:color="auto"/>
        <w:bottom w:val="none" w:sz="0" w:space="0" w:color="auto"/>
        <w:right w:val="none" w:sz="0" w:space="0" w:color="auto"/>
      </w:divBdr>
    </w:div>
    <w:div w:id="1426339669">
      <w:bodyDiv w:val="1"/>
      <w:marLeft w:val="0"/>
      <w:marRight w:val="0"/>
      <w:marTop w:val="0"/>
      <w:marBottom w:val="0"/>
      <w:divBdr>
        <w:top w:val="none" w:sz="0" w:space="0" w:color="auto"/>
        <w:left w:val="none" w:sz="0" w:space="0" w:color="auto"/>
        <w:bottom w:val="none" w:sz="0" w:space="0" w:color="auto"/>
        <w:right w:val="none" w:sz="0" w:space="0" w:color="auto"/>
      </w:divBdr>
    </w:div>
    <w:div w:id="1429541491">
      <w:bodyDiv w:val="1"/>
      <w:marLeft w:val="0"/>
      <w:marRight w:val="0"/>
      <w:marTop w:val="0"/>
      <w:marBottom w:val="0"/>
      <w:divBdr>
        <w:top w:val="none" w:sz="0" w:space="0" w:color="auto"/>
        <w:left w:val="none" w:sz="0" w:space="0" w:color="auto"/>
        <w:bottom w:val="none" w:sz="0" w:space="0" w:color="auto"/>
        <w:right w:val="none" w:sz="0" w:space="0" w:color="auto"/>
      </w:divBdr>
    </w:div>
    <w:div w:id="1433745700">
      <w:bodyDiv w:val="1"/>
      <w:marLeft w:val="0"/>
      <w:marRight w:val="0"/>
      <w:marTop w:val="0"/>
      <w:marBottom w:val="0"/>
      <w:divBdr>
        <w:top w:val="none" w:sz="0" w:space="0" w:color="auto"/>
        <w:left w:val="none" w:sz="0" w:space="0" w:color="auto"/>
        <w:bottom w:val="none" w:sz="0" w:space="0" w:color="auto"/>
        <w:right w:val="none" w:sz="0" w:space="0" w:color="auto"/>
      </w:divBdr>
    </w:div>
    <w:div w:id="1436828557">
      <w:bodyDiv w:val="1"/>
      <w:marLeft w:val="0"/>
      <w:marRight w:val="0"/>
      <w:marTop w:val="0"/>
      <w:marBottom w:val="0"/>
      <w:divBdr>
        <w:top w:val="none" w:sz="0" w:space="0" w:color="auto"/>
        <w:left w:val="none" w:sz="0" w:space="0" w:color="auto"/>
        <w:bottom w:val="none" w:sz="0" w:space="0" w:color="auto"/>
        <w:right w:val="none" w:sz="0" w:space="0" w:color="auto"/>
      </w:divBdr>
      <w:divsChild>
        <w:div w:id="2036347429">
          <w:marLeft w:val="446"/>
          <w:marRight w:val="0"/>
          <w:marTop w:val="0"/>
          <w:marBottom w:val="0"/>
          <w:divBdr>
            <w:top w:val="none" w:sz="0" w:space="0" w:color="auto"/>
            <w:left w:val="none" w:sz="0" w:space="0" w:color="auto"/>
            <w:bottom w:val="none" w:sz="0" w:space="0" w:color="auto"/>
            <w:right w:val="none" w:sz="0" w:space="0" w:color="auto"/>
          </w:divBdr>
        </w:div>
        <w:div w:id="267859876">
          <w:marLeft w:val="446"/>
          <w:marRight w:val="0"/>
          <w:marTop w:val="0"/>
          <w:marBottom w:val="0"/>
          <w:divBdr>
            <w:top w:val="none" w:sz="0" w:space="0" w:color="auto"/>
            <w:left w:val="none" w:sz="0" w:space="0" w:color="auto"/>
            <w:bottom w:val="none" w:sz="0" w:space="0" w:color="auto"/>
            <w:right w:val="none" w:sz="0" w:space="0" w:color="auto"/>
          </w:divBdr>
        </w:div>
        <w:div w:id="353463970">
          <w:marLeft w:val="360"/>
          <w:marRight w:val="0"/>
          <w:marTop w:val="0"/>
          <w:marBottom w:val="0"/>
          <w:divBdr>
            <w:top w:val="none" w:sz="0" w:space="0" w:color="auto"/>
            <w:left w:val="none" w:sz="0" w:space="0" w:color="auto"/>
            <w:bottom w:val="none" w:sz="0" w:space="0" w:color="auto"/>
            <w:right w:val="none" w:sz="0" w:space="0" w:color="auto"/>
          </w:divBdr>
        </w:div>
      </w:divsChild>
    </w:div>
    <w:div w:id="1452433137">
      <w:bodyDiv w:val="1"/>
      <w:marLeft w:val="0"/>
      <w:marRight w:val="0"/>
      <w:marTop w:val="0"/>
      <w:marBottom w:val="0"/>
      <w:divBdr>
        <w:top w:val="none" w:sz="0" w:space="0" w:color="auto"/>
        <w:left w:val="none" w:sz="0" w:space="0" w:color="auto"/>
        <w:bottom w:val="none" w:sz="0" w:space="0" w:color="auto"/>
        <w:right w:val="none" w:sz="0" w:space="0" w:color="auto"/>
      </w:divBdr>
      <w:divsChild>
        <w:div w:id="448863895">
          <w:marLeft w:val="446"/>
          <w:marRight w:val="0"/>
          <w:marTop w:val="0"/>
          <w:marBottom w:val="0"/>
          <w:divBdr>
            <w:top w:val="none" w:sz="0" w:space="0" w:color="auto"/>
            <w:left w:val="none" w:sz="0" w:space="0" w:color="auto"/>
            <w:bottom w:val="none" w:sz="0" w:space="0" w:color="auto"/>
            <w:right w:val="none" w:sz="0" w:space="0" w:color="auto"/>
          </w:divBdr>
        </w:div>
        <w:div w:id="816648639">
          <w:marLeft w:val="446"/>
          <w:marRight w:val="0"/>
          <w:marTop w:val="0"/>
          <w:marBottom w:val="0"/>
          <w:divBdr>
            <w:top w:val="none" w:sz="0" w:space="0" w:color="auto"/>
            <w:left w:val="none" w:sz="0" w:space="0" w:color="auto"/>
            <w:bottom w:val="none" w:sz="0" w:space="0" w:color="auto"/>
            <w:right w:val="none" w:sz="0" w:space="0" w:color="auto"/>
          </w:divBdr>
        </w:div>
        <w:div w:id="1863783795">
          <w:marLeft w:val="446"/>
          <w:marRight w:val="0"/>
          <w:marTop w:val="0"/>
          <w:marBottom w:val="0"/>
          <w:divBdr>
            <w:top w:val="none" w:sz="0" w:space="0" w:color="auto"/>
            <w:left w:val="none" w:sz="0" w:space="0" w:color="auto"/>
            <w:bottom w:val="none" w:sz="0" w:space="0" w:color="auto"/>
            <w:right w:val="none" w:sz="0" w:space="0" w:color="auto"/>
          </w:divBdr>
        </w:div>
        <w:div w:id="1868787938">
          <w:marLeft w:val="446"/>
          <w:marRight w:val="0"/>
          <w:marTop w:val="0"/>
          <w:marBottom w:val="0"/>
          <w:divBdr>
            <w:top w:val="none" w:sz="0" w:space="0" w:color="auto"/>
            <w:left w:val="none" w:sz="0" w:space="0" w:color="auto"/>
            <w:bottom w:val="none" w:sz="0" w:space="0" w:color="auto"/>
            <w:right w:val="none" w:sz="0" w:space="0" w:color="auto"/>
          </w:divBdr>
        </w:div>
        <w:div w:id="1970352468">
          <w:marLeft w:val="446"/>
          <w:marRight w:val="0"/>
          <w:marTop w:val="0"/>
          <w:marBottom w:val="0"/>
          <w:divBdr>
            <w:top w:val="none" w:sz="0" w:space="0" w:color="auto"/>
            <w:left w:val="none" w:sz="0" w:space="0" w:color="auto"/>
            <w:bottom w:val="none" w:sz="0" w:space="0" w:color="auto"/>
            <w:right w:val="none" w:sz="0" w:space="0" w:color="auto"/>
          </w:divBdr>
        </w:div>
        <w:div w:id="2000191236">
          <w:marLeft w:val="446"/>
          <w:marRight w:val="0"/>
          <w:marTop w:val="0"/>
          <w:marBottom w:val="0"/>
          <w:divBdr>
            <w:top w:val="none" w:sz="0" w:space="0" w:color="auto"/>
            <w:left w:val="none" w:sz="0" w:space="0" w:color="auto"/>
            <w:bottom w:val="none" w:sz="0" w:space="0" w:color="auto"/>
            <w:right w:val="none" w:sz="0" w:space="0" w:color="auto"/>
          </w:divBdr>
        </w:div>
      </w:divsChild>
    </w:div>
    <w:div w:id="1453399280">
      <w:bodyDiv w:val="1"/>
      <w:marLeft w:val="0"/>
      <w:marRight w:val="0"/>
      <w:marTop w:val="0"/>
      <w:marBottom w:val="0"/>
      <w:divBdr>
        <w:top w:val="none" w:sz="0" w:space="0" w:color="auto"/>
        <w:left w:val="none" w:sz="0" w:space="0" w:color="auto"/>
        <w:bottom w:val="none" w:sz="0" w:space="0" w:color="auto"/>
        <w:right w:val="none" w:sz="0" w:space="0" w:color="auto"/>
      </w:divBdr>
    </w:div>
    <w:div w:id="1454136109">
      <w:bodyDiv w:val="1"/>
      <w:marLeft w:val="0"/>
      <w:marRight w:val="0"/>
      <w:marTop w:val="0"/>
      <w:marBottom w:val="0"/>
      <w:divBdr>
        <w:top w:val="none" w:sz="0" w:space="0" w:color="auto"/>
        <w:left w:val="none" w:sz="0" w:space="0" w:color="auto"/>
        <w:bottom w:val="none" w:sz="0" w:space="0" w:color="auto"/>
        <w:right w:val="none" w:sz="0" w:space="0" w:color="auto"/>
      </w:divBdr>
    </w:div>
    <w:div w:id="1457795418">
      <w:bodyDiv w:val="1"/>
      <w:marLeft w:val="0"/>
      <w:marRight w:val="0"/>
      <w:marTop w:val="0"/>
      <w:marBottom w:val="0"/>
      <w:divBdr>
        <w:top w:val="none" w:sz="0" w:space="0" w:color="auto"/>
        <w:left w:val="none" w:sz="0" w:space="0" w:color="auto"/>
        <w:bottom w:val="none" w:sz="0" w:space="0" w:color="auto"/>
        <w:right w:val="none" w:sz="0" w:space="0" w:color="auto"/>
      </w:divBdr>
      <w:divsChild>
        <w:div w:id="1466508957">
          <w:marLeft w:val="0"/>
          <w:marRight w:val="0"/>
          <w:marTop w:val="100"/>
          <w:marBottom w:val="100"/>
          <w:divBdr>
            <w:top w:val="none" w:sz="0" w:space="0" w:color="auto"/>
            <w:left w:val="none" w:sz="0" w:space="0" w:color="auto"/>
            <w:bottom w:val="none" w:sz="0" w:space="0" w:color="auto"/>
            <w:right w:val="none" w:sz="0" w:space="0" w:color="auto"/>
          </w:divBdr>
          <w:divsChild>
            <w:div w:id="34931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2842282">
      <w:bodyDiv w:val="1"/>
      <w:marLeft w:val="0"/>
      <w:marRight w:val="0"/>
      <w:marTop w:val="0"/>
      <w:marBottom w:val="0"/>
      <w:divBdr>
        <w:top w:val="none" w:sz="0" w:space="0" w:color="auto"/>
        <w:left w:val="none" w:sz="0" w:space="0" w:color="auto"/>
        <w:bottom w:val="none" w:sz="0" w:space="0" w:color="auto"/>
        <w:right w:val="none" w:sz="0" w:space="0" w:color="auto"/>
      </w:divBdr>
    </w:div>
    <w:div w:id="1467427359">
      <w:bodyDiv w:val="1"/>
      <w:marLeft w:val="0"/>
      <w:marRight w:val="0"/>
      <w:marTop w:val="0"/>
      <w:marBottom w:val="0"/>
      <w:divBdr>
        <w:top w:val="none" w:sz="0" w:space="0" w:color="auto"/>
        <w:left w:val="none" w:sz="0" w:space="0" w:color="auto"/>
        <w:bottom w:val="none" w:sz="0" w:space="0" w:color="auto"/>
        <w:right w:val="none" w:sz="0" w:space="0" w:color="auto"/>
      </w:divBdr>
    </w:div>
    <w:div w:id="1469006012">
      <w:bodyDiv w:val="1"/>
      <w:marLeft w:val="0"/>
      <w:marRight w:val="0"/>
      <w:marTop w:val="0"/>
      <w:marBottom w:val="0"/>
      <w:divBdr>
        <w:top w:val="none" w:sz="0" w:space="0" w:color="auto"/>
        <w:left w:val="none" w:sz="0" w:space="0" w:color="auto"/>
        <w:bottom w:val="none" w:sz="0" w:space="0" w:color="auto"/>
        <w:right w:val="none" w:sz="0" w:space="0" w:color="auto"/>
      </w:divBdr>
    </w:div>
    <w:div w:id="1469127545">
      <w:bodyDiv w:val="1"/>
      <w:marLeft w:val="0"/>
      <w:marRight w:val="0"/>
      <w:marTop w:val="0"/>
      <w:marBottom w:val="0"/>
      <w:divBdr>
        <w:top w:val="none" w:sz="0" w:space="0" w:color="auto"/>
        <w:left w:val="none" w:sz="0" w:space="0" w:color="auto"/>
        <w:bottom w:val="none" w:sz="0" w:space="0" w:color="auto"/>
        <w:right w:val="none" w:sz="0" w:space="0" w:color="auto"/>
      </w:divBdr>
    </w:div>
    <w:div w:id="1469280744">
      <w:bodyDiv w:val="1"/>
      <w:marLeft w:val="0"/>
      <w:marRight w:val="0"/>
      <w:marTop w:val="0"/>
      <w:marBottom w:val="0"/>
      <w:divBdr>
        <w:top w:val="none" w:sz="0" w:space="0" w:color="auto"/>
        <w:left w:val="none" w:sz="0" w:space="0" w:color="auto"/>
        <w:bottom w:val="none" w:sz="0" w:space="0" w:color="auto"/>
        <w:right w:val="none" w:sz="0" w:space="0" w:color="auto"/>
      </w:divBdr>
    </w:div>
    <w:div w:id="1472862902">
      <w:bodyDiv w:val="1"/>
      <w:marLeft w:val="0"/>
      <w:marRight w:val="0"/>
      <w:marTop w:val="0"/>
      <w:marBottom w:val="0"/>
      <w:divBdr>
        <w:top w:val="none" w:sz="0" w:space="0" w:color="auto"/>
        <w:left w:val="none" w:sz="0" w:space="0" w:color="auto"/>
        <w:bottom w:val="none" w:sz="0" w:space="0" w:color="auto"/>
        <w:right w:val="none" w:sz="0" w:space="0" w:color="auto"/>
      </w:divBdr>
    </w:div>
    <w:div w:id="1473013211">
      <w:bodyDiv w:val="1"/>
      <w:marLeft w:val="0"/>
      <w:marRight w:val="0"/>
      <w:marTop w:val="0"/>
      <w:marBottom w:val="0"/>
      <w:divBdr>
        <w:top w:val="none" w:sz="0" w:space="0" w:color="auto"/>
        <w:left w:val="none" w:sz="0" w:space="0" w:color="auto"/>
        <w:bottom w:val="none" w:sz="0" w:space="0" w:color="auto"/>
        <w:right w:val="none" w:sz="0" w:space="0" w:color="auto"/>
      </w:divBdr>
    </w:div>
    <w:div w:id="1475026846">
      <w:bodyDiv w:val="1"/>
      <w:marLeft w:val="0"/>
      <w:marRight w:val="0"/>
      <w:marTop w:val="0"/>
      <w:marBottom w:val="0"/>
      <w:divBdr>
        <w:top w:val="none" w:sz="0" w:space="0" w:color="auto"/>
        <w:left w:val="none" w:sz="0" w:space="0" w:color="auto"/>
        <w:bottom w:val="none" w:sz="0" w:space="0" w:color="auto"/>
        <w:right w:val="none" w:sz="0" w:space="0" w:color="auto"/>
      </w:divBdr>
    </w:div>
    <w:div w:id="1476872734">
      <w:bodyDiv w:val="1"/>
      <w:marLeft w:val="0"/>
      <w:marRight w:val="0"/>
      <w:marTop w:val="0"/>
      <w:marBottom w:val="0"/>
      <w:divBdr>
        <w:top w:val="none" w:sz="0" w:space="0" w:color="auto"/>
        <w:left w:val="none" w:sz="0" w:space="0" w:color="auto"/>
        <w:bottom w:val="none" w:sz="0" w:space="0" w:color="auto"/>
        <w:right w:val="none" w:sz="0" w:space="0" w:color="auto"/>
      </w:divBdr>
    </w:div>
    <w:div w:id="1481732443">
      <w:bodyDiv w:val="1"/>
      <w:marLeft w:val="0"/>
      <w:marRight w:val="0"/>
      <w:marTop w:val="0"/>
      <w:marBottom w:val="0"/>
      <w:divBdr>
        <w:top w:val="none" w:sz="0" w:space="0" w:color="auto"/>
        <w:left w:val="none" w:sz="0" w:space="0" w:color="auto"/>
        <w:bottom w:val="none" w:sz="0" w:space="0" w:color="auto"/>
        <w:right w:val="none" w:sz="0" w:space="0" w:color="auto"/>
      </w:divBdr>
    </w:div>
    <w:div w:id="1488202453">
      <w:bodyDiv w:val="1"/>
      <w:marLeft w:val="0"/>
      <w:marRight w:val="0"/>
      <w:marTop w:val="0"/>
      <w:marBottom w:val="0"/>
      <w:divBdr>
        <w:top w:val="none" w:sz="0" w:space="0" w:color="auto"/>
        <w:left w:val="none" w:sz="0" w:space="0" w:color="auto"/>
        <w:bottom w:val="none" w:sz="0" w:space="0" w:color="auto"/>
        <w:right w:val="none" w:sz="0" w:space="0" w:color="auto"/>
      </w:divBdr>
    </w:div>
    <w:div w:id="1495610960">
      <w:bodyDiv w:val="1"/>
      <w:marLeft w:val="0"/>
      <w:marRight w:val="0"/>
      <w:marTop w:val="0"/>
      <w:marBottom w:val="0"/>
      <w:divBdr>
        <w:top w:val="none" w:sz="0" w:space="0" w:color="auto"/>
        <w:left w:val="none" w:sz="0" w:space="0" w:color="auto"/>
        <w:bottom w:val="none" w:sz="0" w:space="0" w:color="auto"/>
        <w:right w:val="none" w:sz="0" w:space="0" w:color="auto"/>
      </w:divBdr>
    </w:div>
    <w:div w:id="1500467564">
      <w:bodyDiv w:val="1"/>
      <w:marLeft w:val="0"/>
      <w:marRight w:val="0"/>
      <w:marTop w:val="0"/>
      <w:marBottom w:val="0"/>
      <w:divBdr>
        <w:top w:val="none" w:sz="0" w:space="0" w:color="auto"/>
        <w:left w:val="none" w:sz="0" w:space="0" w:color="auto"/>
        <w:bottom w:val="none" w:sz="0" w:space="0" w:color="auto"/>
        <w:right w:val="none" w:sz="0" w:space="0" w:color="auto"/>
      </w:divBdr>
    </w:div>
    <w:div w:id="1504734878">
      <w:bodyDiv w:val="1"/>
      <w:marLeft w:val="0"/>
      <w:marRight w:val="0"/>
      <w:marTop w:val="0"/>
      <w:marBottom w:val="0"/>
      <w:divBdr>
        <w:top w:val="none" w:sz="0" w:space="0" w:color="auto"/>
        <w:left w:val="none" w:sz="0" w:space="0" w:color="auto"/>
        <w:bottom w:val="none" w:sz="0" w:space="0" w:color="auto"/>
        <w:right w:val="none" w:sz="0" w:space="0" w:color="auto"/>
      </w:divBdr>
    </w:div>
    <w:div w:id="1504930396">
      <w:bodyDiv w:val="1"/>
      <w:marLeft w:val="0"/>
      <w:marRight w:val="0"/>
      <w:marTop w:val="0"/>
      <w:marBottom w:val="0"/>
      <w:divBdr>
        <w:top w:val="none" w:sz="0" w:space="0" w:color="auto"/>
        <w:left w:val="none" w:sz="0" w:space="0" w:color="auto"/>
        <w:bottom w:val="none" w:sz="0" w:space="0" w:color="auto"/>
        <w:right w:val="none" w:sz="0" w:space="0" w:color="auto"/>
      </w:divBdr>
    </w:div>
    <w:div w:id="1508908483">
      <w:bodyDiv w:val="1"/>
      <w:marLeft w:val="0"/>
      <w:marRight w:val="0"/>
      <w:marTop w:val="0"/>
      <w:marBottom w:val="0"/>
      <w:divBdr>
        <w:top w:val="none" w:sz="0" w:space="0" w:color="auto"/>
        <w:left w:val="none" w:sz="0" w:space="0" w:color="auto"/>
        <w:bottom w:val="none" w:sz="0" w:space="0" w:color="auto"/>
        <w:right w:val="none" w:sz="0" w:space="0" w:color="auto"/>
      </w:divBdr>
      <w:divsChild>
        <w:div w:id="783227381">
          <w:marLeft w:val="547"/>
          <w:marRight w:val="0"/>
          <w:marTop w:val="91"/>
          <w:marBottom w:val="0"/>
          <w:divBdr>
            <w:top w:val="none" w:sz="0" w:space="0" w:color="auto"/>
            <w:left w:val="none" w:sz="0" w:space="0" w:color="auto"/>
            <w:bottom w:val="none" w:sz="0" w:space="0" w:color="auto"/>
            <w:right w:val="none" w:sz="0" w:space="0" w:color="auto"/>
          </w:divBdr>
        </w:div>
      </w:divsChild>
    </w:div>
    <w:div w:id="1523202205">
      <w:bodyDiv w:val="1"/>
      <w:marLeft w:val="0"/>
      <w:marRight w:val="0"/>
      <w:marTop w:val="0"/>
      <w:marBottom w:val="0"/>
      <w:divBdr>
        <w:top w:val="none" w:sz="0" w:space="0" w:color="auto"/>
        <w:left w:val="none" w:sz="0" w:space="0" w:color="auto"/>
        <w:bottom w:val="none" w:sz="0" w:space="0" w:color="auto"/>
        <w:right w:val="none" w:sz="0" w:space="0" w:color="auto"/>
      </w:divBdr>
    </w:div>
    <w:div w:id="1530411305">
      <w:bodyDiv w:val="1"/>
      <w:marLeft w:val="0"/>
      <w:marRight w:val="0"/>
      <w:marTop w:val="0"/>
      <w:marBottom w:val="0"/>
      <w:divBdr>
        <w:top w:val="none" w:sz="0" w:space="0" w:color="auto"/>
        <w:left w:val="none" w:sz="0" w:space="0" w:color="auto"/>
        <w:bottom w:val="none" w:sz="0" w:space="0" w:color="auto"/>
        <w:right w:val="none" w:sz="0" w:space="0" w:color="auto"/>
      </w:divBdr>
    </w:div>
    <w:div w:id="1530484231">
      <w:bodyDiv w:val="1"/>
      <w:marLeft w:val="0"/>
      <w:marRight w:val="0"/>
      <w:marTop w:val="0"/>
      <w:marBottom w:val="0"/>
      <w:divBdr>
        <w:top w:val="none" w:sz="0" w:space="0" w:color="auto"/>
        <w:left w:val="none" w:sz="0" w:space="0" w:color="auto"/>
        <w:bottom w:val="none" w:sz="0" w:space="0" w:color="auto"/>
        <w:right w:val="none" w:sz="0" w:space="0" w:color="auto"/>
      </w:divBdr>
    </w:div>
    <w:div w:id="1543057590">
      <w:bodyDiv w:val="1"/>
      <w:marLeft w:val="0"/>
      <w:marRight w:val="0"/>
      <w:marTop w:val="0"/>
      <w:marBottom w:val="0"/>
      <w:divBdr>
        <w:top w:val="none" w:sz="0" w:space="0" w:color="auto"/>
        <w:left w:val="none" w:sz="0" w:space="0" w:color="auto"/>
        <w:bottom w:val="none" w:sz="0" w:space="0" w:color="auto"/>
        <w:right w:val="none" w:sz="0" w:space="0" w:color="auto"/>
      </w:divBdr>
    </w:div>
    <w:div w:id="1548223777">
      <w:bodyDiv w:val="1"/>
      <w:marLeft w:val="0"/>
      <w:marRight w:val="0"/>
      <w:marTop w:val="0"/>
      <w:marBottom w:val="0"/>
      <w:divBdr>
        <w:top w:val="none" w:sz="0" w:space="0" w:color="auto"/>
        <w:left w:val="none" w:sz="0" w:space="0" w:color="auto"/>
        <w:bottom w:val="none" w:sz="0" w:space="0" w:color="auto"/>
        <w:right w:val="none" w:sz="0" w:space="0" w:color="auto"/>
      </w:divBdr>
    </w:div>
    <w:div w:id="1550188920">
      <w:bodyDiv w:val="1"/>
      <w:marLeft w:val="0"/>
      <w:marRight w:val="0"/>
      <w:marTop w:val="0"/>
      <w:marBottom w:val="0"/>
      <w:divBdr>
        <w:top w:val="none" w:sz="0" w:space="0" w:color="auto"/>
        <w:left w:val="none" w:sz="0" w:space="0" w:color="auto"/>
        <w:bottom w:val="none" w:sz="0" w:space="0" w:color="auto"/>
        <w:right w:val="none" w:sz="0" w:space="0" w:color="auto"/>
      </w:divBdr>
    </w:div>
    <w:div w:id="1564754823">
      <w:bodyDiv w:val="1"/>
      <w:marLeft w:val="0"/>
      <w:marRight w:val="0"/>
      <w:marTop w:val="0"/>
      <w:marBottom w:val="0"/>
      <w:divBdr>
        <w:top w:val="none" w:sz="0" w:space="0" w:color="auto"/>
        <w:left w:val="none" w:sz="0" w:space="0" w:color="auto"/>
        <w:bottom w:val="none" w:sz="0" w:space="0" w:color="auto"/>
        <w:right w:val="none" w:sz="0" w:space="0" w:color="auto"/>
      </w:divBdr>
    </w:div>
    <w:div w:id="1571305562">
      <w:bodyDiv w:val="1"/>
      <w:marLeft w:val="0"/>
      <w:marRight w:val="0"/>
      <w:marTop w:val="0"/>
      <w:marBottom w:val="0"/>
      <w:divBdr>
        <w:top w:val="none" w:sz="0" w:space="0" w:color="auto"/>
        <w:left w:val="none" w:sz="0" w:space="0" w:color="auto"/>
        <w:bottom w:val="none" w:sz="0" w:space="0" w:color="auto"/>
        <w:right w:val="none" w:sz="0" w:space="0" w:color="auto"/>
      </w:divBdr>
    </w:div>
    <w:div w:id="1577545693">
      <w:bodyDiv w:val="1"/>
      <w:marLeft w:val="0"/>
      <w:marRight w:val="0"/>
      <w:marTop w:val="0"/>
      <w:marBottom w:val="0"/>
      <w:divBdr>
        <w:top w:val="none" w:sz="0" w:space="0" w:color="auto"/>
        <w:left w:val="none" w:sz="0" w:space="0" w:color="auto"/>
        <w:bottom w:val="none" w:sz="0" w:space="0" w:color="auto"/>
        <w:right w:val="none" w:sz="0" w:space="0" w:color="auto"/>
      </w:divBdr>
    </w:div>
    <w:div w:id="1577785900">
      <w:bodyDiv w:val="1"/>
      <w:marLeft w:val="0"/>
      <w:marRight w:val="0"/>
      <w:marTop w:val="0"/>
      <w:marBottom w:val="0"/>
      <w:divBdr>
        <w:top w:val="none" w:sz="0" w:space="0" w:color="auto"/>
        <w:left w:val="none" w:sz="0" w:space="0" w:color="auto"/>
        <w:bottom w:val="none" w:sz="0" w:space="0" w:color="auto"/>
        <w:right w:val="none" w:sz="0" w:space="0" w:color="auto"/>
      </w:divBdr>
    </w:div>
    <w:div w:id="1586911911">
      <w:bodyDiv w:val="1"/>
      <w:marLeft w:val="0"/>
      <w:marRight w:val="0"/>
      <w:marTop w:val="0"/>
      <w:marBottom w:val="0"/>
      <w:divBdr>
        <w:top w:val="none" w:sz="0" w:space="0" w:color="auto"/>
        <w:left w:val="none" w:sz="0" w:space="0" w:color="auto"/>
        <w:bottom w:val="none" w:sz="0" w:space="0" w:color="auto"/>
        <w:right w:val="none" w:sz="0" w:space="0" w:color="auto"/>
      </w:divBdr>
    </w:div>
    <w:div w:id="1586956963">
      <w:bodyDiv w:val="1"/>
      <w:marLeft w:val="0"/>
      <w:marRight w:val="0"/>
      <w:marTop w:val="0"/>
      <w:marBottom w:val="0"/>
      <w:divBdr>
        <w:top w:val="none" w:sz="0" w:space="0" w:color="auto"/>
        <w:left w:val="none" w:sz="0" w:space="0" w:color="auto"/>
        <w:bottom w:val="none" w:sz="0" w:space="0" w:color="auto"/>
        <w:right w:val="none" w:sz="0" w:space="0" w:color="auto"/>
      </w:divBdr>
    </w:div>
    <w:div w:id="1589388327">
      <w:bodyDiv w:val="1"/>
      <w:marLeft w:val="0"/>
      <w:marRight w:val="0"/>
      <w:marTop w:val="0"/>
      <w:marBottom w:val="0"/>
      <w:divBdr>
        <w:top w:val="none" w:sz="0" w:space="0" w:color="auto"/>
        <w:left w:val="none" w:sz="0" w:space="0" w:color="auto"/>
        <w:bottom w:val="none" w:sz="0" w:space="0" w:color="auto"/>
        <w:right w:val="none" w:sz="0" w:space="0" w:color="auto"/>
      </w:divBdr>
    </w:div>
    <w:div w:id="1590851721">
      <w:bodyDiv w:val="1"/>
      <w:marLeft w:val="0"/>
      <w:marRight w:val="0"/>
      <w:marTop w:val="0"/>
      <w:marBottom w:val="0"/>
      <w:divBdr>
        <w:top w:val="none" w:sz="0" w:space="0" w:color="auto"/>
        <w:left w:val="none" w:sz="0" w:space="0" w:color="auto"/>
        <w:bottom w:val="none" w:sz="0" w:space="0" w:color="auto"/>
        <w:right w:val="none" w:sz="0" w:space="0" w:color="auto"/>
      </w:divBdr>
    </w:div>
    <w:div w:id="1599026735">
      <w:bodyDiv w:val="1"/>
      <w:marLeft w:val="0"/>
      <w:marRight w:val="0"/>
      <w:marTop w:val="0"/>
      <w:marBottom w:val="0"/>
      <w:divBdr>
        <w:top w:val="none" w:sz="0" w:space="0" w:color="auto"/>
        <w:left w:val="none" w:sz="0" w:space="0" w:color="auto"/>
        <w:bottom w:val="none" w:sz="0" w:space="0" w:color="auto"/>
        <w:right w:val="none" w:sz="0" w:space="0" w:color="auto"/>
      </w:divBdr>
    </w:div>
    <w:div w:id="1603226554">
      <w:bodyDiv w:val="1"/>
      <w:marLeft w:val="0"/>
      <w:marRight w:val="0"/>
      <w:marTop w:val="0"/>
      <w:marBottom w:val="0"/>
      <w:divBdr>
        <w:top w:val="none" w:sz="0" w:space="0" w:color="auto"/>
        <w:left w:val="none" w:sz="0" w:space="0" w:color="auto"/>
        <w:bottom w:val="none" w:sz="0" w:space="0" w:color="auto"/>
        <w:right w:val="none" w:sz="0" w:space="0" w:color="auto"/>
      </w:divBdr>
    </w:div>
    <w:div w:id="1607618263">
      <w:bodyDiv w:val="1"/>
      <w:marLeft w:val="0"/>
      <w:marRight w:val="0"/>
      <w:marTop w:val="0"/>
      <w:marBottom w:val="0"/>
      <w:divBdr>
        <w:top w:val="none" w:sz="0" w:space="0" w:color="auto"/>
        <w:left w:val="none" w:sz="0" w:space="0" w:color="auto"/>
        <w:bottom w:val="none" w:sz="0" w:space="0" w:color="auto"/>
        <w:right w:val="none" w:sz="0" w:space="0" w:color="auto"/>
      </w:divBdr>
      <w:divsChild>
        <w:div w:id="175854420">
          <w:marLeft w:val="274"/>
          <w:marRight w:val="0"/>
          <w:marTop w:val="0"/>
          <w:marBottom w:val="0"/>
          <w:divBdr>
            <w:top w:val="none" w:sz="0" w:space="0" w:color="auto"/>
            <w:left w:val="none" w:sz="0" w:space="0" w:color="auto"/>
            <w:bottom w:val="none" w:sz="0" w:space="0" w:color="auto"/>
            <w:right w:val="none" w:sz="0" w:space="0" w:color="auto"/>
          </w:divBdr>
        </w:div>
      </w:divsChild>
    </w:div>
    <w:div w:id="1608805471">
      <w:bodyDiv w:val="1"/>
      <w:marLeft w:val="0"/>
      <w:marRight w:val="0"/>
      <w:marTop w:val="0"/>
      <w:marBottom w:val="0"/>
      <w:divBdr>
        <w:top w:val="none" w:sz="0" w:space="0" w:color="auto"/>
        <w:left w:val="none" w:sz="0" w:space="0" w:color="auto"/>
        <w:bottom w:val="none" w:sz="0" w:space="0" w:color="auto"/>
        <w:right w:val="none" w:sz="0" w:space="0" w:color="auto"/>
      </w:divBdr>
    </w:div>
    <w:div w:id="1609459792">
      <w:bodyDiv w:val="1"/>
      <w:marLeft w:val="0"/>
      <w:marRight w:val="0"/>
      <w:marTop w:val="0"/>
      <w:marBottom w:val="0"/>
      <w:divBdr>
        <w:top w:val="none" w:sz="0" w:space="0" w:color="auto"/>
        <w:left w:val="none" w:sz="0" w:space="0" w:color="auto"/>
        <w:bottom w:val="none" w:sz="0" w:space="0" w:color="auto"/>
        <w:right w:val="none" w:sz="0" w:space="0" w:color="auto"/>
      </w:divBdr>
    </w:div>
    <w:div w:id="1621841748">
      <w:bodyDiv w:val="1"/>
      <w:marLeft w:val="0"/>
      <w:marRight w:val="0"/>
      <w:marTop w:val="0"/>
      <w:marBottom w:val="0"/>
      <w:divBdr>
        <w:top w:val="none" w:sz="0" w:space="0" w:color="auto"/>
        <w:left w:val="none" w:sz="0" w:space="0" w:color="auto"/>
        <w:bottom w:val="none" w:sz="0" w:space="0" w:color="auto"/>
        <w:right w:val="none" w:sz="0" w:space="0" w:color="auto"/>
      </w:divBdr>
      <w:divsChild>
        <w:div w:id="908881063">
          <w:marLeft w:val="418"/>
          <w:marRight w:val="14"/>
          <w:marTop w:val="2"/>
          <w:marBottom w:val="0"/>
          <w:divBdr>
            <w:top w:val="none" w:sz="0" w:space="0" w:color="auto"/>
            <w:left w:val="none" w:sz="0" w:space="0" w:color="auto"/>
            <w:bottom w:val="none" w:sz="0" w:space="0" w:color="auto"/>
            <w:right w:val="none" w:sz="0" w:space="0" w:color="auto"/>
          </w:divBdr>
        </w:div>
      </w:divsChild>
    </w:div>
    <w:div w:id="1624001947">
      <w:bodyDiv w:val="1"/>
      <w:marLeft w:val="0"/>
      <w:marRight w:val="0"/>
      <w:marTop w:val="0"/>
      <w:marBottom w:val="0"/>
      <w:divBdr>
        <w:top w:val="none" w:sz="0" w:space="0" w:color="auto"/>
        <w:left w:val="none" w:sz="0" w:space="0" w:color="auto"/>
        <w:bottom w:val="none" w:sz="0" w:space="0" w:color="auto"/>
        <w:right w:val="none" w:sz="0" w:space="0" w:color="auto"/>
      </w:divBdr>
    </w:div>
    <w:div w:id="1624918483">
      <w:bodyDiv w:val="1"/>
      <w:marLeft w:val="0"/>
      <w:marRight w:val="0"/>
      <w:marTop w:val="0"/>
      <w:marBottom w:val="0"/>
      <w:divBdr>
        <w:top w:val="none" w:sz="0" w:space="0" w:color="auto"/>
        <w:left w:val="none" w:sz="0" w:space="0" w:color="auto"/>
        <w:bottom w:val="none" w:sz="0" w:space="0" w:color="auto"/>
        <w:right w:val="none" w:sz="0" w:space="0" w:color="auto"/>
      </w:divBdr>
    </w:div>
    <w:div w:id="1631785850">
      <w:bodyDiv w:val="1"/>
      <w:marLeft w:val="0"/>
      <w:marRight w:val="0"/>
      <w:marTop w:val="0"/>
      <w:marBottom w:val="0"/>
      <w:divBdr>
        <w:top w:val="none" w:sz="0" w:space="0" w:color="auto"/>
        <w:left w:val="none" w:sz="0" w:space="0" w:color="auto"/>
        <w:bottom w:val="none" w:sz="0" w:space="0" w:color="auto"/>
        <w:right w:val="none" w:sz="0" w:space="0" w:color="auto"/>
      </w:divBdr>
    </w:div>
    <w:div w:id="1632712392">
      <w:bodyDiv w:val="1"/>
      <w:marLeft w:val="0"/>
      <w:marRight w:val="0"/>
      <w:marTop w:val="0"/>
      <w:marBottom w:val="0"/>
      <w:divBdr>
        <w:top w:val="none" w:sz="0" w:space="0" w:color="auto"/>
        <w:left w:val="none" w:sz="0" w:space="0" w:color="auto"/>
        <w:bottom w:val="none" w:sz="0" w:space="0" w:color="auto"/>
        <w:right w:val="none" w:sz="0" w:space="0" w:color="auto"/>
      </w:divBdr>
    </w:div>
    <w:div w:id="1635981731">
      <w:bodyDiv w:val="1"/>
      <w:marLeft w:val="0"/>
      <w:marRight w:val="0"/>
      <w:marTop w:val="0"/>
      <w:marBottom w:val="0"/>
      <w:divBdr>
        <w:top w:val="none" w:sz="0" w:space="0" w:color="auto"/>
        <w:left w:val="none" w:sz="0" w:space="0" w:color="auto"/>
        <w:bottom w:val="none" w:sz="0" w:space="0" w:color="auto"/>
        <w:right w:val="none" w:sz="0" w:space="0" w:color="auto"/>
      </w:divBdr>
    </w:div>
    <w:div w:id="1638802205">
      <w:bodyDiv w:val="1"/>
      <w:marLeft w:val="0"/>
      <w:marRight w:val="0"/>
      <w:marTop w:val="0"/>
      <w:marBottom w:val="0"/>
      <w:divBdr>
        <w:top w:val="none" w:sz="0" w:space="0" w:color="auto"/>
        <w:left w:val="none" w:sz="0" w:space="0" w:color="auto"/>
        <w:bottom w:val="none" w:sz="0" w:space="0" w:color="auto"/>
        <w:right w:val="none" w:sz="0" w:space="0" w:color="auto"/>
      </w:divBdr>
    </w:div>
    <w:div w:id="1645349108">
      <w:bodyDiv w:val="1"/>
      <w:marLeft w:val="0"/>
      <w:marRight w:val="0"/>
      <w:marTop w:val="0"/>
      <w:marBottom w:val="0"/>
      <w:divBdr>
        <w:top w:val="none" w:sz="0" w:space="0" w:color="auto"/>
        <w:left w:val="none" w:sz="0" w:space="0" w:color="auto"/>
        <w:bottom w:val="none" w:sz="0" w:space="0" w:color="auto"/>
        <w:right w:val="none" w:sz="0" w:space="0" w:color="auto"/>
      </w:divBdr>
    </w:div>
    <w:div w:id="1645500452">
      <w:bodyDiv w:val="1"/>
      <w:marLeft w:val="0"/>
      <w:marRight w:val="0"/>
      <w:marTop w:val="0"/>
      <w:marBottom w:val="0"/>
      <w:divBdr>
        <w:top w:val="none" w:sz="0" w:space="0" w:color="auto"/>
        <w:left w:val="none" w:sz="0" w:space="0" w:color="auto"/>
        <w:bottom w:val="none" w:sz="0" w:space="0" w:color="auto"/>
        <w:right w:val="none" w:sz="0" w:space="0" w:color="auto"/>
      </w:divBdr>
    </w:div>
    <w:div w:id="1665205491">
      <w:bodyDiv w:val="1"/>
      <w:marLeft w:val="0"/>
      <w:marRight w:val="0"/>
      <w:marTop w:val="0"/>
      <w:marBottom w:val="0"/>
      <w:divBdr>
        <w:top w:val="none" w:sz="0" w:space="0" w:color="auto"/>
        <w:left w:val="none" w:sz="0" w:space="0" w:color="auto"/>
        <w:bottom w:val="none" w:sz="0" w:space="0" w:color="auto"/>
        <w:right w:val="none" w:sz="0" w:space="0" w:color="auto"/>
      </w:divBdr>
    </w:div>
    <w:div w:id="1666014961">
      <w:bodyDiv w:val="1"/>
      <w:marLeft w:val="0"/>
      <w:marRight w:val="0"/>
      <w:marTop w:val="0"/>
      <w:marBottom w:val="0"/>
      <w:divBdr>
        <w:top w:val="none" w:sz="0" w:space="0" w:color="auto"/>
        <w:left w:val="none" w:sz="0" w:space="0" w:color="auto"/>
        <w:bottom w:val="none" w:sz="0" w:space="0" w:color="auto"/>
        <w:right w:val="none" w:sz="0" w:space="0" w:color="auto"/>
      </w:divBdr>
    </w:div>
    <w:div w:id="1669988897">
      <w:bodyDiv w:val="1"/>
      <w:marLeft w:val="0"/>
      <w:marRight w:val="0"/>
      <w:marTop w:val="0"/>
      <w:marBottom w:val="0"/>
      <w:divBdr>
        <w:top w:val="none" w:sz="0" w:space="0" w:color="auto"/>
        <w:left w:val="none" w:sz="0" w:space="0" w:color="auto"/>
        <w:bottom w:val="none" w:sz="0" w:space="0" w:color="auto"/>
        <w:right w:val="none" w:sz="0" w:space="0" w:color="auto"/>
      </w:divBdr>
    </w:div>
    <w:div w:id="1671179812">
      <w:bodyDiv w:val="1"/>
      <w:marLeft w:val="0"/>
      <w:marRight w:val="0"/>
      <w:marTop w:val="0"/>
      <w:marBottom w:val="0"/>
      <w:divBdr>
        <w:top w:val="none" w:sz="0" w:space="0" w:color="auto"/>
        <w:left w:val="none" w:sz="0" w:space="0" w:color="auto"/>
        <w:bottom w:val="none" w:sz="0" w:space="0" w:color="auto"/>
        <w:right w:val="none" w:sz="0" w:space="0" w:color="auto"/>
      </w:divBdr>
    </w:div>
    <w:div w:id="1676151342">
      <w:bodyDiv w:val="1"/>
      <w:marLeft w:val="0"/>
      <w:marRight w:val="0"/>
      <w:marTop w:val="0"/>
      <w:marBottom w:val="0"/>
      <w:divBdr>
        <w:top w:val="none" w:sz="0" w:space="0" w:color="auto"/>
        <w:left w:val="none" w:sz="0" w:space="0" w:color="auto"/>
        <w:bottom w:val="none" w:sz="0" w:space="0" w:color="auto"/>
        <w:right w:val="none" w:sz="0" w:space="0" w:color="auto"/>
      </w:divBdr>
    </w:div>
    <w:div w:id="1677344602">
      <w:bodyDiv w:val="1"/>
      <w:marLeft w:val="0"/>
      <w:marRight w:val="0"/>
      <w:marTop w:val="0"/>
      <w:marBottom w:val="0"/>
      <w:divBdr>
        <w:top w:val="none" w:sz="0" w:space="0" w:color="auto"/>
        <w:left w:val="none" w:sz="0" w:space="0" w:color="auto"/>
        <w:bottom w:val="none" w:sz="0" w:space="0" w:color="auto"/>
        <w:right w:val="none" w:sz="0" w:space="0" w:color="auto"/>
      </w:divBdr>
    </w:div>
    <w:div w:id="1684285573">
      <w:bodyDiv w:val="1"/>
      <w:marLeft w:val="0"/>
      <w:marRight w:val="0"/>
      <w:marTop w:val="0"/>
      <w:marBottom w:val="0"/>
      <w:divBdr>
        <w:top w:val="none" w:sz="0" w:space="0" w:color="auto"/>
        <w:left w:val="none" w:sz="0" w:space="0" w:color="auto"/>
        <w:bottom w:val="none" w:sz="0" w:space="0" w:color="auto"/>
        <w:right w:val="none" w:sz="0" w:space="0" w:color="auto"/>
      </w:divBdr>
    </w:div>
    <w:div w:id="1687827066">
      <w:bodyDiv w:val="1"/>
      <w:marLeft w:val="0"/>
      <w:marRight w:val="0"/>
      <w:marTop w:val="0"/>
      <w:marBottom w:val="0"/>
      <w:divBdr>
        <w:top w:val="none" w:sz="0" w:space="0" w:color="auto"/>
        <w:left w:val="none" w:sz="0" w:space="0" w:color="auto"/>
        <w:bottom w:val="none" w:sz="0" w:space="0" w:color="auto"/>
        <w:right w:val="none" w:sz="0" w:space="0" w:color="auto"/>
      </w:divBdr>
    </w:div>
    <w:div w:id="1691687077">
      <w:bodyDiv w:val="1"/>
      <w:marLeft w:val="0"/>
      <w:marRight w:val="0"/>
      <w:marTop w:val="0"/>
      <w:marBottom w:val="0"/>
      <w:divBdr>
        <w:top w:val="none" w:sz="0" w:space="0" w:color="auto"/>
        <w:left w:val="none" w:sz="0" w:space="0" w:color="auto"/>
        <w:bottom w:val="none" w:sz="0" w:space="0" w:color="auto"/>
        <w:right w:val="none" w:sz="0" w:space="0" w:color="auto"/>
      </w:divBdr>
    </w:div>
    <w:div w:id="1692337705">
      <w:bodyDiv w:val="1"/>
      <w:marLeft w:val="0"/>
      <w:marRight w:val="0"/>
      <w:marTop w:val="0"/>
      <w:marBottom w:val="0"/>
      <w:divBdr>
        <w:top w:val="none" w:sz="0" w:space="0" w:color="auto"/>
        <w:left w:val="none" w:sz="0" w:space="0" w:color="auto"/>
        <w:bottom w:val="none" w:sz="0" w:space="0" w:color="auto"/>
        <w:right w:val="none" w:sz="0" w:space="0" w:color="auto"/>
      </w:divBdr>
    </w:div>
    <w:div w:id="1695417880">
      <w:bodyDiv w:val="1"/>
      <w:marLeft w:val="0"/>
      <w:marRight w:val="0"/>
      <w:marTop w:val="0"/>
      <w:marBottom w:val="0"/>
      <w:divBdr>
        <w:top w:val="none" w:sz="0" w:space="0" w:color="auto"/>
        <w:left w:val="none" w:sz="0" w:space="0" w:color="auto"/>
        <w:bottom w:val="none" w:sz="0" w:space="0" w:color="auto"/>
        <w:right w:val="none" w:sz="0" w:space="0" w:color="auto"/>
      </w:divBdr>
    </w:div>
    <w:div w:id="1704361018">
      <w:bodyDiv w:val="1"/>
      <w:marLeft w:val="0"/>
      <w:marRight w:val="0"/>
      <w:marTop w:val="0"/>
      <w:marBottom w:val="0"/>
      <w:divBdr>
        <w:top w:val="none" w:sz="0" w:space="0" w:color="auto"/>
        <w:left w:val="none" w:sz="0" w:space="0" w:color="auto"/>
        <w:bottom w:val="none" w:sz="0" w:space="0" w:color="auto"/>
        <w:right w:val="none" w:sz="0" w:space="0" w:color="auto"/>
      </w:divBdr>
    </w:div>
    <w:div w:id="1718696362">
      <w:bodyDiv w:val="1"/>
      <w:marLeft w:val="0"/>
      <w:marRight w:val="0"/>
      <w:marTop w:val="0"/>
      <w:marBottom w:val="0"/>
      <w:divBdr>
        <w:top w:val="none" w:sz="0" w:space="0" w:color="auto"/>
        <w:left w:val="none" w:sz="0" w:space="0" w:color="auto"/>
        <w:bottom w:val="none" w:sz="0" w:space="0" w:color="auto"/>
        <w:right w:val="none" w:sz="0" w:space="0" w:color="auto"/>
      </w:divBdr>
    </w:div>
    <w:div w:id="1719164026">
      <w:bodyDiv w:val="1"/>
      <w:marLeft w:val="0"/>
      <w:marRight w:val="0"/>
      <w:marTop w:val="0"/>
      <w:marBottom w:val="0"/>
      <w:divBdr>
        <w:top w:val="none" w:sz="0" w:space="0" w:color="auto"/>
        <w:left w:val="none" w:sz="0" w:space="0" w:color="auto"/>
        <w:bottom w:val="none" w:sz="0" w:space="0" w:color="auto"/>
        <w:right w:val="none" w:sz="0" w:space="0" w:color="auto"/>
      </w:divBdr>
    </w:div>
    <w:div w:id="1722710943">
      <w:bodyDiv w:val="1"/>
      <w:marLeft w:val="0"/>
      <w:marRight w:val="0"/>
      <w:marTop w:val="0"/>
      <w:marBottom w:val="0"/>
      <w:divBdr>
        <w:top w:val="none" w:sz="0" w:space="0" w:color="auto"/>
        <w:left w:val="none" w:sz="0" w:space="0" w:color="auto"/>
        <w:bottom w:val="none" w:sz="0" w:space="0" w:color="auto"/>
        <w:right w:val="none" w:sz="0" w:space="0" w:color="auto"/>
      </w:divBdr>
    </w:div>
    <w:div w:id="1723753390">
      <w:bodyDiv w:val="1"/>
      <w:marLeft w:val="0"/>
      <w:marRight w:val="0"/>
      <w:marTop w:val="0"/>
      <w:marBottom w:val="0"/>
      <w:divBdr>
        <w:top w:val="none" w:sz="0" w:space="0" w:color="auto"/>
        <w:left w:val="none" w:sz="0" w:space="0" w:color="auto"/>
        <w:bottom w:val="none" w:sz="0" w:space="0" w:color="auto"/>
        <w:right w:val="none" w:sz="0" w:space="0" w:color="auto"/>
      </w:divBdr>
    </w:div>
    <w:div w:id="1724403420">
      <w:bodyDiv w:val="1"/>
      <w:marLeft w:val="0"/>
      <w:marRight w:val="0"/>
      <w:marTop w:val="0"/>
      <w:marBottom w:val="0"/>
      <w:divBdr>
        <w:top w:val="none" w:sz="0" w:space="0" w:color="auto"/>
        <w:left w:val="none" w:sz="0" w:space="0" w:color="auto"/>
        <w:bottom w:val="none" w:sz="0" w:space="0" w:color="auto"/>
        <w:right w:val="none" w:sz="0" w:space="0" w:color="auto"/>
      </w:divBdr>
    </w:div>
    <w:div w:id="1728339701">
      <w:bodyDiv w:val="1"/>
      <w:marLeft w:val="0"/>
      <w:marRight w:val="0"/>
      <w:marTop w:val="0"/>
      <w:marBottom w:val="0"/>
      <w:divBdr>
        <w:top w:val="none" w:sz="0" w:space="0" w:color="auto"/>
        <w:left w:val="none" w:sz="0" w:space="0" w:color="auto"/>
        <w:bottom w:val="none" w:sz="0" w:space="0" w:color="auto"/>
        <w:right w:val="none" w:sz="0" w:space="0" w:color="auto"/>
      </w:divBdr>
    </w:div>
    <w:div w:id="1761608785">
      <w:bodyDiv w:val="1"/>
      <w:marLeft w:val="0"/>
      <w:marRight w:val="0"/>
      <w:marTop w:val="0"/>
      <w:marBottom w:val="0"/>
      <w:divBdr>
        <w:top w:val="none" w:sz="0" w:space="0" w:color="auto"/>
        <w:left w:val="none" w:sz="0" w:space="0" w:color="auto"/>
        <w:bottom w:val="none" w:sz="0" w:space="0" w:color="auto"/>
        <w:right w:val="none" w:sz="0" w:space="0" w:color="auto"/>
      </w:divBdr>
      <w:divsChild>
        <w:div w:id="1911886989">
          <w:marLeft w:val="274"/>
          <w:marRight w:val="0"/>
          <w:marTop w:val="0"/>
          <w:marBottom w:val="0"/>
          <w:divBdr>
            <w:top w:val="none" w:sz="0" w:space="0" w:color="auto"/>
            <w:left w:val="none" w:sz="0" w:space="0" w:color="auto"/>
            <w:bottom w:val="none" w:sz="0" w:space="0" w:color="auto"/>
            <w:right w:val="none" w:sz="0" w:space="0" w:color="auto"/>
          </w:divBdr>
        </w:div>
      </w:divsChild>
    </w:div>
    <w:div w:id="1763451027">
      <w:bodyDiv w:val="1"/>
      <w:marLeft w:val="0"/>
      <w:marRight w:val="0"/>
      <w:marTop w:val="0"/>
      <w:marBottom w:val="0"/>
      <w:divBdr>
        <w:top w:val="none" w:sz="0" w:space="0" w:color="auto"/>
        <w:left w:val="none" w:sz="0" w:space="0" w:color="auto"/>
        <w:bottom w:val="none" w:sz="0" w:space="0" w:color="auto"/>
        <w:right w:val="none" w:sz="0" w:space="0" w:color="auto"/>
      </w:divBdr>
    </w:div>
    <w:div w:id="1763530930">
      <w:bodyDiv w:val="1"/>
      <w:marLeft w:val="0"/>
      <w:marRight w:val="0"/>
      <w:marTop w:val="0"/>
      <w:marBottom w:val="0"/>
      <w:divBdr>
        <w:top w:val="none" w:sz="0" w:space="0" w:color="auto"/>
        <w:left w:val="none" w:sz="0" w:space="0" w:color="auto"/>
        <w:bottom w:val="none" w:sz="0" w:space="0" w:color="auto"/>
        <w:right w:val="none" w:sz="0" w:space="0" w:color="auto"/>
      </w:divBdr>
    </w:div>
    <w:div w:id="1780831608">
      <w:bodyDiv w:val="1"/>
      <w:marLeft w:val="0"/>
      <w:marRight w:val="0"/>
      <w:marTop w:val="0"/>
      <w:marBottom w:val="0"/>
      <w:divBdr>
        <w:top w:val="none" w:sz="0" w:space="0" w:color="auto"/>
        <w:left w:val="none" w:sz="0" w:space="0" w:color="auto"/>
        <w:bottom w:val="none" w:sz="0" w:space="0" w:color="auto"/>
        <w:right w:val="none" w:sz="0" w:space="0" w:color="auto"/>
      </w:divBdr>
    </w:div>
    <w:div w:id="1782644968">
      <w:bodyDiv w:val="1"/>
      <w:marLeft w:val="0"/>
      <w:marRight w:val="0"/>
      <w:marTop w:val="0"/>
      <w:marBottom w:val="0"/>
      <w:divBdr>
        <w:top w:val="none" w:sz="0" w:space="0" w:color="auto"/>
        <w:left w:val="none" w:sz="0" w:space="0" w:color="auto"/>
        <w:bottom w:val="none" w:sz="0" w:space="0" w:color="auto"/>
        <w:right w:val="none" w:sz="0" w:space="0" w:color="auto"/>
      </w:divBdr>
    </w:div>
    <w:div w:id="1786072463">
      <w:bodyDiv w:val="1"/>
      <w:marLeft w:val="0"/>
      <w:marRight w:val="0"/>
      <w:marTop w:val="0"/>
      <w:marBottom w:val="0"/>
      <w:divBdr>
        <w:top w:val="none" w:sz="0" w:space="0" w:color="auto"/>
        <w:left w:val="none" w:sz="0" w:space="0" w:color="auto"/>
        <w:bottom w:val="none" w:sz="0" w:space="0" w:color="auto"/>
        <w:right w:val="none" w:sz="0" w:space="0" w:color="auto"/>
      </w:divBdr>
    </w:div>
    <w:div w:id="1787459316">
      <w:bodyDiv w:val="1"/>
      <w:marLeft w:val="0"/>
      <w:marRight w:val="0"/>
      <w:marTop w:val="0"/>
      <w:marBottom w:val="0"/>
      <w:divBdr>
        <w:top w:val="none" w:sz="0" w:space="0" w:color="auto"/>
        <w:left w:val="none" w:sz="0" w:space="0" w:color="auto"/>
        <w:bottom w:val="none" w:sz="0" w:space="0" w:color="auto"/>
        <w:right w:val="none" w:sz="0" w:space="0" w:color="auto"/>
      </w:divBdr>
    </w:div>
    <w:div w:id="1796748353">
      <w:bodyDiv w:val="1"/>
      <w:marLeft w:val="0"/>
      <w:marRight w:val="0"/>
      <w:marTop w:val="0"/>
      <w:marBottom w:val="0"/>
      <w:divBdr>
        <w:top w:val="none" w:sz="0" w:space="0" w:color="auto"/>
        <w:left w:val="none" w:sz="0" w:space="0" w:color="auto"/>
        <w:bottom w:val="none" w:sz="0" w:space="0" w:color="auto"/>
        <w:right w:val="none" w:sz="0" w:space="0" w:color="auto"/>
      </w:divBdr>
    </w:div>
    <w:div w:id="1802726306">
      <w:bodyDiv w:val="1"/>
      <w:marLeft w:val="0"/>
      <w:marRight w:val="0"/>
      <w:marTop w:val="0"/>
      <w:marBottom w:val="0"/>
      <w:divBdr>
        <w:top w:val="none" w:sz="0" w:space="0" w:color="auto"/>
        <w:left w:val="none" w:sz="0" w:space="0" w:color="auto"/>
        <w:bottom w:val="none" w:sz="0" w:space="0" w:color="auto"/>
        <w:right w:val="none" w:sz="0" w:space="0" w:color="auto"/>
      </w:divBdr>
    </w:div>
    <w:div w:id="1827016511">
      <w:bodyDiv w:val="1"/>
      <w:marLeft w:val="0"/>
      <w:marRight w:val="0"/>
      <w:marTop w:val="0"/>
      <w:marBottom w:val="0"/>
      <w:divBdr>
        <w:top w:val="none" w:sz="0" w:space="0" w:color="auto"/>
        <w:left w:val="none" w:sz="0" w:space="0" w:color="auto"/>
        <w:bottom w:val="none" w:sz="0" w:space="0" w:color="auto"/>
        <w:right w:val="none" w:sz="0" w:space="0" w:color="auto"/>
      </w:divBdr>
    </w:div>
    <w:div w:id="1829906119">
      <w:bodyDiv w:val="1"/>
      <w:marLeft w:val="0"/>
      <w:marRight w:val="0"/>
      <w:marTop w:val="0"/>
      <w:marBottom w:val="0"/>
      <w:divBdr>
        <w:top w:val="none" w:sz="0" w:space="0" w:color="auto"/>
        <w:left w:val="none" w:sz="0" w:space="0" w:color="auto"/>
        <w:bottom w:val="none" w:sz="0" w:space="0" w:color="auto"/>
        <w:right w:val="none" w:sz="0" w:space="0" w:color="auto"/>
      </w:divBdr>
    </w:div>
    <w:div w:id="1832867034">
      <w:bodyDiv w:val="1"/>
      <w:marLeft w:val="0"/>
      <w:marRight w:val="0"/>
      <w:marTop w:val="0"/>
      <w:marBottom w:val="0"/>
      <w:divBdr>
        <w:top w:val="none" w:sz="0" w:space="0" w:color="auto"/>
        <w:left w:val="none" w:sz="0" w:space="0" w:color="auto"/>
        <w:bottom w:val="none" w:sz="0" w:space="0" w:color="auto"/>
        <w:right w:val="none" w:sz="0" w:space="0" w:color="auto"/>
      </w:divBdr>
    </w:div>
    <w:div w:id="1841461903">
      <w:bodyDiv w:val="1"/>
      <w:marLeft w:val="0"/>
      <w:marRight w:val="0"/>
      <w:marTop w:val="0"/>
      <w:marBottom w:val="0"/>
      <w:divBdr>
        <w:top w:val="none" w:sz="0" w:space="0" w:color="auto"/>
        <w:left w:val="none" w:sz="0" w:space="0" w:color="auto"/>
        <w:bottom w:val="none" w:sz="0" w:space="0" w:color="auto"/>
        <w:right w:val="none" w:sz="0" w:space="0" w:color="auto"/>
      </w:divBdr>
      <w:divsChild>
        <w:div w:id="1531531206">
          <w:marLeft w:val="446"/>
          <w:marRight w:val="0"/>
          <w:marTop w:val="0"/>
          <w:marBottom w:val="0"/>
          <w:divBdr>
            <w:top w:val="none" w:sz="0" w:space="0" w:color="auto"/>
            <w:left w:val="none" w:sz="0" w:space="0" w:color="auto"/>
            <w:bottom w:val="none" w:sz="0" w:space="0" w:color="auto"/>
            <w:right w:val="none" w:sz="0" w:space="0" w:color="auto"/>
          </w:divBdr>
        </w:div>
      </w:divsChild>
    </w:div>
    <w:div w:id="1849250945">
      <w:bodyDiv w:val="1"/>
      <w:marLeft w:val="0"/>
      <w:marRight w:val="0"/>
      <w:marTop w:val="0"/>
      <w:marBottom w:val="0"/>
      <w:divBdr>
        <w:top w:val="none" w:sz="0" w:space="0" w:color="auto"/>
        <w:left w:val="none" w:sz="0" w:space="0" w:color="auto"/>
        <w:bottom w:val="none" w:sz="0" w:space="0" w:color="auto"/>
        <w:right w:val="none" w:sz="0" w:space="0" w:color="auto"/>
      </w:divBdr>
    </w:div>
    <w:div w:id="1854487039">
      <w:bodyDiv w:val="1"/>
      <w:marLeft w:val="0"/>
      <w:marRight w:val="0"/>
      <w:marTop w:val="0"/>
      <w:marBottom w:val="0"/>
      <w:divBdr>
        <w:top w:val="none" w:sz="0" w:space="0" w:color="auto"/>
        <w:left w:val="none" w:sz="0" w:space="0" w:color="auto"/>
        <w:bottom w:val="none" w:sz="0" w:space="0" w:color="auto"/>
        <w:right w:val="none" w:sz="0" w:space="0" w:color="auto"/>
      </w:divBdr>
    </w:div>
    <w:div w:id="1860461789">
      <w:bodyDiv w:val="1"/>
      <w:marLeft w:val="0"/>
      <w:marRight w:val="0"/>
      <w:marTop w:val="0"/>
      <w:marBottom w:val="0"/>
      <w:divBdr>
        <w:top w:val="none" w:sz="0" w:space="0" w:color="auto"/>
        <w:left w:val="none" w:sz="0" w:space="0" w:color="auto"/>
        <w:bottom w:val="none" w:sz="0" w:space="0" w:color="auto"/>
        <w:right w:val="none" w:sz="0" w:space="0" w:color="auto"/>
      </w:divBdr>
    </w:div>
    <w:div w:id="1869096818">
      <w:bodyDiv w:val="1"/>
      <w:marLeft w:val="0"/>
      <w:marRight w:val="0"/>
      <w:marTop w:val="0"/>
      <w:marBottom w:val="0"/>
      <w:divBdr>
        <w:top w:val="none" w:sz="0" w:space="0" w:color="auto"/>
        <w:left w:val="none" w:sz="0" w:space="0" w:color="auto"/>
        <w:bottom w:val="none" w:sz="0" w:space="0" w:color="auto"/>
        <w:right w:val="none" w:sz="0" w:space="0" w:color="auto"/>
      </w:divBdr>
    </w:div>
    <w:div w:id="1875461347">
      <w:bodyDiv w:val="1"/>
      <w:marLeft w:val="0"/>
      <w:marRight w:val="0"/>
      <w:marTop w:val="0"/>
      <w:marBottom w:val="0"/>
      <w:divBdr>
        <w:top w:val="none" w:sz="0" w:space="0" w:color="auto"/>
        <w:left w:val="none" w:sz="0" w:space="0" w:color="auto"/>
        <w:bottom w:val="none" w:sz="0" w:space="0" w:color="auto"/>
        <w:right w:val="none" w:sz="0" w:space="0" w:color="auto"/>
      </w:divBdr>
    </w:div>
    <w:div w:id="1882205442">
      <w:bodyDiv w:val="1"/>
      <w:marLeft w:val="0"/>
      <w:marRight w:val="0"/>
      <w:marTop w:val="0"/>
      <w:marBottom w:val="0"/>
      <w:divBdr>
        <w:top w:val="none" w:sz="0" w:space="0" w:color="auto"/>
        <w:left w:val="none" w:sz="0" w:space="0" w:color="auto"/>
        <w:bottom w:val="none" w:sz="0" w:space="0" w:color="auto"/>
        <w:right w:val="none" w:sz="0" w:space="0" w:color="auto"/>
      </w:divBdr>
    </w:div>
    <w:div w:id="1895847800">
      <w:bodyDiv w:val="1"/>
      <w:marLeft w:val="0"/>
      <w:marRight w:val="0"/>
      <w:marTop w:val="0"/>
      <w:marBottom w:val="0"/>
      <w:divBdr>
        <w:top w:val="none" w:sz="0" w:space="0" w:color="auto"/>
        <w:left w:val="none" w:sz="0" w:space="0" w:color="auto"/>
        <w:bottom w:val="none" w:sz="0" w:space="0" w:color="auto"/>
        <w:right w:val="none" w:sz="0" w:space="0" w:color="auto"/>
      </w:divBdr>
    </w:div>
    <w:div w:id="1901793218">
      <w:bodyDiv w:val="1"/>
      <w:marLeft w:val="0"/>
      <w:marRight w:val="0"/>
      <w:marTop w:val="0"/>
      <w:marBottom w:val="0"/>
      <w:divBdr>
        <w:top w:val="none" w:sz="0" w:space="0" w:color="auto"/>
        <w:left w:val="none" w:sz="0" w:space="0" w:color="auto"/>
        <w:bottom w:val="none" w:sz="0" w:space="0" w:color="auto"/>
        <w:right w:val="none" w:sz="0" w:space="0" w:color="auto"/>
      </w:divBdr>
    </w:div>
    <w:div w:id="1909026016">
      <w:bodyDiv w:val="1"/>
      <w:marLeft w:val="0"/>
      <w:marRight w:val="0"/>
      <w:marTop w:val="0"/>
      <w:marBottom w:val="0"/>
      <w:divBdr>
        <w:top w:val="none" w:sz="0" w:space="0" w:color="auto"/>
        <w:left w:val="none" w:sz="0" w:space="0" w:color="auto"/>
        <w:bottom w:val="none" w:sz="0" w:space="0" w:color="auto"/>
        <w:right w:val="none" w:sz="0" w:space="0" w:color="auto"/>
      </w:divBdr>
    </w:div>
    <w:div w:id="1912232841">
      <w:bodyDiv w:val="1"/>
      <w:marLeft w:val="0"/>
      <w:marRight w:val="0"/>
      <w:marTop w:val="0"/>
      <w:marBottom w:val="0"/>
      <w:divBdr>
        <w:top w:val="none" w:sz="0" w:space="0" w:color="auto"/>
        <w:left w:val="none" w:sz="0" w:space="0" w:color="auto"/>
        <w:bottom w:val="none" w:sz="0" w:space="0" w:color="auto"/>
        <w:right w:val="none" w:sz="0" w:space="0" w:color="auto"/>
      </w:divBdr>
    </w:div>
    <w:div w:id="1914661461">
      <w:bodyDiv w:val="1"/>
      <w:marLeft w:val="0"/>
      <w:marRight w:val="0"/>
      <w:marTop w:val="0"/>
      <w:marBottom w:val="0"/>
      <w:divBdr>
        <w:top w:val="none" w:sz="0" w:space="0" w:color="auto"/>
        <w:left w:val="none" w:sz="0" w:space="0" w:color="auto"/>
        <w:bottom w:val="none" w:sz="0" w:space="0" w:color="auto"/>
        <w:right w:val="none" w:sz="0" w:space="0" w:color="auto"/>
      </w:divBdr>
    </w:div>
    <w:div w:id="1919897984">
      <w:bodyDiv w:val="1"/>
      <w:marLeft w:val="0"/>
      <w:marRight w:val="0"/>
      <w:marTop w:val="0"/>
      <w:marBottom w:val="0"/>
      <w:divBdr>
        <w:top w:val="none" w:sz="0" w:space="0" w:color="auto"/>
        <w:left w:val="none" w:sz="0" w:space="0" w:color="auto"/>
        <w:bottom w:val="none" w:sz="0" w:space="0" w:color="auto"/>
        <w:right w:val="none" w:sz="0" w:space="0" w:color="auto"/>
      </w:divBdr>
    </w:div>
    <w:div w:id="1922449516">
      <w:bodyDiv w:val="1"/>
      <w:marLeft w:val="0"/>
      <w:marRight w:val="0"/>
      <w:marTop w:val="0"/>
      <w:marBottom w:val="0"/>
      <w:divBdr>
        <w:top w:val="none" w:sz="0" w:space="0" w:color="auto"/>
        <w:left w:val="none" w:sz="0" w:space="0" w:color="auto"/>
        <w:bottom w:val="none" w:sz="0" w:space="0" w:color="auto"/>
        <w:right w:val="none" w:sz="0" w:space="0" w:color="auto"/>
      </w:divBdr>
    </w:div>
    <w:div w:id="1937396959">
      <w:bodyDiv w:val="1"/>
      <w:marLeft w:val="0"/>
      <w:marRight w:val="0"/>
      <w:marTop w:val="0"/>
      <w:marBottom w:val="0"/>
      <w:divBdr>
        <w:top w:val="none" w:sz="0" w:space="0" w:color="auto"/>
        <w:left w:val="none" w:sz="0" w:space="0" w:color="auto"/>
        <w:bottom w:val="none" w:sz="0" w:space="0" w:color="auto"/>
        <w:right w:val="none" w:sz="0" w:space="0" w:color="auto"/>
      </w:divBdr>
    </w:div>
    <w:div w:id="1937471308">
      <w:bodyDiv w:val="1"/>
      <w:marLeft w:val="0"/>
      <w:marRight w:val="0"/>
      <w:marTop w:val="0"/>
      <w:marBottom w:val="0"/>
      <w:divBdr>
        <w:top w:val="none" w:sz="0" w:space="0" w:color="auto"/>
        <w:left w:val="none" w:sz="0" w:space="0" w:color="auto"/>
        <w:bottom w:val="none" w:sz="0" w:space="0" w:color="auto"/>
        <w:right w:val="none" w:sz="0" w:space="0" w:color="auto"/>
      </w:divBdr>
    </w:div>
    <w:div w:id="1940210522">
      <w:bodyDiv w:val="1"/>
      <w:marLeft w:val="0"/>
      <w:marRight w:val="0"/>
      <w:marTop w:val="0"/>
      <w:marBottom w:val="0"/>
      <w:divBdr>
        <w:top w:val="none" w:sz="0" w:space="0" w:color="auto"/>
        <w:left w:val="none" w:sz="0" w:space="0" w:color="auto"/>
        <w:bottom w:val="none" w:sz="0" w:space="0" w:color="auto"/>
        <w:right w:val="none" w:sz="0" w:space="0" w:color="auto"/>
      </w:divBdr>
      <w:divsChild>
        <w:div w:id="1610503664">
          <w:marLeft w:val="418"/>
          <w:marRight w:val="14"/>
          <w:marTop w:val="2"/>
          <w:marBottom w:val="0"/>
          <w:divBdr>
            <w:top w:val="none" w:sz="0" w:space="0" w:color="auto"/>
            <w:left w:val="none" w:sz="0" w:space="0" w:color="auto"/>
            <w:bottom w:val="none" w:sz="0" w:space="0" w:color="auto"/>
            <w:right w:val="none" w:sz="0" w:space="0" w:color="auto"/>
          </w:divBdr>
        </w:div>
      </w:divsChild>
    </w:div>
    <w:div w:id="1944218911">
      <w:bodyDiv w:val="1"/>
      <w:marLeft w:val="0"/>
      <w:marRight w:val="0"/>
      <w:marTop w:val="0"/>
      <w:marBottom w:val="0"/>
      <w:divBdr>
        <w:top w:val="none" w:sz="0" w:space="0" w:color="auto"/>
        <w:left w:val="none" w:sz="0" w:space="0" w:color="auto"/>
        <w:bottom w:val="none" w:sz="0" w:space="0" w:color="auto"/>
        <w:right w:val="none" w:sz="0" w:space="0" w:color="auto"/>
      </w:divBdr>
    </w:div>
    <w:div w:id="1948924060">
      <w:bodyDiv w:val="1"/>
      <w:marLeft w:val="0"/>
      <w:marRight w:val="0"/>
      <w:marTop w:val="0"/>
      <w:marBottom w:val="0"/>
      <w:divBdr>
        <w:top w:val="none" w:sz="0" w:space="0" w:color="auto"/>
        <w:left w:val="none" w:sz="0" w:space="0" w:color="auto"/>
        <w:bottom w:val="none" w:sz="0" w:space="0" w:color="auto"/>
        <w:right w:val="none" w:sz="0" w:space="0" w:color="auto"/>
      </w:divBdr>
    </w:div>
    <w:div w:id="1955794086">
      <w:bodyDiv w:val="1"/>
      <w:marLeft w:val="0"/>
      <w:marRight w:val="0"/>
      <w:marTop w:val="0"/>
      <w:marBottom w:val="0"/>
      <w:divBdr>
        <w:top w:val="none" w:sz="0" w:space="0" w:color="auto"/>
        <w:left w:val="none" w:sz="0" w:space="0" w:color="auto"/>
        <w:bottom w:val="none" w:sz="0" w:space="0" w:color="auto"/>
        <w:right w:val="none" w:sz="0" w:space="0" w:color="auto"/>
      </w:divBdr>
      <w:divsChild>
        <w:div w:id="144594783">
          <w:marLeft w:val="446"/>
          <w:marRight w:val="0"/>
          <w:marTop w:val="0"/>
          <w:marBottom w:val="0"/>
          <w:divBdr>
            <w:top w:val="none" w:sz="0" w:space="0" w:color="auto"/>
            <w:left w:val="none" w:sz="0" w:space="0" w:color="auto"/>
            <w:bottom w:val="none" w:sz="0" w:space="0" w:color="auto"/>
            <w:right w:val="none" w:sz="0" w:space="0" w:color="auto"/>
          </w:divBdr>
        </w:div>
        <w:div w:id="990451638">
          <w:marLeft w:val="446"/>
          <w:marRight w:val="0"/>
          <w:marTop w:val="0"/>
          <w:marBottom w:val="0"/>
          <w:divBdr>
            <w:top w:val="none" w:sz="0" w:space="0" w:color="auto"/>
            <w:left w:val="none" w:sz="0" w:space="0" w:color="auto"/>
            <w:bottom w:val="none" w:sz="0" w:space="0" w:color="auto"/>
            <w:right w:val="none" w:sz="0" w:space="0" w:color="auto"/>
          </w:divBdr>
        </w:div>
      </w:divsChild>
    </w:div>
    <w:div w:id="1973824461">
      <w:bodyDiv w:val="1"/>
      <w:marLeft w:val="0"/>
      <w:marRight w:val="0"/>
      <w:marTop w:val="0"/>
      <w:marBottom w:val="0"/>
      <w:divBdr>
        <w:top w:val="none" w:sz="0" w:space="0" w:color="auto"/>
        <w:left w:val="none" w:sz="0" w:space="0" w:color="auto"/>
        <w:bottom w:val="none" w:sz="0" w:space="0" w:color="auto"/>
        <w:right w:val="none" w:sz="0" w:space="0" w:color="auto"/>
      </w:divBdr>
    </w:div>
    <w:div w:id="1979415469">
      <w:bodyDiv w:val="1"/>
      <w:marLeft w:val="0"/>
      <w:marRight w:val="0"/>
      <w:marTop w:val="0"/>
      <w:marBottom w:val="0"/>
      <w:divBdr>
        <w:top w:val="none" w:sz="0" w:space="0" w:color="auto"/>
        <w:left w:val="none" w:sz="0" w:space="0" w:color="auto"/>
        <w:bottom w:val="none" w:sz="0" w:space="0" w:color="auto"/>
        <w:right w:val="none" w:sz="0" w:space="0" w:color="auto"/>
      </w:divBdr>
    </w:div>
    <w:div w:id="1989703222">
      <w:bodyDiv w:val="1"/>
      <w:marLeft w:val="0"/>
      <w:marRight w:val="0"/>
      <w:marTop w:val="0"/>
      <w:marBottom w:val="0"/>
      <w:divBdr>
        <w:top w:val="none" w:sz="0" w:space="0" w:color="auto"/>
        <w:left w:val="none" w:sz="0" w:space="0" w:color="auto"/>
        <w:bottom w:val="none" w:sz="0" w:space="0" w:color="auto"/>
        <w:right w:val="none" w:sz="0" w:space="0" w:color="auto"/>
      </w:divBdr>
    </w:div>
    <w:div w:id="1999917851">
      <w:bodyDiv w:val="1"/>
      <w:marLeft w:val="0"/>
      <w:marRight w:val="0"/>
      <w:marTop w:val="0"/>
      <w:marBottom w:val="0"/>
      <w:divBdr>
        <w:top w:val="none" w:sz="0" w:space="0" w:color="auto"/>
        <w:left w:val="none" w:sz="0" w:space="0" w:color="auto"/>
        <w:bottom w:val="none" w:sz="0" w:space="0" w:color="auto"/>
        <w:right w:val="none" w:sz="0" w:space="0" w:color="auto"/>
      </w:divBdr>
    </w:div>
    <w:div w:id="2010329065">
      <w:bodyDiv w:val="1"/>
      <w:marLeft w:val="0"/>
      <w:marRight w:val="0"/>
      <w:marTop w:val="0"/>
      <w:marBottom w:val="0"/>
      <w:divBdr>
        <w:top w:val="none" w:sz="0" w:space="0" w:color="auto"/>
        <w:left w:val="none" w:sz="0" w:space="0" w:color="auto"/>
        <w:bottom w:val="none" w:sz="0" w:space="0" w:color="auto"/>
        <w:right w:val="none" w:sz="0" w:space="0" w:color="auto"/>
      </w:divBdr>
    </w:div>
    <w:div w:id="2011173508">
      <w:bodyDiv w:val="1"/>
      <w:marLeft w:val="0"/>
      <w:marRight w:val="0"/>
      <w:marTop w:val="0"/>
      <w:marBottom w:val="0"/>
      <w:divBdr>
        <w:top w:val="none" w:sz="0" w:space="0" w:color="auto"/>
        <w:left w:val="none" w:sz="0" w:space="0" w:color="auto"/>
        <w:bottom w:val="none" w:sz="0" w:space="0" w:color="auto"/>
        <w:right w:val="none" w:sz="0" w:space="0" w:color="auto"/>
      </w:divBdr>
    </w:div>
    <w:div w:id="2014187514">
      <w:bodyDiv w:val="1"/>
      <w:marLeft w:val="0"/>
      <w:marRight w:val="0"/>
      <w:marTop w:val="0"/>
      <w:marBottom w:val="0"/>
      <w:divBdr>
        <w:top w:val="none" w:sz="0" w:space="0" w:color="auto"/>
        <w:left w:val="none" w:sz="0" w:space="0" w:color="auto"/>
        <w:bottom w:val="none" w:sz="0" w:space="0" w:color="auto"/>
        <w:right w:val="none" w:sz="0" w:space="0" w:color="auto"/>
      </w:divBdr>
      <w:divsChild>
        <w:div w:id="653529032">
          <w:marLeft w:val="0"/>
          <w:marRight w:val="0"/>
          <w:marTop w:val="100"/>
          <w:marBottom w:val="100"/>
          <w:divBdr>
            <w:top w:val="none" w:sz="0" w:space="0" w:color="auto"/>
            <w:left w:val="none" w:sz="0" w:space="0" w:color="auto"/>
            <w:bottom w:val="none" w:sz="0" w:space="0" w:color="auto"/>
            <w:right w:val="none" w:sz="0" w:space="0" w:color="auto"/>
          </w:divBdr>
          <w:divsChild>
            <w:div w:id="78908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489349">
      <w:bodyDiv w:val="1"/>
      <w:marLeft w:val="0"/>
      <w:marRight w:val="0"/>
      <w:marTop w:val="0"/>
      <w:marBottom w:val="0"/>
      <w:divBdr>
        <w:top w:val="none" w:sz="0" w:space="0" w:color="auto"/>
        <w:left w:val="none" w:sz="0" w:space="0" w:color="auto"/>
        <w:bottom w:val="none" w:sz="0" w:space="0" w:color="auto"/>
        <w:right w:val="none" w:sz="0" w:space="0" w:color="auto"/>
      </w:divBdr>
    </w:div>
    <w:div w:id="2024238405">
      <w:bodyDiv w:val="1"/>
      <w:marLeft w:val="0"/>
      <w:marRight w:val="0"/>
      <w:marTop w:val="0"/>
      <w:marBottom w:val="0"/>
      <w:divBdr>
        <w:top w:val="none" w:sz="0" w:space="0" w:color="auto"/>
        <w:left w:val="none" w:sz="0" w:space="0" w:color="auto"/>
        <w:bottom w:val="none" w:sz="0" w:space="0" w:color="auto"/>
        <w:right w:val="none" w:sz="0" w:space="0" w:color="auto"/>
      </w:divBdr>
    </w:div>
    <w:div w:id="2028015795">
      <w:bodyDiv w:val="1"/>
      <w:marLeft w:val="0"/>
      <w:marRight w:val="0"/>
      <w:marTop w:val="0"/>
      <w:marBottom w:val="0"/>
      <w:divBdr>
        <w:top w:val="none" w:sz="0" w:space="0" w:color="auto"/>
        <w:left w:val="none" w:sz="0" w:space="0" w:color="auto"/>
        <w:bottom w:val="none" w:sz="0" w:space="0" w:color="auto"/>
        <w:right w:val="none" w:sz="0" w:space="0" w:color="auto"/>
      </w:divBdr>
    </w:div>
    <w:div w:id="2030064815">
      <w:bodyDiv w:val="1"/>
      <w:marLeft w:val="0"/>
      <w:marRight w:val="0"/>
      <w:marTop w:val="0"/>
      <w:marBottom w:val="0"/>
      <w:divBdr>
        <w:top w:val="none" w:sz="0" w:space="0" w:color="auto"/>
        <w:left w:val="none" w:sz="0" w:space="0" w:color="auto"/>
        <w:bottom w:val="none" w:sz="0" w:space="0" w:color="auto"/>
        <w:right w:val="none" w:sz="0" w:space="0" w:color="auto"/>
      </w:divBdr>
    </w:div>
    <w:div w:id="2030254136">
      <w:bodyDiv w:val="1"/>
      <w:marLeft w:val="0"/>
      <w:marRight w:val="0"/>
      <w:marTop w:val="0"/>
      <w:marBottom w:val="0"/>
      <w:divBdr>
        <w:top w:val="none" w:sz="0" w:space="0" w:color="auto"/>
        <w:left w:val="none" w:sz="0" w:space="0" w:color="auto"/>
        <w:bottom w:val="none" w:sz="0" w:space="0" w:color="auto"/>
        <w:right w:val="none" w:sz="0" w:space="0" w:color="auto"/>
      </w:divBdr>
      <w:divsChild>
        <w:div w:id="271017563">
          <w:marLeft w:val="274"/>
          <w:marRight w:val="0"/>
          <w:marTop w:val="0"/>
          <w:marBottom w:val="0"/>
          <w:divBdr>
            <w:top w:val="none" w:sz="0" w:space="0" w:color="auto"/>
            <w:left w:val="none" w:sz="0" w:space="0" w:color="auto"/>
            <w:bottom w:val="none" w:sz="0" w:space="0" w:color="auto"/>
            <w:right w:val="none" w:sz="0" w:space="0" w:color="auto"/>
          </w:divBdr>
        </w:div>
        <w:div w:id="892156982">
          <w:marLeft w:val="274"/>
          <w:marRight w:val="0"/>
          <w:marTop w:val="0"/>
          <w:marBottom w:val="0"/>
          <w:divBdr>
            <w:top w:val="none" w:sz="0" w:space="0" w:color="auto"/>
            <w:left w:val="none" w:sz="0" w:space="0" w:color="auto"/>
            <w:bottom w:val="none" w:sz="0" w:space="0" w:color="auto"/>
            <w:right w:val="none" w:sz="0" w:space="0" w:color="auto"/>
          </w:divBdr>
        </w:div>
        <w:div w:id="1546603962">
          <w:marLeft w:val="274"/>
          <w:marRight w:val="0"/>
          <w:marTop w:val="0"/>
          <w:marBottom w:val="0"/>
          <w:divBdr>
            <w:top w:val="none" w:sz="0" w:space="0" w:color="auto"/>
            <w:left w:val="none" w:sz="0" w:space="0" w:color="auto"/>
            <w:bottom w:val="none" w:sz="0" w:space="0" w:color="auto"/>
            <w:right w:val="none" w:sz="0" w:space="0" w:color="auto"/>
          </w:divBdr>
        </w:div>
      </w:divsChild>
    </w:div>
    <w:div w:id="2052344240">
      <w:bodyDiv w:val="1"/>
      <w:marLeft w:val="0"/>
      <w:marRight w:val="0"/>
      <w:marTop w:val="0"/>
      <w:marBottom w:val="0"/>
      <w:divBdr>
        <w:top w:val="none" w:sz="0" w:space="0" w:color="auto"/>
        <w:left w:val="none" w:sz="0" w:space="0" w:color="auto"/>
        <w:bottom w:val="none" w:sz="0" w:space="0" w:color="auto"/>
        <w:right w:val="none" w:sz="0" w:space="0" w:color="auto"/>
      </w:divBdr>
    </w:div>
    <w:div w:id="2053381136">
      <w:bodyDiv w:val="1"/>
      <w:marLeft w:val="0"/>
      <w:marRight w:val="0"/>
      <w:marTop w:val="0"/>
      <w:marBottom w:val="0"/>
      <w:divBdr>
        <w:top w:val="none" w:sz="0" w:space="0" w:color="auto"/>
        <w:left w:val="none" w:sz="0" w:space="0" w:color="auto"/>
        <w:bottom w:val="none" w:sz="0" w:space="0" w:color="auto"/>
        <w:right w:val="none" w:sz="0" w:space="0" w:color="auto"/>
      </w:divBdr>
    </w:div>
    <w:div w:id="2056393839">
      <w:bodyDiv w:val="1"/>
      <w:marLeft w:val="0"/>
      <w:marRight w:val="0"/>
      <w:marTop w:val="0"/>
      <w:marBottom w:val="0"/>
      <w:divBdr>
        <w:top w:val="none" w:sz="0" w:space="0" w:color="auto"/>
        <w:left w:val="none" w:sz="0" w:space="0" w:color="auto"/>
        <w:bottom w:val="none" w:sz="0" w:space="0" w:color="auto"/>
        <w:right w:val="none" w:sz="0" w:space="0" w:color="auto"/>
      </w:divBdr>
    </w:div>
    <w:div w:id="2059934196">
      <w:bodyDiv w:val="1"/>
      <w:marLeft w:val="0"/>
      <w:marRight w:val="0"/>
      <w:marTop w:val="0"/>
      <w:marBottom w:val="0"/>
      <w:divBdr>
        <w:top w:val="none" w:sz="0" w:space="0" w:color="auto"/>
        <w:left w:val="none" w:sz="0" w:space="0" w:color="auto"/>
        <w:bottom w:val="none" w:sz="0" w:space="0" w:color="auto"/>
        <w:right w:val="none" w:sz="0" w:space="0" w:color="auto"/>
      </w:divBdr>
    </w:div>
    <w:div w:id="2062316648">
      <w:bodyDiv w:val="1"/>
      <w:marLeft w:val="0"/>
      <w:marRight w:val="0"/>
      <w:marTop w:val="0"/>
      <w:marBottom w:val="0"/>
      <w:divBdr>
        <w:top w:val="none" w:sz="0" w:space="0" w:color="auto"/>
        <w:left w:val="none" w:sz="0" w:space="0" w:color="auto"/>
        <w:bottom w:val="none" w:sz="0" w:space="0" w:color="auto"/>
        <w:right w:val="none" w:sz="0" w:space="0" w:color="auto"/>
      </w:divBdr>
    </w:div>
    <w:div w:id="2079785348">
      <w:bodyDiv w:val="1"/>
      <w:marLeft w:val="0"/>
      <w:marRight w:val="0"/>
      <w:marTop w:val="0"/>
      <w:marBottom w:val="0"/>
      <w:divBdr>
        <w:top w:val="none" w:sz="0" w:space="0" w:color="auto"/>
        <w:left w:val="none" w:sz="0" w:space="0" w:color="auto"/>
        <w:bottom w:val="none" w:sz="0" w:space="0" w:color="auto"/>
        <w:right w:val="none" w:sz="0" w:space="0" w:color="auto"/>
      </w:divBdr>
    </w:div>
    <w:div w:id="2082437103">
      <w:bodyDiv w:val="1"/>
      <w:marLeft w:val="0"/>
      <w:marRight w:val="0"/>
      <w:marTop w:val="0"/>
      <w:marBottom w:val="0"/>
      <w:divBdr>
        <w:top w:val="none" w:sz="0" w:space="0" w:color="auto"/>
        <w:left w:val="none" w:sz="0" w:space="0" w:color="auto"/>
        <w:bottom w:val="none" w:sz="0" w:space="0" w:color="auto"/>
        <w:right w:val="none" w:sz="0" w:space="0" w:color="auto"/>
      </w:divBdr>
    </w:div>
    <w:div w:id="2082865433">
      <w:bodyDiv w:val="1"/>
      <w:marLeft w:val="0"/>
      <w:marRight w:val="0"/>
      <w:marTop w:val="0"/>
      <w:marBottom w:val="0"/>
      <w:divBdr>
        <w:top w:val="none" w:sz="0" w:space="0" w:color="auto"/>
        <w:left w:val="none" w:sz="0" w:space="0" w:color="auto"/>
        <w:bottom w:val="none" w:sz="0" w:space="0" w:color="auto"/>
        <w:right w:val="none" w:sz="0" w:space="0" w:color="auto"/>
      </w:divBdr>
      <w:divsChild>
        <w:div w:id="1300265852">
          <w:marLeft w:val="274"/>
          <w:marRight w:val="0"/>
          <w:marTop w:val="0"/>
          <w:marBottom w:val="0"/>
          <w:divBdr>
            <w:top w:val="none" w:sz="0" w:space="0" w:color="auto"/>
            <w:left w:val="none" w:sz="0" w:space="0" w:color="auto"/>
            <w:bottom w:val="none" w:sz="0" w:space="0" w:color="auto"/>
            <w:right w:val="none" w:sz="0" w:space="0" w:color="auto"/>
          </w:divBdr>
        </w:div>
      </w:divsChild>
    </w:div>
    <w:div w:id="2084906130">
      <w:bodyDiv w:val="1"/>
      <w:marLeft w:val="0"/>
      <w:marRight w:val="0"/>
      <w:marTop w:val="0"/>
      <w:marBottom w:val="0"/>
      <w:divBdr>
        <w:top w:val="none" w:sz="0" w:space="0" w:color="auto"/>
        <w:left w:val="none" w:sz="0" w:space="0" w:color="auto"/>
        <w:bottom w:val="none" w:sz="0" w:space="0" w:color="auto"/>
        <w:right w:val="none" w:sz="0" w:space="0" w:color="auto"/>
      </w:divBdr>
    </w:div>
    <w:div w:id="2099672186">
      <w:bodyDiv w:val="1"/>
      <w:marLeft w:val="0"/>
      <w:marRight w:val="0"/>
      <w:marTop w:val="0"/>
      <w:marBottom w:val="0"/>
      <w:divBdr>
        <w:top w:val="none" w:sz="0" w:space="0" w:color="auto"/>
        <w:left w:val="none" w:sz="0" w:space="0" w:color="auto"/>
        <w:bottom w:val="none" w:sz="0" w:space="0" w:color="auto"/>
        <w:right w:val="none" w:sz="0" w:space="0" w:color="auto"/>
      </w:divBdr>
    </w:div>
    <w:div w:id="2107144076">
      <w:bodyDiv w:val="1"/>
      <w:marLeft w:val="0"/>
      <w:marRight w:val="0"/>
      <w:marTop w:val="0"/>
      <w:marBottom w:val="0"/>
      <w:divBdr>
        <w:top w:val="none" w:sz="0" w:space="0" w:color="auto"/>
        <w:left w:val="none" w:sz="0" w:space="0" w:color="auto"/>
        <w:bottom w:val="none" w:sz="0" w:space="0" w:color="auto"/>
        <w:right w:val="none" w:sz="0" w:space="0" w:color="auto"/>
      </w:divBdr>
    </w:div>
    <w:div w:id="2122408388">
      <w:bodyDiv w:val="1"/>
      <w:marLeft w:val="0"/>
      <w:marRight w:val="0"/>
      <w:marTop w:val="0"/>
      <w:marBottom w:val="0"/>
      <w:divBdr>
        <w:top w:val="none" w:sz="0" w:space="0" w:color="auto"/>
        <w:left w:val="none" w:sz="0" w:space="0" w:color="auto"/>
        <w:bottom w:val="none" w:sz="0" w:space="0" w:color="auto"/>
        <w:right w:val="none" w:sz="0" w:space="0" w:color="auto"/>
      </w:divBdr>
    </w:div>
    <w:div w:id="2126652075">
      <w:bodyDiv w:val="1"/>
      <w:marLeft w:val="0"/>
      <w:marRight w:val="0"/>
      <w:marTop w:val="0"/>
      <w:marBottom w:val="0"/>
      <w:divBdr>
        <w:top w:val="none" w:sz="0" w:space="0" w:color="auto"/>
        <w:left w:val="none" w:sz="0" w:space="0" w:color="auto"/>
        <w:bottom w:val="none" w:sz="0" w:space="0" w:color="auto"/>
        <w:right w:val="none" w:sz="0" w:space="0" w:color="auto"/>
      </w:divBdr>
    </w:div>
    <w:div w:id="2133089623">
      <w:bodyDiv w:val="1"/>
      <w:marLeft w:val="0"/>
      <w:marRight w:val="0"/>
      <w:marTop w:val="0"/>
      <w:marBottom w:val="0"/>
      <w:divBdr>
        <w:top w:val="none" w:sz="0" w:space="0" w:color="auto"/>
        <w:left w:val="none" w:sz="0" w:space="0" w:color="auto"/>
        <w:bottom w:val="none" w:sz="0" w:space="0" w:color="auto"/>
        <w:right w:val="none" w:sz="0" w:space="0" w:color="auto"/>
      </w:divBdr>
    </w:div>
    <w:div w:id="2144804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7.xml"/><Relationship Id="rId21" Type="http://schemas.openxmlformats.org/officeDocument/2006/relationships/chart" Target="charts/chart3.xml"/><Relationship Id="rId42" Type="http://schemas.openxmlformats.org/officeDocument/2006/relationships/chart" Target="charts/chart21.xml"/><Relationship Id="rId47" Type="http://schemas.openxmlformats.org/officeDocument/2006/relationships/header" Target="header3.xml"/><Relationship Id="rId63" Type="http://schemas.openxmlformats.org/officeDocument/2006/relationships/image" Target="media/image8.emf"/><Relationship Id="rId68" Type="http://schemas.openxmlformats.org/officeDocument/2006/relationships/chart" Target="charts/chart35.xml"/><Relationship Id="rId84" Type="http://schemas.openxmlformats.org/officeDocument/2006/relationships/hyperlink" Target="https://dx.doi.org/10.15454/1.4622711884167021E12" TargetMode="External"/><Relationship Id="rId89" Type="http://schemas.openxmlformats.org/officeDocument/2006/relationships/hyperlink" Target="https://www.cairn.info/sociologie-de-l-alimentation--9782200621049.htm" TargetMode="External"/><Relationship Id="rId16" Type="http://schemas.openxmlformats.org/officeDocument/2006/relationships/chart" Target="charts/chart1.xml"/><Relationship Id="rId11" Type="http://schemas.openxmlformats.org/officeDocument/2006/relationships/image" Target="media/image1.jpeg"/><Relationship Id="rId32" Type="http://schemas.openxmlformats.org/officeDocument/2006/relationships/chart" Target="charts/chart11.xml"/><Relationship Id="rId37" Type="http://schemas.openxmlformats.org/officeDocument/2006/relationships/chart" Target="charts/chart16.xml"/><Relationship Id="rId53" Type="http://schemas.openxmlformats.org/officeDocument/2006/relationships/chart" Target="charts/chart27.xml"/><Relationship Id="rId58" Type="http://schemas.openxmlformats.org/officeDocument/2006/relationships/image" Target="media/image5.png"/><Relationship Id="rId74" Type="http://schemas.openxmlformats.org/officeDocument/2006/relationships/chart" Target="charts/chart39.xml"/><Relationship Id="rId79" Type="http://schemas.openxmlformats.org/officeDocument/2006/relationships/chart" Target="charts/chart41.xml"/><Relationship Id="rId102"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hyperlink" Target="https://www.cairn.info/sociologie-de-l-alimentation--9782200621049.htm" TargetMode="External"/><Relationship Id="rId95" Type="http://schemas.openxmlformats.org/officeDocument/2006/relationships/hyperlink" Target="https://www.sciencedirect.com/science/article/abs/pii/S0959652617316232" TargetMode="External"/><Relationship Id="rId22" Type="http://schemas.openxmlformats.org/officeDocument/2006/relationships/chart" Target="charts/chart4.xml"/><Relationship Id="rId27" Type="http://schemas.openxmlformats.org/officeDocument/2006/relationships/chart" Target="charts/chart8.xml"/><Relationship Id="rId43" Type="http://schemas.openxmlformats.org/officeDocument/2006/relationships/chart" Target="charts/chart22.xml"/><Relationship Id="rId48" Type="http://schemas.openxmlformats.org/officeDocument/2006/relationships/header" Target="header4.xml"/><Relationship Id="rId64" Type="http://schemas.openxmlformats.org/officeDocument/2006/relationships/chart" Target="charts/chart32.xml"/><Relationship Id="rId69" Type="http://schemas.openxmlformats.org/officeDocument/2006/relationships/image" Target="media/image10.png"/><Relationship Id="rId80" Type="http://schemas.openxmlformats.org/officeDocument/2006/relationships/chart" Target="charts/chart42.xml"/><Relationship Id="rId85" Type="http://schemas.openxmlformats.org/officeDocument/2006/relationships/hyperlink" Target="https://hal.inrae.fr/hal-02635036" TargetMode="Externa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chart" Target="charts/chart2.xml"/><Relationship Id="rId25" Type="http://schemas.openxmlformats.org/officeDocument/2006/relationships/image" Target="media/image4.png"/><Relationship Id="rId33" Type="http://schemas.openxmlformats.org/officeDocument/2006/relationships/chart" Target="charts/chart12.xml"/><Relationship Id="rId38" Type="http://schemas.openxmlformats.org/officeDocument/2006/relationships/chart" Target="charts/chart17.xml"/><Relationship Id="rId46" Type="http://schemas.openxmlformats.org/officeDocument/2006/relationships/chart" Target="charts/chart25.xml"/><Relationship Id="rId59" Type="http://schemas.openxmlformats.org/officeDocument/2006/relationships/header" Target="header5.xml"/><Relationship Id="rId67" Type="http://schemas.openxmlformats.org/officeDocument/2006/relationships/chart" Target="charts/chart34.xml"/><Relationship Id="rId20" Type="http://schemas.openxmlformats.org/officeDocument/2006/relationships/image" Target="media/image3.png"/><Relationship Id="rId41" Type="http://schemas.openxmlformats.org/officeDocument/2006/relationships/chart" Target="charts/chart20.xml"/><Relationship Id="rId54" Type="http://schemas.openxmlformats.org/officeDocument/2006/relationships/chart" Target="charts/chart28.xml"/><Relationship Id="rId62" Type="http://schemas.openxmlformats.org/officeDocument/2006/relationships/image" Target="media/image7.png"/><Relationship Id="rId70" Type="http://schemas.openxmlformats.org/officeDocument/2006/relationships/chart" Target="charts/chart36.xml"/><Relationship Id="rId75" Type="http://schemas.openxmlformats.org/officeDocument/2006/relationships/image" Target="media/image12.png"/><Relationship Id="rId83" Type="http://schemas.openxmlformats.org/officeDocument/2006/relationships/hyperlink" Target="http://www.anses.fr" TargetMode="External"/><Relationship Id="rId88" Type="http://schemas.openxmlformats.org/officeDocument/2006/relationships/hyperlink" Target="https://www.cairn.info/publications-de-Marie-Plessz--699151.htm" TargetMode="External"/><Relationship Id="rId91" Type="http://schemas.openxmlformats.org/officeDocument/2006/relationships/hyperlink" Target="https://dx.doi.org/10.15454/1.4622710500090479E12" TargetMode="External"/><Relationship Id="rId96" Type="http://schemas.openxmlformats.org/officeDocument/2006/relationships/hyperlink" Target="https://www.sciencedirect.com/science/journal/09596526"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chart" Target="charts/chart5.xml"/><Relationship Id="rId28" Type="http://schemas.openxmlformats.org/officeDocument/2006/relationships/chart" Target="charts/chart9.xml"/><Relationship Id="rId36" Type="http://schemas.openxmlformats.org/officeDocument/2006/relationships/chart" Target="charts/chart15.xml"/><Relationship Id="rId49" Type="http://schemas.openxmlformats.org/officeDocument/2006/relationships/footer" Target="footer3.xml"/><Relationship Id="rId57" Type="http://schemas.openxmlformats.org/officeDocument/2006/relationships/chart" Target="charts/chart31.xml"/><Relationship Id="rId10" Type="http://schemas.openxmlformats.org/officeDocument/2006/relationships/endnotes" Target="endnotes.xml"/><Relationship Id="rId31" Type="http://schemas.openxmlformats.org/officeDocument/2006/relationships/chart" Target="charts/chart10.xml"/><Relationship Id="rId44" Type="http://schemas.openxmlformats.org/officeDocument/2006/relationships/chart" Target="charts/chart23.xml"/><Relationship Id="rId52" Type="http://schemas.openxmlformats.org/officeDocument/2006/relationships/hyperlink" Target="http://world.openfoodfacts.org/" TargetMode="External"/><Relationship Id="rId60" Type="http://schemas.openxmlformats.org/officeDocument/2006/relationships/image" Target="media/image6.png"/><Relationship Id="rId65" Type="http://schemas.openxmlformats.org/officeDocument/2006/relationships/chart" Target="charts/chart33.xml"/><Relationship Id="rId73" Type="http://schemas.openxmlformats.org/officeDocument/2006/relationships/chart" Target="charts/chart38.xml"/><Relationship Id="rId78" Type="http://schemas.openxmlformats.org/officeDocument/2006/relationships/header" Target="header7.xml"/><Relationship Id="rId81" Type="http://schemas.openxmlformats.org/officeDocument/2006/relationships/chart" Target="charts/chart43.xml"/><Relationship Id="rId86" Type="http://schemas.openxmlformats.org/officeDocument/2006/relationships/hyperlink" Target="https://www.cairn.info/publications-de-Philippe-Cardon--37036.htm" TargetMode="External"/><Relationship Id="rId94" Type="http://schemas.openxmlformats.org/officeDocument/2006/relationships/hyperlink" Target="https://hal.archives-ouvertes.fr/hal-00851376" TargetMode="External"/><Relationship Id="rId99" Type="http://schemas.openxmlformats.org/officeDocument/2006/relationships/hyperlink" Target="https://www.santepubliquefrance.fr" TargetMode="External"/><Relationship Id="rId10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39" Type="http://schemas.openxmlformats.org/officeDocument/2006/relationships/chart" Target="charts/chart18.xml"/><Relationship Id="rId34" Type="http://schemas.openxmlformats.org/officeDocument/2006/relationships/chart" Target="charts/chart13.xml"/><Relationship Id="rId50" Type="http://schemas.openxmlformats.org/officeDocument/2006/relationships/footer" Target="footer4.xml"/><Relationship Id="rId55" Type="http://schemas.openxmlformats.org/officeDocument/2006/relationships/chart" Target="charts/chart29.xml"/><Relationship Id="rId76" Type="http://schemas.openxmlformats.org/officeDocument/2006/relationships/chart" Target="charts/chart40.xml"/><Relationship Id="rId97" Type="http://schemas.openxmlformats.org/officeDocument/2006/relationships/hyperlink" Target="https://www.sciencedirect.com/science/journal/09596526/165/supp/C" TargetMode="External"/><Relationship Id="rId7" Type="http://schemas.openxmlformats.org/officeDocument/2006/relationships/settings" Target="settings.xml"/><Relationship Id="rId71" Type="http://schemas.openxmlformats.org/officeDocument/2006/relationships/chart" Target="charts/chart37.xml"/><Relationship Id="rId92" Type="http://schemas.openxmlformats.org/officeDocument/2006/relationships/hyperlink" Target="https://hal.inrae.fr/hal-02630037" TargetMode="External"/><Relationship Id="rId2" Type="http://schemas.openxmlformats.org/officeDocument/2006/relationships/customXml" Target="../customXml/item2.xml"/><Relationship Id="rId29" Type="http://schemas.openxmlformats.org/officeDocument/2006/relationships/header" Target="header2.xml"/><Relationship Id="rId24" Type="http://schemas.openxmlformats.org/officeDocument/2006/relationships/chart" Target="charts/chart6.xml"/><Relationship Id="rId40" Type="http://schemas.openxmlformats.org/officeDocument/2006/relationships/chart" Target="charts/chart19.xml"/><Relationship Id="rId45" Type="http://schemas.openxmlformats.org/officeDocument/2006/relationships/chart" Target="charts/chart24.xml"/><Relationship Id="rId66" Type="http://schemas.openxmlformats.org/officeDocument/2006/relationships/image" Target="media/image9.png"/><Relationship Id="rId87" Type="http://schemas.openxmlformats.org/officeDocument/2006/relationships/hyperlink" Target="https://www.cairn.info/publications-de-Thomas-Depecker--120891.htm" TargetMode="External"/><Relationship Id="rId61" Type="http://schemas.openxmlformats.org/officeDocument/2006/relationships/header" Target="header6.xml"/><Relationship Id="rId82" Type="http://schemas.openxmlformats.org/officeDocument/2006/relationships/image" Target="media/image13.png"/><Relationship Id="rId14" Type="http://schemas.openxmlformats.org/officeDocument/2006/relationships/footer" Target="footer1.xml"/><Relationship Id="rId30" Type="http://schemas.openxmlformats.org/officeDocument/2006/relationships/hyperlink" Target="http://www.insee.fr" TargetMode="External"/><Relationship Id="rId35" Type="http://schemas.openxmlformats.org/officeDocument/2006/relationships/chart" Target="charts/chart14.xml"/><Relationship Id="rId56" Type="http://schemas.openxmlformats.org/officeDocument/2006/relationships/chart" Target="charts/chart30.xml"/><Relationship Id="rId77" Type="http://schemas.openxmlformats.org/officeDocument/2006/relationships/hyperlink" Target="http://eur-lex.europa.eu/LexUriServ/LexUriServ.do?uri=OJ:L:2004:226:0022:0082:FR:PDF" TargetMode="External"/><Relationship Id="rId100" Type="http://schemas.openxmlformats.org/officeDocument/2006/relationships/hyperlink" Target="https://www.entreprises.gouv.fr/files/files/directions_services/etudes-et-statistiques/4p-DGE/2019-07-4Pn88-EVE.pdf" TargetMode="External"/><Relationship Id="rId8" Type="http://schemas.openxmlformats.org/officeDocument/2006/relationships/webSettings" Target="webSettings.xml"/><Relationship Id="rId51" Type="http://schemas.openxmlformats.org/officeDocument/2006/relationships/chart" Target="charts/chart26.xml"/><Relationship Id="rId72" Type="http://schemas.openxmlformats.org/officeDocument/2006/relationships/image" Target="media/image11.png"/><Relationship Id="rId93" Type="http://schemas.openxmlformats.org/officeDocument/2006/relationships/hyperlink" Target="http://www.fao.org/3/ai6583e.pdf" TargetMode="External"/><Relationship Id="rId98" Type="http://schemas.openxmlformats.org/officeDocument/2006/relationships/hyperlink" Target="https://www6.angers-nantes.inrae.fr/bioepar_eng/content/download/3906/44744/version/1/file/Diaporama+Poulet+de+chair.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diot\Documents\01-%20R&#233;union%202406\Pr&#233;sentation%20graphes.xlsx" TargetMode="External"/></Relationships>
</file>

<file path=word/charts/_rels/chart3.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diot\Documents\2019%20Panorama-Conso%20FAM\Copil%20III\chiffres%20copil%20IV.xlsx"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diot\Documents\2019%20Panorama-Conso%20FAM\Copil%20III\chiffres%20copil%20IV.xlsx" TargetMode="External"/><Relationship Id="rId2" Type="http://schemas.microsoft.com/office/2011/relationships/chartColorStyle" Target="colors4.xml"/><Relationship Id="rId1" Type="http://schemas.microsoft.com/office/2011/relationships/chartStyle" Target="style4.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5.xml"/><Relationship Id="rId1" Type="http://schemas.microsoft.com/office/2011/relationships/chartStyle" Target="style5.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6.xml"/><Relationship Id="rId1" Type="http://schemas.microsoft.com/office/2011/relationships/chartStyle" Target="style6.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7.xml"/><Relationship Id="rId1" Type="http://schemas.microsoft.com/office/2011/relationships/chartStyle" Target="style7.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8.xml"/><Relationship Id="rId1" Type="http://schemas.microsoft.com/office/2011/relationships/chartStyle" Target="style8.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9.xml"/><Relationship Id="rId1" Type="http://schemas.microsoft.com/office/2011/relationships/chartStyle" Target="style9.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10.xml"/><Relationship Id="rId1" Type="http://schemas.microsoft.com/office/2011/relationships/chartStyle" Target="style10.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1.xml"/><Relationship Id="rId1" Type="http://schemas.microsoft.com/office/2011/relationships/chartStyle" Target="style11.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2.xml"/><Relationship Id="rId1" Type="http://schemas.microsoft.com/office/2011/relationships/chartStyle" Target="style12.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3.xml"/><Relationship Id="rId1" Type="http://schemas.microsoft.com/office/2011/relationships/chartStyle" Target="style13.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4.xml"/><Relationship Id="rId1" Type="http://schemas.microsoft.com/office/2011/relationships/chartStyle" Target="style14.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15.xml"/><Relationship Id="rId1" Type="http://schemas.microsoft.com/office/2011/relationships/chartStyle" Target="style15.xml"/></Relationships>
</file>

<file path=word/charts/_rels/chart17.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6.xml"/><Relationship Id="rId1" Type="http://schemas.microsoft.com/office/2011/relationships/chartStyle" Target="style16.xml"/></Relationships>
</file>

<file path=word/charts/_rels/chart18.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chartUserShapes" Target="../drawings/drawing2.xml"/></Relationships>
</file>

<file path=word/charts/_rels/chart19.xml.rels><?xml version="1.0" encoding="UTF-8" standalone="yes"?>
<Relationships xmlns="http://schemas.openxmlformats.org/package/2006/relationships"><Relationship Id="rId3" Type="http://schemas.openxmlformats.org/officeDocument/2006/relationships/oleObject" Target="file:///C:\Users\diot\Documents\Rapport\Pr&#233;sentation%20graphes2credocrapport.xlsx" TargetMode="Externa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chartUserShapes" Target="../drawings/drawing3.xml"/></Relationships>
</file>

<file path=word/charts/_rels/chart20.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19.xml"/><Relationship Id="rId1" Type="http://schemas.microsoft.com/office/2011/relationships/chartStyle" Target="style19.xml"/></Relationships>
</file>

<file path=word/charts/_rels/chart21.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chartUserShapes" Target="../drawings/drawing4.xm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file:///C:\Users\diot\Documents\JRP\document%20graph%20JRP.xlsx" TargetMode="External"/></Relationships>
</file>

<file path=word/charts/_rels/chart23.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22.xml"/><Relationship Id="rId1" Type="http://schemas.microsoft.com/office/2011/relationships/chartStyle" Target="style22.xml"/></Relationships>
</file>

<file path=word/charts/_rels/chart24.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3.xml"/><Relationship Id="rId1" Type="http://schemas.microsoft.com/office/2011/relationships/chartStyle" Target="style23.xml"/></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package" Target="../embeddings/Microsoft_Excel_Worksheet.xlsx"/></Relationships>
</file>

<file path=word/charts/_rels/chart26.xml.rels><?xml version="1.0" encoding="UTF-8" standalone="yes"?>
<Relationships xmlns="http://schemas.openxmlformats.org/package/2006/relationships"><Relationship Id="rId3" Type="http://schemas.openxmlformats.org/officeDocument/2006/relationships/oleObject" Target="file:///C:\Users\diot\Documents\01-%20R&#233;union%202406\Pr&#233;sentation%20graphes.xlsx" TargetMode="External"/><Relationship Id="rId2" Type="http://schemas.microsoft.com/office/2011/relationships/chartColorStyle" Target="colors25.xml"/><Relationship Id="rId1" Type="http://schemas.microsoft.com/office/2011/relationships/chartStyle" Target="style25.xml"/></Relationships>
</file>

<file path=word/charts/_rels/chart27.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chartUserShapes" Target="../drawings/drawing5.xml"/></Relationships>
</file>

<file path=word/charts/_rels/chart28.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chartUserShapes" Target="../drawings/drawing6.xml"/></Relationships>
</file>

<file path=word/charts/_rels/chart29.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8.xml"/><Relationship Id="rId1" Type="http://schemas.microsoft.com/office/2011/relationships/chartStyle" Target="style28.xml"/><Relationship Id="rId4" Type="http://schemas.openxmlformats.org/officeDocument/2006/relationships/chartUserShapes" Target="../drawings/drawing7.xml"/></Relationships>
</file>

<file path=word/charts/_rels/chart30.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29.xml"/><Relationship Id="rId1" Type="http://schemas.microsoft.com/office/2011/relationships/chartStyle" Target="style29.xml"/><Relationship Id="rId4" Type="http://schemas.openxmlformats.org/officeDocument/2006/relationships/chartUserShapes" Target="../drawings/drawing8.xml"/></Relationships>
</file>

<file path=word/charts/_rels/chart31.xml.rels><?xml version="1.0" encoding="UTF-8" standalone="yes"?>
<Relationships xmlns="http://schemas.openxmlformats.org/package/2006/relationships"><Relationship Id="rId3" Type="http://schemas.openxmlformats.org/officeDocument/2006/relationships/oleObject" Target="file:///C:\Users\diot\Documents\Rapport\graphe%20rapport.xlsx" TargetMode="External"/><Relationship Id="rId2" Type="http://schemas.microsoft.com/office/2011/relationships/chartColorStyle" Target="colors30.xml"/><Relationship Id="rId1" Type="http://schemas.microsoft.com/office/2011/relationships/chartStyle" Target="style30.xml"/><Relationship Id="rId4" Type="http://schemas.openxmlformats.org/officeDocument/2006/relationships/chartUserShapes" Target="../drawings/drawing9.xml"/></Relationships>
</file>

<file path=word/charts/_rels/chart32.xml.rels><?xml version="1.0" encoding="UTF-8" standalone="yes"?>
<Relationships xmlns="http://schemas.openxmlformats.org/package/2006/relationships"><Relationship Id="rId3" Type="http://schemas.openxmlformats.org/officeDocument/2006/relationships/oleObject" Target="file:///C:\Users\diot\Documents\Nouvelle%20analyse%20des%20flux.xlsx" TargetMode="External"/><Relationship Id="rId2" Type="http://schemas.microsoft.com/office/2011/relationships/chartColorStyle" Target="colors31.xml"/><Relationship Id="rId1" Type="http://schemas.microsoft.com/office/2011/relationships/chartStyle" Target="style31.xml"/></Relationships>
</file>

<file path=word/charts/_rels/chart33.xml.rels><?xml version="1.0" encoding="UTF-8" standalone="yes"?>
<Relationships xmlns="http://schemas.openxmlformats.org/package/2006/relationships"><Relationship Id="rId3" Type="http://schemas.openxmlformats.org/officeDocument/2006/relationships/oleObject" Target="file:///C:\Users\diot\Documents\Rapport\dossier%20source%20cartographie%202408%20de%20travail%20pour%20le%201711secourspour%20rapport.xlsx" TargetMode="External"/><Relationship Id="rId2" Type="http://schemas.microsoft.com/office/2011/relationships/chartColorStyle" Target="colors32.xml"/><Relationship Id="rId1" Type="http://schemas.microsoft.com/office/2011/relationships/chartStyle" Target="style32.xml"/></Relationships>
</file>

<file path=word/charts/_rels/chart34.xml.rels><?xml version="1.0" encoding="UTF-8" standalone="yes"?>
<Relationships xmlns="http://schemas.openxmlformats.org/package/2006/relationships"><Relationship Id="rId3" Type="http://schemas.openxmlformats.org/officeDocument/2006/relationships/oleObject" Target="file:///C:\Users\diot\Documents\Rapport\dossier%20source%20cartographie%202408%20de%20travail%20pour%20le%201711secourspour%20rapport.xlsx" TargetMode="External"/><Relationship Id="rId2" Type="http://schemas.microsoft.com/office/2011/relationships/chartColorStyle" Target="colors33.xml"/><Relationship Id="rId1" Type="http://schemas.microsoft.com/office/2011/relationships/chartStyle" Target="style33.xml"/></Relationships>
</file>

<file path=word/charts/_rels/chart35.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4.xml"/><Relationship Id="rId1" Type="http://schemas.microsoft.com/office/2011/relationships/chartStyle" Target="style34.xml"/></Relationships>
</file>

<file path=word/charts/_rels/chart36.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5.xml"/><Relationship Id="rId1" Type="http://schemas.microsoft.com/office/2011/relationships/chartStyle" Target="style35.xml"/></Relationships>
</file>

<file path=word/charts/_rels/chart37.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6.xml"/><Relationship Id="rId1" Type="http://schemas.microsoft.com/office/2011/relationships/chartStyle" Target="style36.xml"/></Relationships>
</file>

<file path=word/charts/_rels/chart38.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7.xml"/><Relationship Id="rId1" Type="http://schemas.microsoft.com/office/2011/relationships/chartStyle" Target="style37.xml"/></Relationships>
</file>

<file path=word/charts/_rels/chart39.xml.rels><?xml version="1.0" encoding="UTF-8" standalone="yes"?>
<Relationships xmlns="http://schemas.openxmlformats.org/package/2006/relationships"><Relationship Id="rId3" Type="http://schemas.openxmlformats.org/officeDocument/2006/relationships/oleObject" Target="file:///C:\Users\diot\Documents\grapherapport%20recup.xlsx" TargetMode="External"/><Relationship Id="rId2" Type="http://schemas.microsoft.com/office/2011/relationships/chartColorStyle" Target="colors38.xml"/><Relationship Id="rId1" Type="http://schemas.microsoft.com/office/2011/relationships/chartStyle" Target="style38.xml"/></Relationships>
</file>

<file path=word/charts/_rels/chart40.xml.rels><?xml version="1.0" encoding="UTF-8" standalone="yes"?>
<Relationships xmlns="http://schemas.openxmlformats.org/package/2006/relationships"><Relationship Id="rId3" Type="http://schemas.openxmlformats.org/officeDocument/2006/relationships/oleObject" Target="file:///C:\Users\diot\Documents\Nouvelle%20analyse%20des%20flux.xlsx" TargetMode="External"/><Relationship Id="rId2" Type="http://schemas.microsoft.com/office/2011/relationships/chartColorStyle" Target="colors39.xml"/><Relationship Id="rId1" Type="http://schemas.microsoft.com/office/2011/relationships/chartStyle" Target="style39.xml"/></Relationships>
</file>

<file path=word/charts/_rels/chart41.xml.rels><?xml version="1.0" encoding="UTF-8" standalone="yes"?>
<Relationships xmlns="http://schemas.openxmlformats.org/package/2006/relationships"><Relationship Id="rId3" Type="http://schemas.openxmlformats.org/officeDocument/2006/relationships/oleObject" Target="file:///\\srv-fichier\Conso\Etudes\Etudes%20en%20cours\G006-INTERBEV-INAPORC-ANVOL\Resultats\R&#233;sultats%20Enqu&#234;te%20CCAF%202020-%20CIV,INTERBEV_30_06_20.xlsx" TargetMode="External"/><Relationship Id="rId2" Type="http://schemas.microsoft.com/office/2011/relationships/chartColorStyle" Target="colors40.xml"/><Relationship Id="rId1" Type="http://schemas.microsoft.com/office/2011/relationships/chartStyle" Target="style40.xml"/></Relationships>
</file>

<file path=word/charts/_rels/chart42.xml.rels><?xml version="1.0" encoding="UTF-8" standalone="yes"?>
<Relationships xmlns="http://schemas.openxmlformats.org/package/2006/relationships"><Relationship Id="rId3" Type="http://schemas.openxmlformats.org/officeDocument/2006/relationships/oleObject" Target="file:///\\srv-fichier\Conso\Etudes\Etudes%20en%20cours\G006-INTERBEV-INAPORC-ANVOL\Resultats\R&#233;sultats%20Enqu&#234;te%20CCAF%202020-%20CIV,INTERBEV_30_06_20.xlsx" TargetMode="External"/><Relationship Id="rId2" Type="http://schemas.microsoft.com/office/2011/relationships/chartColorStyle" Target="colors41.xml"/><Relationship Id="rId1" Type="http://schemas.microsoft.com/office/2011/relationships/chartStyle" Target="style41.xml"/></Relationships>
</file>

<file path=word/charts/_rels/chart43.xml.rels><?xml version="1.0" encoding="UTF-8" standalone="yes"?>
<Relationships xmlns="http://schemas.openxmlformats.org/package/2006/relationships"><Relationship Id="rId3" Type="http://schemas.openxmlformats.org/officeDocument/2006/relationships/oleObject" Target="file:///\\srv-fichier\Conso\Etudes\Etudes%20en%20cours\G006-INTERBEV-INAPORC-ANVOL\Resultats\R&#233;sultats%20Enqu&#234;te%20CCAF%202020-%20CIV,INTERBEV_30_06_20.xlsx" TargetMode="External"/><Relationship Id="rId2" Type="http://schemas.microsoft.com/office/2011/relationships/chartColorStyle" Target="colors42.xml"/><Relationship Id="rId1" Type="http://schemas.microsoft.com/office/2011/relationships/chartStyle" Target="style4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095130237825595"/>
          <c:y val="5.9841714570954704E-2"/>
          <c:w val="0.7490152066212562"/>
          <c:h val="0.73461869796950219"/>
        </c:manualLayout>
      </c:layout>
      <c:lineChart>
        <c:grouping val="standard"/>
        <c:varyColors val="0"/>
        <c:ser>
          <c:idx val="0"/>
          <c:order val="0"/>
          <c:tx>
            <c:strRef>
              <c:f>'Graphe 1 def'!$C$23</c:f>
              <c:strCache>
                <c:ptCount val="1"/>
                <c:pt idx="0">
                  <c:v>Mios de têtes</c:v>
                </c:pt>
              </c:strCache>
            </c:strRef>
          </c:tx>
          <c:spPr>
            <a:ln w="28575" cap="rnd">
              <a:solidFill>
                <a:schemeClr val="bg2">
                  <a:lumMod val="10000"/>
                </a:schemeClr>
              </a:solidFill>
              <a:round/>
            </a:ln>
            <a:effectLst/>
          </c:spPr>
          <c:marker>
            <c:symbol val="none"/>
          </c:marker>
          <c:dLbls>
            <c:dLbl>
              <c:idx val="18"/>
              <c:layout>
                <c:manualLayout>
                  <c:x val="-9.8384129956252536E-2"/>
                  <c:y val="-0.12571342880036526"/>
                </c:manualLayout>
              </c:layout>
              <c:tx>
                <c:rich>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fld id="{237AB5D9-42D8-4BED-A8A3-ED104B16CE71}" type="VALUE">
                      <a:rPr lang="en-US" sz="1200" b="1">
                        <a:solidFill>
                          <a:schemeClr val="bg1"/>
                        </a:solidFill>
                        <a:latin typeface="Arial" panose="020B0604020202020204" pitchFamily="34" charset="0"/>
                        <a:cs typeface="Arial" panose="020B0604020202020204" pitchFamily="34" charset="0"/>
                      </a:rPr>
                      <a:pPr>
                        <a:defRPr>
                          <a:solidFill>
                            <a:schemeClr val="bg1"/>
                          </a:solidFill>
                        </a:defRPr>
                      </a:pPr>
                      <a:t>[VALEUR]</a:t>
                    </a:fld>
                    <a:endParaRPr lang="fr-FR"/>
                  </a:p>
                </c:rich>
              </c:tx>
              <c:spPr>
                <a:solidFill>
                  <a:schemeClr val="bg2">
                    <a:lumMod val="2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bg1"/>
                      </a:solidFill>
                      <a:latin typeface="+mn-lt"/>
                      <a:ea typeface="+mn-ea"/>
                      <a:cs typeface="+mn-cs"/>
                    </a:defRPr>
                  </a:pPr>
                  <a:endParaRPr lang="fr-FR"/>
                </a:p>
              </c:txPr>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0-EC2F-4F4B-8CFC-9994E6AC6DD8}"/>
                </c:ext>
              </c:extLst>
            </c:dLbl>
            <c:spPr>
              <a:solidFill>
                <a:schemeClr val="bg2">
                  <a:lumMod val="25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1 def'!$D$22:$V$22</c:f>
              <c:strCache>
                <c:ptCount val="19"/>
                <c:pt idx="0">
                  <c:v>00</c:v>
                </c:pt>
                <c:pt idx="1">
                  <c:v>01</c:v>
                </c:pt>
                <c:pt idx="2">
                  <c:v>02</c:v>
                </c:pt>
                <c:pt idx="3">
                  <c:v>03</c:v>
                </c:pt>
                <c:pt idx="4">
                  <c:v>04</c:v>
                </c:pt>
                <c:pt idx="5">
                  <c:v>05</c:v>
                </c:pt>
                <c:pt idx="6">
                  <c:v>06</c:v>
                </c:pt>
                <c:pt idx="7">
                  <c:v>07</c:v>
                </c:pt>
                <c:pt idx="8">
                  <c:v>08</c:v>
                </c:pt>
                <c:pt idx="9">
                  <c:v>09</c:v>
                </c:pt>
                <c:pt idx="10">
                  <c:v>10</c:v>
                </c:pt>
                <c:pt idx="11">
                  <c:v>11</c:v>
                </c:pt>
                <c:pt idx="12">
                  <c:v>12</c:v>
                </c:pt>
                <c:pt idx="13">
                  <c:v>13</c:v>
                </c:pt>
                <c:pt idx="14">
                  <c:v>14</c:v>
                </c:pt>
                <c:pt idx="15">
                  <c:v>15</c:v>
                </c:pt>
                <c:pt idx="16">
                  <c:v>16</c:v>
                </c:pt>
                <c:pt idx="17">
                  <c:v>17</c:v>
                </c:pt>
                <c:pt idx="18">
                  <c:v>18</c:v>
                </c:pt>
              </c:strCache>
            </c:strRef>
          </c:cat>
          <c:val>
            <c:numRef>
              <c:f>'Graphe 1 def'!$D$23:$V$23</c:f>
              <c:numCache>
                <c:formatCode>0.0</c:formatCode>
                <c:ptCount val="19"/>
                <c:pt idx="0">
                  <c:v>26.104574</c:v>
                </c:pt>
                <c:pt idx="1">
                  <c:v>25.615188</c:v>
                </c:pt>
                <c:pt idx="2">
                  <c:v>25.910931000000001</c:v>
                </c:pt>
                <c:pt idx="3">
                  <c:v>25.768905</c:v>
                </c:pt>
                <c:pt idx="4">
                  <c:v>25.530906999999999</c:v>
                </c:pt>
                <c:pt idx="5">
                  <c:v>25.105138</c:v>
                </c:pt>
                <c:pt idx="6">
                  <c:v>24.950445999999999</c:v>
                </c:pt>
                <c:pt idx="7">
                  <c:v>25.248593</c:v>
                </c:pt>
                <c:pt idx="8">
                  <c:v>25.290828999999999</c:v>
                </c:pt>
                <c:pt idx="9">
                  <c:v>24.907765000000001</c:v>
                </c:pt>
                <c:pt idx="10">
                  <c:v>24.930548000000002</c:v>
                </c:pt>
                <c:pt idx="11">
                  <c:v>24.801176999999999</c:v>
                </c:pt>
                <c:pt idx="12">
                  <c:v>24.122111</c:v>
                </c:pt>
                <c:pt idx="13">
                  <c:v>23.728126</c:v>
                </c:pt>
                <c:pt idx="14">
                  <c:v>23.658933000000001</c:v>
                </c:pt>
                <c:pt idx="15">
                  <c:v>23.658270000000002</c:v>
                </c:pt>
                <c:pt idx="16">
                  <c:v>23.816496999999998</c:v>
                </c:pt>
                <c:pt idx="17">
                  <c:v>23.404295000000001</c:v>
                </c:pt>
                <c:pt idx="18">
                  <c:v>23.49147</c:v>
                </c:pt>
              </c:numCache>
            </c:numRef>
          </c:val>
          <c:smooth val="0"/>
          <c:extLst>
            <c:ext xmlns:c16="http://schemas.microsoft.com/office/drawing/2014/chart" uri="{C3380CC4-5D6E-409C-BE32-E72D297353CC}">
              <c16:uniqueId val="{00000001-EC2F-4F4B-8CFC-9994E6AC6DD8}"/>
            </c:ext>
          </c:extLst>
        </c:ser>
        <c:dLbls>
          <c:showLegendKey val="0"/>
          <c:showVal val="0"/>
          <c:showCatName val="0"/>
          <c:showSerName val="0"/>
          <c:showPercent val="0"/>
          <c:showBubbleSize val="0"/>
        </c:dLbls>
        <c:marker val="1"/>
        <c:smooth val="0"/>
        <c:axId val="1140725456"/>
        <c:axId val="1140726768"/>
      </c:lineChart>
      <c:lineChart>
        <c:grouping val="standard"/>
        <c:varyColors val="0"/>
        <c:ser>
          <c:idx val="1"/>
          <c:order val="1"/>
          <c:tx>
            <c:strRef>
              <c:f>'Graphe 1 def'!$C$24</c:f>
              <c:strCache>
                <c:ptCount val="1"/>
                <c:pt idx="0">
                  <c:v>Mios de TEC</c:v>
                </c:pt>
              </c:strCache>
            </c:strRef>
          </c:tx>
          <c:spPr>
            <a:ln w="28575" cap="rnd">
              <a:solidFill>
                <a:schemeClr val="bg1">
                  <a:lumMod val="50000"/>
                </a:schemeClr>
              </a:solidFill>
              <a:round/>
            </a:ln>
            <a:effectLst/>
          </c:spPr>
          <c:marker>
            <c:symbol val="none"/>
          </c:marker>
          <c:dLbls>
            <c:dLbl>
              <c:idx val="17"/>
              <c:layout>
                <c:manualLayout>
                  <c:x val="-5.8057760388537841E-2"/>
                  <c:y val="-0.14606634943798599"/>
                </c:manualLayout>
              </c:layout>
              <c:spPr>
                <a:solidFill>
                  <a:schemeClr val="bg1">
                    <a:lumMod val="50000"/>
                  </a:schemeClr>
                </a:solid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C2F-4F4B-8CFC-9994E6AC6DD8}"/>
                </c:ext>
              </c:extLst>
            </c:dLbl>
            <c:spPr>
              <a:solidFill>
                <a:schemeClr val="bg1">
                  <a:lumMod val="50000"/>
                </a:schemeClr>
              </a:solid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1 def'!$D$22:$V$22</c:f>
              <c:strCache>
                <c:ptCount val="19"/>
                <c:pt idx="0">
                  <c:v>00</c:v>
                </c:pt>
                <c:pt idx="1">
                  <c:v>01</c:v>
                </c:pt>
                <c:pt idx="2">
                  <c:v>02</c:v>
                </c:pt>
                <c:pt idx="3">
                  <c:v>03</c:v>
                </c:pt>
                <c:pt idx="4">
                  <c:v>04</c:v>
                </c:pt>
                <c:pt idx="5">
                  <c:v>05</c:v>
                </c:pt>
                <c:pt idx="6">
                  <c:v>06</c:v>
                </c:pt>
                <c:pt idx="7">
                  <c:v>07</c:v>
                </c:pt>
                <c:pt idx="8">
                  <c:v>08</c:v>
                </c:pt>
                <c:pt idx="9">
                  <c:v>09</c:v>
                </c:pt>
                <c:pt idx="10">
                  <c:v>10</c:v>
                </c:pt>
                <c:pt idx="11">
                  <c:v>11</c:v>
                </c:pt>
                <c:pt idx="12">
                  <c:v>12</c:v>
                </c:pt>
                <c:pt idx="13">
                  <c:v>13</c:v>
                </c:pt>
                <c:pt idx="14">
                  <c:v>14</c:v>
                </c:pt>
                <c:pt idx="15">
                  <c:v>15</c:v>
                </c:pt>
                <c:pt idx="16">
                  <c:v>16</c:v>
                </c:pt>
                <c:pt idx="17">
                  <c:v>17</c:v>
                </c:pt>
                <c:pt idx="18">
                  <c:v>18</c:v>
                </c:pt>
              </c:strCache>
            </c:strRef>
          </c:cat>
          <c:val>
            <c:numRef>
              <c:f>'Graphe 1 def'!$D$24:$V$24</c:f>
              <c:numCache>
                <c:formatCode>0.00</c:formatCode>
                <c:ptCount val="19"/>
                <c:pt idx="0">
                  <c:v>2.165152</c:v>
                </c:pt>
                <c:pt idx="1">
                  <c:v>2.1351230000000001</c:v>
                </c:pt>
                <c:pt idx="2">
                  <c:v>2.1684650000000003</c:v>
                </c:pt>
                <c:pt idx="3">
                  <c:v>2.1855120000000001</c:v>
                </c:pt>
                <c:pt idx="4">
                  <c:v>2.1932620000000003</c:v>
                </c:pt>
                <c:pt idx="5">
                  <c:v>2.1489569999999998</c:v>
                </c:pt>
                <c:pt idx="6">
                  <c:v>2.1266909999999997</c:v>
                </c:pt>
                <c:pt idx="7">
                  <c:v>2.1347800000000001</c:v>
                </c:pt>
                <c:pt idx="8">
                  <c:v>2.1808270000000003</c:v>
                </c:pt>
                <c:pt idx="9">
                  <c:v>2.1705360000000002</c:v>
                </c:pt>
                <c:pt idx="10">
                  <c:v>2.142102</c:v>
                </c:pt>
                <c:pt idx="11">
                  <c:v>2.141877</c:v>
                </c:pt>
                <c:pt idx="12">
                  <c:v>2.103863</c:v>
                </c:pt>
                <c:pt idx="13">
                  <c:v>2.109877</c:v>
                </c:pt>
                <c:pt idx="14">
                  <c:v>2.102935</c:v>
                </c:pt>
                <c:pt idx="15">
                  <c:v>2.1663180000000004</c:v>
                </c:pt>
                <c:pt idx="16">
                  <c:v>2.2065579999999998</c:v>
                </c:pt>
                <c:pt idx="17">
                  <c:v>2.1789830000000001</c:v>
                </c:pt>
                <c:pt idx="18">
                  <c:v>2.1792469999999997</c:v>
                </c:pt>
              </c:numCache>
            </c:numRef>
          </c:val>
          <c:smooth val="0"/>
          <c:extLst>
            <c:ext xmlns:c16="http://schemas.microsoft.com/office/drawing/2014/chart" uri="{C3380CC4-5D6E-409C-BE32-E72D297353CC}">
              <c16:uniqueId val="{00000003-EC2F-4F4B-8CFC-9994E6AC6DD8}"/>
            </c:ext>
          </c:extLst>
        </c:ser>
        <c:dLbls>
          <c:showLegendKey val="0"/>
          <c:showVal val="0"/>
          <c:showCatName val="0"/>
          <c:showSerName val="0"/>
          <c:showPercent val="0"/>
          <c:showBubbleSize val="0"/>
        </c:dLbls>
        <c:marker val="1"/>
        <c:smooth val="0"/>
        <c:axId val="1140842552"/>
        <c:axId val="1140846816"/>
      </c:lineChart>
      <c:catAx>
        <c:axId val="1140725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140726768"/>
        <c:crosses val="autoZero"/>
        <c:auto val="1"/>
        <c:lblAlgn val="ctr"/>
        <c:lblOffset val="100"/>
        <c:noMultiLvlLbl val="0"/>
      </c:catAx>
      <c:valAx>
        <c:axId val="1140726768"/>
        <c:scaling>
          <c:orientation val="minMax"/>
        </c:scaling>
        <c:delete val="0"/>
        <c:axPos val="l"/>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140725456"/>
        <c:crosses val="autoZero"/>
        <c:crossBetween val="between"/>
      </c:valAx>
      <c:valAx>
        <c:axId val="1140846816"/>
        <c:scaling>
          <c:orientation val="minMax"/>
        </c:scaling>
        <c:delete val="0"/>
        <c:axPos val="r"/>
        <c:numFmt formatCode="0.00" sourceLinked="1"/>
        <c:majorTickMark val="out"/>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140842552"/>
        <c:crosses val="max"/>
        <c:crossBetween val="between"/>
      </c:valAx>
      <c:catAx>
        <c:axId val="1140842552"/>
        <c:scaling>
          <c:orientation val="minMax"/>
        </c:scaling>
        <c:delete val="1"/>
        <c:axPos val="b"/>
        <c:numFmt formatCode="General" sourceLinked="1"/>
        <c:majorTickMark val="out"/>
        <c:minorTickMark val="none"/>
        <c:tickLblPos val="nextTo"/>
        <c:crossAx val="1140846816"/>
        <c:crosses val="autoZero"/>
        <c:auto val="1"/>
        <c:lblAlgn val="ctr"/>
        <c:lblOffset val="100"/>
        <c:noMultiLvlLbl val="0"/>
      </c:catAx>
      <c:spPr>
        <a:noFill/>
        <a:ln>
          <a:noFill/>
        </a:ln>
        <a:effectLst/>
      </c:spPr>
    </c:plotArea>
    <c:legend>
      <c:legendPos val="b"/>
      <c:layout>
        <c:manualLayout>
          <c:xMode val="edge"/>
          <c:yMode val="edge"/>
          <c:x val="0.10093872845803716"/>
          <c:y val="0.65706848468841905"/>
          <c:w val="0.3817010084004705"/>
          <c:h val="0.1226540687461864"/>
        </c:manualLayout>
      </c:layout>
      <c:overlay val="0"/>
      <c:spPr>
        <a:noFill/>
        <a:ln>
          <a:noFill/>
        </a:ln>
        <a:effectLst/>
      </c:spPr>
      <c:txPr>
        <a:bodyPr rot="0" spcFirstLastPara="1" vertOverflow="ellipsis" vert="horz" wrap="square" anchor="ctr" anchorCtr="1"/>
        <a:lstStyle/>
        <a:p>
          <a:pPr>
            <a:defRPr sz="1000" b="0" i="1"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6543080263115269E-2"/>
          <c:y val="4.8595391374123838E-2"/>
          <c:w val="0.89081465778316171"/>
          <c:h val="0.85887775655954002"/>
        </c:manualLayout>
      </c:layout>
      <c:lineChart>
        <c:grouping val="standard"/>
        <c:varyColors val="0"/>
        <c:ser>
          <c:idx val="0"/>
          <c:order val="0"/>
          <c:tx>
            <c:strRef>
              <c:f>'[PPC 2020.xlsx]Page 35'!$H$24</c:f>
              <c:strCache>
                <c:ptCount val="1"/>
                <c:pt idx="0">
                  <c:v>Porc    </c:v>
                </c:pt>
              </c:strCache>
            </c:strRef>
          </c:tx>
          <c:spPr>
            <a:ln w="25400">
              <a:solidFill>
                <a:schemeClr val="bg1">
                  <a:lumMod val="75000"/>
                </a:schemeClr>
              </a:solidFill>
              <a:prstDash val="solid"/>
            </a:ln>
          </c:spPr>
          <c:marker>
            <c:symbol val="none"/>
          </c:marker>
          <c:dPt>
            <c:idx val="6"/>
            <c:bubble3D val="0"/>
            <c:spPr/>
            <c:extLst>
              <c:ext xmlns:c16="http://schemas.microsoft.com/office/drawing/2014/chart" uri="{C3380CC4-5D6E-409C-BE32-E72D297353CC}">
                <c16:uniqueId val="{00000001-E424-421C-A617-9E8EC33D96FF}"/>
              </c:ext>
            </c:extLst>
          </c:dPt>
          <c:dLbls>
            <c:dLbl>
              <c:idx val="29"/>
              <c:layout>
                <c:manualLayout>
                  <c:x val="-6.4191568646511779E-2"/>
                  <c:y val="-7.11534022416579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424-421C-A617-9E8EC33D96FF}"/>
                </c:ext>
              </c:extLst>
            </c:dLbl>
            <c:spPr>
              <a:noFill/>
              <a:ln>
                <a:noFill/>
              </a:ln>
              <a:effectLst/>
            </c:spPr>
            <c:txPr>
              <a:bodyPr wrap="square" lIns="38100" tIns="19050" rIns="38100" bIns="19050" anchor="ctr">
                <a:spAutoFit/>
              </a:bodyPr>
              <a:lstStyle/>
              <a:p>
                <a:pPr>
                  <a:defRPr sz="1100" b="1">
                    <a:solidFill>
                      <a:schemeClr val="bg1">
                        <a:lumMod val="65000"/>
                      </a:schemeClr>
                    </a:solidFill>
                    <a:latin typeface="Arial" panose="020B0604020202020204" pitchFamily="34" charset="0"/>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'[PPC 2020.xlsx]Page 35'!$G$25:$G$54</c:f>
              <c:strCache>
                <c:ptCount val="30"/>
                <c:pt idx="0">
                  <c:v>90</c:v>
                </c:pt>
                <c:pt idx="1">
                  <c:v>91</c:v>
                </c:pt>
                <c:pt idx="2">
                  <c:v>92</c:v>
                </c:pt>
                <c:pt idx="3">
                  <c:v>93</c:v>
                </c:pt>
                <c:pt idx="4">
                  <c:v>94</c:v>
                </c:pt>
                <c:pt idx="5">
                  <c:v>95</c:v>
                </c:pt>
                <c:pt idx="6">
                  <c:v>96</c:v>
                </c:pt>
                <c:pt idx="7">
                  <c:v>97</c:v>
                </c:pt>
                <c:pt idx="8">
                  <c:v>98</c:v>
                </c:pt>
                <c:pt idx="9">
                  <c:v>99</c:v>
                </c:pt>
                <c:pt idx="10">
                  <c:v>00</c:v>
                </c:pt>
                <c:pt idx="11">
                  <c:v>01</c:v>
                </c:pt>
                <c:pt idx="12">
                  <c:v>02</c:v>
                </c:pt>
                <c:pt idx="13">
                  <c:v>03</c:v>
                </c:pt>
                <c:pt idx="14">
                  <c:v>04</c:v>
                </c:pt>
                <c:pt idx="15">
                  <c:v>05</c:v>
                </c:pt>
                <c:pt idx="16">
                  <c:v>06</c:v>
                </c:pt>
                <c:pt idx="17">
                  <c:v>07</c:v>
                </c:pt>
                <c:pt idx="18">
                  <c:v>08</c:v>
                </c:pt>
                <c:pt idx="19">
                  <c:v>09</c:v>
                </c:pt>
                <c:pt idx="20">
                  <c:v>10</c:v>
                </c:pt>
                <c:pt idx="21">
                  <c:v>11</c:v>
                </c:pt>
                <c:pt idx="22">
                  <c:v>12</c:v>
                </c:pt>
                <c:pt idx="23">
                  <c:v>13</c:v>
                </c:pt>
                <c:pt idx="24">
                  <c:v>14</c:v>
                </c:pt>
                <c:pt idx="25">
                  <c:v>15</c:v>
                </c:pt>
                <c:pt idx="26">
                  <c:v>16</c:v>
                </c:pt>
                <c:pt idx="27">
                  <c:v>17</c:v>
                </c:pt>
                <c:pt idx="28">
                  <c:v>18</c:v>
                </c:pt>
                <c:pt idx="29">
                  <c:v>19</c:v>
                </c:pt>
              </c:strCache>
            </c:strRef>
          </c:cat>
          <c:val>
            <c:numRef>
              <c:f>'[PPC 2020.xlsx]Page 35'!$H$25:$H$54</c:f>
              <c:numCache>
                <c:formatCode>0.0</c:formatCode>
                <c:ptCount val="30"/>
                <c:pt idx="0">
                  <c:v>100</c:v>
                </c:pt>
                <c:pt idx="1">
                  <c:v>100.28248587570621</c:v>
                </c:pt>
                <c:pt idx="2">
                  <c:v>101.41242937853107</c:v>
                </c:pt>
                <c:pt idx="3">
                  <c:v>101.9774011299435</c:v>
                </c:pt>
                <c:pt idx="4">
                  <c:v>102.25988700564973</c:v>
                </c:pt>
                <c:pt idx="5">
                  <c:v>100</c:v>
                </c:pt>
                <c:pt idx="6">
                  <c:v>99.435028248587585</c:v>
                </c:pt>
                <c:pt idx="7">
                  <c:v>97.740112994350284</c:v>
                </c:pt>
                <c:pt idx="8">
                  <c:v>105.08474576271188</c:v>
                </c:pt>
                <c:pt idx="9">
                  <c:v>103.954802259887</c:v>
                </c:pt>
                <c:pt idx="10">
                  <c:v>101.41242937853107</c:v>
                </c:pt>
                <c:pt idx="11">
                  <c:v>102.25988700564973</c:v>
                </c:pt>
                <c:pt idx="12">
                  <c:v>102.25988700564973</c:v>
                </c:pt>
                <c:pt idx="13">
                  <c:v>101.41242937853107</c:v>
                </c:pt>
                <c:pt idx="14">
                  <c:v>98.587570621468927</c:v>
                </c:pt>
                <c:pt idx="15">
                  <c:v>96.61016949152544</c:v>
                </c:pt>
                <c:pt idx="16">
                  <c:v>96.045197740112997</c:v>
                </c:pt>
                <c:pt idx="17">
                  <c:v>100</c:v>
                </c:pt>
                <c:pt idx="18">
                  <c:v>97.740112994350284</c:v>
                </c:pt>
                <c:pt idx="19">
                  <c:v>96.892655367231626</c:v>
                </c:pt>
                <c:pt idx="20">
                  <c:v>97.175141242937855</c:v>
                </c:pt>
                <c:pt idx="21">
                  <c:v>95.197740112994367</c:v>
                </c:pt>
                <c:pt idx="22">
                  <c:v>92.655367231638408</c:v>
                </c:pt>
                <c:pt idx="23">
                  <c:v>91.807909604519779</c:v>
                </c:pt>
                <c:pt idx="24">
                  <c:v>93.785310734463295</c:v>
                </c:pt>
                <c:pt idx="25">
                  <c:v>96.045197740112997</c:v>
                </c:pt>
                <c:pt idx="26">
                  <c:v>93.5</c:v>
                </c:pt>
                <c:pt idx="27">
                  <c:v>94.067796610169481</c:v>
                </c:pt>
                <c:pt idx="28">
                  <c:v>93.786156500558192</c:v>
                </c:pt>
                <c:pt idx="29">
                  <c:v>92.659596062113053</c:v>
                </c:pt>
              </c:numCache>
            </c:numRef>
          </c:val>
          <c:smooth val="0"/>
          <c:extLst>
            <c:ext xmlns:c16="http://schemas.microsoft.com/office/drawing/2014/chart" uri="{C3380CC4-5D6E-409C-BE32-E72D297353CC}">
              <c16:uniqueId val="{00000003-E424-421C-A617-9E8EC33D96FF}"/>
            </c:ext>
          </c:extLst>
        </c:ser>
        <c:ser>
          <c:idx val="1"/>
          <c:order val="1"/>
          <c:tx>
            <c:strRef>
              <c:f>'[PPC 2020.xlsx]Page 35'!$I$24</c:f>
              <c:strCache>
                <c:ptCount val="1"/>
                <c:pt idx="0">
                  <c:v>Volaille</c:v>
                </c:pt>
              </c:strCache>
            </c:strRef>
          </c:tx>
          <c:spPr>
            <a:ln w="25400">
              <a:solidFill>
                <a:schemeClr val="tx1">
                  <a:lumMod val="85000"/>
                  <a:lumOff val="15000"/>
                </a:schemeClr>
              </a:solidFill>
              <a:prstDash val="sysDash"/>
            </a:ln>
          </c:spPr>
          <c:marker>
            <c:symbol val="none"/>
          </c:marker>
          <c:dPt>
            <c:idx val="7"/>
            <c:marker>
              <c:symbol val="x"/>
              <c:size val="8"/>
              <c:spPr>
                <a:noFill/>
                <a:ln>
                  <a:solidFill>
                    <a:schemeClr val="tx1">
                      <a:lumMod val="85000"/>
                      <a:lumOff val="15000"/>
                    </a:schemeClr>
                  </a:solidFill>
                  <a:prstDash val="sysDash"/>
                </a:ln>
              </c:spPr>
            </c:marker>
            <c:bubble3D val="0"/>
            <c:extLst>
              <c:ext xmlns:c16="http://schemas.microsoft.com/office/drawing/2014/chart" uri="{C3380CC4-5D6E-409C-BE32-E72D297353CC}">
                <c16:uniqueId val="{00000004-E424-421C-A617-9E8EC33D96FF}"/>
              </c:ext>
            </c:extLst>
          </c:dPt>
          <c:dLbls>
            <c:dLbl>
              <c:idx val="29"/>
              <c:layout>
                <c:manualLayout>
                  <c:x val="-6.9135802469135921E-2"/>
                  <c:y val="-5.71934208549664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424-421C-A617-9E8EC33D96FF}"/>
                </c:ext>
              </c:extLst>
            </c:dLbl>
            <c:spPr>
              <a:noFill/>
              <a:ln>
                <a:noFill/>
              </a:ln>
              <a:effectLst/>
            </c:spPr>
            <c:txPr>
              <a:bodyPr wrap="square" lIns="38100" tIns="19050" rIns="38100" bIns="19050" anchor="ctr">
                <a:spAutoFit/>
              </a:bodyPr>
              <a:lstStyle/>
              <a:p>
                <a:pPr>
                  <a:defRPr sz="1050" b="1">
                    <a:solidFill>
                      <a:schemeClr val="bg2">
                        <a:lumMod val="25000"/>
                      </a:schemeClr>
                    </a:solidFill>
                    <a:latin typeface="Arial" panose="020B0604020202020204" pitchFamily="34" charset="0"/>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'[PPC 2020.xlsx]Page 35'!$G$25:$G$54</c:f>
              <c:strCache>
                <c:ptCount val="30"/>
                <c:pt idx="0">
                  <c:v>90</c:v>
                </c:pt>
                <c:pt idx="1">
                  <c:v>91</c:v>
                </c:pt>
                <c:pt idx="2">
                  <c:v>92</c:v>
                </c:pt>
                <c:pt idx="3">
                  <c:v>93</c:v>
                </c:pt>
                <c:pt idx="4">
                  <c:v>94</c:v>
                </c:pt>
                <c:pt idx="5">
                  <c:v>95</c:v>
                </c:pt>
                <c:pt idx="6">
                  <c:v>96</c:v>
                </c:pt>
                <c:pt idx="7">
                  <c:v>97</c:v>
                </c:pt>
                <c:pt idx="8">
                  <c:v>98</c:v>
                </c:pt>
                <c:pt idx="9">
                  <c:v>99</c:v>
                </c:pt>
                <c:pt idx="10">
                  <c:v>00</c:v>
                </c:pt>
                <c:pt idx="11">
                  <c:v>01</c:v>
                </c:pt>
                <c:pt idx="12">
                  <c:v>02</c:v>
                </c:pt>
                <c:pt idx="13">
                  <c:v>03</c:v>
                </c:pt>
                <c:pt idx="14">
                  <c:v>04</c:v>
                </c:pt>
                <c:pt idx="15">
                  <c:v>05</c:v>
                </c:pt>
                <c:pt idx="16">
                  <c:v>06</c:v>
                </c:pt>
                <c:pt idx="17">
                  <c:v>07</c:v>
                </c:pt>
                <c:pt idx="18">
                  <c:v>08</c:v>
                </c:pt>
                <c:pt idx="19">
                  <c:v>09</c:v>
                </c:pt>
                <c:pt idx="20">
                  <c:v>10</c:v>
                </c:pt>
                <c:pt idx="21">
                  <c:v>11</c:v>
                </c:pt>
                <c:pt idx="22">
                  <c:v>12</c:v>
                </c:pt>
                <c:pt idx="23">
                  <c:v>13</c:v>
                </c:pt>
                <c:pt idx="24">
                  <c:v>14</c:v>
                </c:pt>
                <c:pt idx="25">
                  <c:v>15</c:v>
                </c:pt>
                <c:pt idx="26">
                  <c:v>16</c:v>
                </c:pt>
                <c:pt idx="27">
                  <c:v>17</c:v>
                </c:pt>
                <c:pt idx="28">
                  <c:v>18</c:v>
                </c:pt>
                <c:pt idx="29">
                  <c:v>19</c:v>
                </c:pt>
              </c:strCache>
            </c:strRef>
          </c:cat>
          <c:val>
            <c:numRef>
              <c:f>'[PPC 2020.xlsx]Page 35'!$I$25:$I$54</c:f>
              <c:numCache>
                <c:formatCode>0.0</c:formatCode>
                <c:ptCount val="30"/>
                <c:pt idx="0">
                  <c:v>100</c:v>
                </c:pt>
                <c:pt idx="1">
                  <c:v>102.62664165103189</c:v>
                </c:pt>
                <c:pt idx="2">
                  <c:v>101.36022514071294</c:v>
                </c:pt>
                <c:pt idx="3">
                  <c:v>102.81425891181989</c:v>
                </c:pt>
                <c:pt idx="4">
                  <c:v>107.27016885553471</c:v>
                </c:pt>
                <c:pt idx="5">
                  <c:v>105.81613508442777</c:v>
                </c:pt>
                <c:pt idx="6">
                  <c:v>111.16322701688556</c:v>
                </c:pt>
                <c:pt idx="7">
                  <c:v>113.27392120075046</c:v>
                </c:pt>
                <c:pt idx="8">
                  <c:v>114.11819887429644</c:v>
                </c:pt>
                <c:pt idx="9">
                  <c:v>112.4296435272045</c:v>
                </c:pt>
                <c:pt idx="10">
                  <c:v>115.15009380863039</c:v>
                </c:pt>
                <c:pt idx="11">
                  <c:v>119.8405253283302</c:v>
                </c:pt>
                <c:pt idx="12">
                  <c:v>113.50844277673546</c:v>
                </c:pt>
                <c:pt idx="13">
                  <c:v>109.61538461538461</c:v>
                </c:pt>
                <c:pt idx="14">
                  <c:v>109.66228893058161</c:v>
                </c:pt>
                <c:pt idx="15">
                  <c:v>112.85178236397748</c:v>
                </c:pt>
                <c:pt idx="16">
                  <c:v>109.42776735459663</c:v>
                </c:pt>
                <c:pt idx="17">
                  <c:v>112.05440900562851</c:v>
                </c:pt>
                <c:pt idx="18">
                  <c:v>114.58724202626641</c:v>
                </c:pt>
                <c:pt idx="19">
                  <c:v>111.91369606003752</c:v>
                </c:pt>
                <c:pt idx="20">
                  <c:v>116.51031894934334</c:v>
                </c:pt>
                <c:pt idx="21">
                  <c:v>118.52720450281426</c:v>
                </c:pt>
                <c:pt idx="22">
                  <c:v>120.73170731707317</c:v>
                </c:pt>
                <c:pt idx="23">
                  <c:v>122.3264540337711</c:v>
                </c:pt>
                <c:pt idx="24">
                  <c:v>123.82739212007505</c:v>
                </c:pt>
                <c:pt idx="25">
                  <c:v>123.4</c:v>
                </c:pt>
                <c:pt idx="26">
                  <c:v>128.5</c:v>
                </c:pt>
                <c:pt idx="27">
                  <c:v>130.39399624765477</c:v>
                </c:pt>
                <c:pt idx="28">
                  <c:v>130.86135824137398</c:v>
                </c:pt>
                <c:pt idx="29">
                  <c:v>129.2894500342704</c:v>
                </c:pt>
              </c:numCache>
            </c:numRef>
          </c:val>
          <c:smooth val="0"/>
          <c:extLst>
            <c:ext xmlns:c16="http://schemas.microsoft.com/office/drawing/2014/chart" uri="{C3380CC4-5D6E-409C-BE32-E72D297353CC}">
              <c16:uniqueId val="{00000006-E424-421C-A617-9E8EC33D96FF}"/>
            </c:ext>
          </c:extLst>
        </c:ser>
        <c:ser>
          <c:idx val="2"/>
          <c:order val="2"/>
          <c:tx>
            <c:strRef>
              <c:f>'[PPC 2020.xlsx]Page 35'!$J$24</c:f>
              <c:strCache>
                <c:ptCount val="1"/>
                <c:pt idx="0">
                  <c:v>Boeuf+Veau</c:v>
                </c:pt>
              </c:strCache>
            </c:strRef>
          </c:tx>
          <c:spPr>
            <a:ln w="25400">
              <a:solidFill>
                <a:schemeClr val="tx1">
                  <a:lumMod val="65000"/>
                  <a:lumOff val="35000"/>
                </a:schemeClr>
              </a:solidFill>
              <a:prstDash val="solid"/>
            </a:ln>
          </c:spPr>
          <c:marker>
            <c:symbol val="none"/>
          </c:marker>
          <c:dPt>
            <c:idx val="6"/>
            <c:bubble3D val="0"/>
            <c:spPr>
              <a:ln>
                <a:prstDash val="solid"/>
              </a:ln>
            </c:spPr>
            <c:extLst>
              <c:ext xmlns:c16="http://schemas.microsoft.com/office/drawing/2014/chart" uri="{C3380CC4-5D6E-409C-BE32-E72D297353CC}">
                <c16:uniqueId val="{00000008-E424-421C-A617-9E8EC33D96FF}"/>
              </c:ext>
            </c:extLst>
          </c:dPt>
          <c:dLbls>
            <c:dLbl>
              <c:idx val="29"/>
              <c:layout>
                <c:manualLayout>
                  <c:x val="-6.9135802469135796E-2"/>
                  <c:y val="-6.2189335453589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E424-421C-A617-9E8EC33D96FF}"/>
                </c:ext>
              </c:extLst>
            </c:dLbl>
            <c:spPr>
              <a:noFill/>
              <a:ln>
                <a:noFill/>
              </a:ln>
              <a:effectLst/>
            </c:spPr>
            <c:txPr>
              <a:bodyPr wrap="square" lIns="38100" tIns="19050" rIns="38100" bIns="19050" anchor="ctr">
                <a:spAutoFit/>
              </a:bodyPr>
              <a:lstStyle/>
              <a:p>
                <a:pPr>
                  <a:defRPr sz="1050" b="1">
                    <a:solidFill>
                      <a:schemeClr val="tx1">
                        <a:lumMod val="75000"/>
                        <a:lumOff val="25000"/>
                      </a:schemeClr>
                    </a:solidFill>
                    <a:latin typeface="Arial" panose="020B0604020202020204" pitchFamily="34" charset="0"/>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'[PPC 2020.xlsx]Page 35'!$G$25:$G$54</c:f>
              <c:strCache>
                <c:ptCount val="30"/>
                <c:pt idx="0">
                  <c:v>90</c:v>
                </c:pt>
                <c:pt idx="1">
                  <c:v>91</c:v>
                </c:pt>
                <c:pt idx="2">
                  <c:v>92</c:v>
                </c:pt>
                <c:pt idx="3">
                  <c:v>93</c:v>
                </c:pt>
                <c:pt idx="4">
                  <c:v>94</c:v>
                </c:pt>
                <c:pt idx="5">
                  <c:v>95</c:v>
                </c:pt>
                <c:pt idx="6">
                  <c:v>96</c:v>
                </c:pt>
                <c:pt idx="7">
                  <c:v>97</c:v>
                </c:pt>
                <c:pt idx="8">
                  <c:v>98</c:v>
                </c:pt>
                <c:pt idx="9">
                  <c:v>99</c:v>
                </c:pt>
                <c:pt idx="10">
                  <c:v>00</c:v>
                </c:pt>
                <c:pt idx="11">
                  <c:v>01</c:v>
                </c:pt>
                <c:pt idx="12">
                  <c:v>02</c:v>
                </c:pt>
                <c:pt idx="13">
                  <c:v>03</c:v>
                </c:pt>
                <c:pt idx="14">
                  <c:v>04</c:v>
                </c:pt>
                <c:pt idx="15">
                  <c:v>05</c:v>
                </c:pt>
                <c:pt idx="16">
                  <c:v>06</c:v>
                </c:pt>
                <c:pt idx="17">
                  <c:v>07</c:v>
                </c:pt>
                <c:pt idx="18">
                  <c:v>08</c:v>
                </c:pt>
                <c:pt idx="19">
                  <c:v>09</c:v>
                </c:pt>
                <c:pt idx="20">
                  <c:v>10</c:v>
                </c:pt>
                <c:pt idx="21">
                  <c:v>11</c:v>
                </c:pt>
                <c:pt idx="22">
                  <c:v>12</c:v>
                </c:pt>
                <c:pt idx="23">
                  <c:v>13</c:v>
                </c:pt>
                <c:pt idx="24">
                  <c:v>14</c:v>
                </c:pt>
                <c:pt idx="25">
                  <c:v>15</c:v>
                </c:pt>
                <c:pt idx="26">
                  <c:v>16</c:v>
                </c:pt>
                <c:pt idx="27">
                  <c:v>17</c:v>
                </c:pt>
                <c:pt idx="28">
                  <c:v>18</c:v>
                </c:pt>
                <c:pt idx="29">
                  <c:v>19</c:v>
                </c:pt>
              </c:strCache>
            </c:strRef>
          </c:cat>
          <c:val>
            <c:numRef>
              <c:f>'[PPC 2020.xlsx]Page 35'!$J$25:$J$54</c:f>
              <c:numCache>
                <c:formatCode>0.0</c:formatCode>
                <c:ptCount val="30"/>
                <c:pt idx="0">
                  <c:v>100</c:v>
                </c:pt>
                <c:pt idx="1">
                  <c:v>100.67340067340068</c:v>
                </c:pt>
                <c:pt idx="2">
                  <c:v>100</c:v>
                </c:pt>
                <c:pt idx="3">
                  <c:v>96.296296296296305</c:v>
                </c:pt>
                <c:pt idx="4">
                  <c:v>92.255892255892263</c:v>
                </c:pt>
                <c:pt idx="5">
                  <c:v>93.602693602693606</c:v>
                </c:pt>
                <c:pt idx="6">
                  <c:v>86.868686868686865</c:v>
                </c:pt>
                <c:pt idx="7">
                  <c:v>88.215488215488222</c:v>
                </c:pt>
                <c:pt idx="8">
                  <c:v>90.572390572390574</c:v>
                </c:pt>
                <c:pt idx="9">
                  <c:v>90.909090909090907</c:v>
                </c:pt>
                <c:pt idx="10">
                  <c:v>86.568984511784521</c:v>
                </c:pt>
                <c:pt idx="11">
                  <c:v>84.27379606060606</c:v>
                </c:pt>
                <c:pt idx="12">
                  <c:v>92.749531010101009</c:v>
                </c:pt>
                <c:pt idx="13">
                  <c:v>90.764435218855226</c:v>
                </c:pt>
                <c:pt idx="14">
                  <c:v>89.136608888888887</c:v>
                </c:pt>
                <c:pt idx="15">
                  <c:v>90.235578518518523</c:v>
                </c:pt>
                <c:pt idx="16">
                  <c:v>87.756329494949497</c:v>
                </c:pt>
                <c:pt idx="17">
                  <c:v>88.131409393939407</c:v>
                </c:pt>
                <c:pt idx="18">
                  <c:v>86.182767306397309</c:v>
                </c:pt>
                <c:pt idx="19">
                  <c:v>85.916023063973071</c:v>
                </c:pt>
                <c:pt idx="20">
                  <c:v>87.023791582491597</c:v>
                </c:pt>
                <c:pt idx="21">
                  <c:v>85.587775420875417</c:v>
                </c:pt>
                <c:pt idx="22">
                  <c:v>83.16498316498317</c:v>
                </c:pt>
                <c:pt idx="23">
                  <c:v>80.471380471380471</c:v>
                </c:pt>
                <c:pt idx="24">
                  <c:v>81.144781144781149</c:v>
                </c:pt>
                <c:pt idx="25">
                  <c:v>80.8</c:v>
                </c:pt>
                <c:pt idx="26">
                  <c:v>80.099999999999994</c:v>
                </c:pt>
                <c:pt idx="27">
                  <c:v>76.767676767676775</c:v>
                </c:pt>
                <c:pt idx="28">
                  <c:v>78.114478114478118</c:v>
                </c:pt>
                <c:pt idx="29">
                  <c:v>77.779222843600522</c:v>
                </c:pt>
              </c:numCache>
            </c:numRef>
          </c:val>
          <c:smooth val="0"/>
          <c:extLst>
            <c:ext xmlns:c16="http://schemas.microsoft.com/office/drawing/2014/chart" uri="{C3380CC4-5D6E-409C-BE32-E72D297353CC}">
              <c16:uniqueId val="{0000000A-E424-421C-A617-9E8EC33D96FF}"/>
            </c:ext>
          </c:extLst>
        </c:ser>
        <c:ser>
          <c:idx val="3"/>
          <c:order val="3"/>
          <c:tx>
            <c:strRef>
              <c:f>'[PPC 2020.xlsx]Page 35'!$K$24</c:f>
              <c:strCache>
                <c:ptCount val="1"/>
                <c:pt idx="0">
                  <c:v>Ovins-caprins</c:v>
                </c:pt>
              </c:strCache>
            </c:strRef>
          </c:tx>
          <c:spPr>
            <a:ln w="25400">
              <a:solidFill>
                <a:schemeClr val="bg2">
                  <a:lumMod val="25000"/>
                </a:schemeClr>
              </a:solidFill>
              <a:prstDash val="dash"/>
            </a:ln>
          </c:spPr>
          <c:marker>
            <c:symbol val="none"/>
          </c:marker>
          <c:dPt>
            <c:idx val="6"/>
            <c:marker>
              <c:symbol val="x"/>
              <c:size val="8"/>
              <c:spPr>
                <a:noFill/>
                <a:ln>
                  <a:solidFill>
                    <a:schemeClr val="bg2">
                      <a:lumMod val="25000"/>
                    </a:schemeClr>
                  </a:solidFill>
                  <a:prstDash val="dash"/>
                </a:ln>
              </c:spPr>
            </c:marker>
            <c:bubble3D val="0"/>
            <c:extLst>
              <c:ext xmlns:c16="http://schemas.microsoft.com/office/drawing/2014/chart" uri="{C3380CC4-5D6E-409C-BE32-E72D297353CC}">
                <c16:uniqueId val="{0000000B-E424-421C-A617-9E8EC33D96FF}"/>
              </c:ext>
            </c:extLst>
          </c:dPt>
          <c:dLbls>
            <c:dLbl>
              <c:idx val="29"/>
              <c:layout>
                <c:manualLayout>
                  <c:x val="-6.9135802469135796E-2"/>
                  <c:y val="-8.35261227525712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E424-421C-A617-9E8EC33D96FF}"/>
                </c:ext>
              </c:extLst>
            </c:dLbl>
            <c:spPr>
              <a:noFill/>
              <a:ln>
                <a:noFill/>
              </a:ln>
              <a:effectLst/>
            </c:spPr>
            <c:txPr>
              <a:bodyPr wrap="square" lIns="38100" tIns="19050" rIns="38100" bIns="19050" anchor="ctr">
                <a:spAutoFit/>
              </a:bodyPr>
              <a:lstStyle/>
              <a:p>
                <a:pPr>
                  <a:defRPr sz="1050" b="1">
                    <a:solidFill>
                      <a:schemeClr val="bg2">
                        <a:lumMod val="25000"/>
                      </a:schemeClr>
                    </a:solidFill>
                    <a:latin typeface="Arial" panose="020B0604020202020204" pitchFamily="34" charset="0"/>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ext>
            </c:extLst>
          </c:dLbls>
          <c:cat>
            <c:strRef>
              <c:f>'[PPC 2020.xlsx]Page 35'!$G$25:$G$54</c:f>
              <c:strCache>
                <c:ptCount val="30"/>
                <c:pt idx="0">
                  <c:v>90</c:v>
                </c:pt>
                <c:pt idx="1">
                  <c:v>91</c:v>
                </c:pt>
                <c:pt idx="2">
                  <c:v>92</c:v>
                </c:pt>
                <c:pt idx="3">
                  <c:v>93</c:v>
                </c:pt>
                <c:pt idx="4">
                  <c:v>94</c:v>
                </c:pt>
                <c:pt idx="5">
                  <c:v>95</c:v>
                </c:pt>
                <c:pt idx="6">
                  <c:v>96</c:v>
                </c:pt>
                <c:pt idx="7">
                  <c:v>97</c:v>
                </c:pt>
                <c:pt idx="8">
                  <c:v>98</c:v>
                </c:pt>
                <c:pt idx="9">
                  <c:v>99</c:v>
                </c:pt>
                <c:pt idx="10">
                  <c:v>00</c:v>
                </c:pt>
                <c:pt idx="11">
                  <c:v>01</c:v>
                </c:pt>
                <c:pt idx="12">
                  <c:v>02</c:v>
                </c:pt>
                <c:pt idx="13">
                  <c:v>03</c:v>
                </c:pt>
                <c:pt idx="14">
                  <c:v>04</c:v>
                </c:pt>
                <c:pt idx="15">
                  <c:v>05</c:v>
                </c:pt>
                <c:pt idx="16">
                  <c:v>06</c:v>
                </c:pt>
                <c:pt idx="17">
                  <c:v>07</c:v>
                </c:pt>
                <c:pt idx="18">
                  <c:v>08</c:v>
                </c:pt>
                <c:pt idx="19">
                  <c:v>09</c:v>
                </c:pt>
                <c:pt idx="20">
                  <c:v>10</c:v>
                </c:pt>
                <c:pt idx="21">
                  <c:v>11</c:v>
                </c:pt>
                <c:pt idx="22">
                  <c:v>12</c:v>
                </c:pt>
                <c:pt idx="23">
                  <c:v>13</c:v>
                </c:pt>
                <c:pt idx="24">
                  <c:v>14</c:v>
                </c:pt>
                <c:pt idx="25">
                  <c:v>15</c:v>
                </c:pt>
                <c:pt idx="26">
                  <c:v>16</c:v>
                </c:pt>
                <c:pt idx="27">
                  <c:v>17</c:v>
                </c:pt>
                <c:pt idx="28">
                  <c:v>18</c:v>
                </c:pt>
                <c:pt idx="29">
                  <c:v>19</c:v>
                </c:pt>
              </c:strCache>
            </c:strRef>
          </c:cat>
          <c:val>
            <c:numRef>
              <c:f>'[PPC 2020.xlsx]Page 35'!$K$25:$K$54</c:f>
              <c:numCache>
                <c:formatCode>0.0</c:formatCode>
                <c:ptCount val="30"/>
                <c:pt idx="0">
                  <c:v>100</c:v>
                </c:pt>
                <c:pt idx="1">
                  <c:v>101.81818181818181</c:v>
                </c:pt>
                <c:pt idx="2">
                  <c:v>101.81818181818181</c:v>
                </c:pt>
                <c:pt idx="3">
                  <c:v>100</c:v>
                </c:pt>
                <c:pt idx="4">
                  <c:v>98.181818181818187</c:v>
                </c:pt>
                <c:pt idx="5">
                  <c:v>96.36363636363636</c:v>
                </c:pt>
                <c:pt idx="6">
                  <c:v>96.36363636363636</c:v>
                </c:pt>
                <c:pt idx="7">
                  <c:v>90.909090909090907</c:v>
                </c:pt>
                <c:pt idx="8">
                  <c:v>90.909090909090907</c:v>
                </c:pt>
                <c:pt idx="9">
                  <c:v>90.909090909090907</c:v>
                </c:pt>
                <c:pt idx="10">
                  <c:v>91.307160654545456</c:v>
                </c:pt>
                <c:pt idx="11">
                  <c:v>76.772035745454545</c:v>
                </c:pt>
                <c:pt idx="12">
                  <c:v>80.681647909090898</c:v>
                </c:pt>
                <c:pt idx="13">
                  <c:v>77.508461018181819</c:v>
                </c:pt>
                <c:pt idx="14">
                  <c:v>75.655432545454545</c:v>
                </c:pt>
                <c:pt idx="15">
                  <c:v>75.63889998181817</c:v>
                </c:pt>
                <c:pt idx="16">
                  <c:v>75.332748745454538</c:v>
                </c:pt>
                <c:pt idx="17">
                  <c:v>71.447372690909091</c:v>
                </c:pt>
                <c:pt idx="18">
                  <c:v>68.912222509090896</c:v>
                </c:pt>
                <c:pt idx="19">
                  <c:v>65.643333254545453</c:v>
                </c:pt>
                <c:pt idx="20">
                  <c:v>61.81818181818182</c:v>
                </c:pt>
                <c:pt idx="21">
                  <c:v>60</c:v>
                </c:pt>
                <c:pt idx="22">
                  <c:v>60</c:v>
                </c:pt>
                <c:pt idx="23">
                  <c:v>56.363636363636367</c:v>
                </c:pt>
                <c:pt idx="24">
                  <c:v>50.909090909090907</c:v>
                </c:pt>
                <c:pt idx="25">
                  <c:v>49.1</c:v>
                </c:pt>
                <c:pt idx="26">
                  <c:v>45.5</c:v>
                </c:pt>
                <c:pt idx="27">
                  <c:v>43.636363636363633</c:v>
                </c:pt>
                <c:pt idx="28">
                  <c:v>43.636363636363633</c:v>
                </c:pt>
                <c:pt idx="29">
                  <c:v>43.636363636363633</c:v>
                </c:pt>
              </c:numCache>
            </c:numRef>
          </c:val>
          <c:smooth val="0"/>
          <c:extLst>
            <c:ext xmlns:c16="http://schemas.microsoft.com/office/drawing/2014/chart" uri="{C3380CC4-5D6E-409C-BE32-E72D297353CC}">
              <c16:uniqueId val="{0000000D-E424-421C-A617-9E8EC33D96FF}"/>
            </c:ext>
          </c:extLst>
        </c:ser>
        <c:dLbls>
          <c:showLegendKey val="0"/>
          <c:showVal val="0"/>
          <c:showCatName val="0"/>
          <c:showSerName val="0"/>
          <c:showPercent val="0"/>
          <c:showBubbleSize val="0"/>
        </c:dLbls>
        <c:smooth val="0"/>
        <c:axId val="520596072"/>
        <c:axId val="520590584"/>
      </c:lineChart>
      <c:catAx>
        <c:axId val="520596072"/>
        <c:scaling>
          <c:orientation val="minMax"/>
        </c:scaling>
        <c:delete val="0"/>
        <c:axPos val="b"/>
        <c:numFmt formatCode="#,##0.00" sourceLinked="0"/>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panose="020B0604020202020204" pitchFamily="34" charset="0"/>
                <a:ea typeface="Helvetica-Narrow"/>
                <a:cs typeface="Arial" panose="020B0604020202020204" pitchFamily="34" charset="0"/>
              </a:defRPr>
            </a:pPr>
            <a:endParaRPr lang="fr-FR"/>
          </a:p>
        </c:txPr>
        <c:crossAx val="520590584"/>
        <c:crosses val="autoZero"/>
        <c:auto val="0"/>
        <c:lblAlgn val="ctr"/>
        <c:lblOffset val="100"/>
        <c:tickLblSkip val="2"/>
        <c:tickMarkSkip val="1"/>
        <c:noMultiLvlLbl val="0"/>
      </c:catAx>
      <c:valAx>
        <c:axId val="520590584"/>
        <c:scaling>
          <c:orientation val="minMax"/>
          <c:max val="140"/>
          <c:min val="40"/>
        </c:scaling>
        <c:delete val="0"/>
        <c:axPos val="l"/>
        <c:numFmt formatCode="0" sourceLinked="0"/>
        <c:majorTickMark val="out"/>
        <c:minorTickMark val="none"/>
        <c:tickLblPos val="nextTo"/>
        <c:spPr>
          <a:ln w="3175">
            <a:solidFill>
              <a:srgbClr val="000000"/>
            </a:solidFill>
            <a:prstDash val="solid"/>
          </a:ln>
        </c:spPr>
        <c:txPr>
          <a:bodyPr rot="0" vert="horz"/>
          <a:lstStyle/>
          <a:p>
            <a:pPr>
              <a:defRPr sz="1100" b="0" i="0" u="none" strike="noStrike" baseline="0">
                <a:solidFill>
                  <a:srgbClr val="000000"/>
                </a:solidFill>
                <a:latin typeface="Arial" panose="020B0604020202020204" pitchFamily="34" charset="0"/>
                <a:ea typeface="Helvetica-Narrow"/>
                <a:cs typeface="Arial" panose="020B0604020202020204" pitchFamily="34" charset="0"/>
              </a:defRPr>
            </a:pPr>
            <a:endParaRPr lang="fr-FR"/>
          </a:p>
        </c:txPr>
        <c:crossAx val="520596072"/>
        <c:crosses val="autoZero"/>
        <c:crossBetween val="between"/>
        <c:majorUnit val="10"/>
      </c:valAx>
      <c:spPr>
        <a:noFill/>
        <a:ln w="25400">
          <a:noFill/>
        </a:ln>
      </c:spPr>
    </c:plotArea>
    <c:plotVisOnly val="1"/>
    <c:dispBlanksAs val="gap"/>
    <c:showDLblsOverMax val="0"/>
  </c:chart>
  <c:spPr>
    <a:noFill/>
    <a:ln w="3175">
      <a:noFill/>
      <a:prstDash val="solid"/>
    </a:ln>
  </c:spPr>
  <c:txPr>
    <a:bodyPr/>
    <a:lstStyle/>
    <a:p>
      <a:pPr>
        <a:defRPr sz="800" b="0" i="0" u="none" strike="noStrike" baseline="0">
          <a:solidFill>
            <a:srgbClr val="000000"/>
          </a:solidFill>
          <a:latin typeface="Helvetica-Narrow"/>
          <a:ea typeface="Helvetica-Narrow"/>
          <a:cs typeface="Helvetica-Narrow"/>
        </a:defRPr>
      </a:pPr>
      <a:endParaRPr lang="fr-FR"/>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7852510552696139E-2"/>
          <c:y val="4.7524762355398736E-2"/>
          <c:w val="0.87082557224441015"/>
          <c:h val="0.77778904199475052"/>
        </c:manualLayout>
      </c:layout>
      <c:barChart>
        <c:barDir val="col"/>
        <c:grouping val="clustered"/>
        <c:varyColors val="0"/>
        <c:ser>
          <c:idx val="0"/>
          <c:order val="0"/>
          <c:tx>
            <c:strRef>
              <c:f>Feuil4!$A$6</c:f>
              <c:strCache>
                <c:ptCount val="1"/>
                <c:pt idx="0">
                  <c:v>CIB en Tec</c:v>
                </c:pt>
              </c:strCache>
            </c:strRef>
          </c:tx>
          <c:spPr>
            <a:solidFill>
              <a:schemeClr val="bg1">
                <a:lumMod val="75000"/>
              </a:schemeClr>
            </a:solidFill>
            <a:ln>
              <a:solidFill>
                <a:schemeClr val="bg1">
                  <a:lumMod val="7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Feuil4!$B$5:$T$5</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Feuil4!$B$6:$T$6</c:f>
              <c:numCache>
                <c:formatCode>#,##0</c:formatCode>
                <c:ptCount val="19"/>
                <c:pt idx="0">
                  <c:v>2227.0835459060004</c:v>
                </c:pt>
                <c:pt idx="1">
                  <c:v>2230.234244328999</c:v>
                </c:pt>
                <c:pt idx="2">
                  <c:v>2257.961943792001</c:v>
                </c:pt>
                <c:pt idx="3">
                  <c:v>2248.5307512889995</c:v>
                </c:pt>
                <c:pt idx="4">
                  <c:v>2232.9886522869997</c:v>
                </c:pt>
                <c:pt idx="5">
                  <c:v>2178.501653198</c:v>
                </c:pt>
                <c:pt idx="6">
                  <c:v>2164.7880360639997</c:v>
                </c:pt>
                <c:pt idx="7">
                  <c:v>2229.4757159129999</c:v>
                </c:pt>
                <c:pt idx="8">
                  <c:v>2187.4791965090003</c:v>
                </c:pt>
                <c:pt idx="9">
                  <c:v>2185.8868060589998</c:v>
                </c:pt>
                <c:pt idx="10">
                  <c:v>2234.8427791500003</c:v>
                </c:pt>
                <c:pt idx="11">
                  <c:v>2204.2553447499995</c:v>
                </c:pt>
                <c:pt idx="12">
                  <c:v>2151.3126136999999</c:v>
                </c:pt>
                <c:pt idx="13">
                  <c:v>2140.1146699999999</c:v>
                </c:pt>
                <c:pt idx="14">
                  <c:v>2196.2947500000005</c:v>
                </c:pt>
                <c:pt idx="15">
                  <c:v>2250.9996449999999</c:v>
                </c:pt>
                <c:pt idx="16">
                  <c:v>2206.4258650000002</c:v>
                </c:pt>
                <c:pt idx="17">
                  <c:v>2243.1336600000004</c:v>
                </c:pt>
                <c:pt idx="18">
                  <c:v>2225.9636500000006</c:v>
                </c:pt>
              </c:numCache>
            </c:numRef>
          </c:val>
          <c:extLst>
            <c:ext xmlns:c16="http://schemas.microsoft.com/office/drawing/2014/chart" uri="{C3380CC4-5D6E-409C-BE32-E72D297353CC}">
              <c16:uniqueId val="{00000000-7BB9-4D61-A477-56F98BF42681}"/>
            </c:ext>
          </c:extLst>
        </c:ser>
        <c:ser>
          <c:idx val="1"/>
          <c:order val="1"/>
          <c:tx>
            <c:strRef>
              <c:f>Feuil4!$A$7</c:f>
              <c:strCache>
                <c:ptCount val="1"/>
                <c:pt idx="0">
                  <c:v>Importation totale en Tec</c:v>
                </c:pt>
              </c:strCache>
            </c:strRef>
          </c:tx>
          <c:spPr>
            <a:solidFill>
              <a:schemeClr val="bg1">
                <a:lumMod val="50000"/>
              </a:schemeClr>
            </a:solidFill>
            <a:ln>
              <a:solidFill>
                <a:schemeClr val="bg1">
                  <a:lumMod val="6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Feuil4!$B$5:$T$5</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Feuil4!$B$7:$T$7</c:f>
              <c:numCache>
                <c:formatCode>#,##0</c:formatCode>
                <c:ptCount val="19"/>
                <c:pt idx="0">
                  <c:v>494.18204545501919</c:v>
                </c:pt>
                <c:pt idx="1">
                  <c:v>440.27650592871214</c:v>
                </c:pt>
                <c:pt idx="2">
                  <c:v>434.91763150991233</c:v>
                </c:pt>
                <c:pt idx="3">
                  <c:v>448.47091500765822</c:v>
                </c:pt>
                <c:pt idx="4">
                  <c:v>492.12309154080373</c:v>
                </c:pt>
                <c:pt idx="5">
                  <c:v>476.56777461714546</c:v>
                </c:pt>
                <c:pt idx="6">
                  <c:v>478.34147350798764</c:v>
                </c:pt>
                <c:pt idx="7">
                  <c:v>515.671596530035</c:v>
                </c:pt>
                <c:pt idx="8">
                  <c:v>530.94514164082796</c:v>
                </c:pt>
                <c:pt idx="9">
                  <c:v>533.97538516737166</c:v>
                </c:pt>
                <c:pt idx="10">
                  <c:v>611.4689065701416</c:v>
                </c:pt>
                <c:pt idx="11">
                  <c:v>602.97652762174926</c:v>
                </c:pt>
                <c:pt idx="12">
                  <c:v>585.99861807084505</c:v>
                </c:pt>
                <c:pt idx="13">
                  <c:v>600.03210715116916</c:v>
                </c:pt>
                <c:pt idx="14">
                  <c:v>594.90252543135034</c:v>
                </c:pt>
                <c:pt idx="15">
                  <c:v>612.80453250299433</c:v>
                </c:pt>
                <c:pt idx="16">
                  <c:v>548.12632962450004</c:v>
                </c:pt>
                <c:pt idx="17">
                  <c:v>590.76587907891223</c:v>
                </c:pt>
                <c:pt idx="18">
                  <c:v>563.10570417386896</c:v>
                </c:pt>
              </c:numCache>
            </c:numRef>
          </c:val>
          <c:extLst>
            <c:ext xmlns:c16="http://schemas.microsoft.com/office/drawing/2014/chart" uri="{C3380CC4-5D6E-409C-BE32-E72D297353CC}">
              <c16:uniqueId val="{00000001-7BB9-4D61-A477-56F98BF42681}"/>
            </c:ext>
          </c:extLst>
        </c:ser>
        <c:dLbls>
          <c:showLegendKey val="0"/>
          <c:showVal val="0"/>
          <c:showCatName val="0"/>
          <c:showSerName val="0"/>
          <c:showPercent val="0"/>
          <c:showBubbleSize val="0"/>
        </c:dLbls>
        <c:gapWidth val="100"/>
        <c:axId val="895191096"/>
        <c:axId val="895192408"/>
      </c:barChart>
      <c:lineChart>
        <c:grouping val="standard"/>
        <c:varyColors val="0"/>
        <c:ser>
          <c:idx val="2"/>
          <c:order val="2"/>
          <c:tx>
            <c:strRef>
              <c:f>Feuil4!$A$8</c:f>
              <c:strCache>
                <c:ptCount val="1"/>
                <c:pt idx="0">
                  <c:v>Consommation/hab en Kgec</c:v>
                </c:pt>
              </c:strCache>
            </c:strRef>
          </c:tx>
          <c:spPr>
            <a:ln w="28575" cap="rnd">
              <a:solidFill>
                <a:schemeClr val="bg1">
                  <a:lumMod val="50000"/>
                </a:schemeClr>
              </a:solidFill>
              <a:round/>
            </a:ln>
            <a:effectLst/>
          </c:spPr>
          <c:marker>
            <c:symbol val="none"/>
          </c:marker>
          <c:cat>
            <c:numRef>
              <c:f>Feuil4!$B$5:$T$5</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Feuil4!$B$8:$T$8</c:f>
              <c:numCache>
                <c:formatCode>#\ ##0.0</c:formatCode>
                <c:ptCount val="19"/>
                <c:pt idx="0">
                  <c:v>36.586337657806546</c:v>
                </c:pt>
                <c:pt idx="1">
                  <c:v>36.372200928437444</c:v>
                </c:pt>
                <c:pt idx="2">
                  <c:v>36.557896894501667</c:v>
                </c:pt>
                <c:pt idx="3">
                  <c:v>36.148849736166028</c:v>
                </c:pt>
                <c:pt idx="4">
                  <c:v>35.636020048945909</c:v>
                </c:pt>
                <c:pt idx="5">
                  <c:v>34.506544171796051</c:v>
                </c:pt>
                <c:pt idx="6">
                  <c:v>34.051468148362531</c:v>
                </c:pt>
                <c:pt idx="7">
                  <c:v>34.853529412243809</c:v>
                </c:pt>
                <c:pt idx="8">
                  <c:v>33.987650852364013</c:v>
                </c:pt>
                <c:pt idx="9">
                  <c:v>33.789136308337973</c:v>
                </c:pt>
                <c:pt idx="10">
                  <c:v>34.376379061235795</c:v>
                </c:pt>
                <c:pt idx="11">
                  <c:v>33.740323660645942</c:v>
                </c:pt>
                <c:pt idx="12">
                  <c:v>32.768923758967873</c:v>
                </c:pt>
                <c:pt idx="13">
                  <c:v>32.430402176054308</c:v>
                </c:pt>
                <c:pt idx="14">
                  <c:v>33.120622964169385</c:v>
                </c:pt>
                <c:pt idx="15">
                  <c:v>33.825203537296389</c:v>
                </c:pt>
                <c:pt idx="16">
                  <c:v>33.069436384346758</c:v>
                </c:pt>
                <c:pt idx="17">
                  <c:v>33.547201974126978</c:v>
                </c:pt>
                <c:pt idx="18">
                  <c:v>33.234747002702427</c:v>
                </c:pt>
              </c:numCache>
            </c:numRef>
          </c:val>
          <c:smooth val="0"/>
          <c:extLst>
            <c:ext xmlns:c16="http://schemas.microsoft.com/office/drawing/2014/chart" uri="{C3380CC4-5D6E-409C-BE32-E72D297353CC}">
              <c16:uniqueId val="{00000002-7BB9-4D61-A477-56F98BF42681}"/>
            </c:ext>
          </c:extLst>
        </c:ser>
        <c:dLbls>
          <c:showLegendKey val="0"/>
          <c:showVal val="0"/>
          <c:showCatName val="0"/>
          <c:showSerName val="0"/>
          <c:showPercent val="0"/>
          <c:showBubbleSize val="0"/>
        </c:dLbls>
        <c:marker val="1"/>
        <c:smooth val="0"/>
        <c:axId val="792592976"/>
        <c:axId val="792589368"/>
      </c:lineChart>
      <c:catAx>
        <c:axId val="89519109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95192408"/>
        <c:crosses val="autoZero"/>
        <c:auto val="1"/>
        <c:lblAlgn val="ctr"/>
        <c:lblOffset val="100"/>
        <c:noMultiLvlLbl val="0"/>
      </c:catAx>
      <c:valAx>
        <c:axId val="895192408"/>
        <c:scaling>
          <c:orientation val="minMax"/>
        </c:scaling>
        <c:delete val="0"/>
        <c:axPos val="l"/>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95191096"/>
        <c:crosses val="autoZero"/>
        <c:crossBetween val="between"/>
        <c:majorUnit val="400"/>
      </c:valAx>
      <c:valAx>
        <c:axId val="792589368"/>
        <c:scaling>
          <c:orientation val="minMax"/>
        </c:scaling>
        <c:delete val="0"/>
        <c:axPos val="r"/>
        <c:numFmt formatCode="#,##0_ ;\-#,##0\ " sourceLinked="0"/>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792592976"/>
        <c:crosses val="max"/>
        <c:crossBetween val="between"/>
      </c:valAx>
      <c:catAx>
        <c:axId val="792592976"/>
        <c:scaling>
          <c:orientation val="minMax"/>
        </c:scaling>
        <c:delete val="1"/>
        <c:axPos val="b"/>
        <c:numFmt formatCode="General" sourceLinked="1"/>
        <c:majorTickMark val="out"/>
        <c:minorTickMark val="none"/>
        <c:tickLblPos val="nextTo"/>
        <c:crossAx val="792589368"/>
        <c:crosses val="autoZero"/>
        <c:auto val="1"/>
        <c:lblAlgn val="ctr"/>
        <c:lblOffset val="100"/>
        <c:noMultiLvlLbl val="0"/>
      </c:catAx>
      <c:spPr>
        <a:noFill/>
        <a:ln>
          <a:noFill/>
        </a:ln>
        <a:effectLst/>
      </c:spPr>
    </c:plotArea>
    <c:legend>
      <c:legendPos val="b"/>
      <c:layout>
        <c:manualLayout>
          <c:xMode val="edge"/>
          <c:yMode val="edge"/>
          <c:x val="2.9200941010112905E-2"/>
          <c:y val="0.90094652230971128"/>
          <c:w val="0.93822681037131184"/>
          <c:h val="7.3499392342494155E-2"/>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15"/>
      <c:rotY val="20"/>
      <c:depthPercent val="100"/>
      <c:rAngAx val="1"/>
    </c:view3D>
    <c:floor>
      <c:thickness val="0"/>
      <c:spPr>
        <a:noFill/>
        <a:ln>
          <a:noFill/>
        </a:ln>
        <a:effectLst/>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1.4425553838227717E-2"/>
          <c:y val="3.0259827742353584E-2"/>
          <c:w val="0.96593898211177243"/>
          <c:h val="0.71396079306880544"/>
        </c:manualLayout>
      </c:layout>
      <c:bar3DChart>
        <c:barDir val="col"/>
        <c:grouping val="stacked"/>
        <c:varyColors val="0"/>
        <c:ser>
          <c:idx val="0"/>
          <c:order val="0"/>
          <c:tx>
            <c:strRef>
              <c:f>'Analyse ttl I'!$I$1</c:f>
              <c:strCache>
                <c:ptCount val="1"/>
                <c:pt idx="0">
                  <c:v>Lard, graisse</c:v>
                </c:pt>
              </c:strCache>
            </c:strRef>
          </c:tx>
          <c:spPr>
            <a:solidFill>
              <a:schemeClr val="accent3">
                <a:shade val="58000"/>
              </a:schemeClr>
            </a:solidFill>
            <a:ln>
              <a:noFill/>
            </a:ln>
            <a:effectLst/>
            <a:sp3d>
              <a:contourClr>
                <a:srgbClr val="FFC000"/>
              </a:contourClr>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I'!$H$10:$H$20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I'!$I$10:$I$20</c:f>
              <c:numCache>
                <c:formatCode>0%</c:formatCode>
                <c:ptCount val="11"/>
                <c:pt idx="0">
                  <c:v>0.1031441917299854</c:v>
                </c:pt>
                <c:pt idx="1">
                  <c:v>0.10053081975427168</c:v>
                </c:pt>
                <c:pt idx="2">
                  <c:v>0.15270157565465783</c:v>
                </c:pt>
                <c:pt idx="3">
                  <c:v>0.14770185537462421</c:v>
                </c:pt>
                <c:pt idx="4">
                  <c:v>8.8816241991978254E-2</c:v>
                </c:pt>
                <c:pt idx="5">
                  <c:v>9.6706322986308255E-2</c:v>
                </c:pt>
                <c:pt idx="6">
                  <c:v>8.6207146407218702E-2</c:v>
                </c:pt>
                <c:pt idx="7">
                  <c:v>9.1837945744556879E-2</c:v>
                </c:pt>
                <c:pt idx="8">
                  <c:v>7.8254154427038508E-2</c:v>
                </c:pt>
                <c:pt idx="9">
                  <c:v>7.3126816967896038E-2</c:v>
                </c:pt>
                <c:pt idx="10">
                  <c:v>6.5507407120368039E-2</c:v>
                </c:pt>
              </c:numCache>
            </c:numRef>
          </c:val>
          <c:extLst>
            <c:ext xmlns:c16="http://schemas.microsoft.com/office/drawing/2014/chart" uri="{C3380CC4-5D6E-409C-BE32-E72D297353CC}">
              <c16:uniqueId val="{00000000-1189-4DA3-A9F0-618B06A94672}"/>
            </c:ext>
          </c:extLst>
        </c:ser>
        <c:ser>
          <c:idx val="1"/>
          <c:order val="1"/>
          <c:tx>
            <c:strRef>
              <c:f>'Analyse ttl I'!$J$1</c:f>
              <c:strCache>
                <c:ptCount val="1"/>
                <c:pt idx="0">
                  <c:v>Abats</c:v>
                </c:pt>
              </c:strCache>
            </c:strRef>
          </c:tx>
          <c:spPr>
            <a:solidFill>
              <a:schemeClr val="accent3">
                <a:shade val="86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I'!$H$10:$H$20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I'!$J$10:$J$20</c:f>
              <c:numCache>
                <c:formatCode>0%</c:formatCode>
                <c:ptCount val="11"/>
                <c:pt idx="0">
                  <c:v>8.1299589623465299E-2</c:v>
                </c:pt>
                <c:pt idx="1">
                  <c:v>8.7019983875521859E-2</c:v>
                </c:pt>
                <c:pt idx="2">
                  <c:v>7.5584739748664628E-2</c:v>
                </c:pt>
                <c:pt idx="3">
                  <c:v>8.1641248957544779E-2</c:v>
                </c:pt>
                <c:pt idx="4">
                  <c:v>9.7389111948699522E-2</c:v>
                </c:pt>
                <c:pt idx="5">
                  <c:v>8.7822048504135247E-2</c:v>
                </c:pt>
                <c:pt idx="6">
                  <c:v>0.13774591134473113</c:v>
                </c:pt>
                <c:pt idx="7">
                  <c:v>0.12942737993542033</c:v>
                </c:pt>
                <c:pt idx="8">
                  <c:v>0.14432117891696025</c:v>
                </c:pt>
                <c:pt idx="9">
                  <c:v>0.10207497478877867</c:v>
                </c:pt>
                <c:pt idx="10">
                  <c:v>0.11398033222205087</c:v>
                </c:pt>
              </c:numCache>
            </c:numRef>
          </c:val>
          <c:extLst>
            <c:ext xmlns:c16="http://schemas.microsoft.com/office/drawing/2014/chart" uri="{C3380CC4-5D6E-409C-BE32-E72D297353CC}">
              <c16:uniqueId val="{00000001-1189-4DA3-A9F0-618B06A94672}"/>
            </c:ext>
          </c:extLst>
        </c:ser>
        <c:ser>
          <c:idx val="2"/>
          <c:order val="2"/>
          <c:tx>
            <c:strRef>
              <c:f>'Analyse ttl I'!$K$1</c:f>
              <c:strCache>
                <c:ptCount val="1"/>
                <c:pt idx="0">
                  <c:v>Viande FRC</c:v>
                </c:pt>
              </c:strCache>
            </c:strRef>
          </c:tx>
          <c:spPr>
            <a:solidFill>
              <a:schemeClr val="accent3">
                <a:tint val="86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I'!$H$10:$H$20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I'!$K$10:$K$20</c:f>
              <c:numCache>
                <c:formatCode>0%</c:formatCode>
                <c:ptCount val="11"/>
                <c:pt idx="0">
                  <c:v>0.60407160728582232</c:v>
                </c:pt>
                <c:pt idx="1">
                  <c:v>0.61585415197560045</c:v>
                </c:pt>
                <c:pt idx="2">
                  <c:v>0.58753055388867081</c:v>
                </c:pt>
                <c:pt idx="3">
                  <c:v>0.57579772357196968</c:v>
                </c:pt>
                <c:pt idx="4">
                  <c:v>0.59219064463032067</c:v>
                </c:pt>
                <c:pt idx="5">
                  <c:v>0.58576025110859087</c:v>
                </c:pt>
                <c:pt idx="6">
                  <c:v>0.54602913360581651</c:v>
                </c:pt>
                <c:pt idx="7">
                  <c:v>0.54321566555805345</c:v>
                </c:pt>
                <c:pt idx="8">
                  <c:v>0.50365481529476752</c:v>
                </c:pt>
                <c:pt idx="9">
                  <c:v>0.5320710388028389</c:v>
                </c:pt>
                <c:pt idx="10">
                  <c:v>0.50635580131845936</c:v>
                </c:pt>
              </c:numCache>
            </c:numRef>
          </c:val>
          <c:extLst>
            <c:ext xmlns:c16="http://schemas.microsoft.com/office/drawing/2014/chart" uri="{C3380CC4-5D6E-409C-BE32-E72D297353CC}">
              <c16:uniqueId val="{00000002-1189-4DA3-A9F0-618B06A94672}"/>
            </c:ext>
          </c:extLst>
        </c:ser>
        <c:ser>
          <c:idx val="3"/>
          <c:order val="3"/>
          <c:tx>
            <c:strRef>
              <c:f>'Analyse ttl I'!$L$1</c:f>
              <c:strCache>
                <c:ptCount val="1"/>
                <c:pt idx="0">
                  <c:v>Produits transformés</c:v>
                </c:pt>
              </c:strCache>
            </c:strRef>
          </c:tx>
          <c:spPr>
            <a:solidFill>
              <a:schemeClr val="accent3">
                <a:tint val="58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I'!$H$10:$H$20</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I'!$L$10:$L$20</c:f>
              <c:numCache>
                <c:formatCode>0%</c:formatCode>
                <c:ptCount val="11"/>
                <c:pt idx="0">
                  <c:v>0.21148461136072697</c:v>
                </c:pt>
                <c:pt idx="1">
                  <c:v>0.19659504439460598</c:v>
                </c:pt>
                <c:pt idx="2">
                  <c:v>0.18418313070800685</c:v>
                </c:pt>
                <c:pt idx="3">
                  <c:v>0.19485917209586137</c:v>
                </c:pt>
                <c:pt idx="4">
                  <c:v>0.22160400142900152</c:v>
                </c:pt>
                <c:pt idx="5">
                  <c:v>0.22971137740096556</c:v>
                </c:pt>
                <c:pt idx="6">
                  <c:v>0.23001780864223359</c:v>
                </c:pt>
                <c:pt idx="7">
                  <c:v>0.23551900876196932</c:v>
                </c:pt>
                <c:pt idx="8">
                  <c:v>0.27376985136123372</c:v>
                </c:pt>
                <c:pt idx="9">
                  <c:v>0.29272716944048655</c:v>
                </c:pt>
                <c:pt idx="10">
                  <c:v>0.31415645933912179</c:v>
                </c:pt>
              </c:numCache>
            </c:numRef>
          </c:val>
          <c:extLst>
            <c:ext xmlns:c16="http://schemas.microsoft.com/office/drawing/2014/chart" uri="{C3380CC4-5D6E-409C-BE32-E72D297353CC}">
              <c16:uniqueId val="{00000003-1189-4DA3-A9F0-618B06A94672}"/>
            </c:ext>
          </c:extLst>
        </c:ser>
        <c:dLbls>
          <c:showLegendKey val="0"/>
          <c:showVal val="0"/>
          <c:showCatName val="0"/>
          <c:showSerName val="0"/>
          <c:showPercent val="0"/>
          <c:showBubbleSize val="0"/>
        </c:dLbls>
        <c:gapWidth val="150"/>
        <c:shape val="box"/>
        <c:axId val="518437368"/>
        <c:axId val="740457432"/>
        <c:axId val="0"/>
      </c:bar3DChart>
      <c:catAx>
        <c:axId val="5184373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740457432"/>
        <c:crosses val="autoZero"/>
        <c:auto val="1"/>
        <c:lblAlgn val="ctr"/>
        <c:lblOffset val="100"/>
        <c:noMultiLvlLbl val="0"/>
      </c:catAx>
      <c:valAx>
        <c:axId val="74045743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18437368"/>
        <c:crosses val="autoZero"/>
        <c:crossBetween val="between"/>
      </c:valAx>
      <c:spPr>
        <a:noFill/>
        <a:ln>
          <a:noFill/>
        </a:ln>
        <a:effectLst/>
      </c:spPr>
    </c:plotArea>
    <c:legend>
      <c:legendPos val="b"/>
      <c:layout>
        <c:manualLayout>
          <c:xMode val="edge"/>
          <c:yMode val="edge"/>
          <c:x val="7.4419016270051375E-2"/>
          <c:y val="0.87631008162657098"/>
          <c:w val="0.87600619594681806"/>
          <c:h val="0.12368988227616586"/>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15"/>
      <c:rotY val="20"/>
      <c:depthPercent val="100"/>
      <c:rAngAx val="1"/>
    </c:view3D>
    <c:floor>
      <c:thickness val="0"/>
      <c:spPr>
        <a:noFill/>
        <a:ln>
          <a:noFill/>
        </a:ln>
        <a:effectLst/>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1.4425553838227717E-2"/>
          <c:y val="4.6487049845963815E-2"/>
          <c:w val="0.98557439163380278"/>
          <c:h val="0.75880242438117651"/>
        </c:manualLayout>
      </c:layout>
      <c:bar3DChart>
        <c:barDir val="col"/>
        <c:grouping val="stacked"/>
        <c:varyColors val="0"/>
        <c:ser>
          <c:idx val="0"/>
          <c:order val="0"/>
          <c:tx>
            <c:strRef>
              <c:f>'Analyse ttl X'!$J$1</c:f>
              <c:strCache>
                <c:ptCount val="1"/>
                <c:pt idx="0">
                  <c:v>Lard, graisse</c:v>
                </c:pt>
              </c:strCache>
            </c:strRef>
          </c:tx>
          <c:spPr>
            <a:solidFill>
              <a:schemeClr val="accent3">
                <a:shade val="58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X'!$I$10:$I$21</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X'!$J$10:$J$21</c:f>
              <c:numCache>
                <c:formatCode>0%</c:formatCode>
                <c:ptCount val="11"/>
                <c:pt idx="0">
                  <c:v>0.11419843514632549</c:v>
                </c:pt>
                <c:pt idx="1">
                  <c:v>0.12808151734722287</c:v>
                </c:pt>
                <c:pt idx="2">
                  <c:v>0.12369305712297739</c:v>
                </c:pt>
                <c:pt idx="3">
                  <c:v>0.12462680072354779</c:v>
                </c:pt>
                <c:pt idx="4">
                  <c:v>0.12583686185783363</c:v>
                </c:pt>
                <c:pt idx="5">
                  <c:v>0.12719444412574041</c:v>
                </c:pt>
                <c:pt idx="6">
                  <c:v>0.1024936213025936</c:v>
                </c:pt>
                <c:pt idx="7">
                  <c:v>0.12210023752845138</c:v>
                </c:pt>
                <c:pt idx="8">
                  <c:v>0.12375520289357689</c:v>
                </c:pt>
                <c:pt idx="9">
                  <c:v>0.11963955913272553</c:v>
                </c:pt>
                <c:pt idx="10">
                  <c:v>0.12653905147296179</c:v>
                </c:pt>
              </c:numCache>
            </c:numRef>
          </c:val>
          <c:extLst>
            <c:ext xmlns:c16="http://schemas.microsoft.com/office/drawing/2014/chart" uri="{C3380CC4-5D6E-409C-BE32-E72D297353CC}">
              <c16:uniqueId val="{00000000-EC57-4CF0-9E3D-94E1B0C4EB66}"/>
            </c:ext>
          </c:extLst>
        </c:ser>
        <c:ser>
          <c:idx val="1"/>
          <c:order val="1"/>
          <c:tx>
            <c:strRef>
              <c:f>'Analyse ttl X'!$K$1</c:f>
              <c:strCache>
                <c:ptCount val="1"/>
                <c:pt idx="0">
                  <c:v>Abats</c:v>
                </c:pt>
              </c:strCache>
            </c:strRef>
          </c:tx>
          <c:spPr>
            <a:solidFill>
              <a:schemeClr val="accent3">
                <a:shade val="86000"/>
              </a:schemeClr>
            </a:solidFill>
            <a:ln>
              <a:noFill/>
            </a:ln>
            <a:effectLst/>
            <a:sp3d/>
          </c:spPr>
          <c:invertIfNegative val="0"/>
          <c:dLbls>
            <c:spPr>
              <a:noFill/>
              <a:ln>
                <a:noFill/>
              </a:ln>
              <a:effectLst/>
            </c:spPr>
            <c:txPr>
              <a:bodyPr rot="0" spcFirstLastPara="1" vertOverflow="ellipsis" vert="horz" wrap="square" lIns="38100" tIns="19050" rIns="38100" bIns="19050" anchor="ctr" anchorCtr="0">
                <a:spAutoFit/>
              </a:bodyPr>
              <a:lstStyle/>
              <a:p>
                <a:pPr algn="ctr">
                  <a:defRPr lang="fr-F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X'!$I$10:$I$21</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X'!$K$10:$K$21</c:f>
              <c:numCache>
                <c:formatCode>0%</c:formatCode>
                <c:ptCount val="11"/>
                <c:pt idx="0">
                  <c:v>0.13704012391150266</c:v>
                </c:pt>
                <c:pt idx="1">
                  <c:v>0.14038938726172609</c:v>
                </c:pt>
                <c:pt idx="2">
                  <c:v>0.14924807757780034</c:v>
                </c:pt>
                <c:pt idx="3">
                  <c:v>0.15086004347912682</c:v>
                </c:pt>
                <c:pt idx="4">
                  <c:v>0.14981916581807384</c:v>
                </c:pt>
                <c:pt idx="5">
                  <c:v>0.14690164968033392</c:v>
                </c:pt>
                <c:pt idx="6">
                  <c:v>0.16930599517650124</c:v>
                </c:pt>
                <c:pt idx="7">
                  <c:v>0.17123261055976505</c:v>
                </c:pt>
                <c:pt idx="8">
                  <c:v>0.17389256670753414</c:v>
                </c:pt>
                <c:pt idx="9">
                  <c:v>0.19077975210702749</c:v>
                </c:pt>
                <c:pt idx="10">
                  <c:v>0.18927500701510833</c:v>
                </c:pt>
              </c:numCache>
            </c:numRef>
          </c:val>
          <c:extLst>
            <c:ext xmlns:c16="http://schemas.microsoft.com/office/drawing/2014/chart" uri="{C3380CC4-5D6E-409C-BE32-E72D297353CC}">
              <c16:uniqueId val="{00000001-EC57-4CF0-9E3D-94E1B0C4EB66}"/>
            </c:ext>
          </c:extLst>
        </c:ser>
        <c:ser>
          <c:idx val="2"/>
          <c:order val="2"/>
          <c:tx>
            <c:strRef>
              <c:f>'Analyse ttl X'!$L$1</c:f>
              <c:strCache>
                <c:ptCount val="1"/>
                <c:pt idx="0">
                  <c:v>Viande FRC</c:v>
                </c:pt>
              </c:strCache>
            </c:strRef>
          </c:tx>
          <c:spPr>
            <a:solidFill>
              <a:schemeClr val="accent3">
                <a:tint val="86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X'!$I$10:$I$21</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X'!$L$10:$L$21</c:f>
              <c:numCache>
                <c:formatCode>0%</c:formatCode>
                <c:ptCount val="11"/>
                <c:pt idx="0">
                  <c:v>0.63272095317792043</c:v>
                </c:pt>
                <c:pt idx="1">
                  <c:v>0.62330809401250875</c:v>
                </c:pt>
                <c:pt idx="2">
                  <c:v>0.62325687888322379</c:v>
                </c:pt>
                <c:pt idx="3">
                  <c:v>0.61714576748870764</c:v>
                </c:pt>
                <c:pt idx="4">
                  <c:v>0.62223736539824603</c:v>
                </c:pt>
                <c:pt idx="5">
                  <c:v>0.62285671899134876</c:v>
                </c:pt>
                <c:pt idx="6">
                  <c:v>0.62362609271566261</c:v>
                </c:pt>
                <c:pt idx="7">
                  <c:v>0.60436825000601724</c:v>
                </c:pt>
                <c:pt idx="8">
                  <c:v>0.60189605462345874</c:v>
                </c:pt>
                <c:pt idx="9">
                  <c:v>0.58405755047550245</c:v>
                </c:pt>
                <c:pt idx="10">
                  <c:v>0.59091531164311073</c:v>
                </c:pt>
              </c:numCache>
            </c:numRef>
          </c:val>
          <c:extLst>
            <c:ext xmlns:c16="http://schemas.microsoft.com/office/drawing/2014/chart" uri="{C3380CC4-5D6E-409C-BE32-E72D297353CC}">
              <c16:uniqueId val="{00000002-EC57-4CF0-9E3D-94E1B0C4EB66}"/>
            </c:ext>
          </c:extLst>
        </c:ser>
        <c:ser>
          <c:idx val="3"/>
          <c:order val="3"/>
          <c:tx>
            <c:strRef>
              <c:f>'Analyse ttl X'!$M$1</c:f>
              <c:strCache>
                <c:ptCount val="1"/>
                <c:pt idx="0">
                  <c:v>Produits transformés</c:v>
                </c:pt>
              </c:strCache>
            </c:strRef>
          </c:tx>
          <c:spPr>
            <a:solidFill>
              <a:schemeClr val="accent3">
                <a:tint val="58000"/>
              </a:schemeClr>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'Analyse ttl X'!$I$10:$I$21</c:f>
              <c:numCache>
                <c:formatCode>General</c:formatCode>
                <c:ptCount val="11"/>
                <c:pt idx="0">
                  <c:v>2008</c:v>
                </c:pt>
                <c:pt idx="1">
                  <c:v>2009</c:v>
                </c:pt>
                <c:pt idx="2">
                  <c:v>2010</c:v>
                </c:pt>
                <c:pt idx="3">
                  <c:v>2011</c:v>
                </c:pt>
                <c:pt idx="4">
                  <c:v>2012</c:v>
                </c:pt>
                <c:pt idx="5">
                  <c:v>2013</c:v>
                </c:pt>
                <c:pt idx="6">
                  <c:v>2014</c:v>
                </c:pt>
                <c:pt idx="7">
                  <c:v>2015</c:v>
                </c:pt>
                <c:pt idx="8">
                  <c:v>2016</c:v>
                </c:pt>
                <c:pt idx="9">
                  <c:v>2017</c:v>
                </c:pt>
                <c:pt idx="10">
                  <c:v>2018</c:v>
                </c:pt>
              </c:numCache>
            </c:numRef>
          </c:cat>
          <c:val>
            <c:numRef>
              <c:f>'Analyse ttl X'!$M$10:$M$21</c:f>
              <c:numCache>
                <c:formatCode>0%</c:formatCode>
                <c:ptCount val="11"/>
                <c:pt idx="0">
                  <c:v>0.11604048776425151</c:v>
                </c:pt>
                <c:pt idx="1">
                  <c:v>0.10822100137854226</c:v>
                </c:pt>
                <c:pt idx="2">
                  <c:v>0.10380198641599844</c:v>
                </c:pt>
                <c:pt idx="3">
                  <c:v>0.10736738830861783</c:v>
                </c:pt>
                <c:pt idx="4">
                  <c:v>0.10210660692584643</c:v>
                </c:pt>
                <c:pt idx="5">
                  <c:v>0.10304718720257687</c:v>
                </c:pt>
                <c:pt idx="6">
                  <c:v>0.10457429080524254</c:v>
                </c:pt>
                <c:pt idx="7">
                  <c:v>0.10229890190576639</c:v>
                </c:pt>
                <c:pt idx="8">
                  <c:v>0.10045617577543033</c:v>
                </c:pt>
                <c:pt idx="9">
                  <c:v>0.10552313828474448</c:v>
                </c:pt>
                <c:pt idx="10">
                  <c:v>9.3270629868819246E-2</c:v>
                </c:pt>
              </c:numCache>
            </c:numRef>
          </c:val>
          <c:extLst>
            <c:ext xmlns:c16="http://schemas.microsoft.com/office/drawing/2014/chart" uri="{C3380CC4-5D6E-409C-BE32-E72D297353CC}">
              <c16:uniqueId val="{00000003-EC57-4CF0-9E3D-94E1B0C4EB66}"/>
            </c:ext>
          </c:extLst>
        </c:ser>
        <c:dLbls>
          <c:showLegendKey val="0"/>
          <c:showVal val="0"/>
          <c:showCatName val="0"/>
          <c:showSerName val="0"/>
          <c:showPercent val="0"/>
          <c:showBubbleSize val="0"/>
        </c:dLbls>
        <c:gapWidth val="150"/>
        <c:shape val="box"/>
        <c:axId val="518437368"/>
        <c:axId val="740457432"/>
        <c:axId val="0"/>
      </c:bar3DChart>
      <c:catAx>
        <c:axId val="518437368"/>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740457432"/>
        <c:crosses val="autoZero"/>
        <c:auto val="1"/>
        <c:lblAlgn val="ctr"/>
        <c:lblOffset val="100"/>
        <c:noMultiLvlLbl val="0"/>
      </c:catAx>
      <c:valAx>
        <c:axId val="740457432"/>
        <c:scaling>
          <c:orientation val="minMax"/>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518437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lineChart>
        <c:grouping val="standard"/>
        <c:varyColors val="0"/>
        <c:ser>
          <c:idx val="0"/>
          <c:order val="0"/>
          <c:tx>
            <c:strRef>
              <c:f>Bilan!$A$11</c:f>
              <c:strCache>
                <c:ptCount val="1"/>
                <c:pt idx="0">
                  <c:v>Export / Abattage</c:v>
                </c:pt>
              </c:strCache>
            </c:strRef>
          </c:tx>
          <c:spPr>
            <a:ln w="28575" cap="rnd">
              <a:solidFill>
                <a:schemeClr val="accent3">
                  <a:shade val="76000"/>
                </a:schemeClr>
              </a:solidFill>
              <a:round/>
            </a:ln>
            <a:effectLst/>
          </c:spPr>
          <c:marker>
            <c:symbol val="none"/>
          </c:marker>
          <c:dLbls>
            <c:dLbl>
              <c:idx val="13"/>
              <c:layout>
                <c:manualLayout>
                  <c:x val="-3.9603960396039702E-2"/>
                  <c:y val="-8.5127691537305955E-2"/>
                </c:manualLayout>
              </c:layout>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A79-4796-8E41-F476978C6515}"/>
                </c:ext>
              </c:extLst>
            </c:dLbl>
            <c:dLbl>
              <c:idx val="18"/>
              <c:layout>
                <c:manualLayout>
                  <c:x val="-5.0309700818803434E-2"/>
                  <c:y val="-0.11620793777589396"/>
                </c:manualLayout>
              </c:layout>
              <c:spPr>
                <a:solidFill>
                  <a:schemeClr val="tx1">
                    <a:lumMod val="50000"/>
                    <a:lumOff val="50000"/>
                  </a:schemeClr>
                </a:solid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A79-4796-8E41-F476978C6515}"/>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Bilan!$B$10:$T$10</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Bilan!$B$11:$T$11</c:f>
              <c:numCache>
                <c:formatCode>0%</c:formatCode>
                <c:ptCount val="19"/>
                <c:pt idx="0">
                  <c:v>0.24619614369494872</c:v>
                </c:pt>
                <c:pt idx="1">
                  <c:v>0.22529124878477771</c:v>
                </c:pt>
                <c:pt idx="2">
                  <c:v>0.22843293952221869</c:v>
                </c:pt>
                <c:pt idx="3">
                  <c:v>0.23308185173286849</c:v>
                </c:pt>
                <c:pt idx="4">
                  <c:v>0.25189058984255086</c:v>
                </c:pt>
                <c:pt idx="5">
                  <c:v>0.26686434666069608</c:v>
                </c:pt>
                <c:pt idx="6">
                  <c:v>0.27368803200247666</c:v>
                </c:pt>
                <c:pt idx="7">
                  <c:v>0.27278101646241987</c:v>
                </c:pt>
                <c:pt idx="8">
                  <c:v>0.29382305153796801</c:v>
                </c:pt>
                <c:pt idx="9">
                  <c:v>0.29104798732026199</c:v>
                </c:pt>
                <c:pt idx="10">
                  <c:v>0.30716053503081897</c:v>
                </c:pt>
                <c:pt idx="11">
                  <c:v>0.30628899463398845</c:v>
                </c:pt>
                <c:pt idx="12">
                  <c:v>0.30475308216368652</c:v>
                </c:pt>
                <c:pt idx="13">
                  <c:v>0.31025554807976385</c:v>
                </c:pt>
                <c:pt idx="14">
                  <c:v>0.28272101211413403</c:v>
                </c:pt>
                <c:pt idx="15">
                  <c:v>0.26714620885044371</c:v>
                </c:pt>
                <c:pt idx="16">
                  <c:v>0.27050503886717214</c:v>
                </c:pt>
                <c:pt idx="17">
                  <c:v>0.25878876614963486</c:v>
                </c:pt>
                <c:pt idx="18">
                  <c:v>0.26286713146345436</c:v>
                </c:pt>
              </c:numCache>
            </c:numRef>
          </c:val>
          <c:smooth val="0"/>
          <c:extLst>
            <c:ext xmlns:c16="http://schemas.microsoft.com/office/drawing/2014/chart" uri="{C3380CC4-5D6E-409C-BE32-E72D297353CC}">
              <c16:uniqueId val="{00000002-CA79-4796-8E41-F476978C6515}"/>
            </c:ext>
          </c:extLst>
        </c:ser>
        <c:ser>
          <c:idx val="1"/>
          <c:order val="1"/>
          <c:tx>
            <c:strRef>
              <c:f>Bilan!$A$12</c:f>
              <c:strCache>
                <c:ptCount val="1"/>
                <c:pt idx="0">
                  <c:v>Importation / consommation </c:v>
                </c:pt>
              </c:strCache>
            </c:strRef>
          </c:tx>
          <c:spPr>
            <a:ln w="28575" cap="rnd">
              <a:solidFill>
                <a:schemeClr val="accent3">
                  <a:tint val="77000"/>
                </a:schemeClr>
              </a:solidFill>
              <a:round/>
            </a:ln>
            <a:effectLst/>
          </c:spPr>
          <c:marker>
            <c:symbol val="none"/>
          </c:marker>
          <c:dLbls>
            <c:dLbl>
              <c:idx val="13"/>
              <c:layout>
                <c:manualLayout>
                  <c:x val="-5.7695174241833631E-2"/>
                  <c:y val="9.9700732200663195E-2"/>
                </c:manualLayout>
              </c:layout>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A79-4796-8E41-F476978C6515}"/>
                </c:ext>
              </c:extLst>
            </c:dLbl>
            <c:dLbl>
              <c:idx val="18"/>
              <c:layout>
                <c:manualLayout>
                  <c:x val="-8.7541836432958459E-2"/>
                  <c:y val="8.5783842237111621E-2"/>
                </c:manualLayout>
              </c:layout>
              <c:spPr>
                <a:solidFill>
                  <a:schemeClr val="bg1">
                    <a:lumMod val="85000"/>
                  </a:schemeClr>
                </a:solid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A79-4796-8E41-F476978C6515}"/>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Bilan!$B$10:$T$10</c:f>
              <c:numCache>
                <c:formatCode>General</c:formatCode>
                <c:ptCount val="19"/>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numCache>
            </c:numRef>
          </c:cat>
          <c:val>
            <c:numRef>
              <c:f>Bilan!$B$12:$T$12</c:f>
              <c:numCache>
                <c:formatCode>0%</c:formatCode>
                <c:ptCount val="19"/>
                <c:pt idx="0">
                  <c:v>0.2218965006335139</c:v>
                </c:pt>
                <c:pt idx="1">
                  <c:v>0.19741267404903301</c:v>
                </c:pt>
                <c:pt idx="2">
                  <c:v>0.19261512919013843</c:v>
                </c:pt>
                <c:pt idx="3">
                  <c:v>0.19945064782883953</c:v>
                </c:pt>
                <c:pt idx="4">
                  <c:v>0.22038763655909191</c:v>
                </c:pt>
                <c:pt idx="5">
                  <c:v>0.21875942757149291</c:v>
                </c:pt>
                <c:pt idx="6">
                  <c:v>0.22096457738084338</c:v>
                </c:pt>
                <c:pt idx="7">
                  <c:v>0.23129724753196543</c:v>
                </c:pt>
                <c:pt idx="8">
                  <c:v>0.24272008734444822</c:v>
                </c:pt>
                <c:pt idx="9">
                  <c:v>0.24428318231633034</c:v>
                </c:pt>
                <c:pt idx="10">
                  <c:v>0.273607124525649</c:v>
                </c:pt>
                <c:pt idx="11">
                  <c:v>0.27355112421884009</c:v>
                </c:pt>
                <c:pt idx="12">
                  <c:v>0.27239119704829773</c:v>
                </c:pt>
                <c:pt idx="13">
                  <c:v>0.28037381153560764</c:v>
                </c:pt>
                <c:pt idx="14">
                  <c:v>0.27086643331062471</c:v>
                </c:pt>
                <c:pt idx="15">
                  <c:v>0.27223661890137452</c:v>
                </c:pt>
                <c:pt idx="16">
                  <c:v>0.24842272669084217</c:v>
                </c:pt>
                <c:pt idx="17">
                  <c:v>0.26336632970810669</c:v>
                </c:pt>
                <c:pt idx="18">
                  <c:v>0.25297165305186758</c:v>
                </c:pt>
              </c:numCache>
            </c:numRef>
          </c:val>
          <c:smooth val="0"/>
          <c:extLst>
            <c:ext xmlns:c16="http://schemas.microsoft.com/office/drawing/2014/chart" uri="{C3380CC4-5D6E-409C-BE32-E72D297353CC}">
              <c16:uniqueId val="{00000005-CA79-4796-8E41-F476978C6515}"/>
            </c:ext>
          </c:extLst>
        </c:ser>
        <c:dLbls>
          <c:showLegendKey val="0"/>
          <c:showVal val="0"/>
          <c:showCatName val="0"/>
          <c:showSerName val="0"/>
          <c:showPercent val="0"/>
          <c:showBubbleSize val="0"/>
        </c:dLbls>
        <c:smooth val="0"/>
        <c:axId val="772220768"/>
        <c:axId val="772218800"/>
      </c:lineChart>
      <c:catAx>
        <c:axId val="7722207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100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crossAx val="772218800"/>
        <c:crosses val="autoZero"/>
        <c:auto val="1"/>
        <c:lblAlgn val="ctr"/>
        <c:lblOffset val="100"/>
        <c:noMultiLvlLbl val="0"/>
      </c:catAx>
      <c:valAx>
        <c:axId val="772218800"/>
        <c:scaling>
          <c:orientation val="minMax"/>
          <c:max val="0.35000000000000003"/>
          <c:min val="0.15000000000000002"/>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crossAx val="772220768"/>
        <c:crosses val="autoZero"/>
        <c:crossBetween val="between"/>
        <c:majorUnit val="5.000000000000001E-2"/>
      </c:valAx>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bg2">
                  <a:lumMod val="10000"/>
                </a:schemeClr>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758905136857895E-2"/>
          <c:y val="2.5139899411931343E-2"/>
          <c:w val="0.9312410948631421"/>
          <c:h val="0.82164816821200304"/>
        </c:manualLayout>
      </c:layout>
      <c:barChart>
        <c:barDir val="col"/>
        <c:grouping val="clustered"/>
        <c:varyColors val="0"/>
        <c:ser>
          <c:idx val="0"/>
          <c:order val="0"/>
          <c:tx>
            <c:strRef>
              <c:f>Feuil2!$A$14</c:f>
              <c:strCache>
                <c:ptCount val="1"/>
                <c:pt idx="0">
                  <c:v>Produits finis en charcuterie salaison</c:v>
                </c:pt>
              </c:strCache>
            </c:strRef>
          </c:tx>
          <c:spPr>
            <a:solidFill>
              <a:schemeClr val="bg1">
                <a:lumMod val="85000"/>
              </a:schemeClr>
            </a:solidFill>
            <a:ln>
              <a:solidFill>
                <a:schemeClr val="bg1">
                  <a:lumMod val="85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Feuil2!$B$13:$L$13</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Feuil2!$B$14:$L$14</c:f>
              <c:numCache>
                <c:formatCode>_-* #,##0\ _€_-;\-* #,##0\ _€_-;_-* "-"??\ _€_-;_-@_-</c:formatCode>
                <c:ptCount val="9"/>
                <c:pt idx="0">
                  <c:v>1007.477</c:v>
                </c:pt>
                <c:pt idx="1">
                  <c:v>1023.12</c:v>
                </c:pt>
                <c:pt idx="2">
                  <c:v>1053.0620136</c:v>
                </c:pt>
                <c:pt idx="3">
                  <c:v>1039.1890000000001</c:v>
                </c:pt>
                <c:pt idx="4">
                  <c:v>1046.7280000000001</c:v>
                </c:pt>
                <c:pt idx="5">
                  <c:v>1038.6559999999999</c:v>
                </c:pt>
                <c:pt idx="6">
                  <c:v>1028.489</c:v>
                </c:pt>
                <c:pt idx="7">
                  <c:v>1015.125</c:v>
                </c:pt>
                <c:pt idx="8">
                  <c:v>1014.5940000000001</c:v>
                </c:pt>
              </c:numCache>
            </c:numRef>
          </c:val>
          <c:extLst>
            <c:ext xmlns:c16="http://schemas.microsoft.com/office/drawing/2014/chart" uri="{C3380CC4-5D6E-409C-BE32-E72D297353CC}">
              <c16:uniqueId val="{00000000-8ABC-4909-B1DC-25A24CE954D1}"/>
            </c:ext>
          </c:extLst>
        </c:ser>
        <c:ser>
          <c:idx val="1"/>
          <c:order val="1"/>
          <c:tx>
            <c:strRef>
              <c:f>Feuil2!$A$15</c:f>
              <c:strCache>
                <c:ptCount val="1"/>
                <c:pt idx="0">
                  <c:v>Mat. première porc frais </c:v>
                </c:pt>
              </c:strCache>
            </c:strRef>
          </c:tx>
          <c:spPr>
            <a:solidFill>
              <a:schemeClr val="tx1">
                <a:lumMod val="50000"/>
                <a:lumOff val="50000"/>
              </a:schemeClr>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Feuil2!$B$13:$L$13</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Feuil2!$B$15:$L$15</c:f>
              <c:numCache>
                <c:formatCode>0</c:formatCode>
                <c:ptCount val="9"/>
                <c:pt idx="0">
                  <c:v>1095.2529999999999</c:v>
                </c:pt>
                <c:pt idx="1">
                  <c:v>1084.241</c:v>
                </c:pt>
                <c:pt idx="2">
                  <c:v>1137.0226757369614</c:v>
                </c:pt>
                <c:pt idx="3">
                  <c:v>1002.854</c:v>
                </c:pt>
                <c:pt idx="4">
                  <c:v>995.55899999999997</c:v>
                </c:pt>
                <c:pt idx="5">
                  <c:v>991.75</c:v>
                </c:pt>
                <c:pt idx="6">
                  <c:v>958.54300000000001</c:v>
                </c:pt>
                <c:pt idx="7">
                  <c:v>898.66800000000001</c:v>
                </c:pt>
                <c:pt idx="8">
                  <c:v>881.721</c:v>
                </c:pt>
              </c:numCache>
            </c:numRef>
          </c:val>
          <c:extLst>
            <c:ext xmlns:c16="http://schemas.microsoft.com/office/drawing/2014/chart" uri="{C3380CC4-5D6E-409C-BE32-E72D297353CC}">
              <c16:uniqueId val="{00000001-8ABC-4909-B1DC-25A24CE954D1}"/>
            </c:ext>
          </c:extLst>
        </c:ser>
        <c:ser>
          <c:idx val="2"/>
          <c:order val="2"/>
          <c:tx>
            <c:strRef>
              <c:f>Feuil2!$A$16</c:f>
              <c:strCache>
                <c:ptCount val="1"/>
                <c:pt idx="0">
                  <c:v>Mat. première volaille</c:v>
                </c:pt>
              </c:strCache>
            </c:strRef>
          </c:tx>
          <c:spPr>
            <a:solidFill>
              <a:schemeClr val="accent3"/>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Feuil2!$B$13:$L$13</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Feuil2!$B$16:$L$16</c:f>
              <c:numCache>
                <c:formatCode>0</c:formatCode>
                <c:ptCount val="9"/>
                <c:pt idx="0">
                  <c:v>69.48</c:v>
                </c:pt>
                <c:pt idx="1">
                  <c:v>79.316000000000003</c:v>
                </c:pt>
                <c:pt idx="2">
                  <c:v>99.258675078864357</c:v>
                </c:pt>
                <c:pt idx="3">
                  <c:v>94.394999999999996</c:v>
                </c:pt>
                <c:pt idx="4">
                  <c:v>111.029</c:v>
                </c:pt>
                <c:pt idx="5">
                  <c:v>119.035</c:v>
                </c:pt>
                <c:pt idx="6">
                  <c:v>122.193</c:v>
                </c:pt>
                <c:pt idx="7">
                  <c:v>119.444</c:v>
                </c:pt>
                <c:pt idx="8">
                  <c:v>114.015</c:v>
                </c:pt>
              </c:numCache>
            </c:numRef>
          </c:val>
          <c:extLst>
            <c:ext xmlns:c16="http://schemas.microsoft.com/office/drawing/2014/chart" uri="{C3380CC4-5D6E-409C-BE32-E72D297353CC}">
              <c16:uniqueId val="{00000002-8ABC-4909-B1DC-25A24CE954D1}"/>
            </c:ext>
          </c:extLst>
        </c:ser>
        <c:dLbls>
          <c:showLegendKey val="0"/>
          <c:showVal val="0"/>
          <c:showCatName val="0"/>
          <c:showSerName val="0"/>
          <c:showPercent val="0"/>
          <c:showBubbleSize val="0"/>
        </c:dLbls>
        <c:gapWidth val="100"/>
        <c:overlap val="-27"/>
        <c:axId val="969699384"/>
        <c:axId val="969697088"/>
      </c:barChart>
      <c:catAx>
        <c:axId val="96969938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969697088"/>
        <c:crosses val="autoZero"/>
        <c:auto val="1"/>
        <c:lblAlgn val="ctr"/>
        <c:lblOffset val="100"/>
        <c:noMultiLvlLbl val="0"/>
      </c:catAx>
      <c:valAx>
        <c:axId val="969697088"/>
        <c:scaling>
          <c:orientation val="minMax"/>
          <c:max val="1150"/>
          <c:min val="0"/>
        </c:scaling>
        <c:delete val="0"/>
        <c:axPos val="l"/>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69699384"/>
        <c:crosses val="autoZero"/>
        <c:crossBetween val="between"/>
        <c:majorUnit val="100"/>
      </c:valAx>
      <c:spPr>
        <a:noFill/>
        <a:ln>
          <a:noFill/>
        </a:ln>
        <a:effectLst/>
      </c:spPr>
    </c:plotArea>
    <c:legend>
      <c:legendPos val="r"/>
      <c:layout>
        <c:manualLayout>
          <c:xMode val="edge"/>
          <c:yMode val="edge"/>
          <c:x val="2.461275074428644E-3"/>
          <c:y val="0.92224105420883129"/>
          <c:w val="0.99753872492557139"/>
          <c:h val="7.4940354970997006E-2"/>
        </c:manualLayout>
      </c:layout>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0"/>
          <c:order val="0"/>
          <c:tx>
            <c:strRef>
              <c:f>Feuil17!$D$11</c:f>
              <c:strCache>
                <c:ptCount val="1"/>
                <c:pt idx="0">
                  <c:v>Frais Poids fixe </c:v>
                </c:pt>
              </c:strCache>
            </c:strRef>
          </c:tx>
          <c:spPr>
            <a:solidFill>
              <a:schemeClr val="accent3">
                <a:shade val="58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Feuil17!$F$10:$M$10</c:f>
              <c:numCache>
                <c:formatCode>General</c:formatCode>
                <c:ptCount val="8"/>
                <c:pt idx="0">
                  <c:v>2011</c:v>
                </c:pt>
                <c:pt idx="1">
                  <c:v>2012</c:v>
                </c:pt>
                <c:pt idx="2">
                  <c:v>2013</c:v>
                </c:pt>
                <c:pt idx="3">
                  <c:v>2014</c:v>
                </c:pt>
                <c:pt idx="4">
                  <c:v>2015</c:v>
                </c:pt>
                <c:pt idx="5">
                  <c:v>2016</c:v>
                </c:pt>
                <c:pt idx="6">
                  <c:v>2017</c:v>
                </c:pt>
                <c:pt idx="7">
                  <c:v>2018</c:v>
                </c:pt>
              </c:numCache>
            </c:numRef>
          </c:cat>
          <c:val>
            <c:numRef>
              <c:f>Feuil17!$F$11:$M$11</c:f>
              <c:numCache>
                <c:formatCode>0%</c:formatCode>
                <c:ptCount val="8"/>
                <c:pt idx="0">
                  <c:v>0.65693166667318315</c:v>
                </c:pt>
                <c:pt idx="1">
                  <c:v>0.66070396113123842</c:v>
                </c:pt>
                <c:pt idx="2">
                  <c:v>0.66060649217803502</c:v>
                </c:pt>
                <c:pt idx="3">
                  <c:v>0.671957113128966</c:v>
                </c:pt>
                <c:pt idx="4">
                  <c:v>0.69271145562974945</c:v>
                </c:pt>
                <c:pt idx="5">
                  <c:v>0.6937681271375099</c:v>
                </c:pt>
                <c:pt idx="6">
                  <c:v>0.69249027278569053</c:v>
                </c:pt>
                <c:pt idx="7">
                  <c:v>0.69987021844062736</c:v>
                </c:pt>
              </c:numCache>
            </c:numRef>
          </c:val>
          <c:extLst>
            <c:ext xmlns:c16="http://schemas.microsoft.com/office/drawing/2014/chart" uri="{C3380CC4-5D6E-409C-BE32-E72D297353CC}">
              <c16:uniqueId val="{00000000-6EBB-4A10-8071-76F7F21E77E4}"/>
            </c:ext>
          </c:extLst>
        </c:ser>
        <c:ser>
          <c:idx val="1"/>
          <c:order val="1"/>
          <c:tx>
            <c:strRef>
              <c:f>Feuil17!$D$12</c:f>
              <c:strCache>
                <c:ptCount val="1"/>
                <c:pt idx="0">
                  <c:v>Frais Poids variable </c:v>
                </c:pt>
              </c:strCache>
            </c:strRef>
          </c:tx>
          <c:spPr>
            <a:solidFill>
              <a:schemeClr val="accent3">
                <a:shade val="86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Feuil17!$F$10:$M$10</c:f>
              <c:numCache>
                <c:formatCode>General</c:formatCode>
                <c:ptCount val="8"/>
                <c:pt idx="0">
                  <c:v>2011</c:v>
                </c:pt>
                <c:pt idx="1">
                  <c:v>2012</c:v>
                </c:pt>
                <c:pt idx="2">
                  <c:v>2013</c:v>
                </c:pt>
                <c:pt idx="3">
                  <c:v>2014</c:v>
                </c:pt>
                <c:pt idx="4">
                  <c:v>2015</c:v>
                </c:pt>
                <c:pt idx="5">
                  <c:v>2016</c:v>
                </c:pt>
                <c:pt idx="6">
                  <c:v>2017</c:v>
                </c:pt>
                <c:pt idx="7">
                  <c:v>2018</c:v>
                </c:pt>
              </c:numCache>
            </c:numRef>
          </c:cat>
          <c:val>
            <c:numRef>
              <c:f>Feuil17!$F$12:$M$12</c:f>
              <c:numCache>
                <c:formatCode>0%</c:formatCode>
                <c:ptCount val="8"/>
                <c:pt idx="0">
                  <c:v>0.2944545884634483</c:v>
                </c:pt>
                <c:pt idx="1">
                  <c:v>0.28883029607422833</c:v>
                </c:pt>
                <c:pt idx="2">
                  <c:v>0.28761370645763185</c:v>
                </c:pt>
                <c:pt idx="3">
                  <c:v>0.27078427062726995</c:v>
                </c:pt>
                <c:pt idx="4">
                  <c:v>0.24965954335494467</c:v>
                </c:pt>
                <c:pt idx="5">
                  <c:v>0.24675291614289627</c:v>
                </c:pt>
                <c:pt idx="6">
                  <c:v>0.2463783339100224</c:v>
                </c:pt>
                <c:pt idx="7">
                  <c:v>0.23894629019721328</c:v>
                </c:pt>
              </c:numCache>
            </c:numRef>
          </c:val>
          <c:extLst>
            <c:ext xmlns:c16="http://schemas.microsoft.com/office/drawing/2014/chart" uri="{C3380CC4-5D6E-409C-BE32-E72D297353CC}">
              <c16:uniqueId val="{00000001-6EBB-4A10-8071-76F7F21E77E4}"/>
            </c:ext>
          </c:extLst>
        </c:ser>
        <c:ser>
          <c:idx val="2"/>
          <c:order val="2"/>
          <c:tx>
            <c:strRef>
              <c:f>Feuil17!$D$13</c:f>
              <c:strCache>
                <c:ptCount val="1"/>
                <c:pt idx="0">
                  <c:v>Surgelé </c:v>
                </c:pt>
              </c:strCache>
            </c:strRef>
          </c:tx>
          <c:spPr>
            <a:solidFill>
              <a:schemeClr val="accent3">
                <a:tint val="86000"/>
              </a:schemeClr>
            </a:solidFill>
            <a:ln>
              <a:noFill/>
            </a:ln>
            <a:effectLst/>
          </c:spPr>
          <c:invertIfNegative val="0"/>
          <c:dLbls>
            <c:dLbl>
              <c:idx val="0"/>
              <c:layout>
                <c:manualLayout>
                  <c:x val="0"/>
                  <c:y val="3.18302387267904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EBB-4A10-8071-76F7F21E77E4}"/>
                </c:ext>
              </c:extLst>
            </c:dLbl>
            <c:dLbl>
              <c:idx val="1"/>
              <c:layout>
                <c:manualLayout>
                  <c:x val="-2.1540118470651588E-3"/>
                  <c:y val="3.53669319186560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EBB-4A10-8071-76F7F21E77E4}"/>
                </c:ext>
              </c:extLst>
            </c:dLbl>
            <c:dLbl>
              <c:idx val="2"/>
              <c:layout>
                <c:manualLayout>
                  <c:x val="-3.948976100710563E-17"/>
                  <c:y val="2.1220159151193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EBB-4A10-8071-76F7F21E77E4}"/>
                </c:ext>
              </c:extLst>
            </c:dLbl>
            <c:dLbl>
              <c:idx val="3"/>
              <c:layout>
                <c:manualLayout>
                  <c:x val="-7.8979522014211261E-17"/>
                  <c:y val="1.76834659593280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EBB-4A10-8071-76F7F21E77E4}"/>
                </c:ext>
              </c:extLst>
            </c:dLbl>
            <c:dLbl>
              <c:idx val="4"/>
              <c:layout>
                <c:manualLayout>
                  <c:x val="0"/>
                  <c:y val="2.1220159151193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EBB-4A10-8071-76F7F21E77E4}"/>
                </c:ext>
              </c:extLst>
            </c:dLbl>
            <c:dLbl>
              <c:idx val="5"/>
              <c:layout>
                <c:manualLayout>
                  <c:x val="0"/>
                  <c:y val="2.1220159151193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EBB-4A10-8071-76F7F21E77E4}"/>
                </c:ext>
              </c:extLst>
            </c:dLbl>
            <c:dLbl>
              <c:idx val="6"/>
              <c:layout>
                <c:manualLayout>
                  <c:x val="0"/>
                  <c:y val="1.76834659593280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EBB-4A10-8071-76F7F21E77E4}"/>
                </c:ext>
              </c:extLst>
            </c:dLbl>
            <c:dLbl>
              <c:idx val="7"/>
              <c:layout>
                <c:manualLayout>
                  <c:x val="0"/>
                  <c:y val="2.122015915119364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EBB-4A10-8071-76F7F21E77E4}"/>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Feuil17!$F$10:$M$10</c:f>
              <c:numCache>
                <c:formatCode>General</c:formatCode>
                <c:ptCount val="8"/>
                <c:pt idx="0">
                  <c:v>2011</c:v>
                </c:pt>
                <c:pt idx="1">
                  <c:v>2012</c:v>
                </c:pt>
                <c:pt idx="2">
                  <c:v>2013</c:v>
                </c:pt>
                <c:pt idx="3">
                  <c:v>2014</c:v>
                </c:pt>
                <c:pt idx="4">
                  <c:v>2015</c:v>
                </c:pt>
                <c:pt idx="5">
                  <c:v>2016</c:v>
                </c:pt>
                <c:pt idx="6">
                  <c:v>2017</c:v>
                </c:pt>
                <c:pt idx="7">
                  <c:v>2018</c:v>
                </c:pt>
              </c:numCache>
            </c:numRef>
          </c:cat>
          <c:val>
            <c:numRef>
              <c:f>Feuil17!$F$13:$M$13</c:f>
              <c:numCache>
                <c:formatCode>0%</c:formatCode>
                <c:ptCount val="8"/>
                <c:pt idx="0">
                  <c:v>2.7568706722291513E-2</c:v>
                </c:pt>
                <c:pt idx="1">
                  <c:v>2.8312498267859209E-2</c:v>
                </c:pt>
                <c:pt idx="2">
                  <c:v>2.7875583748480787E-2</c:v>
                </c:pt>
                <c:pt idx="3">
                  <c:v>3.5123426306269273E-2</c:v>
                </c:pt>
                <c:pt idx="4">
                  <c:v>2.9041904755304368E-2</c:v>
                </c:pt>
                <c:pt idx="5">
                  <c:v>3.1644802910173672E-2</c:v>
                </c:pt>
                <c:pt idx="6">
                  <c:v>3.1893258387294954E-2</c:v>
                </c:pt>
                <c:pt idx="7">
                  <c:v>3.2525676191921427E-2</c:v>
                </c:pt>
              </c:numCache>
            </c:numRef>
          </c:val>
          <c:extLst>
            <c:ext xmlns:c16="http://schemas.microsoft.com/office/drawing/2014/chart" uri="{C3380CC4-5D6E-409C-BE32-E72D297353CC}">
              <c16:uniqueId val="{0000000A-6EBB-4A10-8071-76F7F21E77E4}"/>
            </c:ext>
          </c:extLst>
        </c:ser>
        <c:ser>
          <c:idx val="3"/>
          <c:order val="3"/>
          <c:tx>
            <c:strRef>
              <c:f>Feuil17!$D$14</c:f>
              <c:strCache>
                <c:ptCount val="1"/>
                <c:pt idx="0">
                  <c:v>Appertisé (conserves)</c:v>
                </c:pt>
              </c:strCache>
            </c:strRef>
          </c:tx>
          <c:spPr>
            <a:solidFill>
              <a:schemeClr val="accent3">
                <a:tint val="58000"/>
              </a:schemeClr>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Feuil17!$F$10:$M$10</c:f>
              <c:numCache>
                <c:formatCode>General</c:formatCode>
                <c:ptCount val="8"/>
                <c:pt idx="0">
                  <c:v>2011</c:v>
                </c:pt>
                <c:pt idx="1">
                  <c:v>2012</c:v>
                </c:pt>
                <c:pt idx="2">
                  <c:v>2013</c:v>
                </c:pt>
                <c:pt idx="3">
                  <c:v>2014</c:v>
                </c:pt>
                <c:pt idx="4">
                  <c:v>2015</c:v>
                </c:pt>
                <c:pt idx="5">
                  <c:v>2016</c:v>
                </c:pt>
                <c:pt idx="6">
                  <c:v>2017</c:v>
                </c:pt>
                <c:pt idx="7">
                  <c:v>2018</c:v>
                </c:pt>
              </c:numCache>
            </c:numRef>
          </c:cat>
          <c:val>
            <c:numRef>
              <c:f>Feuil17!$F$14:$M$14</c:f>
              <c:numCache>
                <c:formatCode>0%</c:formatCode>
                <c:ptCount val="8"/>
                <c:pt idx="0">
                  <c:v>2.104503814107702E-2</c:v>
                </c:pt>
                <c:pt idx="1">
                  <c:v>2.2153244526674012E-2</c:v>
                </c:pt>
                <c:pt idx="2">
                  <c:v>2.3904217615852361E-2</c:v>
                </c:pt>
                <c:pt idx="3">
                  <c:v>2.2135189937494706E-2</c:v>
                </c:pt>
                <c:pt idx="4">
                  <c:v>2.8587096260001454E-2</c:v>
                </c:pt>
                <c:pt idx="5">
                  <c:v>2.7834153809420142E-2</c:v>
                </c:pt>
                <c:pt idx="6">
                  <c:v>2.9238134916992085E-2</c:v>
                </c:pt>
                <c:pt idx="7">
                  <c:v>2.8657815170237938E-2</c:v>
                </c:pt>
              </c:numCache>
            </c:numRef>
          </c:val>
          <c:extLst>
            <c:ext xmlns:c16="http://schemas.microsoft.com/office/drawing/2014/chart" uri="{C3380CC4-5D6E-409C-BE32-E72D297353CC}">
              <c16:uniqueId val="{0000000B-6EBB-4A10-8071-76F7F21E77E4}"/>
            </c:ext>
          </c:extLst>
        </c:ser>
        <c:dLbls>
          <c:showLegendKey val="0"/>
          <c:showVal val="0"/>
          <c:showCatName val="0"/>
          <c:showSerName val="0"/>
          <c:showPercent val="0"/>
          <c:showBubbleSize val="0"/>
        </c:dLbls>
        <c:gapWidth val="150"/>
        <c:overlap val="100"/>
        <c:axId val="1318702824"/>
        <c:axId val="1318718896"/>
      </c:barChart>
      <c:catAx>
        <c:axId val="1318702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318718896"/>
        <c:crosses val="autoZero"/>
        <c:auto val="1"/>
        <c:lblAlgn val="ctr"/>
        <c:lblOffset val="100"/>
        <c:noMultiLvlLbl val="0"/>
      </c:catAx>
      <c:valAx>
        <c:axId val="1318718896"/>
        <c:scaling>
          <c:orientation val="minMax"/>
          <c:max val="1"/>
        </c:scaling>
        <c:delete val="1"/>
        <c:axPos val="l"/>
        <c:numFmt formatCode="0%" sourceLinked="1"/>
        <c:majorTickMark val="none"/>
        <c:minorTickMark val="none"/>
        <c:tickLblPos val="nextTo"/>
        <c:crossAx val="1318702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sz="1000">
          <a:solidFill>
            <a:schemeClr val="tx1"/>
          </a:solidFill>
          <a:latin typeface="Arial" panose="020B0604020202020204" pitchFamily="34" charset="0"/>
          <a:cs typeface="Arial" panose="020B0604020202020204" pitchFamily="34" charset="0"/>
        </a:defRPr>
      </a:pPr>
      <a:endParaRPr lang="fr-FR"/>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Feuil7!$A$7</c:f>
              <c:strCache>
                <c:ptCount val="1"/>
                <c:pt idx="0">
                  <c:v>Charcuterie pâtissière </c:v>
                </c:pt>
              </c:strCache>
            </c:strRef>
          </c:tx>
          <c:spPr>
            <a:solidFill>
              <a:schemeClr val="bg1">
                <a:lumMod val="50000"/>
              </a:schemeClr>
            </a:solidFill>
            <a:ln>
              <a:noFill/>
            </a:ln>
            <a:effectLst/>
          </c:spPr>
          <c:invertIfNegative val="0"/>
          <c:dLbls>
            <c:numFmt formatCode="#,##0" sourceLinked="0"/>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Feuil7!$B$6:$J$6</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Feuil7!$B$7:$J$7</c:f>
              <c:numCache>
                <c:formatCode>0.0</c:formatCode>
                <c:ptCount val="9"/>
                <c:pt idx="0">
                  <c:v>88.897999999999996</c:v>
                </c:pt>
                <c:pt idx="1">
                  <c:v>101.66800000000001</c:v>
                </c:pt>
                <c:pt idx="2">
                  <c:v>100.389</c:v>
                </c:pt>
                <c:pt idx="3">
                  <c:v>93.47</c:v>
                </c:pt>
                <c:pt idx="4">
                  <c:v>85.159000000000006</c:v>
                </c:pt>
                <c:pt idx="5">
                  <c:v>85.756</c:v>
                </c:pt>
                <c:pt idx="6">
                  <c:v>83.950999999999993</c:v>
                </c:pt>
                <c:pt idx="7">
                  <c:v>89.616</c:v>
                </c:pt>
                <c:pt idx="8">
                  <c:v>92.591999999999999</c:v>
                </c:pt>
              </c:numCache>
            </c:numRef>
          </c:val>
          <c:extLst>
            <c:ext xmlns:c16="http://schemas.microsoft.com/office/drawing/2014/chart" uri="{C3380CC4-5D6E-409C-BE32-E72D297353CC}">
              <c16:uniqueId val="{00000000-03D9-4DB9-B887-6CE0EBF0975C}"/>
            </c:ext>
          </c:extLst>
        </c:ser>
        <c:ser>
          <c:idx val="1"/>
          <c:order val="1"/>
          <c:tx>
            <c:strRef>
              <c:f>Feuil7!$A$8</c:f>
              <c:strCache>
                <c:ptCount val="1"/>
                <c:pt idx="0">
                  <c:v>Plats cuisinés, salades </c:v>
                </c:pt>
              </c:strCache>
            </c:strRef>
          </c:tx>
          <c:spPr>
            <a:solidFill>
              <a:schemeClr val="bg1">
                <a:lumMod val="75000"/>
              </a:schemeClr>
            </a:solidFill>
            <a:ln>
              <a:noFill/>
            </a:ln>
            <a:effectLst/>
          </c:spPr>
          <c:invertIfNegative val="0"/>
          <c:dLbls>
            <c:numFmt formatCode="#,##0" sourceLinked="0"/>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Feuil7!$B$6:$J$6</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Feuil7!$B$8:$J$8</c:f>
              <c:numCache>
                <c:formatCode>0.0</c:formatCode>
                <c:ptCount val="9"/>
                <c:pt idx="0">
                  <c:v>87.090999999999994</c:v>
                </c:pt>
                <c:pt idx="1">
                  <c:v>73.661000000000001</c:v>
                </c:pt>
                <c:pt idx="2">
                  <c:v>79.878</c:v>
                </c:pt>
                <c:pt idx="3">
                  <c:v>78.534000000000006</c:v>
                </c:pt>
                <c:pt idx="4">
                  <c:v>85.51</c:v>
                </c:pt>
                <c:pt idx="5">
                  <c:v>64.228999999999999</c:v>
                </c:pt>
                <c:pt idx="6">
                  <c:v>58.957000000000001</c:v>
                </c:pt>
                <c:pt idx="7">
                  <c:v>62.116999999999997</c:v>
                </c:pt>
                <c:pt idx="8">
                  <c:v>71.501000000000005</c:v>
                </c:pt>
              </c:numCache>
            </c:numRef>
          </c:val>
          <c:extLst>
            <c:ext xmlns:c16="http://schemas.microsoft.com/office/drawing/2014/chart" uri="{C3380CC4-5D6E-409C-BE32-E72D297353CC}">
              <c16:uniqueId val="{00000001-03D9-4DB9-B887-6CE0EBF0975C}"/>
            </c:ext>
          </c:extLst>
        </c:ser>
        <c:dLbls>
          <c:showLegendKey val="0"/>
          <c:showVal val="0"/>
          <c:showCatName val="0"/>
          <c:showSerName val="0"/>
          <c:showPercent val="0"/>
          <c:showBubbleSize val="0"/>
        </c:dLbls>
        <c:gapWidth val="150"/>
        <c:overlap val="100"/>
        <c:axId val="1217303896"/>
        <c:axId val="1217304224"/>
      </c:barChart>
      <c:catAx>
        <c:axId val="12173038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217304224"/>
        <c:crosses val="autoZero"/>
        <c:auto val="1"/>
        <c:lblAlgn val="ctr"/>
        <c:lblOffset val="100"/>
        <c:noMultiLvlLbl val="0"/>
      </c:catAx>
      <c:valAx>
        <c:axId val="1217304224"/>
        <c:scaling>
          <c:orientation val="minMax"/>
          <c:max val="18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217303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0.45123042302970523"/>
          <c:y val="4.0799626074138E-2"/>
          <c:w val="0.52891566165857418"/>
          <c:h val="0.93701716699847382"/>
        </c:manualLayout>
      </c:layout>
      <c:barChart>
        <c:barDir val="bar"/>
        <c:grouping val="clustered"/>
        <c:varyColors val="0"/>
        <c:ser>
          <c:idx val="0"/>
          <c:order val="0"/>
          <c:tx>
            <c:strRef>
              <c:f>'Tableau 6 et Fig 7'!$M$36</c:f>
              <c:strCache>
                <c:ptCount val="1"/>
                <c:pt idx="0">
                  <c:v>2006</c:v>
                </c:pt>
              </c:strCache>
            </c:strRef>
          </c:tx>
          <c:spPr>
            <a:solidFill>
              <a:schemeClr val="accent3">
                <a:shade val="65000"/>
              </a:schemeClr>
            </a:solidFill>
            <a:ln>
              <a:noFill/>
            </a:ln>
            <a:effectLst/>
          </c:spPr>
          <c:invertIfNegative val="0"/>
          <c:dLbls>
            <c:dLbl>
              <c:idx val="5"/>
              <c:layout>
                <c:manualLayout>
                  <c:x val="0"/>
                  <c:y val="1.70394036208732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9D1-4D1E-A9A9-6E9B43F3EF2C}"/>
                </c:ext>
              </c:extLst>
            </c:dLbl>
            <c:dLbl>
              <c:idx val="6"/>
              <c:layout>
                <c:manualLayout>
                  <c:x val="-1.4993352318584167E-16"/>
                  <c:y val="3.407880724174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9D1-4D1E-A9A9-6E9B43F3EF2C}"/>
                </c:ext>
              </c:extLst>
            </c:dLbl>
            <c:dLbl>
              <c:idx val="7"/>
              <c:layout>
                <c:manualLayout>
                  <c:x val="1.254836348426226E-2"/>
                  <c:y val="9.132420091324200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82A-4601-BA8E-55A0D498D3A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'Tableau 6 et Fig 7'!$L$37:$L$44</c:f>
              <c:strCache>
                <c:ptCount val="8"/>
                <c:pt idx="0">
                  <c:v> Autres viandes FRC (cheval, lapin, gibier) </c:v>
                </c:pt>
                <c:pt idx="1">
                  <c:v>Viande ovine ou caprine FRC</c:v>
                </c:pt>
                <c:pt idx="2">
                  <c:v>Viande porcine FRC</c:v>
                </c:pt>
                <c:pt idx="3">
                  <c:v>Conserve de viande, produit de transformation des viandes, plat préparé de viande</c:v>
                </c:pt>
                <c:pt idx="4">
                  <c:v>Viande de volaille FRC</c:v>
                </c:pt>
                <c:pt idx="5">
                  <c:v>Viande bovine FRC</c:v>
                </c:pt>
                <c:pt idx="6">
                  <c:v>Viande séchée salée ou fumée, charcuterie et abats FRC</c:v>
                </c:pt>
                <c:pt idx="7">
                  <c:v>Total Viande FRC</c:v>
                </c:pt>
              </c:strCache>
              <c:extLst/>
            </c:strRef>
          </c:cat>
          <c:val>
            <c:numRef>
              <c:f>'Tableau 6 et Fig 7'!$M$37:$M$44</c:f>
              <c:numCache>
                <c:formatCode>0.0%</c:formatCode>
                <c:ptCount val="8"/>
                <c:pt idx="0">
                  <c:v>2.204998916704418E-2</c:v>
                </c:pt>
                <c:pt idx="1">
                  <c:v>4.7950601721455162E-2</c:v>
                </c:pt>
                <c:pt idx="2">
                  <c:v>7.7101101022237106E-2</c:v>
                </c:pt>
                <c:pt idx="3">
                  <c:v>9.8973823639479236E-2</c:v>
                </c:pt>
                <c:pt idx="4">
                  <c:v>0.13265446810186918</c:v>
                </c:pt>
                <c:pt idx="5">
                  <c:v>0.27014437375667211</c:v>
                </c:pt>
                <c:pt idx="6">
                  <c:v>0.35112564259124307</c:v>
                </c:pt>
                <c:pt idx="7">
                  <c:v>0.24096345514950165</c:v>
                </c:pt>
              </c:numCache>
              <c:extLst/>
            </c:numRef>
          </c:val>
          <c:extLst>
            <c:ext xmlns:c16="http://schemas.microsoft.com/office/drawing/2014/chart" uri="{C3380CC4-5D6E-409C-BE32-E72D297353CC}">
              <c16:uniqueId val="{00000000-39D1-4D1E-A9A9-6E9B43F3EF2C}"/>
            </c:ext>
          </c:extLst>
        </c:ser>
        <c:ser>
          <c:idx val="1"/>
          <c:order val="1"/>
          <c:tx>
            <c:strRef>
              <c:f>'Tableau 6 et Fig 7'!$N$36</c:f>
              <c:strCache>
                <c:ptCount val="1"/>
                <c:pt idx="0">
                  <c:v>2011</c:v>
                </c:pt>
              </c:strCache>
            </c:strRef>
          </c:tx>
          <c:spPr>
            <a:solidFill>
              <a:schemeClr val="accent3"/>
            </a:solidFill>
            <a:ln>
              <a:noFill/>
            </a:ln>
            <a:effectLst/>
          </c:spPr>
          <c:invertIfNegative val="0"/>
          <c:dLbls>
            <c:dLbl>
              <c:idx val="0"/>
              <c:layout>
                <c:manualLayout>
                  <c:x val="0.10427315477407476"/>
                  <c:y val="-1.27795527156549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39D1-4D1E-A9A9-6E9B43F3EF2C}"/>
                </c:ext>
              </c:extLst>
            </c:dLbl>
            <c:dLbl>
              <c:idx val="1"/>
              <c:layout>
                <c:manualLayout>
                  <c:x val="0.102228583111838"/>
                  <c:y val="-4.259850905218473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39D1-4D1E-A9A9-6E9B43F3EF2C}"/>
                </c:ext>
              </c:extLst>
            </c:dLbl>
            <c:dLbl>
              <c:idx val="2"/>
              <c:layout>
                <c:manualLayout>
                  <c:x val="0.10018401144960139"/>
                  <c:y val="-8.519701810436635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39D1-4D1E-A9A9-6E9B43F3EF2C}"/>
                </c:ext>
              </c:extLst>
            </c:dLbl>
            <c:dLbl>
              <c:idx val="3"/>
              <c:layout>
                <c:manualLayout>
                  <c:x val="8.178286648947046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39D1-4D1E-A9A9-6E9B43F3EF2C}"/>
                </c:ext>
              </c:extLst>
            </c:dLbl>
            <c:dLbl>
              <c:idx val="4"/>
              <c:layout>
                <c:manualLayout>
                  <c:x val="6.9515436516049883E-2"/>
                  <c:y val="8.519701810436557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9D1-4D1E-A9A9-6E9B43F3EF2C}"/>
                </c:ext>
              </c:extLst>
            </c:dLbl>
            <c:dLbl>
              <c:idx val="5"/>
              <c:layout>
                <c:manualLayout>
                  <c:x val="6.5426293191576362E-2"/>
                  <c:y val="2.555910543130990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39D1-4D1E-A9A9-6E9B43F3EF2C}"/>
                </c:ext>
              </c:extLst>
            </c:dLbl>
            <c:dLbl>
              <c:idx val="7"/>
              <c:layout>
                <c:manualLayout>
                  <c:x val="3.764509045278677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82A-4601-BA8E-55A0D498D3A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'Tableau 6 et Fig 7'!$L$37:$L$44</c:f>
              <c:strCache>
                <c:ptCount val="8"/>
                <c:pt idx="0">
                  <c:v> Autres viandes FRC (cheval, lapin, gibier) </c:v>
                </c:pt>
                <c:pt idx="1">
                  <c:v>Viande ovine ou caprine FRC</c:v>
                </c:pt>
                <c:pt idx="2">
                  <c:v>Viande porcine FRC</c:v>
                </c:pt>
                <c:pt idx="3">
                  <c:v>Conserve de viande, produit de transformation des viandes, plat préparé de viande</c:v>
                </c:pt>
                <c:pt idx="4">
                  <c:v>Viande de volaille FRC</c:v>
                </c:pt>
                <c:pt idx="5">
                  <c:v>Viande bovine FRC</c:v>
                </c:pt>
                <c:pt idx="6">
                  <c:v>Viande séchée salée ou fumée, charcuterie et abats FRC</c:v>
                </c:pt>
                <c:pt idx="7">
                  <c:v>Total Viande FRC</c:v>
                </c:pt>
              </c:strCache>
              <c:extLst/>
            </c:strRef>
          </c:cat>
          <c:val>
            <c:numRef>
              <c:f>'Tableau 6 et Fig 7'!$N$37:$N$44</c:f>
              <c:numCache>
                <c:formatCode>0.0%</c:formatCode>
                <c:ptCount val="8"/>
                <c:pt idx="0">
                  <c:v>1.7786561264822136E-2</c:v>
                </c:pt>
                <c:pt idx="1">
                  <c:v>3.9525691699604744E-2</c:v>
                </c:pt>
                <c:pt idx="2">
                  <c:v>7.9051383399209488E-2</c:v>
                </c:pt>
                <c:pt idx="3">
                  <c:v>0.10770750988142293</c:v>
                </c:pt>
                <c:pt idx="4">
                  <c:v>0.17292490118577075</c:v>
                </c:pt>
                <c:pt idx="5">
                  <c:v>0.2756916996047431</c:v>
                </c:pt>
                <c:pt idx="6">
                  <c:v>0.30830039525691699</c:v>
                </c:pt>
                <c:pt idx="7">
                  <c:v>0.23205686769089659</c:v>
                </c:pt>
              </c:numCache>
              <c:extLst/>
            </c:numRef>
          </c:val>
          <c:extLst>
            <c:ext xmlns:c16="http://schemas.microsoft.com/office/drawing/2014/chart" uri="{C3380CC4-5D6E-409C-BE32-E72D297353CC}">
              <c16:uniqueId val="{00000001-39D1-4D1E-A9A9-6E9B43F3EF2C}"/>
            </c:ext>
          </c:extLst>
        </c:ser>
        <c:ser>
          <c:idx val="2"/>
          <c:order val="2"/>
          <c:tx>
            <c:strRef>
              <c:f>'Tableau 6 et Fig 7'!$O$36</c:f>
              <c:strCache>
                <c:ptCount val="1"/>
                <c:pt idx="0">
                  <c:v>2017</c:v>
                </c:pt>
              </c:strCache>
            </c:strRef>
          </c:tx>
          <c:spPr>
            <a:solidFill>
              <a:schemeClr val="accent3">
                <a:tint val="65000"/>
              </a:schemeClr>
            </a:solidFill>
            <a:ln>
              <a:noFill/>
            </a:ln>
            <a:effectLst/>
          </c:spPr>
          <c:invertIfNegative val="0"/>
          <c:dLbls>
            <c:dLbl>
              <c:idx val="6"/>
              <c:layout>
                <c:manualLayout>
                  <c:x val="2.8624003271314511E-2"/>
                  <c:y val="-2.12992545260916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9D1-4D1E-A9A9-6E9B43F3EF2C}"/>
                </c:ext>
              </c:extLst>
            </c:dLbl>
            <c:dLbl>
              <c:idx val="7"/>
              <c:layout>
                <c:manualLayout>
                  <c:x val="2.0913939140437102E-2"/>
                  <c:y val="-1.94741966893865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82A-4601-BA8E-55A0D498D3A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'Tableau 6 et Fig 7'!$L$37:$L$44</c:f>
              <c:strCache>
                <c:ptCount val="8"/>
                <c:pt idx="0">
                  <c:v> Autres viandes FRC (cheval, lapin, gibier) </c:v>
                </c:pt>
                <c:pt idx="1">
                  <c:v>Viande ovine ou caprine FRC</c:v>
                </c:pt>
                <c:pt idx="2">
                  <c:v>Viande porcine FRC</c:v>
                </c:pt>
                <c:pt idx="3">
                  <c:v>Conserve de viande, produit de transformation des viandes, plat préparé de viande</c:v>
                </c:pt>
                <c:pt idx="4">
                  <c:v>Viande de volaille FRC</c:v>
                </c:pt>
                <c:pt idx="5">
                  <c:v>Viande bovine FRC</c:v>
                </c:pt>
                <c:pt idx="6">
                  <c:v>Viande séchée salée ou fumée, charcuterie et abats FRC</c:v>
                </c:pt>
                <c:pt idx="7">
                  <c:v>Total Viande FRC</c:v>
                </c:pt>
              </c:strCache>
              <c:extLst/>
            </c:strRef>
          </c:cat>
          <c:val>
            <c:numRef>
              <c:f>'Tableau 6 et Fig 7'!$O$37:$O$44</c:f>
              <c:numCache>
                <c:formatCode>0.0%</c:formatCode>
                <c:ptCount val="8"/>
                <c:pt idx="0">
                  <c:v>1.2539184952978056E-2</c:v>
                </c:pt>
                <c:pt idx="1">
                  <c:v>3.343782654127482E-2</c:v>
                </c:pt>
                <c:pt idx="2">
                  <c:v>7.8369905956112859E-2</c:v>
                </c:pt>
                <c:pt idx="3">
                  <c:v>0.11598746081504702</c:v>
                </c:pt>
                <c:pt idx="4">
                  <c:v>0.16614420062695925</c:v>
                </c:pt>
                <c:pt idx="5">
                  <c:v>0.2664576802507837</c:v>
                </c:pt>
                <c:pt idx="6">
                  <c:v>0.32810867293625912</c:v>
                </c:pt>
                <c:pt idx="7">
                  <c:v>0.21700680272108844</c:v>
                </c:pt>
              </c:numCache>
              <c:extLst/>
            </c:numRef>
          </c:val>
          <c:extLst>
            <c:ext xmlns:c16="http://schemas.microsoft.com/office/drawing/2014/chart" uri="{C3380CC4-5D6E-409C-BE32-E72D297353CC}">
              <c16:uniqueId val="{00000002-39D1-4D1E-A9A9-6E9B43F3EF2C}"/>
            </c:ext>
          </c:extLst>
        </c:ser>
        <c:dLbls>
          <c:showLegendKey val="0"/>
          <c:showVal val="0"/>
          <c:showCatName val="0"/>
          <c:showSerName val="0"/>
          <c:showPercent val="0"/>
          <c:showBubbleSize val="0"/>
        </c:dLbls>
        <c:gapWidth val="100"/>
        <c:axId val="538150928"/>
        <c:axId val="538148960"/>
      </c:barChart>
      <c:catAx>
        <c:axId val="53815092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538148960"/>
        <c:crosses val="autoZero"/>
        <c:auto val="1"/>
        <c:lblAlgn val="ctr"/>
        <c:lblOffset val="100"/>
        <c:noMultiLvlLbl val="0"/>
      </c:catAx>
      <c:valAx>
        <c:axId val="538148960"/>
        <c:scaling>
          <c:orientation val="minMax"/>
        </c:scaling>
        <c:delete val="1"/>
        <c:axPos val="b"/>
        <c:numFmt formatCode="0.0%" sourceLinked="1"/>
        <c:majorTickMark val="none"/>
        <c:minorTickMark val="none"/>
        <c:tickLblPos val="nextTo"/>
        <c:crossAx val="538150928"/>
        <c:crosses val="autoZero"/>
        <c:crossBetween val="between"/>
      </c:valAx>
      <c:spPr>
        <a:noFill/>
        <a:ln>
          <a:noFill/>
        </a:ln>
        <a:effectLst/>
      </c:spPr>
    </c:plotArea>
    <c:legend>
      <c:legendPos val="b"/>
      <c:layout>
        <c:manualLayout>
          <c:xMode val="edge"/>
          <c:yMode val="edge"/>
          <c:x val="0.68272787717115002"/>
          <c:y val="0.84803329378348258"/>
          <c:w val="0.28676244492133229"/>
          <c:h val="9.0299140689605595E-2"/>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areaChart>
        <c:grouping val="stacked"/>
        <c:varyColors val="0"/>
        <c:ser>
          <c:idx val="0"/>
          <c:order val="0"/>
          <c:tx>
            <c:strRef>
              <c:f>'Fig 8'!$B$35</c:f>
              <c:strCache>
                <c:ptCount val="1"/>
                <c:pt idx="0">
                  <c:v>Viande de bœuf, veau </c:v>
                </c:pt>
              </c:strCache>
            </c:strRef>
          </c:tx>
          <c:spPr>
            <a:solidFill>
              <a:srgbClr val="C00000"/>
            </a:solidFill>
            <a:ln>
              <a:noFill/>
            </a:ln>
            <a:effectLst/>
          </c:spPr>
          <c:dLbls>
            <c:dLbl>
              <c:idx val="0"/>
              <c:layout>
                <c:manualLayout>
                  <c:x val="3.4757718258024942E-2"/>
                  <c:y val="3.1555695803091302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01-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02-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03-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04-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05-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06-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07-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08-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09-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0A-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0B-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0C-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0D-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0E-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0F-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10-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11-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12-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13-1EBE-4C7F-943E-F2AA2192D286}"/>
                </c:ext>
              </c:extLst>
            </c:dLbl>
            <c:dLbl>
              <c:idx val="20"/>
              <c:layout>
                <c:manualLayout>
                  <c:x val="-2.6579431609078049E-2"/>
                  <c:y val="0"/>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EBE-4C7F-943E-F2AA2192D28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8'!$AQ$35:$BK$35</c:f>
              <c:numCache>
                <c:formatCode>0%</c:formatCode>
                <c:ptCount val="21"/>
                <c:pt idx="0">
                  <c:v>0.23449378244276506</c:v>
                </c:pt>
                <c:pt idx="1">
                  <c:v>0.23811141347868683</c:v>
                </c:pt>
                <c:pt idx="2">
                  <c:v>0.23136106237061146</c:v>
                </c:pt>
                <c:pt idx="3">
                  <c:v>0.22203932000474913</c:v>
                </c:pt>
                <c:pt idx="4">
                  <c:v>0.23631842788085655</c:v>
                </c:pt>
                <c:pt idx="5">
                  <c:v>0.23436283718337741</c:v>
                </c:pt>
                <c:pt idx="6">
                  <c:v>0.23704386800968108</c:v>
                </c:pt>
                <c:pt idx="7">
                  <c:v>0.24134868728430592</c:v>
                </c:pt>
                <c:pt idx="8">
                  <c:v>0.24337639235651648</c:v>
                </c:pt>
                <c:pt idx="9">
                  <c:v>0.24199830423734275</c:v>
                </c:pt>
                <c:pt idx="10">
                  <c:v>0.23907998282070764</c:v>
                </c:pt>
                <c:pt idx="11">
                  <c:v>0.23598029334215873</c:v>
                </c:pt>
                <c:pt idx="12">
                  <c:v>0.23408742376741826</c:v>
                </c:pt>
                <c:pt idx="13">
                  <c:v>0.22582874822081864</c:v>
                </c:pt>
                <c:pt idx="14">
                  <c:v>0.22385286177902247</c:v>
                </c:pt>
                <c:pt idx="15">
                  <c:v>0.22116603926363354</c:v>
                </c:pt>
                <c:pt idx="16">
                  <c:v>0.21567567420065276</c:v>
                </c:pt>
                <c:pt idx="17">
                  <c:v>0.2131978302110287</c:v>
                </c:pt>
                <c:pt idx="18">
                  <c:v>0.21214679910471992</c:v>
                </c:pt>
                <c:pt idx="19">
                  <c:v>0.20859271492889242</c:v>
                </c:pt>
                <c:pt idx="20" formatCode="0.0%">
                  <c:v>0.2039281043706315</c:v>
                </c:pt>
              </c:numCache>
            </c:numRef>
          </c:val>
          <c:extLst>
            <c:ext xmlns:c16="http://schemas.microsoft.com/office/drawing/2014/chart" uri="{C3380CC4-5D6E-409C-BE32-E72D297353CC}">
              <c16:uniqueId val="{00000015-1EBE-4C7F-943E-F2AA2192D286}"/>
            </c:ext>
          </c:extLst>
        </c:ser>
        <c:ser>
          <c:idx val="1"/>
          <c:order val="1"/>
          <c:tx>
            <c:strRef>
              <c:f>'Fig 8'!$B$36</c:f>
              <c:strCache>
                <c:ptCount val="1"/>
                <c:pt idx="0">
                  <c:v>Viande de mouton, </c:v>
                </c:pt>
              </c:strCache>
            </c:strRef>
          </c:tx>
          <c:spPr>
            <a:solidFill>
              <a:schemeClr val="accent2"/>
            </a:solidFill>
            <a:ln>
              <a:noFill/>
            </a:ln>
            <a:effectLst/>
          </c:spPr>
          <c:dLbls>
            <c:dLbl>
              <c:idx val="0"/>
              <c:layout>
                <c:manualLayout>
                  <c:x val="3.6802289920261695E-2"/>
                  <c:y val="1.5777847901546228E-2"/>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17-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18-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19-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1A-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1B-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1C-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1D-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1E-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1F-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20-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21-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22-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23-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24-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25-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26-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27-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28-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29-1EBE-4C7F-943E-F2AA2192D286}"/>
                </c:ext>
              </c:extLst>
            </c:dLbl>
            <c:dLbl>
              <c:idx val="20"/>
              <c:layout>
                <c:manualLayout>
                  <c:x val="-3.2713146595788181E-2"/>
                  <c:y val="1.5777847901546228E-2"/>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A-1EBE-4C7F-943E-F2AA2192D28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8'!$AQ$36:$BK$36</c:f>
              <c:numCache>
                <c:formatCode>0%</c:formatCode>
                <c:ptCount val="21"/>
                <c:pt idx="0">
                  <c:v>4.4657507913937612E-2</c:v>
                </c:pt>
                <c:pt idx="1">
                  <c:v>4.5529286414614858E-2</c:v>
                </c:pt>
                <c:pt idx="2">
                  <c:v>4.6687680875827552E-2</c:v>
                </c:pt>
                <c:pt idx="3">
                  <c:v>4.1421724613966995E-2</c:v>
                </c:pt>
                <c:pt idx="4">
                  <c:v>4.3013621785472987E-2</c:v>
                </c:pt>
                <c:pt idx="5">
                  <c:v>4.1842698176147511E-2</c:v>
                </c:pt>
                <c:pt idx="6">
                  <c:v>4.2318095365316138E-2</c:v>
                </c:pt>
                <c:pt idx="7">
                  <c:v>4.1970216057259292E-2</c:v>
                </c:pt>
                <c:pt idx="8">
                  <c:v>4.2037198480300228E-2</c:v>
                </c:pt>
                <c:pt idx="9">
                  <c:v>4.1244934810134692E-2</c:v>
                </c:pt>
                <c:pt idx="10">
                  <c:v>3.8901435645563295E-2</c:v>
                </c:pt>
                <c:pt idx="11">
                  <c:v>4.002290889675171E-2</c:v>
                </c:pt>
                <c:pt idx="12">
                  <c:v>3.7689544384506279E-2</c:v>
                </c:pt>
                <c:pt idx="13">
                  <c:v>3.6335686275901675E-2</c:v>
                </c:pt>
                <c:pt idx="14">
                  <c:v>3.5801275631468024E-2</c:v>
                </c:pt>
                <c:pt idx="15">
                  <c:v>3.4604255266823661E-2</c:v>
                </c:pt>
                <c:pt idx="16">
                  <c:v>3.420460003039455E-2</c:v>
                </c:pt>
                <c:pt idx="17">
                  <c:v>3.2703551142262491E-2</c:v>
                </c:pt>
                <c:pt idx="18">
                  <c:v>3.1464260890209747E-2</c:v>
                </c:pt>
                <c:pt idx="19">
                  <c:v>3.0476056658024098E-2</c:v>
                </c:pt>
                <c:pt idx="20" formatCode="0.0%">
                  <c:v>2.8990656183491482E-2</c:v>
                </c:pt>
              </c:numCache>
            </c:numRef>
          </c:val>
          <c:extLst>
            <c:ext xmlns:c16="http://schemas.microsoft.com/office/drawing/2014/chart" uri="{C3380CC4-5D6E-409C-BE32-E72D297353CC}">
              <c16:uniqueId val="{0000002B-1EBE-4C7F-943E-F2AA2192D286}"/>
            </c:ext>
          </c:extLst>
        </c:ser>
        <c:ser>
          <c:idx val="2"/>
          <c:order val="2"/>
          <c:tx>
            <c:strRef>
              <c:f>'Fig 8'!$B$37</c:f>
              <c:strCache>
                <c:ptCount val="1"/>
                <c:pt idx="0">
                  <c:v>Viande de porc</c:v>
                </c:pt>
              </c:strCache>
            </c:strRef>
          </c:tx>
          <c:spPr>
            <a:solidFill>
              <a:srgbClr val="CC0066"/>
            </a:solidFill>
            <a:ln>
              <a:noFill/>
            </a:ln>
            <a:effectLst/>
          </c:spPr>
          <c:dLbls>
            <c:dLbl>
              <c:idx val="0"/>
              <c:layout>
                <c:manualLayout>
                  <c:x val="3.8846861582498469E-2"/>
                  <c:y val="3.1555695803092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C-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2D-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2E-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2F-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30-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31-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32-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33-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34-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35-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36-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37-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38-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39-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3A-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3B-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3C-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3D-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3E-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3F-1EBE-4C7F-943E-F2AA2192D286}"/>
                </c:ext>
              </c:extLst>
            </c:dLbl>
            <c:dLbl>
              <c:idx val="20"/>
              <c:layout>
                <c:manualLayout>
                  <c:x val="-3.066857493355157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0-1EBE-4C7F-943E-F2AA2192D286}"/>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95000"/>
                        <a:lumOff val="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8'!$AQ$37:$BK$37</c:f>
              <c:numCache>
                <c:formatCode>0%</c:formatCode>
                <c:ptCount val="21"/>
                <c:pt idx="0">
                  <c:v>6.6318106353868644E-2</c:v>
                </c:pt>
                <c:pt idx="1">
                  <c:v>6.3917731131254596E-2</c:v>
                </c:pt>
                <c:pt idx="2">
                  <c:v>6.5860732179351386E-2</c:v>
                </c:pt>
                <c:pt idx="3">
                  <c:v>7.0956772109343161E-2</c:v>
                </c:pt>
                <c:pt idx="4">
                  <c:v>6.758604134913232E-2</c:v>
                </c:pt>
                <c:pt idx="5">
                  <c:v>6.6879096080940156E-2</c:v>
                </c:pt>
                <c:pt idx="6">
                  <c:v>6.6175523799333377E-2</c:v>
                </c:pt>
                <c:pt idx="7">
                  <c:v>6.531778045629974E-2</c:v>
                </c:pt>
                <c:pt idx="8">
                  <c:v>6.5355512160949147E-2</c:v>
                </c:pt>
                <c:pt idx="9">
                  <c:v>6.5038653484301268E-2</c:v>
                </c:pt>
                <c:pt idx="10">
                  <c:v>6.5004092929693377E-2</c:v>
                </c:pt>
                <c:pt idx="11">
                  <c:v>6.5199699046929793E-2</c:v>
                </c:pt>
                <c:pt idx="12">
                  <c:v>6.262355396144062E-2</c:v>
                </c:pt>
                <c:pt idx="13">
                  <c:v>6.1871768507430348E-2</c:v>
                </c:pt>
                <c:pt idx="14">
                  <c:v>6.2558663328093969E-2</c:v>
                </c:pt>
                <c:pt idx="15">
                  <c:v>6.4037122213913944E-2</c:v>
                </c:pt>
                <c:pt idx="16">
                  <c:v>6.607959845609121E-2</c:v>
                </c:pt>
                <c:pt idx="17">
                  <c:v>6.7433917319020792E-2</c:v>
                </c:pt>
                <c:pt idx="18">
                  <c:v>6.5985905070523904E-2</c:v>
                </c:pt>
                <c:pt idx="19">
                  <c:v>6.3910940859826182E-2</c:v>
                </c:pt>
                <c:pt idx="20" formatCode="0.0%">
                  <c:v>6.1691325528484456E-2</c:v>
                </c:pt>
              </c:numCache>
            </c:numRef>
          </c:val>
          <c:extLst>
            <c:ext xmlns:c16="http://schemas.microsoft.com/office/drawing/2014/chart" uri="{C3380CC4-5D6E-409C-BE32-E72D297353CC}">
              <c16:uniqueId val="{00000041-1EBE-4C7F-943E-F2AA2192D286}"/>
            </c:ext>
          </c:extLst>
        </c:ser>
        <c:ser>
          <c:idx val="3"/>
          <c:order val="3"/>
          <c:tx>
            <c:strRef>
              <c:f>'Fig 8'!$B$38</c:f>
              <c:strCache>
                <c:ptCount val="1"/>
                <c:pt idx="0">
                  <c:v>Triperie, lapin, cheval </c:v>
                </c:pt>
              </c:strCache>
            </c:strRef>
          </c:tx>
          <c:spPr>
            <a:solidFill>
              <a:schemeClr val="accent4"/>
            </a:solidFill>
            <a:ln>
              <a:noFill/>
            </a:ln>
            <a:effectLst/>
          </c:spPr>
          <c:dLbls>
            <c:dLbl>
              <c:idx val="0"/>
              <c:layout>
                <c:manualLayout>
                  <c:x val="4.4980576569208751E-2"/>
                  <c:y val="3.155569580309246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95000"/>
                          <a:lumOff val="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42-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43-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44-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45-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46-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47-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48-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49-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4A-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4B-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4C-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4D-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4E-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4F-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50-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51-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52-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53-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54-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55-1EBE-4C7F-943E-F2AA2192D286}"/>
                </c:ext>
              </c:extLst>
            </c:dLbl>
            <c:dLbl>
              <c:idx val="20"/>
              <c:layout>
                <c:manualLayout>
                  <c:x val="-2.862400327131466E-2"/>
                  <c:y val="-6.3111391606184338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56-1EBE-4C7F-943E-F2AA2192D28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8'!$AQ$38:$BK$38</c:f>
              <c:numCache>
                <c:formatCode>0%</c:formatCode>
                <c:ptCount val="21"/>
                <c:pt idx="0">
                  <c:v>6.734920029346142E-2</c:v>
                </c:pt>
                <c:pt idx="1">
                  <c:v>6.5593649080048305E-2</c:v>
                </c:pt>
                <c:pt idx="2">
                  <c:v>6.3006272815961592E-2</c:v>
                </c:pt>
                <c:pt idx="3">
                  <c:v>6.1110024694875205E-2</c:v>
                </c:pt>
                <c:pt idx="4">
                  <c:v>5.6419288127373922E-2</c:v>
                </c:pt>
                <c:pt idx="5">
                  <c:v>5.6404809391395139E-2</c:v>
                </c:pt>
                <c:pt idx="6">
                  <c:v>5.5567279521425622E-2</c:v>
                </c:pt>
                <c:pt idx="7">
                  <c:v>5.4044577759804625E-2</c:v>
                </c:pt>
                <c:pt idx="8">
                  <c:v>5.3105977876437255E-2</c:v>
                </c:pt>
                <c:pt idx="9">
                  <c:v>4.9555357215815499E-2</c:v>
                </c:pt>
                <c:pt idx="10">
                  <c:v>4.9819389841458631E-2</c:v>
                </c:pt>
                <c:pt idx="11">
                  <c:v>4.8124948837712372E-2</c:v>
                </c:pt>
                <c:pt idx="12">
                  <c:v>4.6757230796222023E-2</c:v>
                </c:pt>
                <c:pt idx="13">
                  <c:v>4.5419739556495642E-2</c:v>
                </c:pt>
                <c:pt idx="14">
                  <c:v>4.3849545476648419E-2</c:v>
                </c:pt>
                <c:pt idx="15">
                  <c:v>4.2923164150183775E-2</c:v>
                </c:pt>
                <c:pt idx="16">
                  <c:v>4.1737247933044667E-2</c:v>
                </c:pt>
                <c:pt idx="17">
                  <c:v>3.928293654697311E-2</c:v>
                </c:pt>
                <c:pt idx="18">
                  <c:v>3.7929716256990334E-2</c:v>
                </c:pt>
                <c:pt idx="19">
                  <c:v>3.5214621495569649E-2</c:v>
                </c:pt>
                <c:pt idx="20" formatCode="0.0%">
                  <c:v>3.2524200483681681E-2</c:v>
                </c:pt>
              </c:numCache>
            </c:numRef>
          </c:val>
          <c:extLst>
            <c:ext xmlns:c16="http://schemas.microsoft.com/office/drawing/2014/chart" uri="{C3380CC4-5D6E-409C-BE32-E72D297353CC}">
              <c16:uniqueId val="{00000057-1EBE-4C7F-943E-F2AA2192D286}"/>
            </c:ext>
          </c:extLst>
        </c:ser>
        <c:ser>
          <c:idx val="4"/>
          <c:order val="4"/>
          <c:tx>
            <c:strRef>
              <c:f>'Fig 8'!$B$39</c:f>
              <c:strCache>
                <c:ptCount val="1"/>
                <c:pt idx="0">
                  <c:v>Viande de volaille</c:v>
                </c:pt>
              </c:strCache>
            </c:strRef>
          </c:tx>
          <c:spPr>
            <a:solidFill>
              <a:schemeClr val="accent4">
                <a:lumMod val="60000"/>
                <a:lumOff val="40000"/>
              </a:schemeClr>
            </a:solidFill>
            <a:ln>
              <a:noFill/>
            </a:ln>
            <a:effectLst/>
          </c:spPr>
          <c:dLbls>
            <c:dLbl>
              <c:idx val="0"/>
              <c:layout>
                <c:manualLayout>
                  <c:x val="3.0668574933551421E-2"/>
                  <c:y val="-3.1555695803093036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95000"/>
                          <a:lumOff val="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58-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59-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5A-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5B-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5C-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5D-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5E-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5F-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60-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61-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62-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63-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64-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65-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66-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67-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68-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69-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6A-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6B-1EBE-4C7F-943E-F2AA2192D286}"/>
                </c:ext>
              </c:extLst>
            </c:dLbl>
            <c:dLbl>
              <c:idx val="20"/>
              <c:layout>
                <c:manualLayout>
                  <c:x val="-2.4534859946841136E-2"/>
                  <c:y val="-9.4667087409277956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6C-1EBE-4C7F-943E-F2AA2192D28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8'!$AQ$39:$BK$39</c:f>
              <c:numCache>
                <c:formatCode>0%</c:formatCode>
                <c:ptCount val="21"/>
                <c:pt idx="0">
                  <c:v>0.14446089298858383</c:v>
                </c:pt>
                <c:pt idx="1">
                  <c:v>0.14022194786637665</c:v>
                </c:pt>
                <c:pt idx="2">
                  <c:v>0.14225581070270479</c:v>
                </c:pt>
                <c:pt idx="3">
                  <c:v>0.14764020710366757</c:v>
                </c:pt>
                <c:pt idx="4">
                  <c:v>0.14205247315349478</c:v>
                </c:pt>
                <c:pt idx="5">
                  <c:v>0.13745025976186911</c:v>
                </c:pt>
                <c:pt idx="6">
                  <c:v>0.13616678097932286</c:v>
                </c:pt>
                <c:pt idx="7">
                  <c:v>0.13220207223371719</c:v>
                </c:pt>
                <c:pt idx="8">
                  <c:v>0.12701261429478264</c:v>
                </c:pt>
                <c:pt idx="9">
                  <c:v>0.12954996100564226</c:v>
                </c:pt>
                <c:pt idx="10">
                  <c:v>0.14131069190701157</c:v>
                </c:pt>
                <c:pt idx="11">
                  <c:v>0.14166769175743479</c:v>
                </c:pt>
                <c:pt idx="12">
                  <c:v>0.14625024233408074</c:v>
                </c:pt>
                <c:pt idx="13">
                  <c:v>0.15092765047518639</c:v>
                </c:pt>
                <c:pt idx="14">
                  <c:v>0.14892379791784163</c:v>
                </c:pt>
                <c:pt idx="15">
                  <c:v>0.15202392424615802</c:v>
                </c:pt>
                <c:pt idx="16">
                  <c:v>0.15241880163190186</c:v>
                </c:pt>
                <c:pt idx="17">
                  <c:v>0.15261115073544682</c:v>
                </c:pt>
                <c:pt idx="18">
                  <c:v>0.15308369355674439</c:v>
                </c:pt>
                <c:pt idx="19">
                  <c:v>0.15231566613427094</c:v>
                </c:pt>
                <c:pt idx="20" formatCode="0.0%">
                  <c:v>0.15294505667274361</c:v>
                </c:pt>
              </c:numCache>
            </c:numRef>
          </c:val>
          <c:extLst>
            <c:ext xmlns:c16="http://schemas.microsoft.com/office/drawing/2014/chart" uri="{C3380CC4-5D6E-409C-BE32-E72D297353CC}">
              <c16:uniqueId val="{0000006D-1EBE-4C7F-943E-F2AA2192D286}"/>
            </c:ext>
          </c:extLst>
        </c:ser>
        <c:ser>
          <c:idx val="5"/>
          <c:order val="5"/>
          <c:tx>
            <c:strRef>
              <c:f>'Fig 8'!$B$40</c:f>
              <c:strCache>
                <c:ptCount val="1"/>
                <c:pt idx="0">
                  <c:v>Charcuterie et préparation à base de viande </c:v>
                </c:pt>
              </c:strCache>
            </c:strRef>
          </c:tx>
          <c:spPr>
            <a:solidFill>
              <a:srgbClr val="FF3399"/>
            </a:solidFill>
            <a:ln>
              <a:noFill/>
            </a:ln>
            <a:effectLst/>
          </c:spPr>
          <c:dLbls>
            <c:dLbl>
              <c:idx val="0"/>
              <c:layout>
                <c:manualLayout>
                  <c:x val="3.7364798426745331E-2"/>
                  <c:y val="3.8929446355835985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6E-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6F-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70-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71-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72-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73-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74-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75-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76-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77-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78-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79-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7A-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7B-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7C-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7D-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7E-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7F-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80-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81-1EBE-4C7F-943E-F2AA2192D286}"/>
                </c:ext>
              </c:extLst>
            </c:dLbl>
            <c:dLbl>
              <c:idx val="20"/>
              <c:layout>
                <c:manualLayout>
                  <c:x val="-2.9498525073746458E-2"/>
                  <c:y val="-1.1678833906750796E-2"/>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82-1EBE-4C7F-943E-F2AA2192D286}"/>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8'!$AQ$40:$BK$40</c:f>
              <c:numCache>
                <c:formatCode>0%</c:formatCode>
                <c:ptCount val="21"/>
                <c:pt idx="0">
                  <c:v>0.37518104451216644</c:v>
                </c:pt>
                <c:pt idx="1">
                  <c:v>0.37695247097752371</c:v>
                </c:pt>
                <c:pt idx="2">
                  <c:v>0.38059700542975122</c:v>
                </c:pt>
                <c:pt idx="3">
                  <c:v>0.38567586508446494</c:v>
                </c:pt>
                <c:pt idx="4">
                  <c:v>0.383923806974381</c:v>
                </c:pt>
                <c:pt idx="5">
                  <c:v>0.39125195374800376</c:v>
                </c:pt>
                <c:pt idx="6">
                  <c:v>0.38766207062029856</c:v>
                </c:pt>
                <c:pt idx="7">
                  <c:v>0.39578957287172017</c:v>
                </c:pt>
                <c:pt idx="8">
                  <c:v>0.39931902741755332</c:v>
                </c:pt>
                <c:pt idx="9">
                  <c:v>0.40059399228753523</c:v>
                </c:pt>
                <c:pt idx="10">
                  <c:v>0.39474196188986899</c:v>
                </c:pt>
                <c:pt idx="11">
                  <c:v>0.39893669231297646</c:v>
                </c:pt>
                <c:pt idx="12">
                  <c:v>0.40224529541963377</c:v>
                </c:pt>
                <c:pt idx="13">
                  <c:v>0.4096924555889912</c:v>
                </c:pt>
                <c:pt idx="14">
                  <c:v>0.41517088453543011</c:v>
                </c:pt>
                <c:pt idx="15">
                  <c:v>0.41726442118099466</c:v>
                </c:pt>
                <c:pt idx="16">
                  <c:v>0.42117862003706125</c:v>
                </c:pt>
                <c:pt idx="17">
                  <c:v>0.4254900991706681</c:v>
                </c:pt>
                <c:pt idx="18">
                  <c:v>0.42805167046091747</c:v>
                </c:pt>
                <c:pt idx="19">
                  <c:v>0.43665774329449425</c:v>
                </c:pt>
                <c:pt idx="20" formatCode="0.0%">
                  <c:v>0.44646836986539867</c:v>
                </c:pt>
              </c:numCache>
            </c:numRef>
          </c:val>
          <c:extLst>
            <c:ext xmlns:c16="http://schemas.microsoft.com/office/drawing/2014/chart" uri="{C3380CC4-5D6E-409C-BE32-E72D297353CC}">
              <c16:uniqueId val="{00000083-1EBE-4C7F-943E-F2AA2192D286}"/>
            </c:ext>
          </c:extLst>
        </c:ser>
        <c:ser>
          <c:idx val="6"/>
          <c:order val="6"/>
          <c:tx>
            <c:strRef>
              <c:f>'Fig 8'!$B$41</c:f>
              <c:strCache>
                <c:ptCount val="1"/>
                <c:pt idx="0">
                  <c:v>Plats préparés à base de viande</c:v>
                </c:pt>
              </c:strCache>
            </c:strRef>
          </c:tx>
          <c:spPr>
            <a:solidFill>
              <a:schemeClr val="accent6">
                <a:lumMod val="60000"/>
                <a:lumOff val="40000"/>
              </a:schemeClr>
            </a:solidFill>
            <a:ln>
              <a:noFill/>
            </a:ln>
            <a:effectLst/>
          </c:spPr>
          <c:dLbls>
            <c:dLbl>
              <c:idx val="0"/>
              <c:layout>
                <c:manualLayout>
                  <c:x val="3.2713146595788181E-2"/>
                  <c:y val="3.15556958030924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84-1EBE-4C7F-943E-F2AA2192D286}"/>
                </c:ext>
              </c:extLst>
            </c:dLbl>
            <c:dLbl>
              <c:idx val="1"/>
              <c:delete val="1"/>
              <c:extLst>
                <c:ext xmlns:c15="http://schemas.microsoft.com/office/drawing/2012/chart" uri="{CE6537A1-D6FC-4f65-9D91-7224C49458BB}"/>
                <c:ext xmlns:c16="http://schemas.microsoft.com/office/drawing/2014/chart" uri="{C3380CC4-5D6E-409C-BE32-E72D297353CC}">
                  <c16:uniqueId val="{00000085-1EBE-4C7F-943E-F2AA2192D286}"/>
                </c:ext>
              </c:extLst>
            </c:dLbl>
            <c:dLbl>
              <c:idx val="2"/>
              <c:delete val="1"/>
              <c:extLst>
                <c:ext xmlns:c15="http://schemas.microsoft.com/office/drawing/2012/chart" uri="{CE6537A1-D6FC-4f65-9D91-7224C49458BB}"/>
                <c:ext xmlns:c16="http://schemas.microsoft.com/office/drawing/2014/chart" uri="{C3380CC4-5D6E-409C-BE32-E72D297353CC}">
                  <c16:uniqueId val="{00000086-1EBE-4C7F-943E-F2AA2192D286}"/>
                </c:ext>
              </c:extLst>
            </c:dLbl>
            <c:dLbl>
              <c:idx val="3"/>
              <c:delete val="1"/>
              <c:extLst>
                <c:ext xmlns:c15="http://schemas.microsoft.com/office/drawing/2012/chart" uri="{CE6537A1-D6FC-4f65-9D91-7224C49458BB}"/>
                <c:ext xmlns:c16="http://schemas.microsoft.com/office/drawing/2014/chart" uri="{C3380CC4-5D6E-409C-BE32-E72D297353CC}">
                  <c16:uniqueId val="{00000087-1EBE-4C7F-943E-F2AA2192D286}"/>
                </c:ext>
              </c:extLst>
            </c:dLbl>
            <c:dLbl>
              <c:idx val="4"/>
              <c:delete val="1"/>
              <c:extLst>
                <c:ext xmlns:c15="http://schemas.microsoft.com/office/drawing/2012/chart" uri="{CE6537A1-D6FC-4f65-9D91-7224C49458BB}"/>
                <c:ext xmlns:c16="http://schemas.microsoft.com/office/drawing/2014/chart" uri="{C3380CC4-5D6E-409C-BE32-E72D297353CC}">
                  <c16:uniqueId val="{00000088-1EBE-4C7F-943E-F2AA2192D286}"/>
                </c:ext>
              </c:extLst>
            </c:dLbl>
            <c:dLbl>
              <c:idx val="5"/>
              <c:delete val="1"/>
              <c:extLst>
                <c:ext xmlns:c15="http://schemas.microsoft.com/office/drawing/2012/chart" uri="{CE6537A1-D6FC-4f65-9D91-7224C49458BB}"/>
                <c:ext xmlns:c16="http://schemas.microsoft.com/office/drawing/2014/chart" uri="{C3380CC4-5D6E-409C-BE32-E72D297353CC}">
                  <c16:uniqueId val="{00000089-1EBE-4C7F-943E-F2AA2192D286}"/>
                </c:ext>
              </c:extLst>
            </c:dLbl>
            <c:dLbl>
              <c:idx val="6"/>
              <c:delete val="1"/>
              <c:extLst>
                <c:ext xmlns:c15="http://schemas.microsoft.com/office/drawing/2012/chart" uri="{CE6537A1-D6FC-4f65-9D91-7224C49458BB}"/>
                <c:ext xmlns:c16="http://schemas.microsoft.com/office/drawing/2014/chart" uri="{C3380CC4-5D6E-409C-BE32-E72D297353CC}">
                  <c16:uniqueId val="{0000008A-1EBE-4C7F-943E-F2AA2192D286}"/>
                </c:ext>
              </c:extLst>
            </c:dLbl>
            <c:dLbl>
              <c:idx val="7"/>
              <c:delete val="1"/>
              <c:extLst>
                <c:ext xmlns:c15="http://schemas.microsoft.com/office/drawing/2012/chart" uri="{CE6537A1-D6FC-4f65-9D91-7224C49458BB}"/>
                <c:ext xmlns:c16="http://schemas.microsoft.com/office/drawing/2014/chart" uri="{C3380CC4-5D6E-409C-BE32-E72D297353CC}">
                  <c16:uniqueId val="{0000008B-1EBE-4C7F-943E-F2AA2192D286}"/>
                </c:ext>
              </c:extLst>
            </c:dLbl>
            <c:dLbl>
              <c:idx val="8"/>
              <c:delete val="1"/>
              <c:extLst>
                <c:ext xmlns:c15="http://schemas.microsoft.com/office/drawing/2012/chart" uri="{CE6537A1-D6FC-4f65-9D91-7224C49458BB}"/>
                <c:ext xmlns:c16="http://schemas.microsoft.com/office/drawing/2014/chart" uri="{C3380CC4-5D6E-409C-BE32-E72D297353CC}">
                  <c16:uniqueId val="{0000008C-1EBE-4C7F-943E-F2AA2192D286}"/>
                </c:ext>
              </c:extLst>
            </c:dLbl>
            <c:dLbl>
              <c:idx val="9"/>
              <c:delete val="1"/>
              <c:extLst>
                <c:ext xmlns:c15="http://schemas.microsoft.com/office/drawing/2012/chart" uri="{CE6537A1-D6FC-4f65-9D91-7224C49458BB}"/>
                <c:ext xmlns:c16="http://schemas.microsoft.com/office/drawing/2014/chart" uri="{C3380CC4-5D6E-409C-BE32-E72D297353CC}">
                  <c16:uniqueId val="{0000008D-1EBE-4C7F-943E-F2AA2192D286}"/>
                </c:ext>
              </c:extLst>
            </c:dLbl>
            <c:dLbl>
              <c:idx val="10"/>
              <c:delete val="1"/>
              <c:extLst>
                <c:ext xmlns:c15="http://schemas.microsoft.com/office/drawing/2012/chart" uri="{CE6537A1-D6FC-4f65-9D91-7224C49458BB}"/>
                <c:ext xmlns:c16="http://schemas.microsoft.com/office/drawing/2014/chart" uri="{C3380CC4-5D6E-409C-BE32-E72D297353CC}">
                  <c16:uniqueId val="{0000008E-1EBE-4C7F-943E-F2AA2192D286}"/>
                </c:ext>
              </c:extLst>
            </c:dLbl>
            <c:dLbl>
              <c:idx val="11"/>
              <c:delete val="1"/>
              <c:extLst>
                <c:ext xmlns:c15="http://schemas.microsoft.com/office/drawing/2012/chart" uri="{CE6537A1-D6FC-4f65-9D91-7224C49458BB}"/>
                <c:ext xmlns:c16="http://schemas.microsoft.com/office/drawing/2014/chart" uri="{C3380CC4-5D6E-409C-BE32-E72D297353CC}">
                  <c16:uniqueId val="{0000008F-1EBE-4C7F-943E-F2AA2192D286}"/>
                </c:ext>
              </c:extLst>
            </c:dLbl>
            <c:dLbl>
              <c:idx val="12"/>
              <c:delete val="1"/>
              <c:extLst>
                <c:ext xmlns:c15="http://schemas.microsoft.com/office/drawing/2012/chart" uri="{CE6537A1-D6FC-4f65-9D91-7224C49458BB}"/>
                <c:ext xmlns:c16="http://schemas.microsoft.com/office/drawing/2014/chart" uri="{C3380CC4-5D6E-409C-BE32-E72D297353CC}">
                  <c16:uniqueId val="{00000090-1EBE-4C7F-943E-F2AA2192D286}"/>
                </c:ext>
              </c:extLst>
            </c:dLbl>
            <c:dLbl>
              <c:idx val="13"/>
              <c:delete val="1"/>
              <c:extLst>
                <c:ext xmlns:c15="http://schemas.microsoft.com/office/drawing/2012/chart" uri="{CE6537A1-D6FC-4f65-9D91-7224C49458BB}"/>
                <c:ext xmlns:c16="http://schemas.microsoft.com/office/drawing/2014/chart" uri="{C3380CC4-5D6E-409C-BE32-E72D297353CC}">
                  <c16:uniqueId val="{00000091-1EBE-4C7F-943E-F2AA2192D286}"/>
                </c:ext>
              </c:extLst>
            </c:dLbl>
            <c:dLbl>
              <c:idx val="14"/>
              <c:delete val="1"/>
              <c:extLst>
                <c:ext xmlns:c15="http://schemas.microsoft.com/office/drawing/2012/chart" uri="{CE6537A1-D6FC-4f65-9D91-7224C49458BB}"/>
                <c:ext xmlns:c16="http://schemas.microsoft.com/office/drawing/2014/chart" uri="{C3380CC4-5D6E-409C-BE32-E72D297353CC}">
                  <c16:uniqueId val="{00000092-1EBE-4C7F-943E-F2AA2192D286}"/>
                </c:ext>
              </c:extLst>
            </c:dLbl>
            <c:dLbl>
              <c:idx val="15"/>
              <c:delete val="1"/>
              <c:extLst>
                <c:ext xmlns:c15="http://schemas.microsoft.com/office/drawing/2012/chart" uri="{CE6537A1-D6FC-4f65-9D91-7224C49458BB}"/>
                <c:ext xmlns:c16="http://schemas.microsoft.com/office/drawing/2014/chart" uri="{C3380CC4-5D6E-409C-BE32-E72D297353CC}">
                  <c16:uniqueId val="{00000093-1EBE-4C7F-943E-F2AA2192D286}"/>
                </c:ext>
              </c:extLst>
            </c:dLbl>
            <c:dLbl>
              <c:idx val="16"/>
              <c:delete val="1"/>
              <c:extLst>
                <c:ext xmlns:c15="http://schemas.microsoft.com/office/drawing/2012/chart" uri="{CE6537A1-D6FC-4f65-9D91-7224C49458BB}"/>
                <c:ext xmlns:c16="http://schemas.microsoft.com/office/drawing/2014/chart" uri="{C3380CC4-5D6E-409C-BE32-E72D297353CC}">
                  <c16:uniqueId val="{00000094-1EBE-4C7F-943E-F2AA2192D286}"/>
                </c:ext>
              </c:extLst>
            </c:dLbl>
            <c:dLbl>
              <c:idx val="17"/>
              <c:delete val="1"/>
              <c:extLst>
                <c:ext xmlns:c15="http://schemas.microsoft.com/office/drawing/2012/chart" uri="{CE6537A1-D6FC-4f65-9D91-7224C49458BB}"/>
                <c:ext xmlns:c16="http://schemas.microsoft.com/office/drawing/2014/chart" uri="{C3380CC4-5D6E-409C-BE32-E72D297353CC}">
                  <c16:uniqueId val="{00000095-1EBE-4C7F-943E-F2AA2192D286}"/>
                </c:ext>
              </c:extLst>
            </c:dLbl>
            <c:dLbl>
              <c:idx val="18"/>
              <c:delete val="1"/>
              <c:extLst>
                <c:ext xmlns:c15="http://schemas.microsoft.com/office/drawing/2012/chart" uri="{CE6537A1-D6FC-4f65-9D91-7224C49458BB}"/>
                <c:ext xmlns:c16="http://schemas.microsoft.com/office/drawing/2014/chart" uri="{C3380CC4-5D6E-409C-BE32-E72D297353CC}">
                  <c16:uniqueId val="{00000096-1EBE-4C7F-943E-F2AA2192D286}"/>
                </c:ext>
              </c:extLst>
            </c:dLbl>
            <c:dLbl>
              <c:idx val="19"/>
              <c:delete val="1"/>
              <c:extLst>
                <c:ext xmlns:c15="http://schemas.microsoft.com/office/drawing/2012/chart" uri="{CE6537A1-D6FC-4f65-9D91-7224C49458BB}"/>
                <c:ext xmlns:c16="http://schemas.microsoft.com/office/drawing/2014/chart" uri="{C3380CC4-5D6E-409C-BE32-E72D297353CC}">
                  <c16:uniqueId val="{00000097-1EBE-4C7F-943E-F2AA2192D286}"/>
                </c:ext>
              </c:extLst>
            </c:dLbl>
            <c:dLbl>
              <c:idx val="20"/>
              <c:layout>
                <c:manualLayout>
                  <c:x val="-3.2713146595788181E-2"/>
                  <c:y val="3.155569580309238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98-1EBE-4C7F-943E-F2AA2192D286}"/>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'Fig 8'!$AQ$34:$BK$34</c:f>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f>'Fig 8'!$AQ$41:$BK$41</c:f>
              <c:numCache>
                <c:formatCode>0%</c:formatCode>
                <c:ptCount val="21"/>
                <c:pt idx="0">
                  <c:v>6.7539465495216902E-2</c:v>
                </c:pt>
                <c:pt idx="1">
                  <c:v>6.9673501051495029E-2</c:v>
                </c:pt>
                <c:pt idx="2">
                  <c:v>7.0231435625791955E-2</c:v>
                </c:pt>
                <c:pt idx="3">
                  <c:v>7.1156086388933129E-2</c:v>
                </c:pt>
                <c:pt idx="4">
                  <c:v>7.0686340729288435E-2</c:v>
                </c:pt>
                <c:pt idx="5">
                  <c:v>7.1808345658266826E-2</c:v>
                </c:pt>
                <c:pt idx="6">
                  <c:v>7.5066381704622362E-2</c:v>
                </c:pt>
                <c:pt idx="7">
                  <c:v>6.9327093336893061E-2</c:v>
                </c:pt>
                <c:pt idx="8">
                  <c:v>6.9793277413460864E-2</c:v>
                </c:pt>
                <c:pt idx="9">
                  <c:v>7.2018796959228359E-2</c:v>
                </c:pt>
                <c:pt idx="10">
                  <c:v>7.114244496569648E-2</c:v>
                </c:pt>
                <c:pt idx="11">
                  <c:v>7.0067765806036172E-2</c:v>
                </c:pt>
                <c:pt idx="12">
                  <c:v>7.0346709336698302E-2</c:v>
                </c:pt>
                <c:pt idx="13">
                  <c:v>6.9923951375176055E-2</c:v>
                </c:pt>
                <c:pt idx="14">
                  <c:v>6.9842971331495404E-2</c:v>
                </c:pt>
                <c:pt idx="15">
                  <c:v>6.7981073678292411E-2</c:v>
                </c:pt>
                <c:pt idx="16">
                  <c:v>6.8705457710853804E-2</c:v>
                </c:pt>
                <c:pt idx="17">
                  <c:v>6.9280514874600171E-2</c:v>
                </c:pt>
                <c:pt idx="18">
                  <c:v>7.1337954659894107E-2</c:v>
                </c:pt>
                <c:pt idx="19">
                  <c:v>7.2832256628922454E-2</c:v>
                </c:pt>
                <c:pt idx="20" formatCode="0.0%">
                  <c:v>7.3452286895568611E-2</c:v>
                </c:pt>
              </c:numCache>
            </c:numRef>
          </c:val>
          <c:extLst>
            <c:ext xmlns:c16="http://schemas.microsoft.com/office/drawing/2014/chart" uri="{C3380CC4-5D6E-409C-BE32-E72D297353CC}">
              <c16:uniqueId val="{00000099-1EBE-4C7F-943E-F2AA2192D286}"/>
            </c:ext>
          </c:extLst>
        </c:ser>
        <c:dLbls>
          <c:showLegendKey val="0"/>
          <c:showVal val="0"/>
          <c:showCatName val="0"/>
          <c:showSerName val="0"/>
          <c:showPercent val="0"/>
          <c:showBubbleSize val="0"/>
        </c:dLbls>
        <c:axId val="1554071512"/>
        <c:axId val="1554071840"/>
        <c:extLst>
          <c:ext xmlns:c15="http://schemas.microsoft.com/office/drawing/2012/chart" uri="{02D57815-91ED-43cb-92C2-25804820EDAC}">
            <c15:filteredAreaSeries>
              <c15:ser>
                <c:idx val="7"/>
                <c:order val="7"/>
                <c:tx>
                  <c:strRef>
                    <c:extLst>
                      <c:ext uri="{02D57815-91ED-43cb-92C2-25804820EDAC}">
                        <c15:formulaRef>
                          <c15:sqref>'Fig 8'!$B$42</c15:sqref>
                        </c15:formulaRef>
                      </c:ext>
                    </c:extLst>
                    <c:strCache>
                      <c:ptCount val="1"/>
                      <c:pt idx="0">
                        <c:v>Sandwiches, pizzas </c:v>
                      </c:pt>
                    </c:strCache>
                  </c:strRef>
                </c:tx>
                <c:spPr>
                  <a:solidFill>
                    <a:srgbClr val="00B050"/>
                  </a:solidFill>
                  <a:ln>
                    <a:noFill/>
                  </a:ln>
                  <a:effectLst/>
                </c:spPr>
                <c:dLbls>
                  <c:dLbl>
                    <c:idx val="0"/>
                    <c:layout>
                      <c:manualLayout>
                        <c:x val="3.6802289920261702E-2"/>
                        <c:y val="-9.466584505904891E-3"/>
                      </c:manualLayout>
                    </c:layout>
                    <c:spPr>
                      <a:noFill/>
                      <a:ln>
                        <a:noFill/>
                      </a:ln>
                      <a:effectLst/>
                    </c:spPr>
                    <c:txPr>
                      <a:bodyPr rot="0" spcFirstLastPara="1" vertOverflow="ellipsis" vert="horz" wrap="square" lIns="38100" tIns="19050" rIns="38100" bIns="19050" anchor="ctr" anchorCtr="1">
                        <a:no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extLst>
                      <c:ext uri="{CE6537A1-D6FC-4f65-9D91-7224C49458BB}">
                        <c15:layout>
                          <c:manualLayout>
                            <c:w val="4.7383028767284278E-2"/>
                            <c:h val="5.0725905238493969E-2"/>
                          </c:manualLayout>
                        </c15:layout>
                      </c:ext>
                      <c:ext xmlns:c16="http://schemas.microsoft.com/office/drawing/2014/chart" uri="{C3380CC4-5D6E-409C-BE32-E72D297353CC}">
                        <c16:uniqueId val="{0000009A-1EBE-4C7F-943E-F2AA2192D286}"/>
                      </c:ext>
                    </c:extLst>
                  </c:dLbl>
                  <c:dLbl>
                    <c:idx val="1"/>
                    <c:delete val="1"/>
                    <c:extLst>
                      <c:ext uri="{CE6537A1-D6FC-4f65-9D91-7224C49458BB}"/>
                      <c:ext xmlns:c16="http://schemas.microsoft.com/office/drawing/2014/chart" uri="{C3380CC4-5D6E-409C-BE32-E72D297353CC}">
                        <c16:uniqueId val="{0000009B-1EBE-4C7F-943E-F2AA2192D286}"/>
                      </c:ext>
                    </c:extLst>
                  </c:dLbl>
                  <c:dLbl>
                    <c:idx val="2"/>
                    <c:delete val="1"/>
                    <c:extLst>
                      <c:ext uri="{CE6537A1-D6FC-4f65-9D91-7224C49458BB}"/>
                      <c:ext xmlns:c16="http://schemas.microsoft.com/office/drawing/2014/chart" uri="{C3380CC4-5D6E-409C-BE32-E72D297353CC}">
                        <c16:uniqueId val="{0000009C-1EBE-4C7F-943E-F2AA2192D286}"/>
                      </c:ext>
                    </c:extLst>
                  </c:dLbl>
                  <c:dLbl>
                    <c:idx val="3"/>
                    <c:delete val="1"/>
                    <c:extLst>
                      <c:ext uri="{CE6537A1-D6FC-4f65-9D91-7224C49458BB}"/>
                      <c:ext xmlns:c16="http://schemas.microsoft.com/office/drawing/2014/chart" uri="{C3380CC4-5D6E-409C-BE32-E72D297353CC}">
                        <c16:uniqueId val="{0000009D-1EBE-4C7F-943E-F2AA2192D286}"/>
                      </c:ext>
                    </c:extLst>
                  </c:dLbl>
                  <c:dLbl>
                    <c:idx val="4"/>
                    <c:delete val="1"/>
                    <c:extLst>
                      <c:ext uri="{CE6537A1-D6FC-4f65-9D91-7224C49458BB}"/>
                      <c:ext xmlns:c16="http://schemas.microsoft.com/office/drawing/2014/chart" uri="{C3380CC4-5D6E-409C-BE32-E72D297353CC}">
                        <c16:uniqueId val="{0000009E-1EBE-4C7F-943E-F2AA2192D286}"/>
                      </c:ext>
                    </c:extLst>
                  </c:dLbl>
                  <c:dLbl>
                    <c:idx val="5"/>
                    <c:delete val="1"/>
                    <c:extLst>
                      <c:ext uri="{CE6537A1-D6FC-4f65-9D91-7224C49458BB}"/>
                      <c:ext xmlns:c16="http://schemas.microsoft.com/office/drawing/2014/chart" uri="{C3380CC4-5D6E-409C-BE32-E72D297353CC}">
                        <c16:uniqueId val="{0000009F-1EBE-4C7F-943E-F2AA2192D286}"/>
                      </c:ext>
                    </c:extLst>
                  </c:dLbl>
                  <c:dLbl>
                    <c:idx val="6"/>
                    <c:delete val="1"/>
                    <c:extLst>
                      <c:ext uri="{CE6537A1-D6FC-4f65-9D91-7224C49458BB}"/>
                      <c:ext xmlns:c16="http://schemas.microsoft.com/office/drawing/2014/chart" uri="{C3380CC4-5D6E-409C-BE32-E72D297353CC}">
                        <c16:uniqueId val="{000000A0-1EBE-4C7F-943E-F2AA2192D286}"/>
                      </c:ext>
                    </c:extLst>
                  </c:dLbl>
                  <c:dLbl>
                    <c:idx val="7"/>
                    <c:delete val="1"/>
                    <c:extLst>
                      <c:ext uri="{CE6537A1-D6FC-4f65-9D91-7224C49458BB}"/>
                      <c:ext xmlns:c16="http://schemas.microsoft.com/office/drawing/2014/chart" uri="{C3380CC4-5D6E-409C-BE32-E72D297353CC}">
                        <c16:uniqueId val="{000000A1-1EBE-4C7F-943E-F2AA2192D286}"/>
                      </c:ext>
                    </c:extLst>
                  </c:dLbl>
                  <c:dLbl>
                    <c:idx val="8"/>
                    <c:delete val="1"/>
                    <c:extLst>
                      <c:ext uri="{CE6537A1-D6FC-4f65-9D91-7224C49458BB}"/>
                      <c:ext xmlns:c16="http://schemas.microsoft.com/office/drawing/2014/chart" uri="{C3380CC4-5D6E-409C-BE32-E72D297353CC}">
                        <c16:uniqueId val="{000000A2-1EBE-4C7F-943E-F2AA2192D286}"/>
                      </c:ext>
                    </c:extLst>
                  </c:dLbl>
                  <c:dLbl>
                    <c:idx val="9"/>
                    <c:delete val="1"/>
                    <c:extLst>
                      <c:ext uri="{CE6537A1-D6FC-4f65-9D91-7224C49458BB}"/>
                      <c:ext xmlns:c16="http://schemas.microsoft.com/office/drawing/2014/chart" uri="{C3380CC4-5D6E-409C-BE32-E72D297353CC}">
                        <c16:uniqueId val="{000000A3-1EBE-4C7F-943E-F2AA2192D286}"/>
                      </c:ext>
                    </c:extLst>
                  </c:dLbl>
                  <c:dLbl>
                    <c:idx val="10"/>
                    <c:delete val="1"/>
                    <c:extLst>
                      <c:ext uri="{CE6537A1-D6FC-4f65-9D91-7224C49458BB}"/>
                      <c:ext xmlns:c16="http://schemas.microsoft.com/office/drawing/2014/chart" uri="{C3380CC4-5D6E-409C-BE32-E72D297353CC}">
                        <c16:uniqueId val="{000000A4-1EBE-4C7F-943E-F2AA2192D286}"/>
                      </c:ext>
                    </c:extLst>
                  </c:dLbl>
                  <c:dLbl>
                    <c:idx val="11"/>
                    <c:delete val="1"/>
                    <c:extLst>
                      <c:ext uri="{CE6537A1-D6FC-4f65-9D91-7224C49458BB}"/>
                      <c:ext xmlns:c16="http://schemas.microsoft.com/office/drawing/2014/chart" uri="{C3380CC4-5D6E-409C-BE32-E72D297353CC}">
                        <c16:uniqueId val="{000000A5-1EBE-4C7F-943E-F2AA2192D286}"/>
                      </c:ext>
                    </c:extLst>
                  </c:dLbl>
                  <c:dLbl>
                    <c:idx val="12"/>
                    <c:delete val="1"/>
                    <c:extLst>
                      <c:ext uri="{CE6537A1-D6FC-4f65-9D91-7224C49458BB}"/>
                      <c:ext xmlns:c16="http://schemas.microsoft.com/office/drawing/2014/chart" uri="{C3380CC4-5D6E-409C-BE32-E72D297353CC}">
                        <c16:uniqueId val="{000000A6-1EBE-4C7F-943E-F2AA2192D286}"/>
                      </c:ext>
                    </c:extLst>
                  </c:dLbl>
                  <c:dLbl>
                    <c:idx val="13"/>
                    <c:delete val="1"/>
                    <c:extLst>
                      <c:ext uri="{CE6537A1-D6FC-4f65-9D91-7224C49458BB}"/>
                      <c:ext xmlns:c16="http://schemas.microsoft.com/office/drawing/2014/chart" uri="{C3380CC4-5D6E-409C-BE32-E72D297353CC}">
                        <c16:uniqueId val="{000000A7-1EBE-4C7F-943E-F2AA2192D286}"/>
                      </c:ext>
                    </c:extLst>
                  </c:dLbl>
                  <c:dLbl>
                    <c:idx val="14"/>
                    <c:delete val="1"/>
                    <c:extLst>
                      <c:ext uri="{CE6537A1-D6FC-4f65-9D91-7224C49458BB}"/>
                      <c:ext xmlns:c16="http://schemas.microsoft.com/office/drawing/2014/chart" uri="{C3380CC4-5D6E-409C-BE32-E72D297353CC}">
                        <c16:uniqueId val="{000000A8-1EBE-4C7F-943E-F2AA2192D286}"/>
                      </c:ext>
                    </c:extLst>
                  </c:dLbl>
                  <c:dLbl>
                    <c:idx val="15"/>
                    <c:delete val="1"/>
                    <c:extLst>
                      <c:ext uri="{CE6537A1-D6FC-4f65-9D91-7224C49458BB}"/>
                      <c:ext xmlns:c16="http://schemas.microsoft.com/office/drawing/2014/chart" uri="{C3380CC4-5D6E-409C-BE32-E72D297353CC}">
                        <c16:uniqueId val="{000000A9-1EBE-4C7F-943E-F2AA2192D286}"/>
                      </c:ext>
                    </c:extLst>
                  </c:dLbl>
                  <c:dLbl>
                    <c:idx val="16"/>
                    <c:delete val="1"/>
                    <c:extLst>
                      <c:ext uri="{CE6537A1-D6FC-4f65-9D91-7224C49458BB}"/>
                      <c:ext xmlns:c16="http://schemas.microsoft.com/office/drawing/2014/chart" uri="{C3380CC4-5D6E-409C-BE32-E72D297353CC}">
                        <c16:uniqueId val="{000000AA-1EBE-4C7F-943E-F2AA2192D286}"/>
                      </c:ext>
                    </c:extLst>
                  </c:dLbl>
                  <c:dLbl>
                    <c:idx val="17"/>
                    <c:delete val="1"/>
                    <c:extLst>
                      <c:ext uri="{CE6537A1-D6FC-4f65-9D91-7224C49458BB}"/>
                      <c:ext xmlns:c16="http://schemas.microsoft.com/office/drawing/2014/chart" uri="{C3380CC4-5D6E-409C-BE32-E72D297353CC}">
                        <c16:uniqueId val="{000000AB-1EBE-4C7F-943E-F2AA2192D286}"/>
                      </c:ext>
                    </c:extLst>
                  </c:dLbl>
                  <c:dLbl>
                    <c:idx val="18"/>
                    <c:delete val="1"/>
                    <c:extLst>
                      <c:ext uri="{CE6537A1-D6FC-4f65-9D91-7224C49458BB}"/>
                      <c:ext xmlns:c16="http://schemas.microsoft.com/office/drawing/2014/chart" uri="{C3380CC4-5D6E-409C-BE32-E72D297353CC}">
                        <c16:uniqueId val="{000000AC-1EBE-4C7F-943E-F2AA2192D286}"/>
                      </c:ext>
                    </c:extLst>
                  </c:dLbl>
                  <c:dLbl>
                    <c:idx val="19"/>
                    <c:delete val="1"/>
                    <c:extLst>
                      <c:ext uri="{CE6537A1-D6FC-4f65-9D91-7224C49458BB}"/>
                      <c:ext xmlns:c16="http://schemas.microsoft.com/office/drawing/2014/chart" uri="{C3380CC4-5D6E-409C-BE32-E72D297353CC}">
                        <c16:uniqueId val="{000000AD-1EBE-4C7F-943E-F2AA2192D286}"/>
                      </c:ext>
                    </c:extLst>
                  </c:dLbl>
                  <c:dLbl>
                    <c:idx val="20"/>
                    <c:layout>
                      <c:manualLayout>
                        <c:x val="-3.066857493355157E-2"/>
                        <c:y val="-6.3111391606184919E-3"/>
                      </c:manualLayout>
                    </c:layout>
                    <c:showLegendKey val="0"/>
                    <c:showVal val="1"/>
                    <c:showCatName val="0"/>
                    <c:showSerName val="0"/>
                    <c:showPercent val="0"/>
                    <c:showBubbleSize val="0"/>
                    <c:extLst>
                      <c:ext uri="{CE6537A1-D6FC-4f65-9D91-7224C49458BB}"/>
                      <c:ext xmlns:c16="http://schemas.microsoft.com/office/drawing/2014/chart" uri="{C3380CC4-5D6E-409C-BE32-E72D297353CC}">
                        <c16:uniqueId val="{000000AE-1EBE-4C7F-943E-F2AA2192D286}"/>
                      </c:ext>
                    </c:extLst>
                  </c:dLbl>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'Fig 8'!$AQ$34:$BK$34</c15:sqref>
                        </c15:formulaRef>
                      </c:ext>
                    </c:extLst>
                    <c:numCache>
                      <c:formatCode>0</c:formatCode>
                      <c:ptCount val="21"/>
                      <c:pt idx="0">
                        <c:v>1998</c:v>
                      </c:pt>
                      <c:pt idx="1">
                        <c:v>1999</c:v>
                      </c:pt>
                      <c:pt idx="2">
                        <c:v>2000</c:v>
                      </c:pt>
                      <c:pt idx="3">
                        <c:v>2001</c:v>
                      </c:pt>
                      <c:pt idx="4">
                        <c:v>2002</c:v>
                      </c:pt>
                      <c:pt idx="5">
                        <c:v>2003</c:v>
                      </c:pt>
                      <c:pt idx="6">
                        <c:v>2004</c:v>
                      </c:pt>
                      <c:pt idx="7">
                        <c:v>2005</c:v>
                      </c:pt>
                      <c:pt idx="8">
                        <c:v>2006</c:v>
                      </c:pt>
                      <c:pt idx="9">
                        <c:v>2007</c:v>
                      </c:pt>
                      <c:pt idx="10">
                        <c:v>2008</c:v>
                      </c:pt>
                      <c:pt idx="11">
                        <c:v>2009</c:v>
                      </c:pt>
                      <c:pt idx="12">
                        <c:v>2010</c:v>
                      </c:pt>
                      <c:pt idx="13">
                        <c:v>2011</c:v>
                      </c:pt>
                      <c:pt idx="14">
                        <c:v>2012</c:v>
                      </c:pt>
                      <c:pt idx="15">
                        <c:v>2013</c:v>
                      </c:pt>
                      <c:pt idx="16">
                        <c:v>2014</c:v>
                      </c:pt>
                      <c:pt idx="17">
                        <c:v>2015</c:v>
                      </c:pt>
                      <c:pt idx="18">
                        <c:v>2016</c:v>
                      </c:pt>
                      <c:pt idx="19">
                        <c:v>2017</c:v>
                      </c:pt>
                      <c:pt idx="20">
                        <c:v>2018</c:v>
                      </c:pt>
                    </c:numCache>
                  </c:numRef>
                </c:cat>
                <c:val>
                  <c:numRef>
                    <c:extLst>
                      <c:ext uri="{02D57815-91ED-43cb-92C2-25804820EDAC}">
                        <c15:formulaRef>
                          <c15:sqref>'Fig 8'!$AQ$42:$BK$42</c15:sqref>
                        </c15:formulaRef>
                      </c:ext>
                    </c:extLst>
                    <c:numCache>
                      <c:formatCode>0%</c:formatCode>
                      <c:ptCount val="21"/>
                      <c:pt idx="0">
                        <c:v>1.6590068564179508E-2</c:v>
                      </c:pt>
                      <c:pt idx="1">
                        <c:v>1.7446798376063281E-2</c:v>
                      </c:pt>
                      <c:pt idx="2">
                        <c:v>1.8607336335380524E-2</c:v>
                      </c:pt>
                      <c:pt idx="3">
                        <c:v>1.915611181585767E-2</c:v>
                      </c:pt>
                      <c:pt idx="4">
                        <c:v>2.0674599386273505E-2</c:v>
                      </c:pt>
                      <c:pt idx="5">
                        <c:v>2.3685133184148537E-2</c:v>
                      </c:pt>
                      <c:pt idx="6">
                        <c:v>2.6578211125907809E-2</c:v>
                      </c:pt>
                      <c:pt idx="7">
                        <c:v>2.8382707566911788E-2</c:v>
                      </c:pt>
                      <c:pt idx="8">
                        <c:v>2.9736920806679307E-2</c:v>
                      </c:pt>
                      <c:pt idx="9">
                        <c:v>3.1223405929248393E-2</c:v>
                      </c:pt>
                      <c:pt idx="10">
                        <c:v>3.2152352425106723E-2</c:v>
                      </c:pt>
                      <c:pt idx="11">
                        <c:v>3.171204268959138E-2</c:v>
                      </c:pt>
                      <c:pt idx="12">
                        <c:v>3.0097899969347433E-2</c:v>
                      </c:pt>
                      <c:pt idx="13">
                        <c:v>2.8898416429823756E-2</c:v>
                      </c:pt>
                      <c:pt idx="14">
                        <c:v>2.9219533425081677E-2</c:v>
                      </c:pt>
                      <c:pt idx="15">
                        <c:v>2.8753147119878378E-2</c:v>
                      </c:pt>
                      <c:pt idx="16">
                        <c:v>2.9867105708381927E-2</c:v>
                      </c:pt>
                      <c:pt idx="17">
                        <c:v>3.1714960371892253E-2</c:v>
                      </c:pt>
                      <c:pt idx="18">
                        <c:v>3.3272899704966934E-2</c:v>
                      </c:pt>
                      <c:pt idx="19">
                        <c:v>3.5314153188715704E-2</c:v>
                      </c:pt>
                      <c:pt idx="20" formatCode="0.0%">
                        <c:v>3.7175999245517656E-2</c:v>
                      </c:pt>
                    </c:numCache>
                  </c:numRef>
                </c:val>
                <c:extLst>
                  <c:ext xmlns:c16="http://schemas.microsoft.com/office/drawing/2014/chart" uri="{C3380CC4-5D6E-409C-BE32-E72D297353CC}">
                    <c16:uniqueId val="{000000AF-1EBE-4C7F-943E-F2AA2192D286}"/>
                  </c:ext>
                </c:extLst>
              </c15:ser>
            </c15:filteredAreaSeries>
          </c:ext>
        </c:extLst>
      </c:areaChart>
      <c:catAx>
        <c:axId val="1554071512"/>
        <c:scaling>
          <c:orientation val="minMax"/>
        </c:scaling>
        <c:delete val="0"/>
        <c:axPos val="b"/>
        <c:numFmt formatCode="0"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1554071840"/>
        <c:crosses val="autoZero"/>
        <c:auto val="1"/>
        <c:lblAlgn val="ctr"/>
        <c:lblOffset val="100"/>
        <c:noMultiLvlLbl val="0"/>
      </c:catAx>
      <c:valAx>
        <c:axId val="1554071840"/>
        <c:scaling>
          <c:orientation val="minMax"/>
          <c:max val="1"/>
        </c:scaling>
        <c:delete val="1"/>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crossAx val="1554071512"/>
        <c:crosses val="autoZero"/>
        <c:crossBetween val="midCat"/>
      </c:valAx>
      <c:spPr>
        <a:noFill/>
        <a:ln>
          <a:noFill/>
        </a:ln>
        <a:effectLst/>
      </c:spPr>
    </c:plotArea>
    <c:legend>
      <c:legendPos val="b"/>
      <c:layout>
        <c:manualLayout>
          <c:xMode val="edge"/>
          <c:yMode val="edge"/>
          <c:x val="1.4725584675049946E-2"/>
          <c:y val="0.7385279282592796"/>
          <c:w val="0.9603259723387163"/>
          <c:h val="0.18334697524511565"/>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legend>
    <c:plotVisOnly val="1"/>
    <c:dispBlanksAs val="zero"/>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fr-FR" sz="1100">
                <a:solidFill>
                  <a:sysClr val="windowText" lastClr="000000"/>
                </a:solidFill>
                <a:latin typeface="Arial" panose="020B0604020202020204" pitchFamily="34" charset="0"/>
                <a:cs typeface="Arial" panose="020B0604020202020204" pitchFamily="34" charset="0"/>
              </a:rPr>
              <a:t>a/</a:t>
            </a:r>
            <a:r>
              <a:rPr lang="fr-FR" sz="1100" baseline="0">
                <a:solidFill>
                  <a:sysClr val="windowText" lastClr="000000"/>
                </a:solidFill>
                <a:latin typeface="Arial" panose="020B0604020202020204" pitchFamily="34" charset="0"/>
                <a:cs typeface="Arial" panose="020B0604020202020204" pitchFamily="34" charset="0"/>
              </a:rPr>
              <a:t> Enfants 3-17 ans</a:t>
            </a:r>
            <a:endParaRPr lang="fr-FR" sz="1100">
              <a:solidFill>
                <a:sysClr val="windowText" lastClr="000000"/>
              </a:solidFill>
              <a:latin typeface="Arial" panose="020B0604020202020204" pitchFamily="34" charset="0"/>
              <a:cs typeface="Arial" panose="020B0604020202020204" pitchFamily="34" charset="0"/>
            </a:endParaRPr>
          </a:p>
        </c:rich>
      </c:tx>
      <c:layout>
        <c:manualLayout>
          <c:xMode val="edge"/>
          <c:yMode val="edge"/>
          <c:x val="2.6506780402449692E-2"/>
          <c:y val="2.3148148148148147E-2"/>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3.0555555555555555E-2"/>
          <c:y val="0.10134832734526628"/>
          <c:w val="0.93888888888888888"/>
          <c:h val="0.75857625270272822"/>
        </c:manualLayout>
      </c:layout>
      <c:barChart>
        <c:barDir val="col"/>
        <c:grouping val="clustered"/>
        <c:varyColors val="0"/>
        <c:ser>
          <c:idx val="0"/>
          <c:order val="0"/>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Feuil9!$C$2:$F$2</c:f>
              <c:numCache>
                <c:formatCode>General</c:formatCode>
                <c:ptCount val="4"/>
                <c:pt idx="0">
                  <c:v>2010</c:v>
                </c:pt>
                <c:pt idx="1">
                  <c:v>2013</c:v>
                </c:pt>
                <c:pt idx="2">
                  <c:v>2016</c:v>
                </c:pt>
                <c:pt idx="3">
                  <c:v>2019</c:v>
                </c:pt>
              </c:numCache>
            </c:numRef>
          </c:cat>
          <c:val>
            <c:numRef>
              <c:f>Feuil9!$C$3:$F$3</c:f>
              <c:numCache>
                <c:formatCode>0.0</c:formatCode>
                <c:ptCount val="4"/>
                <c:pt idx="0" formatCode="General">
                  <c:v>6.7</c:v>
                </c:pt>
                <c:pt idx="1">
                  <c:v>8</c:v>
                </c:pt>
                <c:pt idx="2" formatCode="General">
                  <c:v>5.8</c:v>
                </c:pt>
                <c:pt idx="3" formatCode="General">
                  <c:v>7.4</c:v>
                </c:pt>
              </c:numCache>
            </c:numRef>
          </c:val>
          <c:extLst>
            <c:ext xmlns:c16="http://schemas.microsoft.com/office/drawing/2014/chart" uri="{C3380CC4-5D6E-409C-BE32-E72D297353CC}">
              <c16:uniqueId val="{00000000-AACD-4A34-839E-072E0CC470FF}"/>
            </c:ext>
          </c:extLst>
        </c:ser>
        <c:dLbls>
          <c:showLegendKey val="0"/>
          <c:showVal val="0"/>
          <c:showCatName val="0"/>
          <c:showSerName val="0"/>
          <c:showPercent val="0"/>
          <c:showBubbleSize val="0"/>
        </c:dLbls>
        <c:gapWidth val="100"/>
        <c:overlap val="-27"/>
        <c:axId val="1275532712"/>
        <c:axId val="1275526480"/>
      </c:barChart>
      <c:catAx>
        <c:axId val="1275532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275526480"/>
        <c:crosses val="autoZero"/>
        <c:auto val="1"/>
        <c:lblAlgn val="ctr"/>
        <c:lblOffset val="100"/>
        <c:noMultiLvlLbl val="0"/>
      </c:catAx>
      <c:valAx>
        <c:axId val="1275526480"/>
        <c:scaling>
          <c:orientation val="minMax"/>
        </c:scaling>
        <c:delete val="1"/>
        <c:axPos val="l"/>
        <c:numFmt formatCode="General" sourceLinked="1"/>
        <c:majorTickMark val="none"/>
        <c:minorTickMark val="none"/>
        <c:tickLblPos val="nextTo"/>
        <c:crossAx val="1275532712"/>
        <c:crosses val="autoZero"/>
        <c:crossBetween val="between"/>
      </c:valAx>
      <c:spPr>
        <a:noFill/>
        <a:ln w="25400">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spc="0" baseline="0">
                <a:solidFill>
                  <a:schemeClr val="tx1"/>
                </a:solidFill>
                <a:latin typeface="Arial" panose="020B0604020202020204" pitchFamily="34" charset="0"/>
                <a:ea typeface="+mn-ea"/>
                <a:cs typeface="Arial" panose="020B0604020202020204" pitchFamily="34" charset="0"/>
              </a:defRPr>
            </a:pPr>
            <a:r>
              <a:rPr lang="fr-FR" sz="1100">
                <a:solidFill>
                  <a:schemeClr val="tx1"/>
                </a:solidFill>
                <a:latin typeface="Arial" panose="020B0604020202020204" pitchFamily="34" charset="0"/>
                <a:cs typeface="Arial" panose="020B0604020202020204" pitchFamily="34" charset="0"/>
              </a:rPr>
              <a:t>b/</a:t>
            </a:r>
            <a:r>
              <a:rPr lang="fr-FR" sz="1100" baseline="0">
                <a:solidFill>
                  <a:schemeClr val="tx1"/>
                </a:solidFill>
                <a:latin typeface="Arial" panose="020B0604020202020204" pitchFamily="34" charset="0"/>
                <a:cs typeface="Arial" panose="020B0604020202020204" pitchFamily="34" charset="0"/>
              </a:rPr>
              <a:t> Adultes (18 à 79 ans)</a:t>
            </a:r>
            <a:endParaRPr lang="fr-FR" sz="1100">
              <a:solidFill>
                <a:schemeClr val="tx1"/>
              </a:solidFill>
              <a:latin typeface="Arial" panose="020B0604020202020204" pitchFamily="34" charset="0"/>
              <a:cs typeface="Arial" panose="020B0604020202020204" pitchFamily="34" charset="0"/>
            </a:endParaRPr>
          </a:p>
        </c:rich>
      </c:tx>
      <c:layout>
        <c:manualLayout>
          <c:xMode val="edge"/>
          <c:yMode val="edge"/>
          <c:x val="2.6506780402449692E-2"/>
          <c:y val="2.3148148148148147E-2"/>
        </c:manualLayout>
      </c:layout>
      <c:overlay val="0"/>
      <c:spPr>
        <a:noFill/>
        <a:ln>
          <a:noFill/>
        </a:ln>
        <a:effectLst/>
      </c:spPr>
      <c:txPr>
        <a:bodyPr rot="0" spcFirstLastPara="1" vertOverflow="ellipsis" vert="horz" wrap="square" anchor="ctr" anchorCtr="1"/>
        <a:lstStyle/>
        <a:p>
          <a:pPr>
            <a:defRPr sz="1100" b="0" i="0" u="none" strike="noStrike" kern="1200" spc="0" baseline="0">
              <a:solidFill>
                <a:schemeClr val="tx1"/>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3.0555555555555555E-2"/>
          <c:y val="0.12856537037673785"/>
          <c:w val="0.93888888888888888"/>
          <c:h val="0.75248266455776003"/>
        </c:manualLayout>
      </c:layout>
      <c:barChart>
        <c:barDir val="col"/>
        <c:grouping val="clustered"/>
        <c:varyColors val="0"/>
        <c:ser>
          <c:idx val="0"/>
          <c:order val="0"/>
          <c:spPr>
            <a:solidFill>
              <a:schemeClr val="bg1">
                <a:lumMod val="65000"/>
              </a:schemeClr>
            </a:solidFill>
            <a:ln>
              <a:solidFill>
                <a:schemeClr val="tx1"/>
              </a:solidFill>
            </a:ln>
            <a:effectLst/>
          </c:spPr>
          <c:invertIfNegative val="0"/>
          <c:dPt>
            <c:idx val="0"/>
            <c:invertIfNegative val="0"/>
            <c:bubble3D val="0"/>
            <c:spPr>
              <a:solidFill>
                <a:schemeClr val="bg1">
                  <a:lumMod val="65000"/>
                </a:schemeClr>
              </a:solidFill>
              <a:ln>
                <a:solidFill>
                  <a:schemeClr val="bg1"/>
                </a:solidFill>
              </a:ln>
              <a:effectLst/>
            </c:spPr>
            <c:extLst>
              <c:ext xmlns:c16="http://schemas.microsoft.com/office/drawing/2014/chart" uri="{C3380CC4-5D6E-409C-BE32-E72D297353CC}">
                <c16:uniqueId val="{00000001-C841-4CC8-B455-B94042E043BA}"/>
              </c:ext>
            </c:extLst>
          </c:dPt>
          <c:dPt>
            <c:idx val="1"/>
            <c:invertIfNegative val="0"/>
            <c:bubble3D val="0"/>
            <c:spPr>
              <a:solidFill>
                <a:schemeClr val="bg1">
                  <a:lumMod val="65000"/>
                </a:schemeClr>
              </a:solidFill>
              <a:ln>
                <a:noFill/>
              </a:ln>
              <a:effectLst/>
            </c:spPr>
            <c:extLst>
              <c:ext xmlns:c16="http://schemas.microsoft.com/office/drawing/2014/chart" uri="{C3380CC4-5D6E-409C-BE32-E72D297353CC}">
                <c16:uniqueId val="{00000002-C841-4CC8-B455-B94042E043BA}"/>
              </c:ext>
            </c:extLst>
          </c:dPt>
          <c:dPt>
            <c:idx val="2"/>
            <c:invertIfNegative val="0"/>
            <c:bubble3D val="0"/>
            <c:spPr>
              <a:solidFill>
                <a:schemeClr val="bg1">
                  <a:lumMod val="65000"/>
                </a:schemeClr>
              </a:solidFill>
              <a:ln>
                <a:noFill/>
              </a:ln>
              <a:effectLst/>
            </c:spPr>
            <c:extLst>
              <c:ext xmlns:c16="http://schemas.microsoft.com/office/drawing/2014/chart" uri="{C3380CC4-5D6E-409C-BE32-E72D297353CC}">
                <c16:uniqueId val="{00000003-C841-4CC8-B455-B94042E043BA}"/>
              </c:ext>
            </c:extLst>
          </c:dPt>
          <c:dPt>
            <c:idx val="3"/>
            <c:invertIfNegative val="0"/>
            <c:bubble3D val="0"/>
            <c:spPr>
              <a:solidFill>
                <a:schemeClr val="bg1">
                  <a:lumMod val="65000"/>
                </a:schemeClr>
              </a:solidFill>
              <a:ln>
                <a:noFill/>
              </a:ln>
              <a:effectLst/>
            </c:spPr>
            <c:extLst>
              <c:ext xmlns:c16="http://schemas.microsoft.com/office/drawing/2014/chart" uri="{C3380CC4-5D6E-409C-BE32-E72D297353CC}">
                <c16:uniqueId val="{00000004-C841-4CC8-B455-B94042E043BA}"/>
              </c:ext>
            </c:extLst>
          </c:dPt>
          <c:dLbls>
            <c:dLbl>
              <c:idx val="0"/>
              <c:layout>
                <c:manualLayout>
                  <c:x val="2.4838549428713138E-3"/>
                  <c:y val="1.991886024877648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841-4CC8-B455-B94042E043BA}"/>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Feuil9!$C$2:$F$2</c:f>
              <c:numCache>
                <c:formatCode>General</c:formatCode>
                <c:ptCount val="4"/>
                <c:pt idx="0">
                  <c:v>2010</c:v>
                </c:pt>
                <c:pt idx="1">
                  <c:v>2013</c:v>
                </c:pt>
                <c:pt idx="2">
                  <c:v>2016</c:v>
                </c:pt>
                <c:pt idx="3">
                  <c:v>2019</c:v>
                </c:pt>
              </c:numCache>
            </c:numRef>
          </c:cat>
          <c:val>
            <c:numRef>
              <c:f>Feuil9!$C$4:$F$4</c:f>
              <c:numCache>
                <c:formatCode>General</c:formatCode>
                <c:ptCount val="4"/>
                <c:pt idx="0">
                  <c:v>12.6</c:v>
                </c:pt>
                <c:pt idx="1">
                  <c:v>11</c:v>
                </c:pt>
                <c:pt idx="2">
                  <c:v>9.1999999999999993</c:v>
                </c:pt>
                <c:pt idx="3">
                  <c:v>11.2</c:v>
                </c:pt>
              </c:numCache>
            </c:numRef>
          </c:val>
          <c:extLst>
            <c:ext xmlns:c16="http://schemas.microsoft.com/office/drawing/2014/chart" uri="{C3380CC4-5D6E-409C-BE32-E72D297353CC}">
              <c16:uniqueId val="{00000000-C841-4CC8-B455-B94042E043BA}"/>
            </c:ext>
          </c:extLst>
        </c:ser>
        <c:dLbls>
          <c:showLegendKey val="0"/>
          <c:showVal val="0"/>
          <c:showCatName val="0"/>
          <c:showSerName val="0"/>
          <c:showPercent val="0"/>
          <c:showBubbleSize val="0"/>
        </c:dLbls>
        <c:gapWidth val="100"/>
        <c:overlap val="-27"/>
        <c:axId val="1275532712"/>
        <c:axId val="1275526480"/>
      </c:barChart>
      <c:catAx>
        <c:axId val="12755327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275526480"/>
        <c:crosses val="autoZero"/>
        <c:auto val="1"/>
        <c:lblAlgn val="ctr"/>
        <c:lblOffset val="100"/>
        <c:noMultiLvlLbl val="0"/>
      </c:catAx>
      <c:valAx>
        <c:axId val="1275526480"/>
        <c:scaling>
          <c:orientation val="minMax"/>
        </c:scaling>
        <c:delete val="1"/>
        <c:axPos val="l"/>
        <c:numFmt formatCode="General" sourceLinked="1"/>
        <c:majorTickMark val="none"/>
        <c:minorTickMark val="none"/>
        <c:tickLblPos val="nextTo"/>
        <c:crossAx val="1275532712"/>
        <c:crosses val="autoZero"/>
        <c:crossBetween val="between"/>
      </c:valAx>
      <c:spPr>
        <a:noFill/>
        <a:ln w="25400">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
          <c:y val="2.1832206665485146E-2"/>
          <c:w val="0.98472817661235401"/>
          <c:h val="0.63420495174323666"/>
        </c:manualLayout>
      </c:layout>
      <c:barChart>
        <c:barDir val="col"/>
        <c:grouping val="clustered"/>
        <c:varyColors val="0"/>
        <c:ser>
          <c:idx val="0"/>
          <c:order val="0"/>
          <c:tx>
            <c:strRef>
              <c:f>'Graphe Credoc charcuterie'!$C$3</c:f>
              <c:strCache>
                <c:ptCount val="1"/>
                <c:pt idx="0">
                  <c:v>2013</c:v>
                </c:pt>
              </c:strCache>
            </c:strRef>
          </c:tx>
          <c:spPr>
            <a:gradFill rotWithShape="1">
              <a:gsLst>
                <a:gs pos="0">
                  <a:schemeClr val="dk1">
                    <a:tint val="88500"/>
                    <a:satMod val="103000"/>
                    <a:lumMod val="102000"/>
                    <a:tint val="94000"/>
                  </a:schemeClr>
                </a:gs>
                <a:gs pos="50000">
                  <a:schemeClr val="dk1">
                    <a:tint val="88500"/>
                    <a:satMod val="110000"/>
                    <a:lumMod val="100000"/>
                    <a:shade val="100000"/>
                  </a:schemeClr>
                </a:gs>
                <a:gs pos="100000">
                  <a:schemeClr val="dk1">
                    <a:tint val="885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charcuterie'!$B$4:$B$9</c:f>
              <c:strCache>
                <c:ptCount val="5"/>
                <c:pt idx="0">
                  <c:v>Total Charcuteries Hors Saucisserie</c:v>
                </c:pt>
                <c:pt idx="1">
                  <c:v>Jambon cru/sec saucisson sec de porc</c:v>
                </c:pt>
                <c:pt idx="2">
                  <c:v>Jambon cuit porc</c:v>
                </c:pt>
                <c:pt idx="3">
                  <c:v>Pâté, rillettes porc</c:v>
                </c:pt>
                <c:pt idx="4">
                  <c:v>Lardons</c:v>
                </c:pt>
              </c:strCache>
              <c:extLst/>
            </c:strRef>
          </c:cat>
          <c:val>
            <c:numRef>
              <c:f>'Graphe Credoc charcuterie'!$C$4:$C$9</c:f>
              <c:numCache>
                <c:formatCode>0.0</c:formatCode>
                <c:ptCount val="5"/>
                <c:pt idx="0">
                  <c:v>16.345542000000002</c:v>
                </c:pt>
                <c:pt idx="1">
                  <c:v>3.0898295999999998</c:v>
                </c:pt>
                <c:pt idx="2">
                  <c:v>8.9063534999999998</c:v>
                </c:pt>
                <c:pt idx="3">
                  <c:v>2.0560337</c:v>
                </c:pt>
                <c:pt idx="4">
                  <c:v>2.2933252</c:v>
                </c:pt>
              </c:numCache>
              <c:extLst/>
            </c:numRef>
          </c:val>
          <c:extLst>
            <c:ext xmlns:c16="http://schemas.microsoft.com/office/drawing/2014/chart" uri="{C3380CC4-5D6E-409C-BE32-E72D297353CC}">
              <c16:uniqueId val="{00000000-2810-433D-9249-5E21D4EAEBCA}"/>
            </c:ext>
          </c:extLst>
        </c:ser>
        <c:ser>
          <c:idx val="1"/>
          <c:order val="1"/>
          <c:tx>
            <c:strRef>
              <c:f>'Graphe Credoc charcuterie'!$D$3</c:f>
              <c:strCache>
                <c:ptCount val="1"/>
                <c:pt idx="0">
                  <c:v>2016</c:v>
                </c:pt>
              </c:strCache>
            </c:strRef>
          </c:tx>
          <c:spPr>
            <a:gradFill rotWithShape="1">
              <a:gsLst>
                <a:gs pos="0">
                  <a:schemeClr val="dk1">
                    <a:tint val="55000"/>
                    <a:satMod val="103000"/>
                    <a:lumMod val="102000"/>
                    <a:tint val="94000"/>
                  </a:schemeClr>
                </a:gs>
                <a:gs pos="50000">
                  <a:schemeClr val="dk1">
                    <a:tint val="55000"/>
                    <a:satMod val="110000"/>
                    <a:lumMod val="100000"/>
                    <a:shade val="100000"/>
                  </a:schemeClr>
                </a:gs>
                <a:gs pos="100000">
                  <a:schemeClr val="dk1">
                    <a:tint val="550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charcuterie'!$B$4:$B$9</c:f>
              <c:strCache>
                <c:ptCount val="5"/>
                <c:pt idx="0">
                  <c:v>Total Charcuteries Hors Saucisserie</c:v>
                </c:pt>
                <c:pt idx="1">
                  <c:v>Jambon cru/sec saucisson sec de porc</c:v>
                </c:pt>
                <c:pt idx="2">
                  <c:v>Jambon cuit porc</c:v>
                </c:pt>
                <c:pt idx="3">
                  <c:v>Pâté, rillettes porc</c:v>
                </c:pt>
                <c:pt idx="4">
                  <c:v>Lardons</c:v>
                </c:pt>
              </c:strCache>
              <c:extLst/>
            </c:strRef>
          </c:cat>
          <c:val>
            <c:numRef>
              <c:f>'Graphe Credoc charcuterie'!$D$4:$D$9</c:f>
              <c:numCache>
                <c:formatCode>0.0</c:formatCode>
                <c:ptCount val="5"/>
                <c:pt idx="0">
                  <c:v>14.376875999999999</c:v>
                </c:pt>
                <c:pt idx="1">
                  <c:v>2.8</c:v>
                </c:pt>
                <c:pt idx="2">
                  <c:v>8.6497373999999994</c:v>
                </c:pt>
                <c:pt idx="3">
                  <c:v>1.272848</c:v>
                </c:pt>
                <c:pt idx="4">
                  <c:v>1.6542905999999999</c:v>
                </c:pt>
              </c:numCache>
              <c:extLst/>
            </c:numRef>
          </c:val>
          <c:extLst>
            <c:ext xmlns:c16="http://schemas.microsoft.com/office/drawing/2014/chart" uri="{C3380CC4-5D6E-409C-BE32-E72D297353CC}">
              <c16:uniqueId val="{00000001-2810-433D-9249-5E21D4EAEBCA}"/>
            </c:ext>
          </c:extLst>
        </c:ser>
        <c:ser>
          <c:idx val="2"/>
          <c:order val="2"/>
          <c:tx>
            <c:strRef>
              <c:f>'Graphe Credoc charcuterie'!$E$3</c:f>
              <c:strCache>
                <c:ptCount val="1"/>
                <c:pt idx="0">
                  <c:v>2019</c:v>
                </c:pt>
              </c:strCache>
            </c:strRef>
          </c:tx>
          <c:spPr>
            <a:gradFill rotWithShape="1">
              <a:gsLst>
                <a:gs pos="0">
                  <a:schemeClr val="dk1">
                    <a:tint val="75000"/>
                    <a:satMod val="103000"/>
                    <a:lumMod val="102000"/>
                    <a:tint val="94000"/>
                  </a:schemeClr>
                </a:gs>
                <a:gs pos="50000">
                  <a:schemeClr val="dk1">
                    <a:tint val="75000"/>
                    <a:satMod val="110000"/>
                    <a:lumMod val="100000"/>
                    <a:shade val="100000"/>
                  </a:schemeClr>
                </a:gs>
                <a:gs pos="100000">
                  <a:schemeClr val="dk1">
                    <a:tint val="75000"/>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charcuterie'!$B$4:$B$9</c:f>
              <c:strCache>
                <c:ptCount val="5"/>
                <c:pt idx="0">
                  <c:v>Total Charcuteries Hors Saucisserie</c:v>
                </c:pt>
                <c:pt idx="1">
                  <c:v>Jambon cru/sec saucisson sec de porc</c:v>
                </c:pt>
                <c:pt idx="2">
                  <c:v>Jambon cuit porc</c:v>
                </c:pt>
                <c:pt idx="3">
                  <c:v>Pâté, rillettes porc</c:v>
                </c:pt>
                <c:pt idx="4">
                  <c:v>Lardons</c:v>
                </c:pt>
              </c:strCache>
              <c:extLst/>
            </c:strRef>
          </c:cat>
          <c:val>
            <c:numRef>
              <c:f>'Graphe Credoc charcuterie'!$E$4:$E$9</c:f>
              <c:numCache>
                <c:formatCode>0.0</c:formatCode>
                <c:ptCount val="5"/>
                <c:pt idx="0">
                  <c:v>17.1056092</c:v>
                </c:pt>
                <c:pt idx="1">
                  <c:v>4.3256287000000002</c:v>
                </c:pt>
                <c:pt idx="2">
                  <c:v>9.4538369000000007</c:v>
                </c:pt>
                <c:pt idx="3">
                  <c:v>1.2561287999999999</c:v>
                </c:pt>
                <c:pt idx="4">
                  <c:v>2.0700148</c:v>
                </c:pt>
              </c:numCache>
              <c:extLst/>
            </c:numRef>
          </c:val>
          <c:extLst>
            <c:ext xmlns:c16="http://schemas.microsoft.com/office/drawing/2014/chart" uri="{C3380CC4-5D6E-409C-BE32-E72D297353CC}">
              <c16:uniqueId val="{00000002-2810-433D-9249-5E21D4EAEBCA}"/>
            </c:ext>
          </c:extLst>
        </c:ser>
        <c:dLbls>
          <c:showLegendKey val="0"/>
          <c:showVal val="0"/>
          <c:showCatName val="0"/>
          <c:showSerName val="0"/>
          <c:showPercent val="0"/>
          <c:showBubbleSize val="0"/>
        </c:dLbls>
        <c:gapWidth val="100"/>
        <c:overlap val="-24"/>
        <c:axId val="449039096"/>
        <c:axId val="449031552"/>
      </c:barChart>
      <c:catAx>
        <c:axId val="449039096"/>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449031552"/>
        <c:crosses val="autoZero"/>
        <c:auto val="1"/>
        <c:lblAlgn val="ctr"/>
        <c:lblOffset val="100"/>
        <c:noMultiLvlLbl val="0"/>
      </c:catAx>
      <c:valAx>
        <c:axId val="449031552"/>
        <c:scaling>
          <c:orientation val="minMax"/>
          <c:max val="30"/>
        </c:scaling>
        <c:delete val="1"/>
        <c:axPos val="l"/>
        <c:numFmt formatCode="0" sourceLinked="0"/>
        <c:majorTickMark val="none"/>
        <c:minorTickMark val="none"/>
        <c:tickLblPos val="nextTo"/>
        <c:crossAx val="449039096"/>
        <c:crosses val="autoZero"/>
        <c:crossBetween val="between"/>
      </c:valAx>
      <c:spPr>
        <a:noFill/>
        <a:ln>
          <a:noFill/>
        </a:ln>
        <a:effectLst/>
      </c:spPr>
    </c:plotArea>
    <c:legend>
      <c:legendPos val="r"/>
      <c:layout>
        <c:manualLayout>
          <c:xMode val="edge"/>
          <c:yMode val="edge"/>
          <c:x val="0.86684413119388493"/>
          <c:y val="5.7581021256463132E-2"/>
          <c:w val="8.1613183140494261E-2"/>
          <c:h val="0.34670624341248685"/>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manualLayout>
          <c:layoutTarget val="inner"/>
          <c:xMode val="edge"/>
          <c:yMode val="edge"/>
          <c:x val="0"/>
          <c:y val="5.7122655988632171E-2"/>
          <c:w val="0.99391635287053026"/>
          <c:h val="0.71127582993493887"/>
        </c:manualLayout>
      </c:layout>
      <c:barChart>
        <c:barDir val="col"/>
        <c:grouping val="clustered"/>
        <c:varyColors val="0"/>
        <c:ser>
          <c:idx val="0"/>
          <c:order val="0"/>
          <c:tx>
            <c:strRef>
              <c:f>'Graphe Credoc charcuterie'!$J$3</c:f>
              <c:strCache>
                <c:ptCount val="1"/>
                <c:pt idx="0">
                  <c:v>2013</c:v>
                </c:pt>
              </c:strCache>
            </c:strRef>
          </c:tx>
          <c:spPr>
            <a:gradFill rotWithShape="1">
              <a:gsLst>
                <a:gs pos="0">
                  <a:schemeClr val="dk1">
                    <a:tint val="88500"/>
                    <a:satMod val="103000"/>
                    <a:lumMod val="102000"/>
                    <a:tint val="94000"/>
                  </a:schemeClr>
                </a:gs>
                <a:gs pos="50000">
                  <a:schemeClr val="dk1">
                    <a:tint val="88500"/>
                    <a:satMod val="110000"/>
                    <a:lumMod val="100000"/>
                    <a:shade val="100000"/>
                  </a:schemeClr>
                </a:gs>
                <a:gs pos="100000">
                  <a:schemeClr val="dk1">
                    <a:tint val="88500"/>
                    <a:lumMod val="99000"/>
                    <a:satMod val="120000"/>
                    <a:shade val="78000"/>
                  </a:schemeClr>
                </a:gs>
              </a:gsLst>
              <a:lin ang="5400000" scaled="0"/>
            </a:gradFill>
            <a:ln>
              <a:noFill/>
            </a:ln>
            <a:effectLst/>
          </c:spPr>
          <c:invertIfNegative val="0"/>
          <c:dLbls>
            <c:dLbl>
              <c:idx val="2"/>
              <c:layout>
                <c:manualLayout>
                  <c:x val="-1.8401144960130927E-2"/>
                  <c:y val="-8.487684591027545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F61-46C9-9B2E-29C0D2FFD191}"/>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charcuterie'!$H$4:$I$9</c:f>
              <c:strCache>
                <c:ptCount val="5"/>
                <c:pt idx="0">
                  <c:v>Total Charcuteries Hors Saucisserie</c:v>
                </c:pt>
                <c:pt idx="1">
                  <c:v>Jambon cru/sec saucisson secporc</c:v>
                </c:pt>
                <c:pt idx="2">
                  <c:v>Jambon cuit porc</c:v>
                </c:pt>
                <c:pt idx="3">
                  <c:v>Pâté, rillettes porc</c:v>
                </c:pt>
                <c:pt idx="4">
                  <c:v>Lardons</c:v>
                </c:pt>
              </c:strCache>
              <c:extLst/>
            </c:strRef>
          </c:cat>
          <c:val>
            <c:numRef>
              <c:f>'Graphe Credoc charcuterie'!$J$4:$J$9</c:f>
              <c:numCache>
                <c:formatCode>0.0</c:formatCode>
                <c:ptCount val="5"/>
                <c:pt idx="0">
                  <c:v>25.757281500000001</c:v>
                </c:pt>
                <c:pt idx="1">
                  <c:v>5.4861592999999997</c:v>
                </c:pt>
                <c:pt idx="2">
                  <c:v>12.144882600000001</c:v>
                </c:pt>
                <c:pt idx="3">
                  <c:v>3.4902753</c:v>
                </c:pt>
                <c:pt idx="4">
                  <c:v>2.3803535</c:v>
                </c:pt>
              </c:numCache>
              <c:extLst/>
            </c:numRef>
          </c:val>
          <c:extLst>
            <c:ext xmlns:c16="http://schemas.microsoft.com/office/drawing/2014/chart" uri="{C3380CC4-5D6E-409C-BE32-E72D297353CC}">
              <c16:uniqueId val="{00000001-EF61-46C9-9B2E-29C0D2FFD191}"/>
            </c:ext>
          </c:extLst>
        </c:ser>
        <c:ser>
          <c:idx val="1"/>
          <c:order val="1"/>
          <c:tx>
            <c:strRef>
              <c:f>'Graphe Credoc charcuterie'!$K$3</c:f>
              <c:strCache>
                <c:ptCount val="1"/>
                <c:pt idx="0">
                  <c:v>2016</c:v>
                </c:pt>
              </c:strCache>
            </c:strRef>
          </c:tx>
          <c:spPr>
            <a:gradFill rotWithShape="1">
              <a:gsLst>
                <a:gs pos="0">
                  <a:schemeClr val="dk1">
                    <a:tint val="55000"/>
                    <a:satMod val="103000"/>
                    <a:lumMod val="102000"/>
                    <a:tint val="94000"/>
                  </a:schemeClr>
                </a:gs>
                <a:gs pos="50000">
                  <a:schemeClr val="dk1">
                    <a:tint val="55000"/>
                    <a:satMod val="110000"/>
                    <a:lumMod val="100000"/>
                    <a:shade val="100000"/>
                  </a:schemeClr>
                </a:gs>
                <a:gs pos="100000">
                  <a:schemeClr val="dk1">
                    <a:tint val="55000"/>
                    <a:lumMod val="99000"/>
                    <a:satMod val="120000"/>
                    <a:shade val="78000"/>
                  </a:schemeClr>
                </a:gs>
              </a:gsLst>
              <a:lin ang="5400000" scaled="0"/>
            </a:gradFill>
            <a:ln>
              <a:noFill/>
            </a:ln>
            <a:effectLst/>
          </c:spPr>
          <c:invertIfNegative val="0"/>
          <c:dLbls>
            <c:dLbl>
              <c:idx val="0"/>
              <c:layout>
                <c:manualLayout>
                  <c:x val="1.635657329789408E-2"/>
                  <c:y val="-2.628120893561103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F61-46C9-9B2E-29C0D2FFD191}"/>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charcuterie'!$H$4:$I$9</c:f>
              <c:strCache>
                <c:ptCount val="5"/>
                <c:pt idx="0">
                  <c:v>Total Charcuteries Hors Saucisserie</c:v>
                </c:pt>
                <c:pt idx="1">
                  <c:v>Jambon cru/sec saucisson secporc</c:v>
                </c:pt>
                <c:pt idx="2">
                  <c:v>Jambon cuit porc</c:v>
                </c:pt>
                <c:pt idx="3">
                  <c:v>Pâté, rillettes porc</c:v>
                </c:pt>
                <c:pt idx="4">
                  <c:v>Lardons</c:v>
                </c:pt>
              </c:strCache>
              <c:extLst/>
            </c:strRef>
          </c:cat>
          <c:val>
            <c:numRef>
              <c:f>'Graphe Credoc charcuterie'!$K$4:$K$9</c:f>
              <c:numCache>
                <c:formatCode>0.0</c:formatCode>
                <c:ptCount val="5"/>
                <c:pt idx="0">
                  <c:v>25.601235599999999</c:v>
                </c:pt>
                <c:pt idx="1">
                  <c:v>6.0445891999999999</c:v>
                </c:pt>
                <c:pt idx="2">
                  <c:v>11.568702800000001</c:v>
                </c:pt>
                <c:pt idx="3">
                  <c:v>3.0770271</c:v>
                </c:pt>
                <c:pt idx="4">
                  <c:v>1.9693852000000001</c:v>
                </c:pt>
              </c:numCache>
              <c:extLst/>
            </c:numRef>
          </c:val>
          <c:extLst>
            <c:ext xmlns:c16="http://schemas.microsoft.com/office/drawing/2014/chart" uri="{C3380CC4-5D6E-409C-BE32-E72D297353CC}">
              <c16:uniqueId val="{00000003-EF61-46C9-9B2E-29C0D2FFD191}"/>
            </c:ext>
          </c:extLst>
        </c:ser>
        <c:ser>
          <c:idx val="2"/>
          <c:order val="2"/>
          <c:tx>
            <c:strRef>
              <c:f>'Graphe Credoc charcuterie'!$L$3</c:f>
              <c:strCache>
                <c:ptCount val="1"/>
                <c:pt idx="0">
                  <c:v>2019</c:v>
                </c:pt>
              </c:strCache>
            </c:strRef>
          </c:tx>
          <c:spPr>
            <a:gradFill rotWithShape="1">
              <a:gsLst>
                <a:gs pos="0">
                  <a:schemeClr val="dk1">
                    <a:tint val="75000"/>
                    <a:satMod val="103000"/>
                    <a:lumMod val="102000"/>
                    <a:tint val="94000"/>
                  </a:schemeClr>
                </a:gs>
                <a:gs pos="50000">
                  <a:schemeClr val="dk1">
                    <a:tint val="75000"/>
                    <a:satMod val="110000"/>
                    <a:lumMod val="100000"/>
                    <a:shade val="100000"/>
                  </a:schemeClr>
                </a:gs>
                <a:gs pos="100000">
                  <a:schemeClr val="dk1">
                    <a:tint val="75000"/>
                    <a:lumMod val="99000"/>
                    <a:satMod val="120000"/>
                    <a:shade val="78000"/>
                  </a:schemeClr>
                </a:gs>
              </a:gsLst>
              <a:lin ang="5400000" scaled="0"/>
            </a:gradFill>
            <a:ln>
              <a:noFill/>
            </a:ln>
            <a:effectLst/>
          </c:spPr>
          <c:invertIfNegative val="0"/>
          <c:dLbls>
            <c:dLbl>
              <c:idx val="0"/>
              <c:layout>
                <c:manualLayout>
                  <c:x val="4.4980576569208751E-2"/>
                  <c:y val="1.75208059570740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F61-46C9-9B2E-29C0D2FFD191}"/>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'Graphe Credoc charcuterie'!$H$4:$I$9</c:f>
              <c:strCache>
                <c:ptCount val="5"/>
                <c:pt idx="0">
                  <c:v>Total Charcuteries Hors Saucisserie</c:v>
                </c:pt>
                <c:pt idx="1">
                  <c:v>Jambon cru/sec saucisson secporc</c:v>
                </c:pt>
                <c:pt idx="2">
                  <c:v>Jambon cuit porc</c:v>
                </c:pt>
                <c:pt idx="3">
                  <c:v>Pâté, rillettes porc</c:v>
                </c:pt>
                <c:pt idx="4">
                  <c:v>Lardons</c:v>
                </c:pt>
              </c:strCache>
              <c:extLst/>
            </c:strRef>
          </c:cat>
          <c:val>
            <c:numRef>
              <c:f>'Graphe Credoc charcuterie'!$L$4:$L$9</c:f>
              <c:numCache>
                <c:formatCode>0.0</c:formatCode>
                <c:ptCount val="5"/>
                <c:pt idx="0">
                  <c:v>27.674141500000001</c:v>
                </c:pt>
                <c:pt idx="1">
                  <c:v>8.3369272999999993</c:v>
                </c:pt>
                <c:pt idx="2">
                  <c:v>9.8089878000000006</c:v>
                </c:pt>
                <c:pt idx="3">
                  <c:v>4.4126690000000002</c:v>
                </c:pt>
                <c:pt idx="4">
                  <c:v>2.6828992999999999</c:v>
                </c:pt>
              </c:numCache>
              <c:extLst/>
            </c:numRef>
          </c:val>
          <c:extLst>
            <c:ext xmlns:c16="http://schemas.microsoft.com/office/drawing/2014/chart" uri="{C3380CC4-5D6E-409C-BE32-E72D297353CC}">
              <c16:uniqueId val="{00000005-EF61-46C9-9B2E-29C0D2FFD191}"/>
            </c:ext>
          </c:extLst>
        </c:ser>
        <c:ser>
          <c:idx val="3"/>
          <c:order val="3"/>
          <c:tx>
            <c:strRef>
              <c:f>'Graphe Credoc charcuterie'!$B$5:$B$7</c:f>
              <c:strCache>
                <c:ptCount val="3"/>
                <c:pt idx="0">
                  <c:v>Jambon cru/sec saucisson sec de porc</c:v>
                </c:pt>
                <c:pt idx="1">
                  <c:v>Jambon cuit porc</c:v>
                </c:pt>
                <c:pt idx="2">
                  <c:v>Pâté, rillettes porc</c:v>
                </c:pt>
              </c:strCache>
            </c:strRef>
          </c:tx>
          <c:spPr>
            <a:gradFill rotWithShape="1">
              <a:gsLst>
                <a:gs pos="0">
                  <a:schemeClr val="dk1">
                    <a:tint val="98500"/>
                    <a:satMod val="103000"/>
                    <a:lumMod val="102000"/>
                    <a:tint val="94000"/>
                  </a:schemeClr>
                </a:gs>
                <a:gs pos="50000">
                  <a:schemeClr val="dk1">
                    <a:tint val="98500"/>
                    <a:satMod val="110000"/>
                    <a:lumMod val="100000"/>
                    <a:shade val="100000"/>
                  </a:schemeClr>
                </a:gs>
                <a:gs pos="100000">
                  <a:schemeClr val="dk1">
                    <a:tint val="98500"/>
                    <a:lumMod val="99000"/>
                    <a:satMod val="120000"/>
                    <a:shade val="78000"/>
                  </a:schemeClr>
                </a:gs>
              </a:gsLst>
              <a:lin ang="5400000" scaled="0"/>
            </a:gradFill>
            <a:ln>
              <a:noFill/>
            </a:ln>
            <a:effectLst/>
          </c:spPr>
          <c:invertIfNegative val="0"/>
          <c:cat>
            <c:strRef>
              <c:f>'Graphe Credoc charcuterie'!$H$4:$I$9</c:f>
              <c:strCache>
                <c:ptCount val="6"/>
                <c:pt idx="0">
                  <c:v>Total Charcuteries Hors Saucisserie</c:v>
                </c:pt>
                <c:pt idx="1">
                  <c:v>Jambon cru/sec saucisson secporc</c:v>
                </c:pt>
                <c:pt idx="2">
                  <c:v>Jambon cuit porc</c:v>
                </c:pt>
                <c:pt idx="3">
                  <c:v>Pâté, rillettes porc</c:v>
                </c:pt>
                <c:pt idx="4">
                  <c:v>Lardons</c:v>
                </c:pt>
                <c:pt idx="5">
                  <c:v>Charcuterie de Volaille </c:v>
                </c:pt>
              </c:strCache>
              <c:extLst/>
            </c:strRef>
          </c:cat>
          <c:val>
            <c:numRef>
              <c:f>'Graphe Credoc charcuterie'!$B$8</c:f>
              <c:numCache>
                <c:formatCode>General</c:formatCode>
                <c:ptCount val="1"/>
                <c:pt idx="0">
                  <c:v>0</c:v>
                </c:pt>
              </c:numCache>
              <c:extLst/>
            </c:numRef>
          </c:val>
          <c:extLst>
            <c:ext xmlns:c16="http://schemas.microsoft.com/office/drawing/2014/chart" uri="{C3380CC4-5D6E-409C-BE32-E72D297353CC}">
              <c16:uniqueId val="{00000006-EF61-46C9-9B2E-29C0D2FFD191}"/>
            </c:ext>
          </c:extLst>
        </c:ser>
        <c:dLbls>
          <c:showLegendKey val="0"/>
          <c:showVal val="0"/>
          <c:showCatName val="0"/>
          <c:showSerName val="0"/>
          <c:showPercent val="0"/>
          <c:showBubbleSize val="0"/>
        </c:dLbls>
        <c:gapWidth val="100"/>
        <c:overlap val="-24"/>
        <c:axId val="449039096"/>
        <c:axId val="449031552"/>
      </c:barChart>
      <c:catAx>
        <c:axId val="449039096"/>
        <c:scaling>
          <c:orientation val="minMax"/>
        </c:scaling>
        <c:delete val="0"/>
        <c:axPos val="b"/>
        <c:numFmt formatCode="General" sourceLinked="1"/>
        <c:majorTickMark val="none"/>
        <c:minorTickMark val="none"/>
        <c:tickLblPos val="low"/>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449031552"/>
        <c:crosses val="autoZero"/>
        <c:auto val="1"/>
        <c:lblAlgn val="ctr"/>
        <c:lblOffset val="0"/>
        <c:noMultiLvlLbl val="0"/>
      </c:catAx>
      <c:valAx>
        <c:axId val="449031552"/>
        <c:scaling>
          <c:orientation val="minMax"/>
          <c:max val="30"/>
        </c:scaling>
        <c:delete val="1"/>
        <c:axPos val="l"/>
        <c:numFmt formatCode="0" sourceLinked="0"/>
        <c:majorTickMark val="none"/>
        <c:minorTickMark val="none"/>
        <c:tickLblPos val="nextTo"/>
        <c:crossAx val="449039096"/>
        <c:crosses val="autoZero"/>
        <c:crossBetween val="between"/>
      </c:valAx>
      <c:spPr>
        <a:noFill/>
        <a:ln>
          <a:noFill/>
        </a:ln>
        <a:effectLst/>
      </c:spPr>
    </c:plotArea>
    <c:legend>
      <c:legendPos val="r"/>
      <c:legendEntry>
        <c:idx val="3"/>
        <c:delete val="1"/>
      </c:legendEntry>
      <c:layout>
        <c:manualLayout>
          <c:xMode val="edge"/>
          <c:yMode val="edge"/>
          <c:x val="0.8589815457283746"/>
          <c:y val="6.4054137360943758E-2"/>
          <c:w val="0.11852816598702101"/>
          <c:h val="0.30842790558653477"/>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fr-FR" sz="1000" b="0" i="0" baseline="0">
                <a:solidFill>
                  <a:schemeClr val="tx1"/>
                </a:solidFill>
                <a:effectLst/>
                <a:latin typeface="Arial" panose="020B0604020202020204" pitchFamily="34" charset="0"/>
                <a:cs typeface="Arial" panose="020B0604020202020204" pitchFamily="34" charset="0"/>
              </a:rPr>
              <a:t>a/ Enfants 3-17 ans </a:t>
            </a:r>
            <a:endParaRPr lang="fr-FR" sz="1000">
              <a:solidFill>
                <a:schemeClr val="tx1"/>
              </a:solidFill>
              <a:effectLst/>
              <a:latin typeface="Arial" panose="020B0604020202020204" pitchFamily="34" charset="0"/>
              <a:cs typeface="Arial" panose="020B0604020202020204" pitchFamily="34" charset="0"/>
            </a:endParaRPr>
          </a:p>
        </c:rich>
      </c:tx>
      <c:layout>
        <c:manualLayout>
          <c:xMode val="edge"/>
          <c:yMode val="edge"/>
          <c:x val="1.7903322060871293E-2"/>
          <c:y val="2.3703662010336517E-2"/>
        </c:manualLayout>
      </c:layout>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fr-FR"/>
        </a:p>
      </c:txPr>
    </c:title>
    <c:autoTitleDeleted val="0"/>
    <c:plotArea>
      <c:layout>
        <c:manualLayout>
          <c:layoutTarget val="inner"/>
          <c:xMode val="edge"/>
          <c:yMode val="edge"/>
          <c:x val="5.7036882723059271E-3"/>
          <c:y val="0.1219328628087943"/>
          <c:w val="0.9687000433877534"/>
          <c:h val="0.72444080818720735"/>
        </c:manualLayout>
      </c:layout>
      <c:barChart>
        <c:barDir val="col"/>
        <c:grouping val="clustered"/>
        <c:varyColors val="0"/>
        <c:ser>
          <c:idx val="0"/>
          <c:order val="0"/>
          <c:tx>
            <c:strRef>
              <c:f>'[1]Graphe Credoc saucisserie'!$C$2</c:f>
              <c:strCache>
                <c:ptCount val="1"/>
                <c:pt idx="0">
                  <c:v>2013</c:v>
                </c:pt>
              </c:strCache>
            </c:strRef>
          </c:tx>
          <c:spPr>
            <a:solidFill>
              <a:schemeClr val="accent3">
                <a:shade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'[1]Graphe Credoc saucisserie'!$B$3:$B$5</c:f>
              <c:strCache>
                <c:ptCount val="3"/>
                <c:pt idx="0">
                  <c:v>Total saucisserie porc</c:v>
                </c:pt>
                <c:pt idx="1">
                  <c:v>Saucisses gros hachage andouilles boudin</c:v>
                </c:pt>
                <c:pt idx="2">
                  <c:v>Chipolatas, chair à saucisse merguez</c:v>
                </c:pt>
              </c:strCache>
            </c:strRef>
          </c:cat>
          <c:val>
            <c:numRef>
              <c:f>'[1]Graphe Credoc saucisserie'!$C$3:$C$5</c:f>
              <c:numCache>
                <c:formatCode>0.0</c:formatCode>
                <c:ptCount val="3"/>
                <c:pt idx="0">
                  <c:v>11.7934302</c:v>
                </c:pt>
                <c:pt idx="1">
                  <c:v>8.1511332000000003</c:v>
                </c:pt>
                <c:pt idx="2">
                  <c:v>3.6422970000000001</c:v>
                </c:pt>
              </c:numCache>
            </c:numRef>
          </c:val>
          <c:extLst>
            <c:ext xmlns:c16="http://schemas.microsoft.com/office/drawing/2014/chart" uri="{C3380CC4-5D6E-409C-BE32-E72D297353CC}">
              <c16:uniqueId val="{00000000-CAFC-4A0A-9969-51B50BF62D29}"/>
            </c:ext>
          </c:extLst>
        </c:ser>
        <c:ser>
          <c:idx val="1"/>
          <c:order val="1"/>
          <c:tx>
            <c:strRef>
              <c:f>'[1]Graphe Credoc saucisserie'!$D$2</c:f>
              <c:strCache>
                <c:ptCount val="1"/>
                <c:pt idx="0">
                  <c:v>2016</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'[1]Graphe Credoc saucisserie'!$B$3:$B$5</c:f>
              <c:strCache>
                <c:ptCount val="3"/>
                <c:pt idx="0">
                  <c:v>Total saucisserie porc</c:v>
                </c:pt>
                <c:pt idx="1">
                  <c:v>Saucisses gros hachage andouilles boudin</c:v>
                </c:pt>
                <c:pt idx="2">
                  <c:v>Chipolatas, chair à saucisse merguez</c:v>
                </c:pt>
              </c:strCache>
            </c:strRef>
          </c:cat>
          <c:val>
            <c:numRef>
              <c:f>'[1]Graphe Credoc saucisserie'!$D$3:$D$5</c:f>
              <c:numCache>
                <c:formatCode>0.0</c:formatCode>
                <c:ptCount val="3"/>
                <c:pt idx="0">
                  <c:v>10.688632</c:v>
                </c:pt>
                <c:pt idx="1">
                  <c:v>8.0796360000000007</c:v>
                </c:pt>
                <c:pt idx="2">
                  <c:v>2.6089959999999999</c:v>
                </c:pt>
              </c:numCache>
            </c:numRef>
          </c:val>
          <c:extLst>
            <c:ext xmlns:c16="http://schemas.microsoft.com/office/drawing/2014/chart" uri="{C3380CC4-5D6E-409C-BE32-E72D297353CC}">
              <c16:uniqueId val="{00000001-CAFC-4A0A-9969-51B50BF62D29}"/>
            </c:ext>
          </c:extLst>
        </c:ser>
        <c:ser>
          <c:idx val="2"/>
          <c:order val="2"/>
          <c:tx>
            <c:strRef>
              <c:f>'[1]Graphe Credoc saucisserie'!$E$2</c:f>
              <c:strCache>
                <c:ptCount val="1"/>
                <c:pt idx="0">
                  <c:v>2019</c:v>
                </c:pt>
              </c:strCache>
            </c:strRef>
          </c:tx>
          <c:spPr>
            <a:solidFill>
              <a:schemeClr val="accent3">
                <a:tint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'[1]Graphe Credoc saucisserie'!$B$3:$B$5</c:f>
              <c:strCache>
                <c:ptCount val="3"/>
                <c:pt idx="0">
                  <c:v>Total saucisserie porc</c:v>
                </c:pt>
                <c:pt idx="1">
                  <c:v>Saucisses gros hachage andouilles boudin</c:v>
                </c:pt>
                <c:pt idx="2">
                  <c:v>Chipolatas, chair à saucisse merguez</c:v>
                </c:pt>
              </c:strCache>
            </c:strRef>
          </c:cat>
          <c:val>
            <c:numRef>
              <c:f>'[1]Graphe Credoc saucisserie'!$E$3:$E$5</c:f>
              <c:numCache>
                <c:formatCode>0.0</c:formatCode>
                <c:ptCount val="3"/>
                <c:pt idx="0">
                  <c:v>11.9859577</c:v>
                </c:pt>
                <c:pt idx="1">
                  <c:v>7.6560781000000002</c:v>
                </c:pt>
                <c:pt idx="2">
                  <c:v>4.3298795999999999</c:v>
                </c:pt>
              </c:numCache>
            </c:numRef>
          </c:val>
          <c:extLst>
            <c:ext xmlns:c16="http://schemas.microsoft.com/office/drawing/2014/chart" uri="{C3380CC4-5D6E-409C-BE32-E72D297353CC}">
              <c16:uniqueId val="{00000002-CAFC-4A0A-9969-51B50BF62D29}"/>
            </c:ext>
          </c:extLst>
        </c:ser>
        <c:dLbls>
          <c:showLegendKey val="0"/>
          <c:showVal val="0"/>
          <c:showCatName val="0"/>
          <c:showSerName val="0"/>
          <c:showPercent val="0"/>
          <c:showBubbleSize val="0"/>
        </c:dLbls>
        <c:gapWidth val="100"/>
        <c:overlap val="-27"/>
        <c:axId val="930874264"/>
        <c:axId val="930874920"/>
      </c:barChart>
      <c:catAx>
        <c:axId val="93087426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30874920"/>
        <c:crosses val="autoZero"/>
        <c:auto val="1"/>
        <c:lblAlgn val="ctr"/>
        <c:lblOffset val="100"/>
        <c:tickLblSkip val="1"/>
        <c:noMultiLvlLbl val="0"/>
      </c:catAx>
      <c:valAx>
        <c:axId val="930874920"/>
        <c:scaling>
          <c:orientation val="minMax"/>
        </c:scaling>
        <c:delete val="0"/>
        <c:axPos val="l"/>
        <c:numFmt formatCode="0.0"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solidFill>
                <a:latin typeface="+mn-lt"/>
                <a:ea typeface="+mn-ea"/>
                <a:cs typeface="+mn-cs"/>
              </a:defRPr>
            </a:pPr>
            <a:endParaRPr lang="fr-FR"/>
          </a:p>
        </c:txPr>
        <c:crossAx val="930874264"/>
        <c:crosses val="autoZero"/>
        <c:crossBetween val="between"/>
      </c:valAx>
      <c:spPr>
        <a:noFill/>
        <a:ln>
          <a:noFill/>
        </a:ln>
        <a:effectLst/>
      </c:spPr>
    </c:plotArea>
    <c:legend>
      <c:legendPos val="r"/>
      <c:layout>
        <c:manualLayout>
          <c:xMode val="edge"/>
          <c:yMode val="edge"/>
          <c:x val="0.86594004443234751"/>
          <c:y val="2.2798574759160688E-2"/>
          <c:w val="0.12810695236971181"/>
          <c:h val="0.30712255366419444"/>
        </c:manualLayout>
      </c:layout>
      <c:overlay val="0"/>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sz="1100">
                <a:solidFill>
                  <a:schemeClr val="tx1"/>
                </a:solidFill>
                <a:latin typeface="Arial" panose="020B0604020202020204" pitchFamily="34" charset="0"/>
                <a:cs typeface="Arial" panose="020B0604020202020204" pitchFamily="34" charset="0"/>
              </a:rPr>
              <a:t>b/</a:t>
            </a:r>
            <a:r>
              <a:rPr lang="fr-FR" sz="1100" baseline="0">
                <a:solidFill>
                  <a:schemeClr val="tx1"/>
                </a:solidFill>
                <a:latin typeface="Arial" panose="020B0604020202020204" pitchFamily="34" charset="0"/>
                <a:cs typeface="Arial" panose="020B0604020202020204" pitchFamily="34" charset="0"/>
              </a:rPr>
              <a:t> Adultes 18 à 79 ans </a:t>
            </a:r>
            <a:endParaRPr lang="fr-FR" sz="1100">
              <a:solidFill>
                <a:schemeClr val="tx1"/>
              </a:solidFill>
              <a:latin typeface="Arial" panose="020B0604020202020204" pitchFamily="34" charset="0"/>
              <a:cs typeface="Arial" panose="020B0604020202020204" pitchFamily="34" charset="0"/>
            </a:endParaRPr>
          </a:p>
        </c:rich>
      </c:tx>
      <c:layout>
        <c:manualLayout>
          <c:xMode val="edge"/>
          <c:yMode val="edge"/>
          <c:x val="1.8032329631434526E-2"/>
          <c:y val="3.9538714991762765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manualLayout>
          <c:layoutTarget val="inner"/>
          <c:xMode val="edge"/>
          <c:yMode val="edge"/>
          <c:x val="4.2752442996742669E-2"/>
          <c:y val="0.12948929159802305"/>
          <c:w val="0.95698995229423689"/>
          <c:h val="0.56779380381190669"/>
        </c:manualLayout>
      </c:layout>
      <c:barChart>
        <c:barDir val="col"/>
        <c:grouping val="clustered"/>
        <c:varyColors val="0"/>
        <c:ser>
          <c:idx val="0"/>
          <c:order val="0"/>
          <c:tx>
            <c:strRef>
              <c:f>'Graphe Credoc saucisserie'!$I$2</c:f>
              <c:strCache>
                <c:ptCount val="1"/>
                <c:pt idx="0">
                  <c:v>2013</c:v>
                </c:pt>
              </c:strCache>
            </c:strRef>
          </c:tx>
          <c:spPr>
            <a:solidFill>
              <a:schemeClr val="dk1">
                <a:tint val="885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Credoc saucisserie'!$H$3:$H$5</c:f>
              <c:strCache>
                <c:ptCount val="3"/>
                <c:pt idx="0">
                  <c:v>Total saucisserie porc</c:v>
                </c:pt>
                <c:pt idx="1">
                  <c:v>Saucisses gros hach. Andouil. boudin</c:v>
                </c:pt>
                <c:pt idx="2">
                  <c:v>Chipolatas, chair à saucisse merguez</c:v>
                </c:pt>
              </c:strCache>
            </c:strRef>
          </c:cat>
          <c:val>
            <c:numRef>
              <c:f>'Graphe Credoc saucisserie'!$I$3:$I$5</c:f>
              <c:numCache>
                <c:formatCode>0.0</c:formatCode>
                <c:ptCount val="3"/>
                <c:pt idx="0">
                  <c:v>14.4508806</c:v>
                </c:pt>
                <c:pt idx="1">
                  <c:v>11.006919099999999</c:v>
                </c:pt>
                <c:pt idx="2">
                  <c:v>3.4439614999999999</c:v>
                </c:pt>
              </c:numCache>
            </c:numRef>
          </c:val>
          <c:extLst>
            <c:ext xmlns:c16="http://schemas.microsoft.com/office/drawing/2014/chart" uri="{C3380CC4-5D6E-409C-BE32-E72D297353CC}">
              <c16:uniqueId val="{00000000-A201-4420-8415-08303DD57E84}"/>
            </c:ext>
          </c:extLst>
        </c:ser>
        <c:ser>
          <c:idx val="1"/>
          <c:order val="1"/>
          <c:tx>
            <c:strRef>
              <c:f>'Graphe Credoc saucisserie'!$J$2</c:f>
              <c:strCache>
                <c:ptCount val="1"/>
                <c:pt idx="0">
                  <c:v>2016</c:v>
                </c:pt>
              </c:strCache>
            </c:strRef>
          </c:tx>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Credoc saucisserie'!$H$3:$H$5</c:f>
              <c:strCache>
                <c:ptCount val="3"/>
                <c:pt idx="0">
                  <c:v>Total saucisserie porc</c:v>
                </c:pt>
                <c:pt idx="1">
                  <c:v>Saucisses gros hach. Andouil. boudin</c:v>
                </c:pt>
                <c:pt idx="2">
                  <c:v>Chipolatas, chair à saucisse merguez</c:v>
                </c:pt>
              </c:strCache>
            </c:strRef>
          </c:cat>
          <c:val>
            <c:numRef>
              <c:f>'Graphe Credoc saucisserie'!$J$3:$J$5</c:f>
              <c:numCache>
                <c:formatCode>0.0</c:formatCode>
                <c:ptCount val="3"/>
                <c:pt idx="0">
                  <c:v>13.5872545</c:v>
                </c:pt>
                <c:pt idx="1">
                  <c:v>11.3199004</c:v>
                </c:pt>
                <c:pt idx="2">
                  <c:v>2.2673542000000002</c:v>
                </c:pt>
              </c:numCache>
            </c:numRef>
          </c:val>
          <c:extLst>
            <c:ext xmlns:c16="http://schemas.microsoft.com/office/drawing/2014/chart" uri="{C3380CC4-5D6E-409C-BE32-E72D297353CC}">
              <c16:uniqueId val="{00000001-A201-4420-8415-08303DD57E84}"/>
            </c:ext>
          </c:extLst>
        </c:ser>
        <c:ser>
          <c:idx val="2"/>
          <c:order val="2"/>
          <c:tx>
            <c:strRef>
              <c:f>'Graphe Credoc saucisserie'!$K$2</c:f>
              <c:strCache>
                <c:ptCount val="1"/>
                <c:pt idx="0">
                  <c:v>2019</c:v>
                </c:pt>
              </c:strCache>
            </c:strRef>
          </c:tx>
          <c:spPr>
            <a:solidFill>
              <a:schemeClr val="bg1">
                <a:lumMod val="75000"/>
              </a:schemeClr>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'Graphe Credoc saucisserie'!$H$3:$H$5</c:f>
              <c:strCache>
                <c:ptCount val="3"/>
                <c:pt idx="0">
                  <c:v>Total saucisserie porc</c:v>
                </c:pt>
                <c:pt idx="1">
                  <c:v>Saucisses gros hach. Andouil. boudin</c:v>
                </c:pt>
                <c:pt idx="2">
                  <c:v>Chipolatas, chair à saucisse merguez</c:v>
                </c:pt>
              </c:strCache>
            </c:strRef>
          </c:cat>
          <c:val>
            <c:numRef>
              <c:f>'Graphe Credoc saucisserie'!$K$3:$K$5</c:f>
              <c:numCache>
                <c:formatCode>0.0</c:formatCode>
                <c:ptCount val="3"/>
                <c:pt idx="0">
                  <c:v>15.498700700000001</c:v>
                </c:pt>
                <c:pt idx="1">
                  <c:v>9.0114461000000006</c:v>
                </c:pt>
                <c:pt idx="2">
                  <c:v>6.4872547000000003</c:v>
                </c:pt>
              </c:numCache>
            </c:numRef>
          </c:val>
          <c:extLst>
            <c:ext xmlns:c16="http://schemas.microsoft.com/office/drawing/2014/chart" uri="{C3380CC4-5D6E-409C-BE32-E72D297353CC}">
              <c16:uniqueId val="{00000002-A201-4420-8415-08303DD57E84}"/>
            </c:ext>
          </c:extLst>
        </c:ser>
        <c:dLbls>
          <c:showLegendKey val="0"/>
          <c:showVal val="0"/>
          <c:showCatName val="0"/>
          <c:showSerName val="0"/>
          <c:showPercent val="0"/>
          <c:showBubbleSize val="0"/>
        </c:dLbls>
        <c:gapWidth val="100"/>
        <c:overlap val="-27"/>
        <c:axId val="930874264"/>
        <c:axId val="930874920"/>
      </c:barChart>
      <c:catAx>
        <c:axId val="9308742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30874920"/>
        <c:crosses val="autoZero"/>
        <c:auto val="1"/>
        <c:lblAlgn val="ctr"/>
        <c:lblOffset val="100"/>
        <c:noMultiLvlLbl val="0"/>
      </c:catAx>
      <c:valAx>
        <c:axId val="930874920"/>
        <c:scaling>
          <c:orientation val="minMax"/>
        </c:scaling>
        <c:delete val="1"/>
        <c:axPos val="l"/>
        <c:numFmt formatCode="0.0" sourceLinked="1"/>
        <c:majorTickMark val="none"/>
        <c:minorTickMark val="none"/>
        <c:tickLblPos val="nextTo"/>
        <c:crossAx val="93087426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2.3585837440613499E-2"/>
          <c:y val="2.0351607706097251E-2"/>
          <c:w val="0.9628948121373968"/>
          <c:h val="0.97964837570389152"/>
        </c:manualLayout>
      </c:layout>
      <c:barChart>
        <c:barDir val="bar"/>
        <c:grouping val="percentStacked"/>
        <c:varyColors val="0"/>
        <c:ser>
          <c:idx val="0"/>
          <c:order val="0"/>
          <c:tx>
            <c:strRef>
              <c:f>'Fragment '!$D$14</c:f>
              <c:strCache>
                <c:ptCount val="1"/>
                <c:pt idx="0">
                  <c:v>J. cru, saucisson</c:v>
                </c:pt>
              </c:strCache>
            </c:strRef>
          </c:tx>
          <c:spPr>
            <a:solidFill>
              <a:schemeClr val="accent3">
                <a:tint val="50000"/>
              </a:schemeClr>
            </a:solidFill>
            <a:ln w="19050">
              <a:solidFill>
                <a:schemeClr val="lt1"/>
              </a:solidFill>
            </a:ln>
            <a:effectLst/>
          </c:spPr>
          <c:invertIfNegative val="0"/>
          <c:dPt>
            <c:idx val="0"/>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1-A329-482C-926E-A4BD0542F206}"/>
              </c:ext>
            </c:extLst>
          </c:dPt>
          <c:dPt>
            <c:idx val="1"/>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3-A329-482C-926E-A4BD0542F206}"/>
              </c:ext>
            </c:extLst>
          </c:dPt>
          <c:dPt>
            <c:idx val="2"/>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5-A329-482C-926E-A4BD0542F206}"/>
              </c:ext>
            </c:extLst>
          </c:dPt>
          <c:dPt>
            <c:idx val="3"/>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7-A329-482C-926E-A4BD0542F206}"/>
              </c:ext>
            </c:extLst>
          </c:dPt>
          <c:dPt>
            <c:idx val="4"/>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9-A329-482C-926E-A4BD0542F206}"/>
              </c:ext>
            </c:extLst>
          </c:dPt>
          <c:dPt>
            <c:idx val="5"/>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B-A329-482C-926E-A4BD0542F206}"/>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'!$I$14</c:f>
              <c:numCache>
                <c:formatCode>0%</c:formatCode>
                <c:ptCount val="1"/>
                <c:pt idx="0">
                  <c:v>7.4724601689331663E-2</c:v>
                </c:pt>
              </c:numCache>
            </c:numRef>
          </c:val>
          <c:extLst>
            <c:ext xmlns:c16="http://schemas.microsoft.com/office/drawing/2014/chart" uri="{C3380CC4-5D6E-409C-BE32-E72D297353CC}">
              <c16:uniqueId val="{0000000C-A329-482C-926E-A4BD0542F206}"/>
            </c:ext>
          </c:extLst>
        </c:ser>
        <c:ser>
          <c:idx val="1"/>
          <c:order val="1"/>
          <c:tx>
            <c:strRef>
              <c:f>'Fragment '!$D$15</c:f>
              <c:strCache>
                <c:ptCount val="1"/>
                <c:pt idx="0">
                  <c:v>J. cuit</c:v>
                </c:pt>
              </c:strCache>
            </c:strRef>
          </c:tx>
          <c:spPr>
            <a:solidFill>
              <a:schemeClr val="accent3">
                <a:tint val="7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'!$I$15</c:f>
              <c:numCache>
                <c:formatCode>0%</c:formatCode>
                <c:ptCount val="1"/>
                <c:pt idx="0">
                  <c:v>0.59018751072891085</c:v>
                </c:pt>
              </c:numCache>
            </c:numRef>
          </c:val>
          <c:extLst>
            <c:ext xmlns:c16="http://schemas.microsoft.com/office/drawing/2014/chart" uri="{C3380CC4-5D6E-409C-BE32-E72D297353CC}">
              <c16:uniqueId val="{0000000D-A329-482C-926E-A4BD0542F206}"/>
            </c:ext>
          </c:extLst>
        </c:ser>
        <c:ser>
          <c:idx val="2"/>
          <c:order val="2"/>
          <c:tx>
            <c:strRef>
              <c:f>'Fragment '!$D$16</c:f>
              <c:strCache>
                <c:ptCount val="1"/>
                <c:pt idx="0">
                  <c:v>Pâtés, rillettes</c:v>
                </c:pt>
              </c:strCache>
            </c:strRef>
          </c:tx>
          <c:spPr>
            <a:solidFill>
              <a:schemeClr val="accent3">
                <a:tint val="90000"/>
              </a:schemeClr>
            </a:solidFill>
            <a:ln w="19050">
              <a:solidFill>
                <a:schemeClr val="lt1"/>
              </a:solidFill>
            </a:ln>
            <a:effectLst/>
          </c:spPr>
          <c:invertIfNegative val="0"/>
          <c:dLbls>
            <c:dLbl>
              <c:idx val="0"/>
              <c:layout>
                <c:manualLayout>
                  <c:x val="-4.1059330732908982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A329-482C-926E-A4BD0542F206}"/>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'!$I$16</c:f>
              <c:numCache>
                <c:formatCode>0%</c:formatCode>
                <c:ptCount val="1"/>
                <c:pt idx="0">
                  <c:v>3.5263475133707387E-3</c:v>
                </c:pt>
              </c:numCache>
            </c:numRef>
          </c:val>
          <c:extLst>
            <c:ext xmlns:c16="http://schemas.microsoft.com/office/drawing/2014/chart" uri="{C3380CC4-5D6E-409C-BE32-E72D297353CC}">
              <c16:uniqueId val="{0000000E-A329-482C-926E-A4BD0542F206}"/>
            </c:ext>
          </c:extLst>
        </c:ser>
        <c:ser>
          <c:idx val="3"/>
          <c:order val="3"/>
          <c:tx>
            <c:strRef>
              <c:f>'Fragment '!$D$17</c:f>
              <c:strCache>
                <c:ptCount val="1"/>
                <c:pt idx="0">
                  <c:v>Lardons</c:v>
                </c:pt>
              </c:strCache>
            </c:strRef>
          </c:tx>
          <c:spPr>
            <a:solidFill>
              <a:schemeClr val="accent3">
                <a:shade val="9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'!$I$17</c:f>
              <c:numCache>
                <c:formatCode>0%</c:formatCode>
                <c:ptCount val="1"/>
                <c:pt idx="0">
                  <c:v>0.14924236196291618</c:v>
                </c:pt>
              </c:numCache>
            </c:numRef>
          </c:val>
          <c:extLst>
            <c:ext xmlns:c16="http://schemas.microsoft.com/office/drawing/2014/chart" uri="{C3380CC4-5D6E-409C-BE32-E72D297353CC}">
              <c16:uniqueId val="{0000000F-A329-482C-926E-A4BD0542F206}"/>
            </c:ext>
          </c:extLst>
        </c:ser>
        <c:ser>
          <c:idx val="4"/>
          <c:order val="4"/>
          <c:tx>
            <c:strRef>
              <c:f>'Fragment '!$D$18</c:f>
              <c:strCache>
                <c:ptCount val="1"/>
                <c:pt idx="0">
                  <c:v>Sauc, andouille</c:v>
                </c:pt>
              </c:strCache>
            </c:strRef>
          </c:tx>
          <c:spPr>
            <a:solidFill>
              <a:schemeClr val="accent3">
                <a:shade val="7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'!$I$18</c:f>
              <c:numCache>
                <c:formatCode>0%</c:formatCode>
                <c:ptCount val="1"/>
                <c:pt idx="0">
                  <c:v>0.12918736860745897</c:v>
                </c:pt>
              </c:numCache>
            </c:numRef>
          </c:val>
          <c:extLst>
            <c:ext xmlns:c16="http://schemas.microsoft.com/office/drawing/2014/chart" uri="{C3380CC4-5D6E-409C-BE32-E72D297353CC}">
              <c16:uniqueId val="{00000010-A329-482C-926E-A4BD0542F206}"/>
            </c:ext>
          </c:extLst>
        </c:ser>
        <c:ser>
          <c:idx val="5"/>
          <c:order val="5"/>
          <c:tx>
            <c:strRef>
              <c:f>'Fragment '!$D$19</c:f>
              <c:strCache>
                <c:ptCount val="1"/>
                <c:pt idx="0">
                  <c:v>Chipolatas, chair à saucisses</c:v>
                </c:pt>
              </c:strCache>
            </c:strRef>
          </c:tx>
          <c:spPr>
            <a:solidFill>
              <a:schemeClr val="accent3">
                <a:shade val="5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'!$I$19</c:f>
              <c:numCache>
                <c:formatCode>0%</c:formatCode>
                <c:ptCount val="1"/>
                <c:pt idx="0">
                  <c:v>5.3131822889272463E-2</c:v>
                </c:pt>
              </c:numCache>
            </c:numRef>
          </c:val>
          <c:extLst>
            <c:ext xmlns:c16="http://schemas.microsoft.com/office/drawing/2014/chart" uri="{C3380CC4-5D6E-409C-BE32-E72D297353CC}">
              <c16:uniqueId val="{00000011-A329-482C-926E-A4BD0542F206}"/>
            </c:ext>
          </c:extLst>
        </c:ser>
        <c:dLbls>
          <c:showLegendKey val="0"/>
          <c:showVal val="0"/>
          <c:showCatName val="0"/>
          <c:showSerName val="0"/>
          <c:showPercent val="0"/>
          <c:showBubbleSize val="0"/>
        </c:dLbls>
        <c:gapWidth val="100"/>
        <c:overlap val="100"/>
        <c:axId val="1332366192"/>
        <c:axId val="1332361928"/>
      </c:barChart>
      <c:valAx>
        <c:axId val="1332361928"/>
        <c:scaling>
          <c:orientation val="minMax"/>
        </c:scaling>
        <c:delete val="1"/>
        <c:axPos val="b"/>
        <c:numFmt formatCode="0%" sourceLinked="1"/>
        <c:majorTickMark val="out"/>
        <c:minorTickMark val="none"/>
        <c:tickLblPos val="nextTo"/>
        <c:crossAx val="1332366192"/>
        <c:crosses val="autoZero"/>
        <c:crossBetween val="between"/>
      </c:valAx>
      <c:catAx>
        <c:axId val="1332366192"/>
        <c:scaling>
          <c:orientation val="minMax"/>
        </c:scaling>
        <c:delete val="1"/>
        <c:axPos val="l"/>
        <c:majorTickMark val="out"/>
        <c:minorTickMark val="none"/>
        <c:tickLblPos val="nextTo"/>
        <c:crossAx val="1332361928"/>
        <c:crosses val="autoZero"/>
        <c:auto val="1"/>
        <c:lblAlgn val="ctr"/>
        <c:lblOffset val="100"/>
        <c:noMultiLvlLbl val="0"/>
      </c:cat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3.0038972401177127E-2"/>
          <c:y val="0"/>
          <c:w val="0.95757717591802571"/>
          <c:h val="0.84914242713033738"/>
        </c:manualLayout>
      </c:layout>
      <c:barChart>
        <c:barDir val="bar"/>
        <c:grouping val="percentStacked"/>
        <c:varyColors val="0"/>
        <c:ser>
          <c:idx val="0"/>
          <c:order val="0"/>
          <c:tx>
            <c:strRef>
              <c:f>'Fragment '!$D$21</c:f>
              <c:strCache>
                <c:ptCount val="1"/>
                <c:pt idx="0">
                  <c:v>J. cru, saucisson</c:v>
                </c:pt>
              </c:strCache>
            </c:strRef>
          </c:tx>
          <c:spPr>
            <a:solidFill>
              <a:schemeClr val="accent3">
                <a:tint val="50000"/>
              </a:schemeClr>
            </a:solidFill>
            <a:ln w="19050">
              <a:solidFill>
                <a:schemeClr val="lt1"/>
              </a:solidFill>
            </a:ln>
            <a:effectLst/>
          </c:spPr>
          <c:invertIfNegative val="0"/>
          <c:dPt>
            <c:idx val="0"/>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1-EC6A-4411-8B15-7DAECBE7F2C2}"/>
              </c:ext>
            </c:extLst>
          </c:dPt>
          <c:dPt>
            <c:idx val="5"/>
            <c:invertIfNegative val="0"/>
            <c:bubble3D val="0"/>
            <c:spPr>
              <a:solidFill>
                <a:schemeClr val="accent3">
                  <a:tint val="50000"/>
                </a:schemeClr>
              </a:solidFill>
              <a:ln w="19050">
                <a:solidFill>
                  <a:schemeClr val="lt1"/>
                </a:solidFill>
              </a:ln>
              <a:effectLst/>
            </c:spPr>
            <c:extLst>
              <c:ext xmlns:c16="http://schemas.microsoft.com/office/drawing/2014/chart" uri="{C3380CC4-5D6E-409C-BE32-E72D297353CC}">
                <c16:uniqueId val="{00000003-EC6A-4411-8B15-7DAECBE7F2C2}"/>
              </c:ext>
            </c:extLst>
          </c:dPt>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'!$I$21</c:f>
              <c:numCache>
                <c:formatCode>0%</c:formatCode>
                <c:ptCount val="1"/>
                <c:pt idx="0">
                  <c:v>9.6439760894099599E-2</c:v>
                </c:pt>
              </c:numCache>
            </c:numRef>
          </c:val>
          <c:extLst>
            <c:ext xmlns:c16="http://schemas.microsoft.com/office/drawing/2014/chart" uri="{C3380CC4-5D6E-409C-BE32-E72D297353CC}">
              <c16:uniqueId val="{00000004-EC6A-4411-8B15-7DAECBE7F2C2}"/>
            </c:ext>
          </c:extLst>
        </c:ser>
        <c:ser>
          <c:idx val="1"/>
          <c:order val="1"/>
          <c:tx>
            <c:strRef>
              <c:f>'Fragment '!$D$22</c:f>
              <c:strCache>
                <c:ptCount val="1"/>
                <c:pt idx="0">
                  <c:v>J. cuit</c:v>
                </c:pt>
              </c:strCache>
            </c:strRef>
          </c:tx>
          <c:spPr>
            <a:solidFill>
              <a:schemeClr val="accent3">
                <a:tint val="7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'!$I$22</c:f>
              <c:numCache>
                <c:formatCode>0%</c:formatCode>
                <c:ptCount val="1"/>
                <c:pt idx="0">
                  <c:v>0.50039090870564651</c:v>
                </c:pt>
              </c:numCache>
            </c:numRef>
          </c:val>
          <c:extLst>
            <c:ext xmlns:c16="http://schemas.microsoft.com/office/drawing/2014/chart" uri="{C3380CC4-5D6E-409C-BE32-E72D297353CC}">
              <c16:uniqueId val="{00000005-EC6A-4411-8B15-7DAECBE7F2C2}"/>
            </c:ext>
          </c:extLst>
        </c:ser>
        <c:ser>
          <c:idx val="2"/>
          <c:order val="2"/>
          <c:tx>
            <c:strRef>
              <c:f>'Fragment '!$D$23</c:f>
              <c:strCache>
                <c:ptCount val="1"/>
                <c:pt idx="0">
                  <c:v>Pâtés, rillettes</c:v>
                </c:pt>
              </c:strCache>
            </c:strRef>
          </c:tx>
          <c:spPr>
            <a:solidFill>
              <a:schemeClr val="accent3">
                <a:tint val="9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'!$I$23</c:f>
              <c:numCache>
                <c:formatCode>0%</c:formatCode>
                <c:ptCount val="1"/>
                <c:pt idx="0">
                  <c:v>9.0619433850907972E-3</c:v>
                </c:pt>
              </c:numCache>
            </c:numRef>
          </c:val>
          <c:extLst>
            <c:ext xmlns:c16="http://schemas.microsoft.com/office/drawing/2014/chart" uri="{C3380CC4-5D6E-409C-BE32-E72D297353CC}">
              <c16:uniqueId val="{00000006-EC6A-4411-8B15-7DAECBE7F2C2}"/>
            </c:ext>
          </c:extLst>
        </c:ser>
        <c:ser>
          <c:idx val="3"/>
          <c:order val="3"/>
          <c:tx>
            <c:strRef>
              <c:f>'Fragment '!$D$24</c:f>
              <c:strCache>
                <c:ptCount val="1"/>
                <c:pt idx="0">
                  <c:v>Lardons</c:v>
                </c:pt>
              </c:strCache>
            </c:strRef>
          </c:tx>
          <c:spPr>
            <a:solidFill>
              <a:schemeClr val="accent3">
                <a:shade val="9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'!$I$24</c:f>
              <c:numCache>
                <c:formatCode>0%</c:formatCode>
                <c:ptCount val="1"/>
                <c:pt idx="0">
                  <c:v>0.15198999915151701</c:v>
                </c:pt>
              </c:numCache>
            </c:numRef>
          </c:val>
          <c:extLst>
            <c:ext xmlns:c16="http://schemas.microsoft.com/office/drawing/2014/chart" uri="{C3380CC4-5D6E-409C-BE32-E72D297353CC}">
              <c16:uniqueId val="{00000007-EC6A-4411-8B15-7DAECBE7F2C2}"/>
            </c:ext>
          </c:extLst>
        </c:ser>
        <c:ser>
          <c:idx val="4"/>
          <c:order val="4"/>
          <c:tx>
            <c:strRef>
              <c:f>'Fragment '!$D$25</c:f>
              <c:strCache>
                <c:ptCount val="1"/>
                <c:pt idx="0">
                  <c:v>Sauc, andouille</c:v>
                </c:pt>
              </c:strCache>
            </c:strRef>
          </c:tx>
          <c:spPr>
            <a:solidFill>
              <a:schemeClr val="accent3">
                <a:shade val="7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'!$I$25</c:f>
              <c:numCache>
                <c:formatCode>0%</c:formatCode>
                <c:ptCount val="1"/>
                <c:pt idx="0">
                  <c:v>0.18300685747822287</c:v>
                </c:pt>
              </c:numCache>
            </c:numRef>
          </c:val>
          <c:extLst>
            <c:ext xmlns:c16="http://schemas.microsoft.com/office/drawing/2014/chart" uri="{C3380CC4-5D6E-409C-BE32-E72D297353CC}">
              <c16:uniqueId val="{00000008-EC6A-4411-8B15-7DAECBE7F2C2}"/>
            </c:ext>
          </c:extLst>
        </c:ser>
        <c:ser>
          <c:idx val="5"/>
          <c:order val="5"/>
          <c:tx>
            <c:strRef>
              <c:f>'Fragment '!$D$26</c:f>
              <c:strCache>
                <c:ptCount val="1"/>
                <c:pt idx="0">
                  <c:v>Chipolatas, chair à saucisses</c:v>
                </c:pt>
              </c:strCache>
            </c:strRef>
          </c:tx>
          <c:spPr>
            <a:solidFill>
              <a:schemeClr val="accent3">
                <a:shade val="50000"/>
              </a:schemeClr>
            </a:solidFill>
            <a:ln w="19050">
              <a:solidFill>
                <a:schemeClr val="lt1"/>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'Fragment '!$I$26</c:f>
              <c:numCache>
                <c:formatCode>0%</c:formatCode>
                <c:ptCount val="1"/>
                <c:pt idx="0">
                  <c:v>5.9110543317644086E-2</c:v>
                </c:pt>
              </c:numCache>
            </c:numRef>
          </c:val>
          <c:extLst>
            <c:ext xmlns:c16="http://schemas.microsoft.com/office/drawing/2014/chart" uri="{C3380CC4-5D6E-409C-BE32-E72D297353CC}">
              <c16:uniqueId val="{00000009-EC6A-4411-8B15-7DAECBE7F2C2}"/>
            </c:ext>
          </c:extLst>
        </c:ser>
        <c:dLbls>
          <c:showLegendKey val="0"/>
          <c:showVal val="0"/>
          <c:showCatName val="0"/>
          <c:showSerName val="0"/>
          <c:showPercent val="0"/>
          <c:showBubbleSize val="0"/>
        </c:dLbls>
        <c:gapWidth val="100"/>
        <c:overlap val="100"/>
        <c:axId val="1332366192"/>
        <c:axId val="1332361928"/>
      </c:barChart>
      <c:valAx>
        <c:axId val="1332361928"/>
        <c:scaling>
          <c:orientation val="minMax"/>
        </c:scaling>
        <c:delete val="1"/>
        <c:axPos val="b"/>
        <c:numFmt formatCode="0%" sourceLinked="1"/>
        <c:majorTickMark val="out"/>
        <c:minorTickMark val="none"/>
        <c:tickLblPos val="nextTo"/>
        <c:crossAx val="1332366192"/>
        <c:crosses val="autoZero"/>
        <c:crossBetween val="between"/>
      </c:valAx>
      <c:catAx>
        <c:axId val="1332366192"/>
        <c:scaling>
          <c:orientation val="minMax"/>
        </c:scaling>
        <c:delete val="1"/>
        <c:axPos val="l"/>
        <c:majorTickMark val="out"/>
        <c:minorTickMark val="none"/>
        <c:tickLblPos val="nextTo"/>
        <c:crossAx val="1332361928"/>
        <c:crosses val="autoZero"/>
        <c:auto val="1"/>
        <c:lblAlgn val="ctr"/>
        <c:lblOffset val="100"/>
        <c:noMultiLvlLbl val="0"/>
      </c:catAx>
      <c:spPr>
        <a:noFill/>
        <a:ln>
          <a:noFill/>
        </a:ln>
        <a:effectLst/>
      </c:spPr>
    </c:plotArea>
    <c:legend>
      <c:legendPos val="r"/>
      <c:layout>
        <c:manualLayout>
          <c:xMode val="edge"/>
          <c:yMode val="edge"/>
          <c:x val="3.5560779425844305E-2"/>
          <c:y val="0.59259022161525199"/>
          <c:w val="0.95213657550546593"/>
          <c:h val="0.40740986902273768"/>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2.5970959745012394E-2"/>
          <c:y val="0.1001888390404688"/>
          <c:w val="0.94407383158919289"/>
          <c:h val="0.77343854910578036"/>
        </c:manualLayout>
      </c:layout>
      <c:barChart>
        <c:barDir val="col"/>
        <c:grouping val="stacked"/>
        <c:varyColors val="0"/>
        <c:ser>
          <c:idx val="0"/>
          <c:order val="0"/>
          <c:tx>
            <c:strRef>
              <c:f>'Grap Credoc 2019'!$R$1</c:f>
              <c:strCache>
                <c:ptCount val="1"/>
                <c:pt idx="0">
                  <c:v>A domicile</c:v>
                </c:pt>
              </c:strCache>
            </c:strRef>
          </c:tx>
          <c:spPr>
            <a:solidFill>
              <a:schemeClr val="accent3">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 Credoc 2019'!$O$2:$O$5</c:f>
              <c:strCache>
                <c:ptCount val="3"/>
                <c:pt idx="0">
                  <c:v>Viande de porc</c:v>
                </c:pt>
                <c:pt idx="1">
                  <c:v>Saucisserie </c:v>
                </c:pt>
                <c:pt idx="2">
                  <c:v>Charcuterie </c:v>
                </c:pt>
              </c:strCache>
            </c:strRef>
          </c:cat>
          <c:val>
            <c:numRef>
              <c:f>'Grap Credoc 2019'!$R$2:$R$5</c:f>
              <c:numCache>
                <c:formatCode>0%</c:formatCode>
                <c:ptCount val="3"/>
                <c:pt idx="0">
                  <c:v>0.75715583413145615</c:v>
                </c:pt>
                <c:pt idx="1">
                  <c:v>0.87417167745457036</c:v>
                </c:pt>
                <c:pt idx="2">
                  <c:v>0.8723920956406378</c:v>
                </c:pt>
              </c:numCache>
            </c:numRef>
          </c:val>
          <c:extLst>
            <c:ext xmlns:c16="http://schemas.microsoft.com/office/drawing/2014/chart" uri="{C3380CC4-5D6E-409C-BE32-E72D297353CC}">
              <c16:uniqueId val="{00000000-C4E8-488B-91A6-7EA9E7E1FCEF}"/>
            </c:ext>
          </c:extLst>
        </c:ser>
        <c:ser>
          <c:idx val="1"/>
          <c:order val="1"/>
          <c:tx>
            <c:strRef>
              <c:f>'Grap Credoc 2019'!$S$1</c:f>
              <c:strCache>
                <c:ptCount val="1"/>
                <c:pt idx="0">
                  <c:v>Hors domicile</c:v>
                </c:pt>
              </c:strCache>
            </c:strRef>
          </c:tx>
          <c:spPr>
            <a:solidFill>
              <a:schemeClr val="accent3">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 Credoc 2019'!$O$2:$O$5</c:f>
              <c:strCache>
                <c:ptCount val="3"/>
                <c:pt idx="0">
                  <c:v>Viande de porc</c:v>
                </c:pt>
                <c:pt idx="1">
                  <c:v>Saucisserie </c:v>
                </c:pt>
                <c:pt idx="2">
                  <c:v>Charcuterie </c:v>
                </c:pt>
              </c:strCache>
            </c:strRef>
          </c:cat>
          <c:val>
            <c:numRef>
              <c:f>'Grap Credoc 2019'!$S$2:$S$5</c:f>
              <c:numCache>
                <c:formatCode>0%</c:formatCode>
                <c:ptCount val="3"/>
                <c:pt idx="0">
                  <c:v>0.24284416586854385</c:v>
                </c:pt>
                <c:pt idx="1">
                  <c:v>0.12582832254542964</c:v>
                </c:pt>
                <c:pt idx="2">
                  <c:v>0.1276079043593622</c:v>
                </c:pt>
              </c:numCache>
            </c:numRef>
          </c:val>
          <c:extLst>
            <c:ext xmlns:c16="http://schemas.microsoft.com/office/drawing/2014/chart" uri="{C3380CC4-5D6E-409C-BE32-E72D297353CC}">
              <c16:uniqueId val="{00000001-C4E8-488B-91A6-7EA9E7E1FCEF}"/>
            </c:ext>
          </c:extLst>
        </c:ser>
        <c:dLbls>
          <c:showLegendKey val="0"/>
          <c:showVal val="0"/>
          <c:showCatName val="0"/>
          <c:showSerName val="0"/>
          <c:showPercent val="0"/>
          <c:showBubbleSize val="0"/>
        </c:dLbls>
        <c:gapWidth val="100"/>
        <c:overlap val="100"/>
        <c:axId val="930999232"/>
        <c:axId val="930995952"/>
      </c:barChart>
      <c:catAx>
        <c:axId val="93099923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30995952"/>
        <c:crosses val="autoZero"/>
        <c:auto val="1"/>
        <c:lblAlgn val="ctr"/>
        <c:lblOffset val="100"/>
        <c:noMultiLvlLbl val="0"/>
      </c:catAx>
      <c:valAx>
        <c:axId val="930995952"/>
        <c:scaling>
          <c:orientation val="minMax"/>
        </c:scaling>
        <c:delete val="1"/>
        <c:axPos val="l"/>
        <c:numFmt formatCode="0%" sourceLinked="1"/>
        <c:majorTickMark val="out"/>
        <c:minorTickMark val="none"/>
        <c:tickLblPos val="nextTo"/>
        <c:crossAx val="930999232"/>
        <c:crosses val="autoZero"/>
        <c:crossBetween val="between"/>
      </c:valAx>
      <c:spPr>
        <a:noFill/>
        <a:ln>
          <a:noFill/>
        </a:ln>
        <a:effectLst/>
      </c:spPr>
    </c:plotArea>
    <c:legend>
      <c:legendPos val="r"/>
      <c:layout>
        <c:manualLayout>
          <c:xMode val="edge"/>
          <c:yMode val="edge"/>
          <c:x val="0.38321073583009774"/>
          <c:y val="3.5441598681031283E-3"/>
          <c:w val="0.50156244045223308"/>
          <c:h val="0.13969778123664775"/>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manualLayout>
          <c:layoutTarget val="inner"/>
          <c:xMode val="edge"/>
          <c:yMode val="edge"/>
          <c:x val="2.5970959745012394E-2"/>
          <c:y val="0.14684287812041116"/>
          <c:w val="0.9480580805099752"/>
          <c:h val="0.57016476464670995"/>
        </c:manualLayout>
      </c:layout>
      <c:barChart>
        <c:barDir val="col"/>
        <c:grouping val="stacked"/>
        <c:varyColors val="0"/>
        <c:ser>
          <c:idx val="0"/>
          <c:order val="0"/>
          <c:tx>
            <c:strRef>
              <c:f>'Grap Credoc 2019'!$Y$1</c:f>
              <c:strCache>
                <c:ptCount val="1"/>
                <c:pt idx="0">
                  <c:v>A domicile</c:v>
                </c:pt>
              </c:strCache>
            </c:strRef>
          </c:tx>
          <c:spPr>
            <a:solidFill>
              <a:schemeClr val="accent3">
                <a:shade val="7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 Credoc 2019'!$V$2:$V$5</c:f>
              <c:strCache>
                <c:ptCount val="3"/>
                <c:pt idx="0">
                  <c:v>Viande de porc</c:v>
                </c:pt>
                <c:pt idx="1">
                  <c:v>Saucisserie </c:v>
                </c:pt>
                <c:pt idx="2">
                  <c:v>Charcuterie </c:v>
                </c:pt>
              </c:strCache>
            </c:strRef>
          </c:cat>
          <c:val>
            <c:numRef>
              <c:f>'Grap Credoc 2019'!$Y$2:$Y$5</c:f>
              <c:numCache>
                <c:formatCode>0%</c:formatCode>
                <c:ptCount val="3"/>
                <c:pt idx="0">
                  <c:v>0.87617072416778641</c:v>
                </c:pt>
                <c:pt idx="1">
                  <c:v>0.82329372591682692</c:v>
                </c:pt>
                <c:pt idx="2">
                  <c:v>0.8686186574705731</c:v>
                </c:pt>
              </c:numCache>
            </c:numRef>
          </c:val>
          <c:extLst>
            <c:ext xmlns:c16="http://schemas.microsoft.com/office/drawing/2014/chart" uri="{C3380CC4-5D6E-409C-BE32-E72D297353CC}">
              <c16:uniqueId val="{00000000-58E8-42F9-B233-5D7689C2E4AC}"/>
            </c:ext>
          </c:extLst>
        </c:ser>
        <c:ser>
          <c:idx val="1"/>
          <c:order val="1"/>
          <c:tx>
            <c:strRef>
              <c:f>'Grap Credoc 2019'!$Z$1</c:f>
              <c:strCache>
                <c:ptCount val="1"/>
                <c:pt idx="0">
                  <c:v>Hors domicile</c:v>
                </c:pt>
              </c:strCache>
            </c:strRef>
          </c:tx>
          <c:spPr>
            <a:solidFill>
              <a:schemeClr val="accent3">
                <a:tint val="77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'Grap Credoc 2019'!$V$2:$V$5</c:f>
              <c:strCache>
                <c:ptCount val="3"/>
                <c:pt idx="0">
                  <c:v>Viande de porc</c:v>
                </c:pt>
                <c:pt idx="1">
                  <c:v>Saucisserie </c:v>
                </c:pt>
                <c:pt idx="2">
                  <c:v>Charcuterie </c:v>
                </c:pt>
              </c:strCache>
            </c:strRef>
          </c:cat>
          <c:val>
            <c:numRef>
              <c:f>'Grap Credoc 2019'!$Z$2:$Z$5</c:f>
              <c:numCache>
                <c:formatCode>0%</c:formatCode>
                <c:ptCount val="3"/>
                <c:pt idx="0">
                  <c:v>0.12382927583221359</c:v>
                </c:pt>
                <c:pt idx="1">
                  <c:v>0.17670627408317308</c:v>
                </c:pt>
                <c:pt idx="2">
                  <c:v>0.1313813425294269</c:v>
                </c:pt>
              </c:numCache>
            </c:numRef>
          </c:val>
          <c:extLst>
            <c:ext xmlns:c16="http://schemas.microsoft.com/office/drawing/2014/chart" uri="{C3380CC4-5D6E-409C-BE32-E72D297353CC}">
              <c16:uniqueId val="{00000001-58E8-42F9-B233-5D7689C2E4AC}"/>
            </c:ext>
          </c:extLst>
        </c:ser>
        <c:dLbls>
          <c:showLegendKey val="0"/>
          <c:showVal val="0"/>
          <c:showCatName val="0"/>
          <c:showSerName val="0"/>
          <c:showPercent val="0"/>
          <c:showBubbleSize val="0"/>
        </c:dLbls>
        <c:gapWidth val="100"/>
        <c:overlap val="100"/>
        <c:axId val="998988672"/>
        <c:axId val="998992280"/>
      </c:barChart>
      <c:catAx>
        <c:axId val="99898867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98992280"/>
        <c:crosses val="autoZero"/>
        <c:auto val="1"/>
        <c:lblAlgn val="ctr"/>
        <c:lblOffset val="100"/>
        <c:noMultiLvlLbl val="0"/>
      </c:catAx>
      <c:valAx>
        <c:axId val="998992280"/>
        <c:scaling>
          <c:orientation val="minMax"/>
          <c:max val="1"/>
          <c:min val="0"/>
        </c:scaling>
        <c:delete val="1"/>
        <c:axPos val="l"/>
        <c:numFmt formatCode="0%" sourceLinked="1"/>
        <c:majorTickMark val="out"/>
        <c:minorTickMark val="none"/>
        <c:tickLblPos val="nextTo"/>
        <c:crossAx val="998988672"/>
        <c:crosses val="autoZero"/>
        <c:crossBetween val="between"/>
        <c:majorUnit val="0.2"/>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userShapes r:id="rId4"/>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1.036716949163673E-2"/>
          <c:y val="8.8611742324155845E-3"/>
          <c:w val="0.98133028617461182"/>
          <c:h val="0.63805662767990445"/>
        </c:manualLayout>
      </c:layout>
      <c:barChart>
        <c:barDir val="col"/>
        <c:grouping val="clustered"/>
        <c:varyColors val="0"/>
        <c:ser>
          <c:idx val="0"/>
          <c:order val="0"/>
          <c:tx>
            <c:strRef>
              <c:f>'Vol présentation'!$D$9</c:f>
              <c:strCache>
                <c:ptCount val="1"/>
                <c:pt idx="0">
                  <c:v>2015/2014</c:v>
                </c:pt>
              </c:strCache>
            </c:strRef>
          </c:tx>
          <c:spPr>
            <a:solidFill>
              <a:sysClr val="window" lastClr="FFFFFF">
                <a:lumMod val="65000"/>
              </a:sysClr>
            </a:solidFill>
            <a:ln>
              <a:solidFill>
                <a:sysClr val="window" lastClr="FFFFFF">
                  <a:lumMod val="65000"/>
                </a:sysClr>
              </a:solidFill>
            </a:ln>
            <a:effectLst/>
          </c:spPr>
          <c:invertIfNegative val="0"/>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01-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03-40D0-4E0B-BA83-0804DD778BA8}"/>
              </c:ext>
            </c:extLst>
          </c:dPt>
          <c:dLbls>
            <c:dLbl>
              <c:idx val="0"/>
              <c:layout>
                <c:manualLayout>
                  <c:x val="-6.91144739767226E-3"/>
                  <c:y val="-5.03576583292359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0D0-4E0B-BA83-0804DD778BA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présentation'!$D$10:$D$14</c:f>
              <c:numCache>
                <c:formatCode>0%</c:formatCode>
                <c:ptCount val="3"/>
                <c:pt idx="0" formatCode="0.0%">
                  <c:v>-8.9236905011179212E-3</c:v>
                </c:pt>
                <c:pt idx="1">
                  <c:v>-1.8585273276510685E-2</c:v>
                </c:pt>
                <c:pt idx="2">
                  <c:v>-4.157093917863771E-2</c:v>
                </c:pt>
              </c:numCache>
            </c:numRef>
          </c:val>
          <c:extLst>
            <c:ext xmlns:c16="http://schemas.microsoft.com/office/drawing/2014/chart" uri="{C3380CC4-5D6E-409C-BE32-E72D297353CC}">
              <c16:uniqueId val="{00000005-40D0-4E0B-BA83-0804DD778BA8}"/>
            </c:ext>
          </c:extLst>
        </c:ser>
        <c:ser>
          <c:idx val="1"/>
          <c:order val="1"/>
          <c:tx>
            <c:strRef>
              <c:f>'Vol présentation'!$E$9</c:f>
              <c:strCache>
                <c:ptCount val="1"/>
                <c:pt idx="0">
                  <c:v>2016/2015</c:v>
                </c:pt>
              </c:strCache>
            </c:strRef>
          </c:tx>
          <c:spPr>
            <a:solidFill>
              <a:schemeClr val="accent2"/>
            </a:solidFill>
            <a:ln>
              <a:noFill/>
            </a:ln>
            <a:effectLst/>
          </c:spPr>
          <c:invertIfNegative val="0"/>
          <c:dPt>
            <c:idx val="0"/>
            <c:invertIfNegative val="0"/>
            <c:bubble3D val="0"/>
            <c:spPr>
              <a:solidFill>
                <a:sysClr val="window" lastClr="FFFFFF">
                  <a:lumMod val="65000"/>
                </a:sysClr>
              </a:solidFill>
              <a:ln>
                <a:solidFill>
                  <a:sysClr val="window" lastClr="FFFFFF">
                    <a:lumMod val="75000"/>
                  </a:sysClr>
                </a:solidFill>
              </a:ln>
              <a:effectLst/>
            </c:spPr>
            <c:extLst>
              <c:ext xmlns:c16="http://schemas.microsoft.com/office/drawing/2014/chart" uri="{C3380CC4-5D6E-409C-BE32-E72D297353CC}">
                <c16:uniqueId val="{00000007-40D0-4E0B-BA83-0804DD778BA8}"/>
              </c:ext>
            </c:extLst>
          </c:dPt>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09-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0B-40D0-4E0B-BA83-0804DD778BA8}"/>
              </c:ext>
            </c:extLst>
          </c:dPt>
          <c:dLbls>
            <c:dLbl>
              <c:idx val="0"/>
              <c:layout>
                <c:manualLayout>
                  <c:x val="0"/>
                  <c:y val="-8.69814098414076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0D0-4E0B-BA83-0804DD778BA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présentation'!$E$10:$E$14</c:f>
              <c:numCache>
                <c:formatCode>0%</c:formatCode>
                <c:ptCount val="3"/>
                <c:pt idx="0" formatCode="0.0%">
                  <c:v>-5.8675144170983167E-3</c:v>
                </c:pt>
                <c:pt idx="1">
                  <c:v>-2.0241664187472825E-2</c:v>
                </c:pt>
                <c:pt idx="2">
                  <c:v>-3.2424962358551329E-2</c:v>
                </c:pt>
              </c:numCache>
            </c:numRef>
          </c:val>
          <c:extLst>
            <c:ext xmlns:c16="http://schemas.microsoft.com/office/drawing/2014/chart" uri="{C3380CC4-5D6E-409C-BE32-E72D297353CC}">
              <c16:uniqueId val="{0000000C-40D0-4E0B-BA83-0804DD778BA8}"/>
            </c:ext>
          </c:extLst>
        </c:ser>
        <c:ser>
          <c:idx val="2"/>
          <c:order val="2"/>
          <c:tx>
            <c:strRef>
              <c:f>'Vol présentation'!$F$9</c:f>
              <c:strCache>
                <c:ptCount val="1"/>
                <c:pt idx="0">
                  <c:v>2017/2016</c:v>
                </c:pt>
              </c:strCache>
            </c:strRef>
          </c:tx>
          <c:spPr>
            <a:solidFill>
              <a:schemeClr val="accent3"/>
            </a:solidFill>
            <a:ln>
              <a:noFill/>
            </a:ln>
            <a:effectLst/>
          </c:spPr>
          <c:invertIfNegative val="0"/>
          <c:dPt>
            <c:idx val="0"/>
            <c:invertIfNegative val="0"/>
            <c:bubble3D val="0"/>
            <c:spPr>
              <a:solidFill>
                <a:sysClr val="window" lastClr="FFFFFF">
                  <a:lumMod val="65000"/>
                </a:sysClr>
              </a:solidFill>
              <a:ln>
                <a:solidFill>
                  <a:sysClr val="window" lastClr="FFFFFF">
                    <a:lumMod val="65000"/>
                  </a:sysClr>
                </a:solidFill>
              </a:ln>
              <a:effectLst/>
            </c:spPr>
            <c:extLst>
              <c:ext xmlns:c16="http://schemas.microsoft.com/office/drawing/2014/chart" uri="{C3380CC4-5D6E-409C-BE32-E72D297353CC}">
                <c16:uniqueId val="{0000000E-40D0-4E0B-BA83-0804DD778BA8}"/>
              </c:ext>
            </c:extLst>
          </c:dPt>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0-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2-40D0-4E0B-BA83-0804DD778BA8}"/>
              </c:ext>
            </c:extLst>
          </c:dPt>
          <c:dLbls>
            <c:dLbl>
              <c:idx val="2"/>
              <c:layout>
                <c:manualLayout>
                  <c:x val="0"/>
                  <c:y val="1.440640416647081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40D0-4E0B-BA83-0804DD778BA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présentation'!$F$10:$F$14</c:f>
              <c:numCache>
                <c:formatCode>0%</c:formatCode>
                <c:ptCount val="3"/>
                <c:pt idx="0" formatCode="0.0%">
                  <c:v>-1.2923958174357189E-2</c:v>
                </c:pt>
                <c:pt idx="1">
                  <c:v>3.6402919708029197E-2</c:v>
                </c:pt>
                <c:pt idx="2">
                  <c:v>-5.2013030809312001E-2</c:v>
                </c:pt>
              </c:numCache>
            </c:numRef>
          </c:val>
          <c:extLst>
            <c:ext xmlns:c16="http://schemas.microsoft.com/office/drawing/2014/chart" uri="{C3380CC4-5D6E-409C-BE32-E72D297353CC}">
              <c16:uniqueId val="{00000013-40D0-4E0B-BA83-0804DD778BA8}"/>
            </c:ext>
          </c:extLst>
        </c:ser>
        <c:ser>
          <c:idx val="3"/>
          <c:order val="3"/>
          <c:tx>
            <c:strRef>
              <c:f>'Vol présentation'!$G$9</c:f>
              <c:strCache>
                <c:ptCount val="1"/>
                <c:pt idx="0">
                  <c:v>2018/2017</c:v>
                </c:pt>
              </c:strCache>
            </c:strRef>
          </c:tx>
          <c:spPr>
            <a:solidFill>
              <a:schemeClr val="accent4"/>
            </a:solidFill>
            <a:ln>
              <a:noFill/>
            </a:ln>
            <a:effectLst/>
          </c:spPr>
          <c:invertIfNegative val="0"/>
          <c:dPt>
            <c:idx val="0"/>
            <c:invertIfNegative val="0"/>
            <c:bubble3D val="0"/>
            <c:spPr>
              <a:solidFill>
                <a:sysClr val="window" lastClr="FFFFFF">
                  <a:lumMod val="65000"/>
                </a:sysClr>
              </a:solidFill>
              <a:ln>
                <a:solidFill>
                  <a:sysClr val="window" lastClr="FFFFFF">
                    <a:lumMod val="65000"/>
                  </a:sysClr>
                </a:solidFill>
              </a:ln>
              <a:effectLst/>
            </c:spPr>
            <c:extLst>
              <c:ext xmlns:c16="http://schemas.microsoft.com/office/drawing/2014/chart" uri="{C3380CC4-5D6E-409C-BE32-E72D297353CC}">
                <c16:uniqueId val="{00000015-40D0-4E0B-BA83-0804DD778BA8}"/>
              </c:ext>
            </c:extLst>
          </c:dPt>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7-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9-40D0-4E0B-BA83-0804DD778BA8}"/>
              </c:ext>
            </c:extLst>
          </c:dPt>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présentation'!$G$10:$G$14</c:f>
              <c:numCache>
                <c:formatCode>0%</c:formatCode>
                <c:ptCount val="3"/>
                <c:pt idx="0" formatCode="0.0%">
                  <c:v>-3.0842147852725276E-2</c:v>
                </c:pt>
                <c:pt idx="1">
                  <c:v>6.7048297311306931E-3</c:v>
                </c:pt>
                <c:pt idx="2">
                  <c:v>-3.4094713738328189E-2</c:v>
                </c:pt>
              </c:numCache>
            </c:numRef>
          </c:val>
          <c:extLst>
            <c:ext xmlns:c16="http://schemas.microsoft.com/office/drawing/2014/chart" uri="{C3380CC4-5D6E-409C-BE32-E72D297353CC}">
              <c16:uniqueId val="{0000001A-40D0-4E0B-BA83-0804DD778BA8}"/>
            </c:ext>
          </c:extLst>
        </c:ser>
        <c:ser>
          <c:idx val="4"/>
          <c:order val="4"/>
          <c:tx>
            <c:strRef>
              <c:f>'Vol présentation'!$H$9</c:f>
              <c:strCache>
                <c:ptCount val="1"/>
                <c:pt idx="0">
                  <c:v>2019/2018</c:v>
                </c:pt>
              </c:strCache>
            </c:strRef>
          </c:tx>
          <c:spPr>
            <a:solidFill>
              <a:srgbClr val="C00000"/>
            </a:solidFill>
            <a:ln>
              <a:solidFill>
                <a:srgbClr val="C00000"/>
              </a:solidFill>
            </a:ln>
            <a:effectLst/>
          </c:spPr>
          <c:invertIfNegative val="0"/>
          <c:dPt>
            <c:idx val="0"/>
            <c:invertIfNegative val="0"/>
            <c:bubble3D val="0"/>
            <c:spPr>
              <a:solidFill>
                <a:sysClr val="window" lastClr="FFFFFF">
                  <a:lumMod val="65000"/>
                </a:sysClr>
              </a:solidFill>
              <a:ln>
                <a:solidFill>
                  <a:sysClr val="window" lastClr="FFFFFF">
                    <a:lumMod val="65000"/>
                  </a:sysClr>
                </a:solidFill>
              </a:ln>
              <a:effectLst/>
            </c:spPr>
            <c:extLst>
              <c:ext xmlns:c16="http://schemas.microsoft.com/office/drawing/2014/chart" uri="{C3380CC4-5D6E-409C-BE32-E72D297353CC}">
                <c16:uniqueId val="{0000001C-40D0-4E0B-BA83-0804DD778BA8}"/>
              </c:ext>
            </c:extLst>
          </c:dPt>
          <c:dPt>
            <c:idx val="1"/>
            <c:invertIfNegative val="0"/>
            <c:bubble3D val="0"/>
            <c:spPr>
              <a:pattFill prst="pct70">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1E-40D0-4E0B-BA83-0804DD778BA8}"/>
              </c:ext>
            </c:extLst>
          </c:dPt>
          <c:dPt>
            <c:idx val="2"/>
            <c:invertIfNegative val="0"/>
            <c:bubble3D val="0"/>
            <c:spPr>
              <a:pattFill prst="ltUpDiag">
                <a:fgClr>
                  <a:sysClr val="window" lastClr="FFFFFF">
                    <a:lumMod val="65000"/>
                  </a:sysClr>
                </a:fgClr>
                <a:bgClr>
                  <a:sysClr val="window" lastClr="FFFFFF"/>
                </a:bgClr>
              </a:pattFill>
              <a:ln>
                <a:solidFill>
                  <a:sysClr val="window" lastClr="FFFFFF">
                    <a:lumMod val="65000"/>
                  </a:sysClr>
                </a:solidFill>
              </a:ln>
              <a:effectLst/>
            </c:spPr>
            <c:extLst>
              <c:ext xmlns:c16="http://schemas.microsoft.com/office/drawing/2014/chart" uri="{C3380CC4-5D6E-409C-BE32-E72D297353CC}">
                <c16:uniqueId val="{00000020-40D0-4E0B-BA83-0804DD778BA8}"/>
              </c:ext>
            </c:extLst>
          </c:dPt>
          <c:dLbls>
            <c:dLbl>
              <c:idx val="2"/>
              <c:layout>
                <c:manualLayout>
                  <c:x val="4.3412198827870473E-2"/>
                  <c:y val="0.100902814657461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20-40D0-4E0B-BA83-0804DD778BA8}"/>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'Vol présentation'!$C$10:$C$14</c:f>
              <c:strCache>
                <c:ptCount val="3"/>
                <c:pt idx="0">
                  <c:v>Charcuterie </c:v>
                </c:pt>
                <c:pt idx="1">
                  <c:v>Saucisserie </c:v>
                </c:pt>
                <c:pt idx="2">
                  <c:v>Viande de porc </c:v>
                </c:pt>
              </c:strCache>
            </c:strRef>
          </c:cat>
          <c:val>
            <c:numRef>
              <c:f>'Vol présentation'!$H$10:$H$14</c:f>
              <c:numCache>
                <c:formatCode>0%</c:formatCode>
                <c:ptCount val="3"/>
                <c:pt idx="0" formatCode="0.0%">
                  <c:v>-1.3588868876510372E-2</c:v>
                </c:pt>
                <c:pt idx="1">
                  <c:v>-2.313711004399073E-2</c:v>
                </c:pt>
                <c:pt idx="2">
                  <c:v>-5.8700340850006742E-2</c:v>
                </c:pt>
              </c:numCache>
            </c:numRef>
          </c:val>
          <c:extLst>
            <c:ext xmlns:c16="http://schemas.microsoft.com/office/drawing/2014/chart" uri="{C3380CC4-5D6E-409C-BE32-E72D297353CC}">
              <c16:uniqueId val="{00000021-40D0-4E0B-BA83-0804DD778BA8}"/>
            </c:ext>
          </c:extLst>
        </c:ser>
        <c:dLbls>
          <c:showLegendKey val="0"/>
          <c:showVal val="0"/>
          <c:showCatName val="0"/>
          <c:showSerName val="0"/>
          <c:showPercent val="0"/>
          <c:showBubbleSize val="0"/>
        </c:dLbls>
        <c:gapWidth val="219"/>
        <c:overlap val="-27"/>
        <c:axId val="664757616"/>
        <c:axId val="664757944"/>
      </c:barChart>
      <c:catAx>
        <c:axId val="664757616"/>
        <c:scaling>
          <c:orientation val="minMax"/>
        </c:scaling>
        <c:delete val="0"/>
        <c:axPos val="b"/>
        <c:numFmt formatCode="#,##0.00" sourceLinked="0"/>
        <c:majorTickMark val="out"/>
        <c:minorTickMark val="out"/>
        <c:tickLblPos val="low"/>
        <c:spPr>
          <a:noFill/>
          <a:ln w="9525" cap="flat" cmpd="sng" algn="ctr">
            <a:solidFill>
              <a:schemeClr val="tx1">
                <a:lumMod val="15000"/>
                <a:lumOff val="85000"/>
              </a:schemeClr>
            </a:solidFill>
            <a:round/>
          </a:ln>
          <a:effectLst/>
        </c:spPr>
        <c:txPr>
          <a:bodyPr rot="-60000000" spcFirstLastPara="1" vertOverflow="ellipsis" vert="horz" wrap="square" anchor="b" anchorCtr="0"/>
          <a:lstStyle/>
          <a:p>
            <a:pPr>
              <a:defRPr sz="10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664757944"/>
        <c:crosses val="autoZero"/>
        <c:auto val="1"/>
        <c:lblAlgn val="ctr"/>
        <c:lblOffset val="1000"/>
        <c:tickLblSkip val="1"/>
        <c:noMultiLvlLbl val="0"/>
      </c:catAx>
      <c:valAx>
        <c:axId val="664757944"/>
        <c:scaling>
          <c:orientation val="minMax"/>
        </c:scaling>
        <c:delete val="1"/>
        <c:axPos val="l"/>
        <c:numFmt formatCode="0.0%" sourceLinked="1"/>
        <c:majorTickMark val="out"/>
        <c:minorTickMark val="none"/>
        <c:tickLblPos val="nextTo"/>
        <c:crossAx val="66475761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'[Présentation graphes.xlsx]LR porc'!$C$29</c:f>
              <c:strCache>
                <c:ptCount val="1"/>
                <c:pt idx="0">
                  <c:v>nb porcs LR</c:v>
                </c:pt>
              </c:strCache>
            </c:strRef>
          </c:tx>
          <c:spPr>
            <a:solidFill>
              <a:schemeClr val="bg1">
                <a:lumMod val="50000"/>
              </a:schemeClr>
            </a:solidFill>
            <a:ln>
              <a:solidFill>
                <a:schemeClr val="bg1">
                  <a:lumMod val="50000"/>
                </a:schemeClr>
              </a:solid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0"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'[Présentation graphes.xlsx]LR porc'!$B$30:$B$36</c:f>
              <c:numCache>
                <c:formatCode>General</c:formatCode>
                <c:ptCount val="7"/>
                <c:pt idx="0">
                  <c:v>2012</c:v>
                </c:pt>
                <c:pt idx="1">
                  <c:v>2013</c:v>
                </c:pt>
                <c:pt idx="2">
                  <c:v>2014</c:v>
                </c:pt>
                <c:pt idx="3">
                  <c:v>2015</c:v>
                </c:pt>
                <c:pt idx="4">
                  <c:v>2016</c:v>
                </c:pt>
                <c:pt idx="5">
                  <c:v>2017</c:v>
                </c:pt>
                <c:pt idx="6">
                  <c:v>2018</c:v>
                </c:pt>
              </c:numCache>
            </c:numRef>
          </c:cat>
          <c:val>
            <c:numRef>
              <c:f>'[Présentation graphes.xlsx]LR porc'!$C$30:$C$36</c:f>
              <c:numCache>
                <c:formatCode>0</c:formatCode>
                <c:ptCount val="7"/>
                <c:pt idx="0">
                  <c:v>743.35</c:v>
                </c:pt>
                <c:pt idx="1">
                  <c:v>746.923</c:v>
                </c:pt>
                <c:pt idx="2">
                  <c:v>771.58699999999999</c:v>
                </c:pt>
                <c:pt idx="3">
                  <c:v>824.38699999999994</c:v>
                </c:pt>
                <c:pt idx="4">
                  <c:v>851.96600000000001</c:v>
                </c:pt>
                <c:pt idx="5">
                  <c:v>932.76900000000001</c:v>
                </c:pt>
                <c:pt idx="6">
                  <c:v>973.06399999999996</c:v>
                </c:pt>
              </c:numCache>
            </c:numRef>
          </c:val>
          <c:extLst>
            <c:ext xmlns:c16="http://schemas.microsoft.com/office/drawing/2014/chart" uri="{C3380CC4-5D6E-409C-BE32-E72D297353CC}">
              <c16:uniqueId val="{00000000-0A47-407F-A2D1-26B58D743781}"/>
            </c:ext>
          </c:extLst>
        </c:ser>
        <c:dLbls>
          <c:showLegendKey val="0"/>
          <c:showVal val="0"/>
          <c:showCatName val="0"/>
          <c:showSerName val="0"/>
          <c:showPercent val="0"/>
          <c:showBubbleSize val="0"/>
        </c:dLbls>
        <c:gapWidth val="100"/>
        <c:overlap val="-30"/>
        <c:axId val="615177808"/>
        <c:axId val="615181088"/>
      </c:barChart>
      <c:catAx>
        <c:axId val="6151778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15181088"/>
        <c:crosses val="autoZero"/>
        <c:auto val="1"/>
        <c:lblAlgn val="ctr"/>
        <c:lblOffset val="100"/>
        <c:noMultiLvlLbl val="0"/>
      </c:catAx>
      <c:valAx>
        <c:axId val="615181088"/>
        <c:scaling>
          <c:orientation val="minMax"/>
          <c:max val="100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1517780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31934950879231699"/>
          <c:y val="0.11371855527106477"/>
          <c:w val="0.59986452221810416"/>
          <c:h val="0.84036616897076266"/>
        </c:manualLayout>
      </c:layout>
      <c:pie3DChart>
        <c:varyColors val="1"/>
        <c:ser>
          <c:idx val="0"/>
          <c:order val="0"/>
          <c:dPt>
            <c:idx val="0"/>
            <c:bubble3D val="0"/>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EFF2-42D3-83AE-F0C779C21CE7}"/>
              </c:ext>
            </c:extLst>
          </c:dPt>
          <c:dPt>
            <c:idx val="1"/>
            <c:bubble3D val="0"/>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EFF2-42D3-83AE-F0C779C21CE7}"/>
              </c:ext>
            </c:extLst>
          </c:dPt>
          <c:dPt>
            <c:idx val="2"/>
            <c:bubble3D val="0"/>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EFF2-42D3-83AE-F0C779C21CE7}"/>
              </c:ext>
            </c:extLst>
          </c:dPt>
          <c:dPt>
            <c:idx val="3"/>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EFF2-42D3-83AE-F0C779C21CE7}"/>
              </c:ext>
            </c:extLst>
          </c:dPt>
          <c:dLbls>
            <c:dLbl>
              <c:idx val="0"/>
              <c:layout>
                <c:manualLayout>
                  <c:x val="9.1603053435114504E-2"/>
                  <c:y val="9.2592592592592587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EFF2-42D3-83AE-F0C779C21CE7}"/>
                </c:ext>
              </c:extLst>
            </c:dLbl>
            <c:dLbl>
              <c:idx val="1"/>
              <c:layout>
                <c:manualLayout>
                  <c:x val="-6.1068702290076396E-2"/>
                  <c:y val="8.333333333333332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EFF2-42D3-83AE-F0C779C21CE7}"/>
                </c:ext>
              </c:extLst>
            </c:dLbl>
            <c:dLbl>
              <c:idx val="2"/>
              <c:layout>
                <c:manualLayout>
                  <c:x val="-0.11195928753180662"/>
                  <c:y val="-5.555555555555555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EFF2-42D3-83AE-F0C779C21CE7}"/>
                </c:ext>
              </c:extLst>
            </c:dLbl>
            <c:dLbl>
              <c:idx val="3"/>
              <c:layout>
                <c:manualLayout>
                  <c:x val="5.7675996607294319E-2"/>
                  <c:y val="-8.796296296296297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EFF2-42D3-83AE-F0C779C21CE7}"/>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'LR2'!$B$4:$B$7</c:f>
              <c:strCache>
                <c:ptCount val="4"/>
                <c:pt idx="0">
                  <c:v>Charcuterie saucisserie </c:v>
                </c:pt>
                <c:pt idx="1">
                  <c:v>Viande en GSA</c:v>
                </c:pt>
                <c:pt idx="2">
                  <c:v>Viande en boucherie </c:v>
                </c:pt>
                <c:pt idx="3">
                  <c:v>Viande en restauration </c:v>
                </c:pt>
              </c:strCache>
            </c:strRef>
          </c:cat>
          <c:val>
            <c:numRef>
              <c:f>'LR2'!$E$4:$E$7</c:f>
              <c:numCache>
                <c:formatCode>0%</c:formatCode>
                <c:ptCount val="4"/>
                <c:pt idx="0">
                  <c:v>0.55100000000000005</c:v>
                </c:pt>
                <c:pt idx="1">
                  <c:v>0.27839999999999998</c:v>
                </c:pt>
                <c:pt idx="2">
                  <c:v>0.14879999999999999</c:v>
                </c:pt>
                <c:pt idx="3">
                  <c:v>2.1399999999999999E-2</c:v>
                </c:pt>
              </c:numCache>
            </c:numRef>
          </c:val>
          <c:extLst>
            <c:ext xmlns:c16="http://schemas.microsoft.com/office/drawing/2014/chart" uri="{C3380CC4-5D6E-409C-BE32-E72D297353CC}">
              <c16:uniqueId val="{00000008-EFF2-42D3-83AE-F0C779C21CE7}"/>
            </c:ext>
          </c:extLst>
        </c:ser>
        <c:dLbls>
          <c:showLegendKey val="0"/>
          <c:showVal val="0"/>
          <c:showCatName val="0"/>
          <c:showSerName val="0"/>
          <c:showPercent val="1"/>
          <c:showBubbleSize val="0"/>
          <c:showLeaderLines val="1"/>
        </c:dLbls>
      </c:pie3DChart>
      <c:spPr>
        <a:noFill/>
        <a:ln>
          <a:noFill/>
        </a:ln>
        <a:effectLst/>
      </c:spPr>
    </c:plotArea>
    <c:legend>
      <c:legendPos val="b"/>
      <c:layout>
        <c:manualLayout>
          <c:xMode val="edge"/>
          <c:yMode val="edge"/>
          <c:x val="0"/>
          <c:y val="0"/>
          <c:w val="0.36551282267446761"/>
          <c:h val="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'Bio abattage'!$A$5</c:f>
              <c:strCache>
                <c:ptCount val="1"/>
                <c:pt idx="0">
                  <c:v>Nombre de têtes (x1000)</c:v>
                </c:pt>
              </c:strCache>
            </c:strRef>
          </c:tx>
          <c:spPr>
            <a:solidFill>
              <a:sysClr val="window" lastClr="FFFFFF">
                <a:lumMod val="50000"/>
              </a:sysClr>
            </a:solidFill>
            <a:ln>
              <a:solidFill>
                <a:sysClr val="window" lastClr="FFFFFF">
                  <a:lumMod val="50000"/>
                </a:sysClr>
              </a:solidFill>
            </a:ln>
            <a:effectLst/>
          </c:spPr>
          <c:invertIfNegative val="0"/>
          <c:dLbls>
            <c:dLbl>
              <c:idx val="0"/>
              <c:layout>
                <c:manualLayout>
                  <c:x val="-1.2731334408019993E-17"/>
                  <c:y val="0.16257618839311744"/>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001-4EF2-BDB6-C348F9D3FA19}"/>
                </c:ext>
              </c:extLst>
            </c:dLbl>
            <c:spPr>
              <a:noFill/>
              <a:ln>
                <a:noFill/>
              </a:ln>
              <a:effectLst/>
            </c:spPr>
            <c:txPr>
              <a:bodyPr rot="-5400000" spcFirstLastPara="1" vertOverflow="ellipsis" wrap="square" lIns="38100" tIns="19050" rIns="38100" bIns="19050" anchor="ctr" anchorCtr="1">
                <a:spAutoFit/>
              </a:bodyPr>
              <a:lstStyle/>
              <a:p>
                <a:pPr>
                  <a:defRPr sz="1100" b="0"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'Bio abattage'!$B$4:$O$4</c:f>
              <c:numCache>
                <c:formatCode>General</c:formatCode>
                <c:ptCount val="14"/>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numCache>
            </c:numRef>
          </c:cat>
          <c:val>
            <c:numRef>
              <c:f>'Bio abattage'!$B$5:$O$5</c:f>
              <c:numCache>
                <c:formatCode>0</c:formatCode>
                <c:ptCount val="14"/>
                <c:pt idx="0">
                  <c:v>36.375</c:v>
                </c:pt>
                <c:pt idx="1">
                  <c:v>37.253</c:v>
                </c:pt>
                <c:pt idx="2">
                  <c:v>41.93</c:v>
                </c:pt>
                <c:pt idx="3">
                  <c:v>43.082999999999998</c:v>
                </c:pt>
                <c:pt idx="4">
                  <c:v>44.286999999999999</c:v>
                </c:pt>
                <c:pt idx="5">
                  <c:v>59.585000000000001</c:v>
                </c:pt>
                <c:pt idx="6">
                  <c:v>81.703999999999994</c:v>
                </c:pt>
                <c:pt idx="7">
                  <c:v>94.558000000000007</c:v>
                </c:pt>
                <c:pt idx="8">
                  <c:v>100.37</c:v>
                </c:pt>
                <c:pt idx="9">
                  <c:v>101.426</c:v>
                </c:pt>
                <c:pt idx="10">
                  <c:v>103.431</c:v>
                </c:pt>
                <c:pt idx="11">
                  <c:v>108.123</c:v>
                </c:pt>
                <c:pt idx="12">
                  <c:v>115.26</c:v>
                </c:pt>
                <c:pt idx="13">
                  <c:v>157.499</c:v>
                </c:pt>
              </c:numCache>
            </c:numRef>
          </c:val>
          <c:extLst>
            <c:ext xmlns:c16="http://schemas.microsoft.com/office/drawing/2014/chart" uri="{C3380CC4-5D6E-409C-BE32-E72D297353CC}">
              <c16:uniqueId val="{00000001-A001-4EF2-BDB6-C348F9D3FA19}"/>
            </c:ext>
          </c:extLst>
        </c:ser>
        <c:dLbls>
          <c:showLegendKey val="0"/>
          <c:showVal val="0"/>
          <c:showCatName val="0"/>
          <c:showSerName val="0"/>
          <c:showPercent val="0"/>
          <c:showBubbleSize val="0"/>
        </c:dLbls>
        <c:gapWidth val="100"/>
        <c:overlap val="-27"/>
        <c:axId val="808655104"/>
        <c:axId val="808651496"/>
      </c:barChart>
      <c:lineChart>
        <c:grouping val="standard"/>
        <c:varyColors val="0"/>
        <c:ser>
          <c:idx val="1"/>
          <c:order val="1"/>
          <c:tx>
            <c:strRef>
              <c:f>'Bio abattage'!$A$6</c:f>
              <c:strCache>
                <c:ptCount val="1"/>
                <c:pt idx="0">
                  <c:v>1000 T équivalent carcasse</c:v>
                </c:pt>
              </c:strCache>
            </c:strRef>
          </c:tx>
          <c:spPr>
            <a:ln w="28575" cap="rnd">
              <a:solidFill>
                <a:schemeClr val="tx1">
                  <a:lumMod val="50000"/>
                  <a:lumOff val="50000"/>
                </a:schemeClr>
              </a:solidFill>
              <a:round/>
            </a:ln>
            <a:effectLst/>
          </c:spPr>
          <c:marker>
            <c:symbol val="none"/>
          </c:marker>
          <c:cat>
            <c:numRef>
              <c:f>'Bio abattage'!$B$4:$O$4</c:f>
              <c:numCache>
                <c:formatCode>General</c:formatCode>
                <c:ptCount val="14"/>
                <c:pt idx="0">
                  <c:v>2005</c:v>
                </c:pt>
                <c:pt idx="1">
                  <c:v>2006</c:v>
                </c:pt>
                <c:pt idx="2">
                  <c:v>2007</c:v>
                </c:pt>
                <c:pt idx="3">
                  <c:v>2008</c:v>
                </c:pt>
                <c:pt idx="4">
                  <c:v>2009</c:v>
                </c:pt>
                <c:pt idx="5">
                  <c:v>2010</c:v>
                </c:pt>
                <c:pt idx="6">
                  <c:v>2011</c:v>
                </c:pt>
                <c:pt idx="7">
                  <c:v>2012</c:v>
                </c:pt>
                <c:pt idx="8">
                  <c:v>2013</c:v>
                </c:pt>
                <c:pt idx="9">
                  <c:v>2014</c:v>
                </c:pt>
                <c:pt idx="10">
                  <c:v>2015</c:v>
                </c:pt>
                <c:pt idx="11">
                  <c:v>2016</c:v>
                </c:pt>
                <c:pt idx="12">
                  <c:v>2017</c:v>
                </c:pt>
                <c:pt idx="13">
                  <c:v>2018</c:v>
                </c:pt>
              </c:numCache>
            </c:numRef>
          </c:cat>
          <c:val>
            <c:numRef>
              <c:f>'Bio abattage'!$B$6:$O$6</c:f>
              <c:numCache>
                <c:formatCode>0</c:formatCode>
                <c:ptCount val="14"/>
                <c:pt idx="0">
                  <c:v>3.6</c:v>
                </c:pt>
                <c:pt idx="1">
                  <c:v>3.6</c:v>
                </c:pt>
                <c:pt idx="2">
                  <c:v>3.7</c:v>
                </c:pt>
                <c:pt idx="3">
                  <c:v>3.8</c:v>
                </c:pt>
                <c:pt idx="4">
                  <c:v>4</c:v>
                </c:pt>
                <c:pt idx="5">
                  <c:v>5.8</c:v>
                </c:pt>
                <c:pt idx="6">
                  <c:v>7.9</c:v>
                </c:pt>
                <c:pt idx="7">
                  <c:v>9.1</c:v>
                </c:pt>
                <c:pt idx="8">
                  <c:v>9.6</c:v>
                </c:pt>
                <c:pt idx="9">
                  <c:v>9.8000000000000007</c:v>
                </c:pt>
                <c:pt idx="10">
                  <c:v>9.8000000000000007</c:v>
                </c:pt>
                <c:pt idx="11">
                  <c:v>10.5</c:v>
                </c:pt>
                <c:pt idx="12">
                  <c:v>11.17</c:v>
                </c:pt>
                <c:pt idx="13">
                  <c:v>15.016</c:v>
                </c:pt>
              </c:numCache>
            </c:numRef>
          </c:val>
          <c:smooth val="0"/>
          <c:extLst>
            <c:ext xmlns:c16="http://schemas.microsoft.com/office/drawing/2014/chart" uri="{C3380CC4-5D6E-409C-BE32-E72D297353CC}">
              <c16:uniqueId val="{00000002-A001-4EF2-BDB6-C348F9D3FA19}"/>
            </c:ext>
          </c:extLst>
        </c:ser>
        <c:dLbls>
          <c:showLegendKey val="0"/>
          <c:showVal val="0"/>
          <c:showCatName val="0"/>
          <c:showSerName val="0"/>
          <c:showPercent val="0"/>
          <c:showBubbleSize val="0"/>
        </c:dLbls>
        <c:marker val="1"/>
        <c:smooth val="0"/>
        <c:axId val="808652808"/>
        <c:axId val="808649856"/>
      </c:lineChart>
      <c:catAx>
        <c:axId val="808655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08651496"/>
        <c:crosses val="autoZero"/>
        <c:auto val="1"/>
        <c:lblAlgn val="ctr"/>
        <c:lblOffset val="100"/>
        <c:noMultiLvlLbl val="0"/>
      </c:catAx>
      <c:valAx>
        <c:axId val="808651496"/>
        <c:scaling>
          <c:orientation val="minMax"/>
          <c:max val="18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08655104"/>
        <c:crosses val="autoZero"/>
        <c:crossBetween val="between"/>
      </c:valAx>
      <c:valAx>
        <c:axId val="808649856"/>
        <c:scaling>
          <c:orientation val="minMax"/>
        </c:scaling>
        <c:delete val="0"/>
        <c:axPos val="r"/>
        <c:numFmt formatCode="0" sourceLinked="1"/>
        <c:majorTickMark val="out"/>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08652808"/>
        <c:crosses val="max"/>
        <c:crossBetween val="between"/>
      </c:valAx>
      <c:catAx>
        <c:axId val="808652808"/>
        <c:scaling>
          <c:orientation val="minMax"/>
        </c:scaling>
        <c:delete val="1"/>
        <c:axPos val="b"/>
        <c:numFmt formatCode="General" sourceLinked="1"/>
        <c:majorTickMark val="out"/>
        <c:minorTickMark val="none"/>
        <c:tickLblPos val="nextTo"/>
        <c:crossAx val="808649856"/>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'Sifco Evol'!$A$5</c:f>
              <c:strCache>
                <c:ptCount val="1"/>
                <c:pt idx="0">
                  <c:v>Fraction Hors Alim. Humaine </c:v>
                </c:pt>
              </c:strCache>
            </c:strRef>
          </c:tx>
          <c:spPr>
            <a:solidFill>
              <a:schemeClr val="bg1">
                <a:lumMod val="50000"/>
              </a:schemeClr>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100" b="0" i="0" u="none" strike="noStrike" kern="1200" baseline="0">
                    <a:solidFill>
                      <a:schemeClr val="bg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'Sifco Evol'!$B$4:$J$4</c:f>
              <c:numCache>
                <c:formatCode>General</c:formatCode>
                <c:ptCount val="9"/>
                <c:pt idx="0">
                  <c:v>2010</c:v>
                </c:pt>
                <c:pt idx="1">
                  <c:v>2011</c:v>
                </c:pt>
                <c:pt idx="2">
                  <c:v>2012</c:v>
                </c:pt>
                <c:pt idx="3">
                  <c:v>2013</c:v>
                </c:pt>
                <c:pt idx="4">
                  <c:v>2014</c:v>
                </c:pt>
                <c:pt idx="5">
                  <c:v>2015</c:v>
                </c:pt>
                <c:pt idx="6">
                  <c:v>2016</c:v>
                </c:pt>
                <c:pt idx="7">
                  <c:v>2017</c:v>
                </c:pt>
                <c:pt idx="8">
                  <c:v>2018</c:v>
                </c:pt>
              </c:numCache>
            </c:numRef>
          </c:cat>
          <c:val>
            <c:numRef>
              <c:f>'Sifco Evol'!$B$5:$J$5</c:f>
              <c:numCache>
                <c:formatCode>#,##0</c:formatCode>
                <c:ptCount val="9"/>
                <c:pt idx="0">
                  <c:v>467.37200000000001</c:v>
                </c:pt>
                <c:pt idx="1">
                  <c:v>466.68099999999998</c:v>
                </c:pt>
                <c:pt idx="2">
                  <c:v>428.60599999999999</c:v>
                </c:pt>
                <c:pt idx="3">
                  <c:v>429.51900000000001</c:v>
                </c:pt>
                <c:pt idx="4">
                  <c:v>540.13</c:v>
                </c:pt>
                <c:pt idx="5">
                  <c:v>589.66300000000001</c:v>
                </c:pt>
                <c:pt idx="6">
                  <c:v>610.553</c:v>
                </c:pt>
                <c:pt idx="7">
                  <c:v>564.61500000000001</c:v>
                </c:pt>
                <c:pt idx="8">
                  <c:v>531.27700000000004</c:v>
                </c:pt>
              </c:numCache>
            </c:numRef>
          </c:val>
          <c:extLst>
            <c:ext xmlns:c16="http://schemas.microsoft.com/office/drawing/2014/chart" uri="{C3380CC4-5D6E-409C-BE32-E72D297353CC}">
              <c16:uniqueId val="{00000000-E0A6-41DF-AF1D-02989706525C}"/>
            </c:ext>
          </c:extLst>
        </c:ser>
        <c:dLbls>
          <c:showLegendKey val="0"/>
          <c:showVal val="0"/>
          <c:showCatName val="0"/>
          <c:showSerName val="0"/>
          <c:showPercent val="0"/>
          <c:showBubbleSize val="0"/>
        </c:dLbls>
        <c:gapWidth val="100"/>
        <c:overlap val="-27"/>
        <c:axId val="662084976"/>
        <c:axId val="662087272"/>
      </c:barChart>
      <c:catAx>
        <c:axId val="662084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662087272"/>
        <c:crosses val="autoZero"/>
        <c:auto val="1"/>
        <c:lblAlgn val="ctr"/>
        <c:lblOffset val="100"/>
        <c:noMultiLvlLbl val="0"/>
      </c:catAx>
      <c:valAx>
        <c:axId val="662087272"/>
        <c:scaling>
          <c:orientation val="minMax"/>
          <c:max val="650"/>
          <c:min val="0"/>
        </c:scaling>
        <c:delete val="0"/>
        <c:axPos val="l"/>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crossAx val="662084976"/>
        <c:crosses val="autoZero"/>
        <c:crossBetween val="between"/>
        <c:majorUnit val="150"/>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1543899052419442E-2"/>
          <c:y val="0"/>
          <c:w val="0.94733692399760627"/>
          <c:h val="0.7568092801479116"/>
        </c:manualLayout>
      </c:layout>
      <c:barChart>
        <c:barDir val="col"/>
        <c:grouping val="clustered"/>
        <c:varyColors val="0"/>
        <c:ser>
          <c:idx val="0"/>
          <c:order val="0"/>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'Classe Charc Pât'!$O$5:$Y$5</c:f>
              <c:strCache>
                <c:ptCount val="11"/>
                <c:pt idx="0">
                  <c:v>&lt;5%</c:v>
                </c:pt>
                <c:pt idx="1">
                  <c:v>5 à 10%</c:v>
                </c:pt>
                <c:pt idx="2">
                  <c:v>10 à 15%</c:v>
                </c:pt>
                <c:pt idx="3">
                  <c:v>15 à 20%</c:v>
                </c:pt>
                <c:pt idx="4">
                  <c:v>20 à 25%</c:v>
                </c:pt>
                <c:pt idx="5">
                  <c:v>25 à 30%</c:v>
                </c:pt>
                <c:pt idx="6">
                  <c:v>30 à 35%</c:v>
                </c:pt>
                <c:pt idx="7">
                  <c:v>35 à 40%</c:v>
                </c:pt>
                <c:pt idx="8">
                  <c:v>40 à 45% </c:v>
                </c:pt>
                <c:pt idx="9">
                  <c:v>45 à 50% </c:v>
                </c:pt>
                <c:pt idx="10">
                  <c:v>&gt;50%</c:v>
                </c:pt>
              </c:strCache>
            </c:strRef>
          </c:cat>
          <c:val>
            <c:numRef>
              <c:f>'Classe Charc Pât'!$O$6:$Y$6</c:f>
              <c:numCache>
                <c:formatCode>0%</c:formatCode>
                <c:ptCount val="11"/>
                <c:pt idx="0">
                  <c:v>1.2448132780082987E-2</c:v>
                </c:pt>
                <c:pt idx="1">
                  <c:v>0.14315352697095435</c:v>
                </c:pt>
                <c:pt idx="2">
                  <c:v>0.13333333333333333</c:v>
                </c:pt>
                <c:pt idx="3">
                  <c:v>0.17634854771784234</c:v>
                </c:pt>
                <c:pt idx="4">
                  <c:v>4.3568464730290454E-2</c:v>
                </c:pt>
                <c:pt idx="5">
                  <c:v>5.8091286307053944E-2</c:v>
                </c:pt>
                <c:pt idx="6">
                  <c:v>0</c:v>
                </c:pt>
                <c:pt idx="7">
                  <c:v>0.33402489626556015</c:v>
                </c:pt>
                <c:pt idx="8">
                  <c:v>2.4896265560165973E-2</c:v>
                </c:pt>
                <c:pt idx="9">
                  <c:v>1.8672199170124481E-2</c:v>
                </c:pt>
                <c:pt idx="10">
                  <c:v>5.2083333333333336E-2</c:v>
                </c:pt>
              </c:numCache>
            </c:numRef>
          </c:val>
          <c:extLst>
            <c:ext xmlns:c16="http://schemas.microsoft.com/office/drawing/2014/chart" uri="{C3380CC4-5D6E-409C-BE32-E72D297353CC}">
              <c16:uniqueId val="{00000000-B712-4E28-8F1A-948D931CDBA7}"/>
            </c:ext>
          </c:extLst>
        </c:ser>
        <c:dLbls>
          <c:showLegendKey val="0"/>
          <c:showVal val="0"/>
          <c:showCatName val="0"/>
          <c:showSerName val="0"/>
          <c:showPercent val="0"/>
          <c:showBubbleSize val="0"/>
        </c:dLbls>
        <c:gapWidth val="100"/>
        <c:overlap val="-27"/>
        <c:axId val="650045616"/>
        <c:axId val="650048240"/>
      </c:barChart>
      <c:catAx>
        <c:axId val="650045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50048240"/>
        <c:crosses val="autoZero"/>
        <c:auto val="1"/>
        <c:lblAlgn val="ctr"/>
        <c:lblOffset val="100"/>
        <c:noMultiLvlLbl val="0"/>
      </c:catAx>
      <c:valAx>
        <c:axId val="650048240"/>
        <c:scaling>
          <c:orientation val="minMax"/>
          <c:max val="0.4"/>
        </c:scaling>
        <c:delete val="1"/>
        <c:axPos val="l"/>
        <c:numFmt formatCode="0%" sourceLinked="1"/>
        <c:majorTickMark val="out"/>
        <c:minorTickMark val="none"/>
        <c:tickLblPos val="nextTo"/>
        <c:crossAx val="650045616"/>
        <c:crosses val="autoZero"/>
        <c:crossBetween val="between"/>
        <c:majorUnit val="0.1"/>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177755378726304E-2"/>
          <c:y val="2.7378513773548215E-2"/>
          <c:w val="0.94174115139001779"/>
          <c:h val="0.80992887191468943"/>
        </c:manualLayout>
      </c:layout>
      <c:barChart>
        <c:barDir val="col"/>
        <c:grouping val="clustered"/>
        <c:varyColors val="0"/>
        <c:ser>
          <c:idx val="0"/>
          <c:order val="0"/>
          <c:spPr>
            <a:solidFill>
              <a:schemeClr val="bg1">
                <a:lumMod val="6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'Classe QTT'!$T$6:$Y$6</c:f>
              <c:strCache>
                <c:ptCount val="6"/>
                <c:pt idx="0">
                  <c:v>&lt;5%</c:v>
                </c:pt>
                <c:pt idx="1">
                  <c:v>5 à 10%</c:v>
                </c:pt>
                <c:pt idx="2">
                  <c:v>10 à 15%</c:v>
                </c:pt>
                <c:pt idx="3">
                  <c:v>15 à 20%</c:v>
                </c:pt>
                <c:pt idx="4">
                  <c:v>20 à 25%</c:v>
                </c:pt>
                <c:pt idx="5">
                  <c:v>&gt;25%</c:v>
                </c:pt>
              </c:strCache>
            </c:strRef>
          </c:cat>
          <c:val>
            <c:numRef>
              <c:f>'Classe QTT'!$T$7:$Y$7</c:f>
              <c:numCache>
                <c:formatCode>0%</c:formatCode>
                <c:ptCount val="6"/>
                <c:pt idx="0">
                  <c:v>4.738154613466334E-2</c:v>
                </c:pt>
                <c:pt idx="1">
                  <c:v>3.7406483790523692E-2</c:v>
                </c:pt>
                <c:pt idx="2">
                  <c:v>0.50374064837905241</c:v>
                </c:pt>
                <c:pt idx="3">
                  <c:v>0.33915211970074816</c:v>
                </c:pt>
                <c:pt idx="4">
                  <c:v>5.7356608478802994E-2</c:v>
                </c:pt>
                <c:pt idx="5">
                  <c:v>1.4962593516209476E-2</c:v>
                </c:pt>
              </c:numCache>
            </c:numRef>
          </c:val>
          <c:extLst>
            <c:ext xmlns:c16="http://schemas.microsoft.com/office/drawing/2014/chart" uri="{C3380CC4-5D6E-409C-BE32-E72D297353CC}">
              <c16:uniqueId val="{00000000-5DEA-4494-9BCA-9503D6FF26E7}"/>
            </c:ext>
          </c:extLst>
        </c:ser>
        <c:dLbls>
          <c:showLegendKey val="0"/>
          <c:showVal val="0"/>
          <c:showCatName val="0"/>
          <c:showSerName val="0"/>
          <c:showPercent val="0"/>
          <c:showBubbleSize val="0"/>
        </c:dLbls>
        <c:gapWidth val="100"/>
        <c:overlap val="-27"/>
        <c:axId val="650084976"/>
        <c:axId val="650090552"/>
      </c:barChart>
      <c:catAx>
        <c:axId val="650084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50090552"/>
        <c:crosses val="autoZero"/>
        <c:auto val="1"/>
        <c:lblAlgn val="ctr"/>
        <c:lblOffset val="100"/>
        <c:noMultiLvlLbl val="0"/>
      </c:catAx>
      <c:valAx>
        <c:axId val="650090552"/>
        <c:scaling>
          <c:orientation val="minMax"/>
        </c:scaling>
        <c:delete val="1"/>
        <c:axPos val="l"/>
        <c:numFmt formatCode="0%" sourceLinked="1"/>
        <c:majorTickMark val="none"/>
        <c:minorTickMark val="none"/>
        <c:tickLblPos val="nextTo"/>
        <c:crossAx val="65008497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1.9444444444444445E-2"/>
          <c:y val="5.0925925925925923E-2"/>
          <c:w val="0.93888888888888888"/>
          <c:h val="0.76045618663149339"/>
        </c:manualLayout>
      </c:layout>
      <c:barChart>
        <c:barDir val="col"/>
        <c:grouping val="clustered"/>
        <c:varyColors val="0"/>
        <c:ser>
          <c:idx val="0"/>
          <c:order val="0"/>
          <c:spPr>
            <a:solidFill>
              <a:schemeClr val="bg1">
                <a:lumMod val="7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'Plats cuis'!$S$10:$Z$10</c:f>
              <c:strCache>
                <c:ptCount val="8"/>
                <c:pt idx="0">
                  <c:v>5 à 10%</c:v>
                </c:pt>
                <c:pt idx="1">
                  <c:v>10 à 15%</c:v>
                </c:pt>
                <c:pt idx="2">
                  <c:v>15 à 20%</c:v>
                </c:pt>
                <c:pt idx="3">
                  <c:v>20 à 25%</c:v>
                </c:pt>
                <c:pt idx="4">
                  <c:v>25 à 30%</c:v>
                </c:pt>
                <c:pt idx="5">
                  <c:v>30 à 35%</c:v>
                </c:pt>
                <c:pt idx="6">
                  <c:v>35 à 40% </c:v>
                </c:pt>
                <c:pt idx="7">
                  <c:v>&gt;40%</c:v>
                </c:pt>
              </c:strCache>
            </c:strRef>
          </c:cat>
          <c:val>
            <c:numRef>
              <c:f>'Plats cuis'!$S$11:$Z$11</c:f>
              <c:numCache>
                <c:formatCode>0%</c:formatCode>
                <c:ptCount val="8"/>
                <c:pt idx="0">
                  <c:v>6.9892473118279563E-2</c:v>
                </c:pt>
                <c:pt idx="1">
                  <c:v>0.10215053763440861</c:v>
                </c:pt>
                <c:pt idx="2">
                  <c:v>0.18279569892473119</c:v>
                </c:pt>
                <c:pt idx="3">
                  <c:v>5.3763440860215055E-2</c:v>
                </c:pt>
                <c:pt idx="4">
                  <c:v>0.11827956989247312</c:v>
                </c:pt>
                <c:pt idx="5">
                  <c:v>0.39784946236559138</c:v>
                </c:pt>
                <c:pt idx="6">
                  <c:v>5.9139784946236562E-2</c:v>
                </c:pt>
                <c:pt idx="7">
                  <c:v>1.6129032258064516E-2</c:v>
                </c:pt>
              </c:numCache>
            </c:numRef>
          </c:val>
          <c:extLst>
            <c:ext xmlns:c16="http://schemas.microsoft.com/office/drawing/2014/chart" uri="{C3380CC4-5D6E-409C-BE32-E72D297353CC}">
              <c16:uniqueId val="{00000000-673A-4ED1-BE11-A579B494F679}"/>
            </c:ext>
          </c:extLst>
        </c:ser>
        <c:dLbls>
          <c:showLegendKey val="0"/>
          <c:showVal val="0"/>
          <c:showCatName val="0"/>
          <c:showSerName val="0"/>
          <c:showPercent val="0"/>
          <c:showBubbleSize val="0"/>
        </c:dLbls>
        <c:gapWidth val="100"/>
        <c:overlap val="-27"/>
        <c:axId val="949211304"/>
        <c:axId val="949213600"/>
      </c:barChart>
      <c:catAx>
        <c:axId val="9492113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949213600"/>
        <c:crosses val="autoZero"/>
        <c:auto val="1"/>
        <c:lblAlgn val="ctr"/>
        <c:lblOffset val="100"/>
        <c:noMultiLvlLbl val="0"/>
      </c:catAx>
      <c:valAx>
        <c:axId val="949213600"/>
        <c:scaling>
          <c:orientation val="minMax"/>
        </c:scaling>
        <c:delete val="1"/>
        <c:axPos val="l"/>
        <c:numFmt formatCode="0%" sourceLinked="1"/>
        <c:majorTickMark val="none"/>
        <c:minorTickMark val="none"/>
        <c:tickLblPos val="nextTo"/>
        <c:crossAx val="949211304"/>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2.3804371348193031E-2"/>
          <c:y val="3.7401360018213765E-2"/>
          <c:w val="0.96104739233932068"/>
          <c:h val="0.71434935199384864"/>
        </c:manualLayout>
      </c:layout>
      <c:barChart>
        <c:barDir val="col"/>
        <c:grouping val="clustered"/>
        <c:varyColors val="0"/>
        <c:ser>
          <c:idx val="0"/>
          <c:order val="0"/>
          <c:spPr>
            <a:solidFill>
              <a:schemeClr val="bg1">
                <a:lumMod val="65000"/>
              </a:schemeClr>
            </a:solidFill>
            <a:ln>
              <a:solidFill>
                <a:schemeClr val="bg1">
                  <a:lumMod val="65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Salades!$Q$2:$AB$2</c:f>
              <c:strCache>
                <c:ptCount val="12"/>
                <c:pt idx="0">
                  <c:v>&lt;5%</c:v>
                </c:pt>
                <c:pt idx="1">
                  <c:v>5 à 10%</c:v>
                </c:pt>
                <c:pt idx="2">
                  <c:v>10 à 15%</c:v>
                </c:pt>
                <c:pt idx="3">
                  <c:v>15 à 20%</c:v>
                </c:pt>
                <c:pt idx="4">
                  <c:v>20 à 25%</c:v>
                </c:pt>
                <c:pt idx="5">
                  <c:v>25 à 30%</c:v>
                </c:pt>
                <c:pt idx="6">
                  <c:v>30 à 35%</c:v>
                </c:pt>
                <c:pt idx="7">
                  <c:v>35 à 40% </c:v>
                </c:pt>
                <c:pt idx="8">
                  <c:v>40 à 45%</c:v>
                </c:pt>
                <c:pt idx="9">
                  <c:v>45 à 50%</c:v>
                </c:pt>
                <c:pt idx="10">
                  <c:v>50 à 55%</c:v>
                </c:pt>
                <c:pt idx="11">
                  <c:v>&gt;55%</c:v>
                </c:pt>
              </c:strCache>
            </c:strRef>
          </c:cat>
          <c:val>
            <c:numRef>
              <c:f>Salades!$Q$4:$AB$4</c:f>
              <c:numCache>
                <c:formatCode>0%</c:formatCode>
                <c:ptCount val="12"/>
                <c:pt idx="0">
                  <c:v>8.8709677419354843E-2</c:v>
                </c:pt>
                <c:pt idx="1">
                  <c:v>0.34677419354838712</c:v>
                </c:pt>
                <c:pt idx="2">
                  <c:v>5.6451612903225805E-2</c:v>
                </c:pt>
                <c:pt idx="3">
                  <c:v>0.21774193548387097</c:v>
                </c:pt>
                <c:pt idx="4">
                  <c:v>4.0322580645161289E-2</c:v>
                </c:pt>
                <c:pt idx="5">
                  <c:v>0</c:v>
                </c:pt>
                <c:pt idx="6">
                  <c:v>4.8387096774193547E-2</c:v>
                </c:pt>
                <c:pt idx="7">
                  <c:v>0</c:v>
                </c:pt>
                <c:pt idx="8">
                  <c:v>3.2258064516129031E-2</c:v>
                </c:pt>
                <c:pt idx="9">
                  <c:v>0</c:v>
                </c:pt>
                <c:pt idx="10">
                  <c:v>0.16935483870967741</c:v>
                </c:pt>
                <c:pt idx="11">
                  <c:v>0</c:v>
                </c:pt>
              </c:numCache>
            </c:numRef>
          </c:val>
          <c:extLst>
            <c:ext xmlns:c16="http://schemas.microsoft.com/office/drawing/2014/chart" uri="{C3380CC4-5D6E-409C-BE32-E72D297353CC}">
              <c16:uniqueId val="{00000000-447E-467D-AF3E-4652790B688E}"/>
            </c:ext>
          </c:extLst>
        </c:ser>
        <c:dLbls>
          <c:showLegendKey val="0"/>
          <c:showVal val="0"/>
          <c:showCatName val="0"/>
          <c:showSerName val="0"/>
          <c:showPercent val="0"/>
          <c:showBubbleSize val="0"/>
        </c:dLbls>
        <c:gapWidth val="100"/>
        <c:overlap val="-27"/>
        <c:axId val="650111216"/>
        <c:axId val="650115480"/>
      </c:barChart>
      <c:catAx>
        <c:axId val="650111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50115480"/>
        <c:crosses val="autoZero"/>
        <c:auto val="1"/>
        <c:lblAlgn val="ctr"/>
        <c:lblOffset val="100"/>
        <c:noMultiLvlLbl val="0"/>
      </c:catAx>
      <c:valAx>
        <c:axId val="650115480"/>
        <c:scaling>
          <c:orientation val="minMax"/>
        </c:scaling>
        <c:delete val="1"/>
        <c:axPos val="l"/>
        <c:numFmt formatCode="0%" sourceLinked="1"/>
        <c:majorTickMark val="none"/>
        <c:minorTickMark val="none"/>
        <c:tickLblPos val="nextTo"/>
        <c:crossAx val="650111216"/>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bg1">
                <a:lumMod val="65000"/>
              </a:schemeClr>
            </a:solidFill>
            <a:ln>
              <a:solidFill>
                <a:schemeClr val="bg1">
                  <a:lumMod val="65000"/>
                </a:schemeClr>
              </a:solid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'Classe sdw'!$O$4:$T$4</c:f>
              <c:strCache>
                <c:ptCount val="6"/>
                <c:pt idx="0">
                  <c:v>&lt;15%</c:v>
                </c:pt>
                <c:pt idx="1">
                  <c:v>15  à 20%</c:v>
                </c:pt>
                <c:pt idx="2">
                  <c:v>20 à 25%</c:v>
                </c:pt>
                <c:pt idx="3">
                  <c:v>25 à 30%</c:v>
                </c:pt>
                <c:pt idx="4">
                  <c:v>30 à 35%</c:v>
                </c:pt>
                <c:pt idx="5">
                  <c:v>&gt;35%</c:v>
                </c:pt>
              </c:strCache>
            </c:strRef>
          </c:cat>
          <c:val>
            <c:numRef>
              <c:f>'Classe sdw'!$O$5:$T$5</c:f>
              <c:numCache>
                <c:formatCode>0%</c:formatCode>
                <c:ptCount val="6"/>
                <c:pt idx="0">
                  <c:v>0.09</c:v>
                </c:pt>
                <c:pt idx="1">
                  <c:v>0.34</c:v>
                </c:pt>
                <c:pt idx="2">
                  <c:v>0.56000000000000005</c:v>
                </c:pt>
                <c:pt idx="3">
                  <c:v>2.3529411764705882E-2</c:v>
                </c:pt>
                <c:pt idx="4">
                  <c:v>9.4117647058823528E-2</c:v>
                </c:pt>
                <c:pt idx="5">
                  <c:v>2.3529411764705882E-2</c:v>
                </c:pt>
              </c:numCache>
            </c:numRef>
          </c:val>
          <c:extLst>
            <c:ext xmlns:c16="http://schemas.microsoft.com/office/drawing/2014/chart" uri="{C3380CC4-5D6E-409C-BE32-E72D297353CC}">
              <c16:uniqueId val="{00000000-7E86-4FC0-8545-6434F2DF4536}"/>
            </c:ext>
          </c:extLst>
        </c:ser>
        <c:dLbls>
          <c:showLegendKey val="0"/>
          <c:showVal val="0"/>
          <c:showCatName val="0"/>
          <c:showSerName val="0"/>
          <c:showPercent val="0"/>
          <c:showBubbleSize val="0"/>
        </c:dLbls>
        <c:gapWidth val="100"/>
        <c:overlap val="-27"/>
        <c:axId val="650045616"/>
        <c:axId val="650048240"/>
      </c:barChart>
      <c:catAx>
        <c:axId val="6500456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50048240"/>
        <c:crosses val="autoZero"/>
        <c:auto val="1"/>
        <c:lblAlgn val="ctr"/>
        <c:lblOffset val="100"/>
        <c:noMultiLvlLbl val="0"/>
      </c:catAx>
      <c:valAx>
        <c:axId val="650048240"/>
        <c:scaling>
          <c:orientation val="minMax"/>
          <c:max val="0.8"/>
        </c:scaling>
        <c:delete val="1"/>
        <c:axPos val="l"/>
        <c:numFmt formatCode="0%" sourceLinked="1"/>
        <c:majorTickMark val="none"/>
        <c:minorTickMark val="none"/>
        <c:tickLblPos val="nextTo"/>
        <c:crossAx val="65004561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userShapes r:id="rId4"/>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766783975154234E-2"/>
          <c:y val="0.12449888208418391"/>
          <c:w val="0.94408959330244491"/>
          <c:h val="0.81223777583357626"/>
        </c:manualLayout>
      </c:layout>
      <c:pie3DChart>
        <c:varyColors val="1"/>
        <c:ser>
          <c:idx val="0"/>
          <c:order val="0"/>
          <c:explosion val="10"/>
          <c:dPt>
            <c:idx val="0"/>
            <c:bubble3D val="0"/>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57C3-44F5-A0AA-A164626C96CB}"/>
              </c:ext>
            </c:extLst>
          </c:dPt>
          <c:dPt>
            <c:idx val="1"/>
            <c:bubble3D val="0"/>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57C3-44F5-A0AA-A164626C96CB}"/>
              </c:ext>
            </c:extLst>
          </c:dPt>
          <c:dPt>
            <c:idx val="2"/>
            <c:bubble3D val="0"/>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57C3-44F5-A0AA-A164626C96CB}"/>
              </c:ext>
            </c:extLst>
          </c:dPt>
          <c:dPt>
            <c:idx val="3"/>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57C3-44F5-A0AA-A164626C96CB}"/>
              </c:ext>
            </c:extLst>
          </c:dPt>
          <c:dLbls>
            <c:dLbl>
              <c:idx val="0"/>
              <c:layout>
                <c:manualLayout>
                  <c:x val="2.8099264923074328E-2"/>
                  <c:y val="7.562387036949722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57C3-44F5-A0AA-A164626C96CB}"/>
                </c:ext>
              </c:extLst>
            </c:dLbl>
            <c:dLbl>
              <c:idx val="1"/>
              <c:layout>
                <c:manualLayout>
                  <c:x val="-6.3033592749666814E-2"/>
                  <c:y val="5.833995015328966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57C3-44F5-A0AA-A164626C96CB}"/>
                </c:ext>
              </c:extLst>
            </c:dLbl>
            <c:dLbl>
              <c:idx val="2"/>
              <c:layout>
                <c:manualLayout>
                  <c:x val="-4.5754653103423158E-2"/>
                  <c:y val="4.2824885859855784E-2"/>
                </c:manualLayout>
              </c:layout>
              <c:showLegendKey val="0"/>
              <c:showVal val="1"/>
              <c:showCatName val="1"/>
              <c:showSerName val="0"/>
              <c:showPercent val="0"/>
              <c:showBubbleSize val="0"/>
              <c:separator> </c:separator>
              <c:extLst>
                <c:ext xmlns:c15="http://schemas.microsoft.com/office/drawing/2012/chart" uri="{CE6537A1-D6FC-4f65-9D91-7224C49458BB}">
                  <c15:layout>
                    <c:manualLayout>
                      <c:w val="0.26307601421204985"/>
                      <c:h val="0.25277777777777777"/>
                    </c:manualLayout>
                  </c15:layout>
                </c:ext>
                <c:ext xmlns:c16="http://schemas.microsoft.com/office/drawing/2014/chart" uri="{C3380CC4-5D6E-409C-BE32-E72D297353CC}">
                  <c16:uniqueId val="{00000005-57C3-44F5-A0AA-A164626C96CB}"/>
                </c:ext>
              </c:extLst>
            </c:dLbl>
            <c:dLbl>
              <c:idx val="3"/>
              <c:layout>
                <c:manualLayout>
                  <c:x val="-8.3967771731060015E-2"/>
                  <c:y val="2.9031297558393438E-3"/>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57C3-44F5-A0AA-A164626C96CB}"/>
                </c:ext>
              </c:extLst>
            </c:dLbl>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Jambon!$I$25:$I$28</c:f>
              <c:strCache>
                <c:ptCount val="4"/>
                <c:pt idx="0">
                  <c:v>Jambon 5D saumuré ou salé</c:v>
                </c:pt>
                <c:pt idx="1">
                  <c:v>Jambon 4D saumuré ou salé</c:v>
                </c:pt>
                <c:pt idx="2">
                  <c:v>Jambon sans mouille saumuré </c:v>
                </c:pt>
                <c:pt idx="3">
                  <c:v>Jambon coupe S/S et Parme</c:v>
                </c:pt>
              </c:strCache>
            </c:strRef>
          </c:cat>
          <c:val>
            <c:numRef>
              <c:f>Jambon!$K$25:$K$28</c:f>
              <c:numCache>
                <c:formatCode>0%</c:formatCode>
                <c:ptCount val="4"/>
                <c:pt idx="0">
                  <c:v>0.70153061224489799</c:v>
                </c:pt>
                <c:pt idx="1">
                  <c:v>7.6530612244897961E-2</c:v>
                </c:pt>
                <c:pt idx="2">
                  <c:v>3.826530612244898E-2</c:v>
                </c:pt>
                <c:pt idx="3">
                  <c:v>0.18367346938775511</c:v>
                </c:pt>
              </c:numCache>
            </c:numRef>
          </c:val>
          <c:extLst>
            <c:ext xmlns:c16="http://schemas.microsoft.com/office/drawing/2014/chart" uri="{C3380CC4-5D6E-409C-BE32-E72D297353CC}">
              <c16:uniqueId val="{00000008-57C3-44F5-A0AA-A164626C96CB}"/>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8862079001502734E-4"/>
          <c:y val="9.4019589014787797E-2"/>
          <c:w val="0.99941137920998502"/>
          <c:h val="0.76902579860444276"/>
        </c:manualLayout>
      </c:layout>
      <c:pie3DChart>
        <c:varyColors val="1"/>
        <c:ser>
          <c:idx val="0"/>
          <c:order val="0"/>
          <c:dPt>
            <c:idx val="0"/>
            <c:bubble3D val="0"/>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8205-4E97-8F8C-92A81F84B618}"/>
              </c:ext>
            </c:extLst>
          </c:dPt>
          <c:dPt>
            <c:idx val="1"/>
            <c:bubble3D val="0"/>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8205-4E97-8F8C-92A81F84B618}"/>
              </c:ext>
            </c:extLst>
          </c:dPt>
          <c:dPt>
            <c:idx val="2"/>
            <c:bubble3D val="0"/>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8205-4E97-8F8C-92A81F84B618}"/>
              </c:ext>
            </c:extLst>
          </c:dPt>
          <c:dPt>
            <c:idx val="3"/>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8205-4E97-8F8C-92A81F84B618}"/>
              </c:ext>
            </c:extLst>
          </c:dPt>
          <c:dLbls>
            <c:dLbl>
              <c:idx val="0"/>
              <c:layout>
                <c:manualLayout>
                  <c:x val="0.21646357459783969"/>
                  <c:y val="4.715447154471545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8205-4E97-8F8C-92A81F84B618}"/>
                </c:ext>
              </c:extLst>
            </c:dLbl>
            <c:dLbl>
              <c:idx val="1"/>
              <c:layout>
                <c:manualLayout>
                  <c:x val="0.16680328647958118"/>
                  <c:y val="-0.18983880673452405"/>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8205-4E97-8F8C-92A81F84B618}"/>
                </c:ext>
              </c:extLst>
            </c:dLbl>
            <c:dLbl>
              <c:idx val="2"/>
              <c:layout>
                <c:manualLayout>
                  <c:x val="-0.17061390396353837"/>
                  <c:y val="0.3361956340823250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8205-4E97-8F8C-92A81F84B618}"/>
                </c:ext>
              </c:extLst>
            </c:dLbl>
            <c:dLbl>
              <c:idx val="3"/>
              <c:layout>
                <c:manualLayout>
                  <c:x val="-0.18448836006798039"/>
                  <c:y val="5.6774854362716856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8205-4E97-8F8C-92A81F84B618}"/>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'Carto jb3'!$BC$13:$BF$13</c:f>
              <c:strCache>
                <c:ptCount val="4"/>
                <c:pt idx="0">
                  <c:v>Viande crue, salée, saumurée</c:v>
                </c:pt>
                <c:pt idx="1">
                  <c:v>Jambons cuits  </c:v>
                </c:pt>
                <c:pt idx="2">
                  <c:v>Jambons crus, séchés</c:v>
                </c:pt>
                <c:pt idx="3">
                  <c:v>PAI</c:v>
                </c:pt>
              </c:strCache>
            </c:strRef>
          </c:cat>
          <c:val>
            <c:numRef>
              <c:f>'Carto jb3'!$BC$14:$BF$14</c:f>
              <c:numCache>
                <c:formatCode>0%</c:formatCode>
                <c:ptCount val="4"/>
                <c:pt idx="0">
                  <c:v>7.008216529724505E-2</c:v>
                </c:pt>
                <c:pt idx="1">
                  <c:v>0.7353794103431609</c:v>
                </c:pt>
                <c:pt idx="2">
                  <c:v>0.14620589656839053</c:v>
                </c:pt>
                <c:pt idx="3">
                  <c:v>0.03</c:v>
                </c:pt>
              </c:numCache>
            </c:numRef>
          </c:val>
          <c:extLst>
            <c:ext xmlns:c16="http://schemas.microsoft.com/office/drawing/2014/chart" uri="{C3380CC4-5D6E-409C-BE32-E72D297353CC}">
              <c16:uniqueId val="{00000008-8205-4E97-8F8C-92A81F84B618}"/>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solidFill>
      <a:round/>
    </a:ln>
    <a:effectLst/>
  </c:spPr>
  <c:txPr>
    <a:bodyPr/>
    <a:lstStyle/>
    <a:p>
      <a:pPr>
        <a:defRPr/>
      </a:pPr>
      <a:endParaRPr lang="fr-FR"/>
    </a:p>
  </c:txPr>
  <c:externalData r:id="rId3">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4959386655615417"/>
          <c:w val="1"/>
          <c:h val="0.7225990172281096"/>
        </c:manualLayout>
      </c:layout>
      <c:pie3DChart>
        <c:varyColors val="1"/>
        <c:ser>
          <c:idx val="0"/>
          <c:order val="0"/>
          <c:explosion val="4"/>
          <c:dPt>
            <c:idx val="0"/>
            <c:bubble3D val="0"/>
            <c:spPr>
              <a:solidFill>
                <a:schemeClr val="dk1">
                  <a:tint val="885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343C-4002-A7E0-53ADE629B933}"/>
              </c:ext>
            </c:extLst>
          </c:dPt>
          <c:dPt>
            <c:idx val="1"/>
            <c:bubble3D val="0"/>
            <c:spPr>
              <a:solidFill>
                <a:schemeClr val="dk1">
                  <a:tint val="5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343C-4002-A7E0-53ADE629B933}"/>
              </c:ext>
            </c:extLst>
          </c:dPt>
          <c:dPt>
            <c:idx val="2"/>
            <c:bubble3D val="0"/>
            <c:spPr>
              <a:solidFill>
                <a:schemeClr val="dk1">
                  <a:tint val="7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343C-4002-A7E0-53ADE629B933}"/>
              </c:ext>
            </c:extLst>
          </c:dPt>
          <c:dPt>
            <c:idx val="3"/>
            <c:bubble3D val="0"/>
            <c:spPr>
              <a:solidFill>
                <a:schemeClr val="dk1">
                  <a:tint val="985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343C-4002-A7E0-53ADE629B933}"/>
              </c:ext>
            </c:extLst>
          </c:dPt>
          <c:dLbls>
            <c:dLbl>
              <c:idx val="0"/>
              <c:layout>
                <c:manualLayout>
                  <c:x val="5.9612418913956917E-2"/>
                  <c:y val="-6.5932153217689915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343C-4002-A7E0-53ADE629B933}"/>
                </c:ext>
              </c:extLst>
            </c:dLbl>
            <c:dLbl>
              <c:idx val="1"/>
              <c:layout>
                <c:manualLayout>
                  <c:x val="0.18926105739373261"/>
                  <c:y val="-0.17293233082706766"/>
                </c:manualLayout>
              </c:layout>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15:layout>
                    <c:manualLayout>
                      <c:w val="0.19426597582037997"/>
                      <c:h val="0.3007518796992481"/>
                    </c:manualLayout>
                  </c15:layout>
                </c:ext>
                <c:ext xmlns:c16="http://schemas.microsoft.com/office/drawing/2014/chart" uri="{C3380CC4-5D6E-409C-BE32-E72D297353CC}">
                  <c16:uniqueId val="{00000003-343C-4002-A7E0-53ADE629B933}"/>
                </c:ext>
              </c:extLst>
            </c:dLbl>
            <c:dLbl>
              <c:idx val="2"/>
              <c:layout>
                <c:manualLayout>
                  <c:x val="-4.9296868979460493E-2"/>
                  <c:y val="-0.1932816292700254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343C-4002-A7E0-53ADE629B933}"/>
                </c:ext>
              </c:extLst>
            </c:dLbl>
            <c:dLbl>
              <c:idx val="3"/>
              <c:layout>
                <c:manualLayout>
                  <c:x val="-0.10615324638824292"/>
                  <c:y val="3.007518796992481E-2"/>
                </c:manualLayout>
              </c:layout>
              <c:showLegendKey val="0"/>
              <c:showVal val="1"/>
              <c:showCatName val="1"/>
              <c:showSerName val="0"/>
              <c:showPercent val="0"/>
              <c:showBubbleSize val="0"/>
              <c:separator> </c:separator>
              <c:extLst>
                <c:ext xmlns:c15="http://schemas.microsoft.com/office/drawing/2012/chart" uri="{CE6537A1-D6FC-4f65-9D91-7224C49458BB}">
                  <c15:layout>
                    <c:manualLayout>
                      <c:w val="0.22784110535405869"/>
                      <c:h val="0.28195488721804512"/>
                    </c:manualLayout>
                  </c15:layout>
                </c:ext>
                <c:ext xmlns:c16="http://schemas.microsoft.com/office/drawing/2014/chart" uri="{C3380CC4-5D6E-409C-BE32-E72D297353CC}">
                  <c16:uniqueId val="{00000007-343C-4002-A7E0-53ADE629B93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'cartographie épaule'!$AI$25:$AI$28</c:f>
              <c:strCache>
                <c:ptCount val="4"/>
                <c:pt idx="0">
                  <c:v>Epaule 4D </c:v>
                </c:pt>
                <c:pt idx="1">
                  <c:v>Epaule 3D, 2D et autres</c:v>
                </c:pt>
                <c:pt idx="2">
                  <c:v>Epaule Brute</c:v>
                </c:pt>
                <c:pt idx="3">
                  <c:v>Jarret avant, palette a/o et s/o </c:v>
                </c:pt>
              </c:strCache>
            </c:strRef>
          </c:cat>
          <c:val>
            <c:numRef>
              <c:f>'cartographie épaule'!$AJ$25:$AJ$28</c:f>
              <c:numCache>
                <c:formatCode>0%</c:formatCode>
                <c:ptCount val="4"/>
                <c:pt idx="0">
                  <c:v>0.35048840784949575</c:v>
                </c:pt>
                <c:pt idx="1">
                  <c:v>0.24176168906505893</c:v>
                </c:pt>
                <c:pt idx="2">
                  <c:v>0.1909664843353294</c:v>
                </c:pt>
                <c:pt idx="3">
                  <c:v>0.21678341875011595</c:v>
                </c:pt>
              </c:numCache>
            </c:numRef>
          </c:val>
          <c:extLst>
            <c:ext xmlns:c16="http://schemas.microsoft.com/office/drawing/2014/chart" uri="{C3380CC4-5D6E-409C-BE32-E72D297353CC}">
              <c16:uniqueId val="{00000008-343C-4002-A7E0-53ADE629B933}"/>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8209248234214624E-3"/>
          <c:y val="0.11660939143740635"/>
          <c:w val="0.93394661033224502"/>
          <c:h val="0.81475341898052211"/>
        </c:manualLayout>
      </c:layout>
      <c:pie3DChart>
        <c:varyColors val="1"/>
        <c:ser>
          <c:idx val="0"/>
          <c:order val="0"/>
          <c:dPt>
            <c:idx val="0"/>
            <c:bubble3D val="0"/>
            <c:spPr>
              <a:solidFill>
                <a:schemeClr val="accent3">
                  <a:shade val="6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A497-42B1-8BDF-C47B9CB18243}"/>
              </c:ext>
            </c:extLst>
          </c:dPt>
          <c:dPt>
            <c:idx val="1"/>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3-A497-42B1-8BDF-C47B9CB18243}"/>
              </c:ext>
            </c:extLst>
          </c:dPt>
          <c:dPt>
            <c:idx val="2"/>
            <c:bubble3D val="0"/>
            <c:spPr>
              <a:solidFill>
                <a:schemeClr val="accent3">
                  <a:tint val="65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A497-42B1-8BDF-C47B9CB18243}"/>
              </c:ext>
            </c:extLst>
          </c:dPt>
          <c:dLbls>
            <c:dLbl>
              <c:idx val="0"/>
              <c:layout>
                <c:manualLayout>
                  <c:x val="9.9371989303620131E-4"/>
                  <c:y val="9.7735116870045352E-3"/>
                </c:manualLayout>
              </c:layout>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A497-42B1-8BDF-C47B9CB18243}"/>
                </c:ext>
              </c:extLst>
            </c:dLbl>
            <c:dLbl>
              <c:idx val="1"/>
              <c:layout>
                <c:manualLayout>
                  <c:x val="-2.6952580630319044E-2"/>
                  <c:y val="-1.2336557597517461E-2"/>
                </c:manualLayout>
              </c:layout>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A497-42B1-8BDF-C47B9CB18243}"/>
                </c:ext>
              </c:extLst>
            </c:dLbl>
            <c:dLbl>
              <c:idx val="2"/>
              <c:layout>
                <c:manualLayout>
                  <c:x val="0.23750841259827035"/>
                  <c:y val="5.9109592433021271E-3"/>
                </c:manualLayout>
              </c:layout>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A497-42B1-8BDF-C47B9CB1824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0"/>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Epaule!$C$11:$C$13</c:f>
              <c:strCache>
                <c:ptCount val="3"/>
                <c:pt idx="0">
                  <c:v>Epaule, palette, jarret cru, demi sel </c:v>
                </c:pt>
                <c:pt idx="1">
                  <c:v>Epaule cuite, sèche, autres pièces cuites</c:v>
                </c:pt>
                <c:pt idx="2">
                  <c:v>Ingrédient pour Traiteur </c:v>
                </c:pt>
              </c:strCache>
            </c:strRef>
          </c:cat>
          <c:val>
            <c:numRef>
              <c:f>Epaule!$D$11:$D$13</c:f>
              <c:numCache>
                <c:formatCode>0%</c:formatCode>
                <c:ptCount val="3"/>
                <c:pt idx="0">
                  <c:v>0.7</c:v>
                </c:pt>
                <c:pt idx="1">
                  <c:v>0.28999999999999998</c:v>
                </c:pt>
                <c:pt idx="2">
                  <c:v>0.01</c:v>
                </c:pt>
              </c:numCache>
            </c:numRef>
          </c:val>
          <c:extLst>
            <c:ext xmlns:c16="http://schemas.microsoft.com/office/drawing/2014/chart" uri="{C3380CC4-5D6E-409C-BE32-E72D297353CC}">
              <c16:uniqueId val="{00000006-A497-42B1-8BDF-C47B9CB18243}"/>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4351851851851852"/>
          <c:w val="1"/>
          <c:h val="0.77198964712744245"/>
        </c:manualLayout>
      </c:layout>
      <c:pie3DChart>
        <c:varyColors val="1"/>
        <c:ser>
          <c:idx val="0"/>
          <c:order val="0"/>
          <c:dPt>
            <c:idx val="0"/>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060C-4010-9770-45A8835BF450}"/>
              </c:ext>
            </c:extLst>
          </c:dPt>
          <c:dPt>
            <c:idx val="1"/>
            <c:bubble3D val="0"/>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060C-4010-9770-45A8835BF450}"/>
              </c:ext>
            </c:extLst>
          </c:dPt>
          <c:dPt>
            <c:idx val="2"/>
            <c:bubble3D val="0"/>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060C-4010-9770-45A8835BF450}"/>
              </c:ext>
            </c:extLst>
          </c:dPt>
          <c:dPt>
            <c:idx val="3"/>
            <c:bubble3D val="0"/>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060C-4010-9770-45A8835BF450}"/>
              </c:ext>
            </c:extLst>
          </c:dPt>
          <c:dLbls>
            <c:dLbl>
              <c:idx val="0"/>
              <c:layout>
                <c:manualLayout>
                  <c:x val="8.988788086271824E-3"/>
                  <c:y val="-2.6815398075240596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060C-4010-9770-45A8835BF450}"/>
                </c:ext>
              </c:extLst>
            </c:dLbl>
            <c:dLbl>
              <c:idx val="1"/>
              <c:layout>
                <c:manualLayout>
                  <c:x val="3.021542280041082E-2"/>
                  <c:y val="-0.1377165354330708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060C-4010-9770-45A8835BF450}"/>
                </c:ext>
              </c:extLst>
            </c:dLbl>
            <c:dLbl>
              <c:idx val="2"/>
              <c:layout>
                <c:manualLayout>
                  <c:x val="4.7023793221499487E-2"/>
                  <c:y val="-7.7520049577136194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060C-4010-9770-45A8835BF450}"/>
                </c:ext>
              </c:extLst>
            </c:dLbl>
            <c:dLbl>
              <c:idx val="3"/>
              <c:layout>
                <c:manualLayout>
                  <c:x val="7.8355871276959942E-3"/>
                  <c:y val="-0.299648950131233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060C-4010-9770-45A8835BF450}"/>
                </c:ext>
              </c:extLst>
            </c:dLbl>
            <c:spPr>
              <a:noFill/>
              <a:ln>
                <a:noFill/>
              </a:ln>
              <a:effectLst/>
            </c:spPr>
            <c:txPr>
              <a:bodyPr rot="0" spcFirstLastPara="1" vertOverflow="ellipsis" vert="horz" wrap="square" lIns="38100" tIns="19050" rIns="38100" bIns="19050" anchor="ctr" anchorCtr="1">
                <a:spAutoFit/>
              </a:bodyPr>
              <a:lstStyle/>
              <a:p>
                <a:pPr>
                  <a:defRPr sz="11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Feuil30!$C$15:$C$18</c:f>
              <c:strCache>
                <c:ptCount val="4"/>
                <c:pt idx="0">
                  <c:v>Travers</c:v>
                </c:pt>
                <c:pt idx="1">
                  <c:v>Poitrine Cutter (hachage)</c:v>
                </c:pt>
                <c:pt idx="2">
                  <c:v>Poitrine entière</c:v>
                </c:pt>
                <c:pt idx="3">
                  <c:v>Poitrine lardons parée 4 faces n°1/n°2</c:v>
                </c:pt>
              </c:strCache>
            </c:strRef>
          </c:cat>
          <c:val>
            <c:numRef>
              <c:f>Feuil30!$D$15:$D$18</c:f>
              <c:numCache>
                <c:formatCode>0%</c:formatCode>
                <c:ptCount val="4"/>
                <c:pt idx="0">
                  <c:v>0.1</c:v>
                </c:pt>
                <c:pt idx="1">
                  <c:v>0.2</c:v>
                </c:pt>
                <c:pt idx="2">
                  <c:v>0.2</c:v>
                </c:pt>
                <c:pt idx="3">
                  <c:v>0.5</c:v>
                </c:pt>
              </c:numCache>
            </c:numRef>
          </c:val>
          <c:extLst>
            <c:ext xmlns:c16="http://schemas.microsoft.com/office/drawing/2014/chart" uri="{C3380CC4-5D6E-409C-BE32-E72D297353CC}">
              <c16:uniqueId val="{00000008-060C-4010-9770-45A8835BF450}"/>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fr-FR"/>
    </a:p>
  </c:txPr>
  <c:externalData r:id="rId3">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3055555555555558E-2"/>
          <c:y val="0.15972222222222221"/>
          <c:w val="0.80380164415914557"/>
          <c:h val="0.76830280614196911"/>
        </c:manualLayout>
      </c:layout>
      <c:pie3DChart>
        <c:varyColors val="1"/>
        <c:ser>
          <c:idx val="0"/>
          <c:order val="0"/>
          <c:dPt>
            <c:idx val="0"/>
            <c:bubble3D val="0"/>
            <c:spPr>
              <a:solidFill>
                <a:schemeClr val="accent3">
                  <a:shade val="53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9826-45A4-B36B-1B128D7466E2}"/>
              </c:ext>
            </c:extLst>
          </c:dPt>
          <c:dPt>
            <c:idx val="1"/>
            <c:bubble3D val="0"/>
            <c:spPr>
              <a:solidFill>
                <a:schemeClr val="accent3">
                  <a:shade val="7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9826-45A4-B36B-1B128D7466E2}"/>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9826-45A4-B36B-1B128D7466E2}"/>
              </c:ext>
            </c:extLst>
          </c:dPt>
          <c:dPt>
            <c:idx val="3"/>
            <c:bubble3D val="0"/>
            <c:spPr>
              <a:solidFill>
                <a:schemeClr val="accent3">
                  <a:tint val="77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9826-45A4-B36B-1B128D7466E2}"/>
              </c:ext>
            </c:extLst>
          </c:dPt>
          <c:dPt>
            <c:idx val="4"/>
            <c:bubble3D val="0"/>
            <c:spPr>
              <a:solidFill>
                <a:schemeClr val="accent3">
                  <a:tint val="54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9-9826-45A4-B36B-1B128D7466E2}"/>
              </c:ext>
            </c:extLst>
          </c:dPt>
          <c:dLbls>
            <c:dLbl>
              <c:idx val="0"/>
              <c:layout>
                <c:manualLayout>
                  <c:x val="-3.2556535280202976E-2"/>
                  <c:y val="-0.49710551672591746"/>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9826-45A4-B36B-1B128D7466E2}"/>
                </c:ext>
              </c:extLst>
            </c:dLbl>
            <c:dLbl>
              <c:idx val="1"/>
              <c:layout>
                <c:manualLayout>
                  <c:x val="-7.804875650508733E-3"/>
                  <c:y val="-0.15618402416679047"/>
                </c:manualLayout>
              </c:layout>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extLst>
                <c:ext xmlns:c15="http://schemas.microsoft.com/office/drawing/2012/chart" uri="{CE6537A1-D6FC-4f65-9D91-7224C49458BB}">
                  <c15:layout>
                    <c:manualLayout>
                      <c:w val="0.14746011729027828"/>
                      <c:h val="0.17358490566037735"/>
                    </c:manualLayout>
                  </c15:layout>
                </c:ext>
                <c:ext xmlns:c16="http://schemas.microsoft.com/office/drawing/2014/chart" uri="{C3380CC4-5D6E-409C-BE32-E72D297353CC}">
                  <c16:uniqueId val="{00000003-9826-45A4-B36B-1B128D7466E2}"/>
                </c:ext>
              </c:extLst>
            </c:dLbl>
            <c:dLbl>
              <c:idx val="2"/>
              <c:layout>
                <c:manualLayout>
                  <c:x val="-4.4852362204724407E-3"/>
                  <c:y val="-2.2446412948381452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9826-45A4-B36B-1B128D7466E2}"/>
                </c:ext>
              </c:extLst>
            </c:dLbl>
            <c:dLbl>
              <c:idx val="3"/>
              <c:layout>
                <c:manualLayout>
                  <c:x val="3.2359403666529826E-2"/>
                  <c:y val="-9.7792304263853817E-3"/>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9826-45A4-B36B-1B128D7466E2}"/>
                </c:ext>
              </c:extLst>
            </c:dLbl>
            <c:dLbl>
              <c:idx val="4"/>
              <c:layout>
                <c:manualLayout>
                  <c:x val="0.15670561623754964"/>
                  <c:y val="-2.7634944425848608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9826-45A4-B36B-1B128D7466E2}"/>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Feuil27!$B$5:$B$9</c:f>
              <c:strCache>
                <c:ptCount val="5"/>
                <c:pt idx="0">
                  <c:v>Lardons natures,  fumés </c:v>
                </c:pt>
                <c:pt idx="1">
                  <c:v>Travers</c:v>
                </c:pt>
                <c:pt idx="2">
                  <c:v>Ingrédient pour traiteur </c:v>
                </c:pt>
                <c:pt idx="3">
                  <c:v>Poitrine Pièce </c:v>
                </c:pt>
                <c:pt idx="4">
                  <c:v>Fritons, gratons </c:v>
                </c:pt>
              </c:strCache>
            </c:strRef>
          </c:cat>
          <c:val>
            <c:numRef>
              <c:f>Feuil27!$C$5:$C$9</c:f>
              <c:numCache>
                <c:formatCode>0%</c:formatCode>
                <c:ptCount val="5"/>
                <c:pt idx="0">
                  <c:v>0.66</c:v>
                </c:pt>
                <c:pt idx="1">
                  <c:v>0.12</c:v>
                </c:pt>
                <c:pt idx="2">
                  <c:v>0.13</c:v>
                </c:pt>
                <c:pt idx="3">
                  <c:v>0.06</c:v>
                </c:pt>
                <c:pt idx="4">
                  <c:v>0.04</c:v>
                </c:pt>
              </c:numCache>
            </c:numRef>
          </c:val>
          <c:extLst>
            <c:ext xmlns:c16="http://schemas.microsoft.com/office/drawing/2014/chart" uri="{C3380CC4-5D6E-409C-BE32-E72D297353CC}">
              <c16:uniqueId val="{0000000A-9826-45A4-B36B-1B128D7466E2}"/>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0.1111111111111111"/>
          <c:w val="1"/>
          <c:h val="0.80439705453485"/>
        </c:manualLayout>
      </c:layout>
      <c:pie3DChart>
        <c:varyColors val="1"/>
        <c:ser>
          <c:idx val="0"/>
          <c:order val="0"/>
          <c:explosion val="9"/>
          <c:dPt>
            <c:idx val="0"/>
            <c:bubble3D val="0"/>
            <c:spPr>
              <a:solidFill>
                <a:schemeClr val="accent3">
                  <a:tint val="54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1C38-4A75-905F-1141300B6935}"/>
              </c:ext>
            </c:extLst>
          </c:dPt>
          <c:dPt>
            <c:idx val="1"/>
            <c:bubble3D val="0"/>
            <c:spPr>
              <a:solidFill>
                <a:schemeClr val="accent3">
                  <a:tint val="77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1C38-4A75-905F-1141300B6935}"/>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1C38-4A75-905F-1141300B6935}"/>
              </c:ext>
            </c:extLst>
          </c:dPt>
          <c:dPt>
            <c:idx val="3"/>
            <c:bubble3D val="0"/>
            <c:spPr>
              <a:solidFill>
                <a:schemeClr val="accent3">
                  <a:shade val="7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1C38-4A75-905F-1141300B6935}"/>
              </c:ext>
            </c:extLst>
          </c:dPt>
          <c:dPt>
            <c:idx val="4"/>
            <c:bubble3D val="0"/>
            <c:spPr>
              <a:solidFill>
                <a:schemeClr val="accent3">
                  <a:shade val="53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9-1C38-4A75-905F-1141300B6935}"/>
              </c:ext>
            </c:extLst>
          </c:dPt>
          <c:dLbls>
            <c:dLbl>
              <c:idx val="0"/>
              <c:layout>
                <c:manualLayout>
                  <c:x val="-2.681898322492297E-2"/>
                  <c:y val="-0.11045749489647128"/>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1C38-4A75-905F-1141300B6935}"/>
                </c:ext>
              </c:extLst>
            </c:dLbl>
            <c:dLbl>
              <c:idx val="1"/>
              <c:layout>
                <c:manualLayout>
                  <c:x val="6.4963111947963031E-2"/>
                  <c:y val="-0.1002121609798775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1C38-4A75-905F-1141300B6935}"/>
                </c:ext>
              </c:extLst>
            </c:dLbl>
            <c:dLbl>
              <c:idx val="4"/>
              <c:layout>
                <c:manualLayout>
                  <c:x val="2.2640705237932216E-2"/>
                  <c:y val="-0.1045596383785360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1C38-4A75-905F-1141300B6935}"/>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Feuil43!$G$5:$G$9</c:f>
              <c:strCache>
                <c:ptCount val="5"/>
                <c:pt idx="0">
                  <c:v>Carré</c:v>
                </c:pt>
                <c:pt idx="1">
                  <c:v>Ribs / spare ribs</c:v>
                </c:pt>
                <c:pt idx="2">
                  <c:v>Longe tranchée</c:v>
                </c:pt>
                <c:pt idx="3">
                  <c:v>Filet</c:v>
                </c:pt>
                <c:pt idx="4">
                  <c:v>Echine </c:v>
                </c:pt>
              </c:strCache>
            </c:strRef>
          </c:cat>
          <c:val>
            <c:numRef>
              <c:f>Feuil43!$H$5:$H$9</c:f>
              <c:numCache>
                <c:formatCode>0%</c:formatCode>
                <c:ptCount val="5"/>
                <c:pt idx="0">
                  <c:v>0.39169675090252709</c:v>
                </c:pt>
                <c:pt idx="1">
                  <c:v>6.1371841155234655E-2</c:v>
                </c:pt>
                <c:pt idx="2">
                  <c:v>0.10830324909747292</c:v>
                </c:pt>
                <c:pt idx="3">
                  <c:v>9.3862815884476536E-2</c:v>
                </c:pt>
                <c:pt idx="4">
                  <c:v>0.34476534296028882</c:v>
                </c:pt>
              </c:numCache>
            </c:numRef>
          </c:val>
          <c:extLst>
            <c:ext xmlns:c16="http://schemas.microsoft.com/office/drawing/2014/chart" uri="{C3380CC4-5D6E-409C-BE32-E72D297353CC}">
              <c16:uniqueId val="{0000000A-1C38-4A75-905F-1141300B6935}"/>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fr-FR"/>
    </a:p>
  </c:txPr>
  <c:externalData r:id="rId3">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5746650443899672E-2"/>
          <c:y val="0.19444444444444445"/>
          <c:w val="0.93888888888888888"/>
          <c:h val="0.72106372120151652"/>
        </c:manualLayout>
      </c:layout>
      <c:pie3DChart>
        <c:varyColors val="1"/>
        <c:ser>
          <c:idx val="0"/>
          <c:order val="0"/>
          <c:dPt>
            <c:idx val="0"/>
            <c:bubble3D val="0"/>
            <c:spPr>
              <a:solidFill>
                <a:schemeClr val="accent3">
                  <a:tint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1-27E5-4555-BD05-B67BE4F2934C}"/>
              </c:ext>
            </c:extLst>
          </c:dPt>
          <c:dPt>
            <c:idx val="1"/>
            <c:bubble3D val="0"/>
            <c:explosion val="7"/>
            <c:spPr>
              <a:solidFill>
                <a:schemeClr val="accent3">
                  <a:tint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3-27E5-4555-BD05-B67BE4F2934C}"/>
              </c:ext>
            </c:extLst>
          </c:dPt>
          <c:dPt>
            <c:idx val="2"/>
            <c:bubble3D val="0"/>
            <c:explosion val="11"/>
            <c:spPr>
              <a:solidFill>
                <a:schemeClr val="accent3">
                  <a:shade val="86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5-27E5-4555-BD05-B67BE4F2934C}"/>
              </c:ext>
            </c:extLst>
          </c:dPt>
          <c:dPt>
            <c:idx val="3"/>
            <c:bubble3D val="0"/>
            <c:explosion val="6"/>
            <c:spPr>
              <a:solidFill>
                <a:schemeClr val="accent3">
                  <a:shade val="58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7-27E5-4555-BD05-B67BE4F2934C}"/>
              </c:ext>
            </c:extLst>
          </c:dPt>
          <c:dLbls>
            <c:dLbl>
              <c:idx val="0"/>
              <c:layout>
                <c:manualLayout>
                  <c:x val="0.12419404765320624"/>
                  <c:y val="-0.16352763196267134"/>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27E5-4555-BD05-B67BE4F2934C}"/>
                </c:ext>
              </c:extLst>
            </c:dLbl>
            <c:dLbl>
              <c:idx val="1"/>
              <c:layout>
                <c:manualLayout>
                  <c:x val="-0.10558609939681482"/>
                  <c:y val="5.2083333333333336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27E5-4555-BD05-B67BE4F2934C}"/>
                </c:ext>
              </c:extLst>
            </c:dLbl>
            <c:dLbl>
              <c:idx val="2"/>
              <c:layout>
                <c:manualLayout>
                  <c:x val="-4.2412603896618432E-2"/>
                  <c:y val="-1.2731481481481481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27E5-4555-BD05-B67BE4F2934C}"/>
                </c:ext>
              </c:extLst>
            </c:dLbl>
            <c:dLbl>
              <c:idx val="3"/>
              <c:layout>
                <c:manualLayout>
                  <c:x val="0.12277990781298001"/>
                  <c:y val="-1.273148148148147E-2"/>
                </c:manualLayout>
              </c:layou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27E5-4555-BD05-B67BE4F2934C}"/>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fr-FR"/>
              </a:p>
            </c:txPr>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Longe!$B$19:$B$22</c:f>
              <c:strCache>
                <c:ptCount val="4"/>
                <c:pt idx="0">
                  <c:v>Viande brute </c:v>
                </c:pt>
                <c:pt idx="1">
                  <c:v>Elaborés de boucherie </c:v>
                </c:pt>
                <c:pt idx="2">
                  <c:v>Rôti et autres pièces cuites, étuvées </c:v>
                </c:pt>
                <c:pt idx="3">
                  <c:v>Ingrédient pour traiteur </c:v>
                </c:pt>
              </c:strCache>
            </c:strRef>
          </c:cat>
          <c:val>
            <c:numRef>
              <c:f>Longe!$C$19:$C$22</c:f>
              <c:numCache>
                <c:formatCode>0%</c:formatCode>
                <c:ptCount val="4"/>
                <c:pt idx="0">
                  <c:v>0.82</c:v>
                </c:pt>
                <c:pt idx="1">
                  <c:v>0.13</c:v>
                </c:pt>
                <c:pt idx="2">
                  <c:v>0.03</c:v>
                </c:pt>
                <c:pt idx="3">
                  <c:v>0.01</c:v>
                </c:pt>
              </c:numCache>
            </c:numRef>
          </c:val>
          <c:extLst>
            <c:ext xmlns:c16="http://schemas.microsoft.com/office/drawing/2014/chart" uri="{C3380CC4-5D6E-409C-BE32-E72D297353CC}">
              <c16:uniqueId val="{00000008-27E5-4555-BD05-B67BE4F2934C}"/>
            </c:ext>
          </c:extLst>
        </c:ser>
        <c:dLbls>
          <c:showLegendKey val="0"/>
          <c:showVal val="0"/>
          <c:showCatName val="0"/>
          <c:showSerName val="0"/>
          <c:showPercent val="0"/>
          <c:showBubbleSize val="0"/>
          <c:showLeaderLines val="1"/>
        </c:dLbls>
      </c:pie3D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stacked"/>
        <c:varyColors val="0"/>
        <c:ser>
          <c:idx val="0"/>
          <c:order val="0"/>
          <c:tx>
            <c:strRef>
              <c:f>'bidouille boris'!$D$11</c:f>
              <c:strCache>
                <c:ptCount val="1"/>
                <c:pt idx="0">
                  <c:v>Hors domicile </c:v>
                </c:pt>
              </c:strCache>
            </c:strRef>
          </c:tx>
          <c:spPr>
            <a:solidFill>
              <a:schemeClr val="accent3">
                <a:shade val="58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'bidouille boris'!$C$12:$C$16</c:f>
              <c:strCache>
                <c:ptCount val="5"/>
                <c:pt idx="0">
                  <c:v>Jambon </c:v>
                </c:pt>
                <c:pt idx="1">
                  <c:v>Epaule </c:v>
                </c:pt>
                <c:pt idx="2">
                  <c:v>Poitrine </c:v>
                </c:pt>
                <c:pt idx="3">
                  <c:v>Longe</c:v>
                </c:pt>
                <c:pt idx="4">
                  <c:v>Total</c:v>
                </c:pt>
              </c:strCache>
            </c:strRef>
          </c:cat>
          <c:val>
            <c:numRef>
              <c:f>'bidouille boris'!$D$12:$D$16</c:f>
              <c:numCache>
                <c:formatCode>0%</c:formatCode>
                <c:ptCount val="5"/>
                <c:pt idx="0">
                  <c:v>0.1650943396226415</c:v>
                </c:pt>
                <c:pt idx="1">
                  <c:v>0.22960725075528701</c:v>
                </c:pt>
                <c:pt idx="2">
                  <c:v>0.15</c:v>
                </c:pt>
                <c:pt idx="3">
                  <c:v>0.14000000000000001</c:v>
                </c:pt>
                <c:pt idx="4">
                  <c:v>0.16319444444444445</c:v>
                </c:pt>
              </c:numCache>
            </c:numRef>
          </c:val>
          <c:extLst>
            <c:ext xmlns:c16="http://schemas.microsoft.com/office/drawing/2014/chart" uri="{C3380CC4-5D6E-409C-BE32-E72D297353CC}">
              <c16:uniqueId val="{00000000-CE0C-409F-82D0-25281F046F03}"/>
            </c:ext>
          </c:extLst>
        </c:ser>
        <c:ser>
          <c:idx val="1"/>
          <c:order val="1"/>
          <c:tx>
            <c:strRef>
              <c:f>'bidouille boris'!$E$11</c:f>
              <c:strCache>
                <c:ptCount val="1"/>
                <c:pt idx="0">
                  <c:v>A Domicile </c:v>
                </c:pt>
              </c:strCache>
            </c:strRef>
          </c:tx>
          <c:spPr>
            <a:solidFill>
              <a:schemeClr val="accent3">
                <a:shade val="86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'bidouille boris'!$C$12:$C$16</c:f>
              <c:strCache>
                <c:ptCount val="5"/>
                <c:pt idx="0">
                  <c:v>Jambon </c:v>
                </c:pt>
                <c:pt idx="1">
                  <c:v>Epaule </c:v>
                </c:pt>
                <c:pt idx="2">
                  <c:v>Poitrine </c:v>
                </c:pt>
                <c:pt idx="3">
                  <c:v>Longe</c:v>
                </c:pt>
                <c:pt idx="4">
                  <c:v>Total</c:v>
                </c:pt>
              </c:strCache>
            </c:strRef>
          </c:cat>
          <c:val>
            <c:numRef>
              <c:f>'bidouille boris'!$E$12:$E$16</c:f>
              <c:numCache>
                <c:formatCode>0%</c:formatCode>
                <c:ptCount val="5"/>
                <c:pt idx="0">
                  <c:v>0.76415094339622647</c:v>
                </c:pt>
                <c:pt idx="1">
                  <c:v>0.75528700906344415</c:v>
                </c:pt>
                <c:pt idx="2">
                  <c:v>0.8</c:v>
                </c:pt>
                <c:pt idx="3">
                  <c:v>0.85</c:v>
                </c:pt>
                <c:pt idx="4">
                  <c:v>0.80034722222222221</c:v>
                </c:pt>
              </c:numCache>
            </c:numRef>
          </c:val>
          <c:extLst>
            <c:ext xmlns:c16="http://schemas.microsoft.com/office/drawing/2014/chart" uri="{C3380CC4-5D6E-409C-BE32-E72D297353CC}">
              <c16:uniqueId val="{00000001-CE0C-409F-82D0-25281F046F03}"/>
            </c:ext>
          </c:extLst>
        </c:ser>
        <c:ser>
          <c:idx val="2"/>
          <c:order val="2"/>
          <c:tx>
            <c:strRef>
              <c:f>'bidouille boris'!$F$11</c:f>
              <c:strCache>
                <c:ptCount val="1"/>
                <c:pt idx="0">
                  <c:v>CVA </c:v>
                </c:pt>
              </c:strCache>
            </c:strRef>
          </c:tx>
          <c:spPr>
            <a:solidFill>
              <a:schemeClr val="accent3">
                <a:tint val="86000"/>
              </a:schemeClr>
            </a:solidFill>
            <a:ln>
              <a:noFill/>
            </a:ln>
            <a:effectLst/>
          </c:spPr>
          <c:invertIfNegative val="0"/>
          <c:dLbls>
            <c:dLbl>
              <c:idx val="0"/>
              <c:layout>
                <c:manualLayout>
                  <c:x val="0"/>
                  <c:y val="4.16666666666666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E0C-409F-82D0-25281F046F03}"/>
                </c:ext>
              </c:extLst>
            </c:dLbl>
            <c:dLbl>
              <c:idx val="1"/>
              <c:delete val="1"/>
              <c:extLst>
                <c:ext xmlns:c15="http://schemas.microsoft.com/office/drawing/2012/chart" uri="{CE6537A1-D6FC-4f65-9D91-7224C49458BB}"/>
                <c:ext xmlns:c16="http://schemas.microsoft.com/office/drawing/2014/chart" uri="{C3380CC4-5D6E-409C-BE32-E72D297353CC}">
                  <c16:uniqueId val="{00000003-CE0C-409F-82D0-25281F046F03}"/>
                </c:ext>
              </c:extLst>
            </c:dLbl>
            <c:dLbl>
              <c:idx val="2"/>
              <c:layout>
                <c:manualLayout>
                  <c:x val="-5.8436810712127639E-3"/>
                  <c:y val="5.09259259259259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E0C-409F-82D0-25281F046F03}"/>
                </c:ext>
              </c:extLst>
            </c:dLbl>
            <c:dLbl>
              <c:idx val="3"/>
              <c:delete val="1"/>
              <c:extLst>
                <c:ext xmlns:c15="http://schemas.microsoft.com/office/drawing/2012/chart" uri="{CE6537A1-D6FC-4f65-9D91-7224C49458BB}"/>
                <c:ext xmlns:c16="http://schemas.microsoft.com/office/drawing/2014/chart" uri="{C3380CC4-5D6E-409C-BE32-E72D297353CC}">
                  <c16:uniqueId val="{00000005-CE0C-409F-82D0-25281F046F03}"/>
                </c:ext>
              </c:extLst>
            </c:dLbl>
            <c:dLbl>
              <c:idx val="4"/>
              <c:layout>
                <c:manualLayout>
                  <c:x val="-5.2593129640914234E-2"/>
                  <c:y val="-6.944444444444446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CE0C-409F-82D0-25281F046F0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'bidouille boris'!$C$12:$C$16</c:f>
              <c:strCache>
                <c:ptCount val="5"/>
                <c:pt idx="0">
                  <c:v>Jambon </c:v>
                </c:pt>
                <c:pt idx="1">
                  <c:v>Epaule </c:v>
                </c:pt>
                <c:pt idx="2">
                  <c:v>Poitrine </c:v>
                </c:pt>
                <c:pt idx="3">
                  <c:v>Longe</c:v>
                </c:pt>
                <c:pt idx="4">
                  <c:v>Total</c:v>
                </c:pt>
              </c:strCache>
            </c:strRef>
          </c:cat>
          <c:val>
            <c:numRef>
              <c:f>'bidouille boris'!$F$12:$F$16</c:f>
              <c:numCache>
                <c:formatCode>0.0%</c:formatCode>
                <c:ptCount val="5"/>
                <c:pt idx="0" formatCode="0%">
                  <c:v>2.358490566037736E-2</c:v>
                </c:pt>
                <c:pt idx="1">
                  <c:v>5.0000000000000001E-3</c:v>
                </c:pt>
                <c:pt idx="2" formatCode="0%">
                  <c:v>1.8315018315018316E-2</c:v>
                </c:pt>
                <c:pt idx="3">
                  <c:v>4.6948356807511738E-3</c:v>
                </c:pt>
                <c:pt idx="4">
                  <c:v>1.3020833333333334E-2</c:v>
                </c:pt>
              </c:numCache>
            </c:numRef>
          </c:val>
          <c:extLst>
            <c:ext xmlns:c16="http://schemas.microsoft.com/office/drawing/2014/chart" uri="{C3380CC4-5D6E-409C-BE32-E72D297353CC}">
              <c16:uniqueId val="{00000007-CE0C-409F-82D0-25281F046F03}"/>
            </c:ext>
          </c:extLst>
        </c:ser>
        <c:ser>
          <c:idx val="3"/>
          <c:order val="3"/>
          <c:tx>
            <c:strRef>
              <c:f>'bidouille boris'!$G$11</c:f>
              <c:strCache>
                <c:ptCount val="1"/>
                <c:pt idx="0">
                  <c:v>Traiteur </c:v>
                </c:pt>
              </c:strCache>
            </c:strRef>
          </c:tx>
          <c:spPr>
            <a:solidFill>
              <a:schemeClr val="accent3">
                <a:tint val="58000"/>
              </a:schemeClr>
            </a:solidFill>
            <a:ln>
              <a:noFill/>
            </a:ln>
            <a:effectLst/>
          </c:spPr>
          <c:invertIfNegative val="0"/>
          <c:dLbls>
            <c:dLbl>
              <c:idx val="0"/>
              <c:layout>
                <c:manualLayout>
                  <c:x val="0"/>
                  <c:y val="-4.629629629629629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CE0C-409F-82D0-25281F046F03}"/>
                </c:ext>
              </c:extLst>
            </c:dLbl>
            <c:dLbl>
              <c:idx val="3"/>
              <c:delete val="1"/>
              <c:extLst>
                <c:ext xmlns:c15="http://schemas.microsoft.com/office/drawing/2012/chart" uri="{CE6537A1-D6FC-4f65-9D91-7224C49458BB}"/>
                <c:ext xmlns:c16="http://schemas.microsoft.com/office/drawing/2014/chart" uri="{C3380CC4-5D6E-409C-BE32-E72D297353CC}">
                  <c16:uniqueId val="{00000009-CE0C-409F-82D0-25281F046F03}"/>
                </c:ext>
              </c:extLst>
            </c:dLbl>
            <c:dLbl>
              <c:idx val="4"/>
              <c:layout>
                <c:manualLayout>
                  <c:x val="5.0645235950510001E-2"/>
                  <c:y val="-8.796296296296297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CE0C-409F-82D0-25281F046F03}"/>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'bidouille boris'!$C$12:$C$16</c:f>
              <c:strCache>
                <c:ptCount val="5"/>
                <c:pt idx="0">
                  <c:v>Jambon </c:v>
                </c:pt>
                <c:pt idx="1">
                  <c:v>Epaule </c:v>
                </c:pt>
                <c:pt idx="2">
                  <c:v>Poitrine </c:v>
                </c:pt>
                <c:pt idx="3">
                  <c:v>Longe</c:v>
                </c:pt>
                <c:pt idx="4">
                  <c:v>Total</c:v>
                </c:pt>
              </c:strCache>
            </c:strRef>
          </c:cat>
          <c:val>
            <c:numRef>
              <c:f>'bidouille boris'!$G$12:$G$16</c:f>
              <c:numCache>
                <c:formatCode>0%</c:formatCode>
                <c:ptCount val="5"/>
                <c:pt idx="0">
                  <c:v>4.716981132075472E-2</c:v>
                </c:pt>
                <c:pt idx="1">
                  <c:v>1.2084592145015106E-2</c:v>
                </c:pt>
                <c:pt idx="2">
                  <c:v>3.6630036630036632E-2</c:v>
                </c:pt>
                <c:pt idx="3">
                  <c:v>0.01</c:v>
                </c:pt>
                <c:pt idx="4" formatCode="0.0%">
                  <c:v>2.34375E-2</c:v>
                </c:pt>
              </c:numCache>
            </c:numRef>
          </c:val>
          <c:extLst>
            <c:ext xmlns:c16="http://schemas.microsoft.com/office/drawing/2014/chart" uri="{C3380CC4-5D6E-409C-BE32-E72D297353CC}">
              <c16:uniqueId val="{0000000B-CE0C-409F-82D0-25281F046F03}"/>
            </c:ext>
          </c:extLst>
        </c:ser>
        <c:dLbls>
          <c:showLegendKey val="0"/>
          <c:showVal val="0"/>
          <c:showCatName val="0"/>
          <c:showSerName val="0"/>
          <c:showPercent val="0"/>
          <c:showBubbleSize val="0"/>
        </c:dLbls>
        <c:gapWidth val="150"/>
        <c:overlap val="100"/>
        <c:axId val="887646272"/>
        <c:axId val="887649224"/>
      </c:barChart>
      <c:catAx>
        <c:axId val="8876462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887649224"/>
        <c:crosses val="autoZero"/>
        <c:auto val="1"/>
        <c:lblAlgn val="ctr"/>
        <c:lblOffset val="100"/>
        <c:noMultiLvlLbl val="0"/>
      </c:catAx>
      <c:valAx>
        <c:axId val="887649224"/>
        <c:scaling>
          <c:orientation val="minMax"/>
        </c:scaling>
        <c:delete val="1"/>
        <c:axPos val="l"/>
        <c:numFmt formatCode="0%" sourceLinked="1"/>
        <c:majorTickMark val="none"/>
        <c:minorTickMark val="none"/>
        <c:tickLblPos val="nextTo"/>
        <c:crossAx val="8876462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legend>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3">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solidFill>
                <a:latin typeface="Arial" panose="020B0604020202020204" pitchFamily="34" charset="0"/>
                <a:ea typeface="+mn-ea"/>
                <a:cs typeface="Arial" panose="020B0604020202020204" pitchFamily="34" charset="0"/>
              </a:defRPr>
            </a:pPr>
            <a:r>
              <a:rPr lang="fr-FR" sz="1000" b="0"/>
              <a:t>a/ Distribution des proportions de viande dans les plats contenant </a:t>
            </a:r>
            <a:br>
              <a:rPr lang="fr-FR" sz="1000" b="0"/>
            </a:br>
            <a:r>
              <a:rPr lang="fr-FR" sz="1000" b="0"/>
              <a:t>des produits carnés</a:t>
            </a:r>
          </a:p>
        </c:rich>
      </c:tx>
      <c:layout>
        <c:manualLayout>
          <c:xMode val="edge"/>
          <c:yMode val="edge"/>
          <c:x val="0.2084958544089274"/>
          <c:y val="6.8511809274229521E-2"/>
        </c:manualLayout>
      </c:layout>
      <c:overlay val="0"/>
      <c:spPr>
        <a:noFill/>
        <a:ln>
          <a:noFill/>
        </a:ln>
        <a:effectLst/>
      </c:spPr>
      <c:txPr>
        <a:bodyPr rot="0" spcFirstLastPara="1" vertOverflow="ellipsis" vert="horz" wrap="square" anchor="ctr" anchorCtr="1"/>
        <a:lstStyle/>
        <a:p>
          <a:pPr>
            <a:defRPr sz="1000" b="0" i="0" u="none" strike="noStrike" kern="1200" spc="0" baseline="0">
              <a:solidFill>
                <a:schemeClr val="tx1"/>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6.6141898122043921E-2"/>
          <c:y val="3.4553223109790067E-2"/>
          <c:w val="0.91279660229918602"/>
          <c:h val="0.75179813920753402"/>
        </c:manualLayout>
      </c:layout>
      <c:barChart>
        <c:barDir val="col"/>
        <c:grouping val="clustered"/>
        <c:varyColors val="0"/>
        <c:ser>
          <c:idx val="0"/>
          <c:order val="0"/>
          <c:tx>
            <c:strRef>
              <c:f>'1,7 PLATS CONTENANT VIANDE'!$C$153</c:f>
              <c:strCache>
                <c:ptCount val="1"/>
                <c:pt idx="0">
                  <c:v>Pourcentage</c:v>
                </c:pt>
              </c:strCache>
            </c:strRef>
          </c:tx>
          <c:spPr>
            <a:solidFill>
              <a:schemeClr val="tx1">
                <a:lumMod val="65000"/>
                <a:lumOff val="35000"/>
              </a:schemeClr>
            </a:solidFill>
            <a:ln>
              <a:noFill/>
            </a:ln>
            <a:effectLst/>
          </c:spPr>
          <c:invertIfNegative val="0"/>
          <c:dLbls>
            <c:spPr>
              <a:noFill/>
              <a:ln>
                <a:noFill/>
              </a:ln>
              <a:effectLst/>
            </c:spPr>
            <c:txPr>
              <a:bodyPr rot="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'1,7 PLATS CONTENANT VIANDE'!$A$154:$A$173</c:f>
              <c:strCache>
                <c:ptCount val="20"/>
                <c:pt idx="0">
                  <c:v>0-5</c:v>
                </c:pt>
                <c:pt idx="1">
                  <c:v>5-10</c:v>
                </c:pt>
                <c:pt idx="2">
                  <c:v>10-15</c:v>
                </c:pt>
                <c:pt idx="3">
                  <c:v>15-20</c:v>
                </c:pt>
                <c:pt idx="4">
                  <c:v>20-25</c:v>
                </c:pt>
                <c:pt idx="5">
                  <c:v>25-30</c:v>
                </c:pt>
                <c:pt idx="6">
                  <c:v>30-35</c:v>
                </c:pt>
                <c:pt idx="7">
                  <c:v>35-40</c:v>
                </c:pt>
                <c:pt idx="8">
                  <c:v>40-45</c:v>
                </c:pt>
                <c:pt idx="9">
                  <c:v>45-50</c:v>
                </c:pt>
                <c:pt idx="10">
                  <c:v>50-55</c:v>
                </c:pt>
                <c:pt idx="11">
                  <c:v>55-60</c:v>
                </c:pt>
                <c:pt idx="12">
                  <c:v>60-65</c:v>
                </c:pt>
                <c:pt idx="13">
                  <c:v>65-70</c:v>
                </c:pt>
                <c:pt idx="14">
                  <c:v>70-75</c:v>
                </c:pt>
                <c:pt idx="15">
                  <c:v>75-80</c:v>
                </c:pt>
                <c:pt idx="16">
                  <c:v>80-85</c:v>
                </c:pt>
                <c:pt idx="17">
                  <c:v>85-90</c:v>
                </c:pt>
                <c:pt idx="18">
                  <c:v>90-95</c:v>
                </c:pt>
                <c:pt idx="19">
                  <c:v>95-100</c:v>
                </c:pt>
              </c:strCache>
            </c:strRef>
          </c:cat>
          <c:val>
            <c:numRef>
              <c:f>'1,7 PLATS CONTENANT VIANDE'!$C$154:$C$173</c:f>
              <c:numCache>
                <c:formatCode>0%</c:formatCode>
                <c:ptCount val="20"/>
                <c:pt idx="0">
                  <c:v>1.7403608610775448E-3</c:v>
                </c:pt>
                <c:pt idx="1">
                  <c:v>2.281133667061892E-2</c:v>
                </c:pt>
                <c:pt idx="2">
                  <c:v>0.24682976418657102</c:v>
                </c:pt>
                <c:pt idx="3">
                  <c:v>0.15007657940853064</c:v>
                </c:pt>
                <c:pt idx="4">
                  <c:v>9.8515419673252447E-2</c:v>
                </c:pt>
                <c:pt idx="5">
                  <c:v>6.229377753162544E-2</c:v>
                </c:pt>
                <c:pt idx="6">
                  <c:v>0.12534874162448106</c:v>
                </c:pt>
                <c:pt idx="7">
                  <c:v>3.3848446432534922E-2</c:v>
                </c:pt>
                <c:pt idx="8">
                  <c:v>6.6533185231752279E-2</c:v>
                </c:pt>
                <c:pt idx="9">
                  <c:v>4.247230259820902E-2</c:v>
                </c:pt>
                <c:pt idx="10">
                  <c:v>2.8562695506116509E-2</c:v>
                </c:pt>
                <c:pt idx="11">
                  <c:v>1.3543550836065159E-2</c:v>
                </c:pt>
                <c:pt idx="12">
                  <c:v>2.190738102501447E-2</c:v>
                </c:pt>
                <c:pt idx="13">
                  <c:v>0</c:v>
                </c:pt>
                <c:pt idx="14">
                  <c:v>7.5056515175864653E-3</c:v>
                </c:pt>
                <c:pt idx="15">
                  <c:v>5.6315077180745049E-2</c:v>
                </c:pt>
                <c:pt idx="16">
                  <c:v>5.1193494227334184E-4</c:v>
                </c:pt>
                <c:pt idx="17">
                  <c:v>3.751027489140663E-3</c:v>
                </c:pt>
                <c:pt idx="18">
                  <c:v>1.5826418610795874E-2</c:v>
                </c:pt>
                <c:pt idx="19">
                  <c:v>1.6063486736093103E-3</c:v>
                </c:pt>
              </c:numCache>
            </c:numRef>
          </c:val>
          <c:extLst>
            <c:ext xmlns:c16="http://schemas.microsoft.com/office/drawing/2014/chart" uri="{C3380CC4-5D6E-409C-BE32-E72D297353CC}">
              <c16:uniqueId val="{00000000-071C-498A-B6C6-37220D0B331B}"/>
            </c:ext>
          </c:extLst>
        </c:ser>
        <c:dLbls>
          <c:dLblPos val="outEnd"/>
          <c:showLegendKey val="0"/>
          <c:showVal val="1"/>
          <c:showCatName val="0"/>
          <c:showSerName val="0"/>
          <c:showPercent val="0"/>
          <c:showBubbleSize val="0"/>
        </c:dLbls>
        <c:gapWidth val="100"/>
        <c:overlap val="-10"/>
        <c:axId val="1987405039"/>
        <c:axId val="2048840047"/>
      </c:barChart>
      <c:catAx>
        <c:axId val="198740503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048840047"/>
        <c:crosses val="autoZero"/>
        <c:auto val="1"/>
        <c:lblAlgn val="ctr"/>
        <c:lblOffset val="100"/>
        <c:noMultiLvlLbl val="0"/>
      </c:catAx>
      <c:valAx>
        <c:axId val="2048840047"/>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987405039"/>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050">
          <a:solidFill>
            <a:schemeClr val="tx1"/>
          </a:solidFill>
          <a:latin typeface="Arial" panose="020B0604020202020204" pitchFamily="34" charset="0"/>
          <a:cs typeface="Arial" panose="020B0604020202020204" pitchFamily="34" charset="0"/>
        </a:defRPr>
      </a:pPr>
      <a:endParaRPr lang="fr-FR"/>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solidFill>
                <a:latin typeface="Arial" panose="020B0604020202020204" pitchFamily="34" charset="0"/>
                <a:ea typeface="+mn-ea"/>
                <a:cs typeface="Arial" panose="020B0604020202020204" pitchFamily="34" charset="0"/>
              </a:defRPr>
            </a:pPr>
            <a:r>
              <a:rPr lang="fr-FR" sz="1050" dirty="0">
                <a:solidFill>
                  <a:schemeClr val="tx1"/>
                </a:solidFill>
                <a:latin typeface="Arial" panose="020B0604020202020204" pitchFamily="34" charset="0"/>
                <a:cs typeface="Arial" panose="020B0604020202020204" pitchFamily="34" charset="0"/>
              </a:rPr>
              <a:t>b/ Distribution</a:t>
            </a:r>
            <a:r>
              <a:rPr lang="fr-FR" sz="1050" baseline="0" dirty="0">
                <a:solidFill>
                  <a:schemeClr val="tx1"/>
                </a:solidFill>
                <a:latin typeface="Arial" panose="020B0604020202020204" pitchFamily="34" charset="0"/>
                <a:cs typeface="Arial" panose="020B0604020202020204" pitchFamily="34" charset="0"/>
              </a:rPr>
              <a:t> de la part des produits carnés dans les p</a:t>
            </a:r>
            <a:r>
              <a:rPr lang="fr-FR" sz="1050" dirty="0">
                <a:solidFill>
                  <a:schemeClr val="tx1"/>
                </a:solidFill>
                <a:latin typeface="Arial" panose="020B0604020202020204" pitchFamily="34" charset="0"/>
                <a:cs typeface="Arial" panose="020B0604020202020204" pitchFamily="34" charset="0"/>
              </a:rPr>
              <a:t>izzas</a:t>
            </a:r>
            <a:r>
              <a:rPr lang="fr-FR" sz="1050" baseline="0" dirty="0">
                <a:solidFill>
                  <a:schemeClr val="tx1"/>
                </a:solidFill>
                <a:latin typeface="Arial" panose="020B0604020202020204" pitchFamily="34" charset="0"/>
                <a:cs typeface="Arial" panose="020B0604020202020204" pitchFamily="34" charset="0"/>
              </a:rPr>
              <a:t> et</a:t>
            </a:r>
            <a:r>
              <a:rPr lang="fr-FR" sz="1050" dirty="0">
                <a:solidFill>
                  <a:schemeClr val="tx1"/>
                </a:solidFill>
                <a:latin typeface="Arial" panose="020B0604020202020204" pitchFamily="34" charset="0"/>
                <a:cs typeface="Arial" panose="020B0604020202020204" pitchFamily="34" charset="0"/>
              </a:rPr>
              <a:t> quiches</a:t>
            </a:r>
          </a:p>
        </c:rich>
      </c:tx>
      <c:layout>
        <c:manualLayout>
          <c:xMode val="edge"/>
          <c:yMode val="edge"/>
          <c:x val="0.27256510487461871"/>
          <c:y val="5.7421762848119437E-2"/>
        </c:manualLayout>
      </c:layout>
      <c:overlay val="0"/>
      <c:spPr>
        <a:noFill/>
        <a:ln>
          <a:noFill/>
        </a:ln>
        <a:effectLst/>
      </c:spPr>
      <c:txPr>
        <a:bodyPr rot="0" spcFirstLastPara="1" vertOverflow="ellipsis" vert="horz" wrap="square" anchor="ctr" anchorCtr="1"/>
        <a:lstStyle/>
        <a:p>
          <a:pPr>
            <a:defRPr sz="1050" b="0" i="0" u="none" strike="noStrike" kern="1200" spc="0" baseline="0">
              <a:solidFill>
                <a:schemeClr val="tx1"/>
              </a:solidFill>
              <a:latin typeface="Arial" panose="020B0604020202020204" pitchFamily="34" charset="0"/>
              <a:ea typeface="+mn-ea"/>
              <a:cs typeface="Arial" panose="020B0604020202020204" pitchFamily="34" charset="0"/>
            </a:defRPr>
          </a:pPr>
          <a:endParaRPr lang="fr-FR"/>
        </a:p>
      </c:txPr>
    </c:title>
    <c:autoTitleDeleted val="0"/>
    <c:plotArea>
      <c:layout>
        <c:manualLayout>
          <c:layoutTarget val="inner"/>
          <c:xMode val="edge"/>
          <c:yMode val="edge"/>
          <c:x val="7.5334278464084081E-2"/>
          <c:y val="5.7852652139412812E-2"/>
          <c:w val="0.90199232155652809"/>
          <c:h val="0.72365211454511336"/>
        </c:manualLayout>
      </c:layout>
      <c:barChart>
        <c:barDir val="col"/>
        <c:grouping val="clustered"/>
        <c:varyColors val="0"/>
        <c:ser>
          <c:idx val="0"/>
          <c:order val="0"/>
          <c:spPr>
            <a:solidFill>
              <a:schemeClr val="bg2">
                <a:lumMod val="2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'1,7 PLATS CONTENANT VIANDE'!$A$179:$A$198</c:f>
              <c:strCache>
                <c:ptCount val="20"/>
                <c:pt idx="0">
                  <c:v>0-5</c:v>
                </c:pt>
                <c:pt idx="1">
                  <c:v>5-10</c:v>
                </c:pt>
                <c:pt idx="2">
                  <c:v>10-15</c:v>
                </c:pt>
                <c:pt idx="3">
                  <c:v>15-20</c:v>
                </c:pt>
                <c:pt idx="4">
                  <c:v>20-25</c:v>
                </c:pt>
                <c:pt idx="5">
                  <c:v>25-30</c:v>
                </c:pt>
                <c:pt idx="6">
                  <c:v>30-35</c:v>
                </c:pt>
                <c:pt idx="7">
                  <c:v>35-40</c:v>
                </c:pt>
                <c:pt idx="8">
                  <c:v>40-45</c:v>
                </c:pt>
                <c:pt idx="9">
                  <c:v>45-50</c:v>
                </c:pt>
                <c:pt idx="10">
                  <c:v>50-55</c:v>
                </c:pt>
                <c:pt idx="11">
                  <c:v>55-60</c:v>
                </c:pt>
                <c:pt idx="12">
                  <c:v>60-65</c:v>
                </c:pt>
                <c:pt idx="13">
                  <c:v>65-70</c:v>
                </c:pt>
                <c:pt idx="14">
                  <c:v>70-75</c:v>
                </c:pt>
                <c:pt idx="15">
                  <c:v>75-80</c:v>
                </c:pt>
                <c:pt idx="16">
                  <c:v>80-85</c:v>
                </c:pt>
                <c:pt idx="17">
                  <c:v>85-90</c:v>
                </c:pt>
                <c:pt idx="18">
                  <c:v>90-95</c:v>
                </c:pt>
                <c:pt idx="19">
                  <c:v>95-100</c:v>
                </c:pt>
              </c:strCache>
            </c:strRef>
          </c:cat>
          <c:val>
            <c:numRef>
              <c:f>'1,7 PLATS CONTENANT VIANDE'!$C$179:$C$198</c:f>
              <c:numCache>
                <c:formatCode>0%</c:formatCode>
                <c:ptCount val="20"/>
                <c:pt idx="0">
                  <c:v>0</c:v>
                </c:pt>
                <c:pt idx="1">
                  <c:v>4.5328355936409076E-2</c:v>
                </c:pt>
                <c:pt idx="2">
                  <c:v>0.65981125066937896</c:v>
                </c:pt>
                <c:pt idx="3">
                  <c:v>0.1591008547049905</c:v>
                </c:pt>
                <c:pt idx="4">
                  <c:v>5.4176460403967432E-2</c:v>
                </c:pt>
                <c:pt idx="5">
                  <c:v>1.31474395132471E-2</c:v>
                </c:pt>
                <c:pt idx="6">
                  <c:v>6.5196621002872823E-2</c:v>
                </c:pt>
                <c:pt idx="7">
                  <c:v>0</c:v>
                </c:pt>
                <c:pt idx="8">
                  <c:v>0</c:v>
                </c:pt>
                <c:pt idx="9">
                  <c:v>0</c:v>
                </c:pt>
                <c:pt idx="10">
                  <c:v>3.0057248574707788E-3</c:v>
                </c:pt>
                <c:pt idx="11">
                  <c:v>0</c:v>
                </c:pt>
                <c:pt idx="12">
                  <c:v>2.3329291166363273E-4</c:v>
                </c:pt>
                <c:pt idx="13">
                  <c:v>0</c:v>
                </c:pt>
                <c:pt idx="14">
                  <c:v>0</c:v>
                </c:pt>
                <c:pt idx="15">
                  <c:v>0</c:v>
                </c:pt>
                <c:pt idx="16">
                  <c:v>0</c:v>
                </c:pt>
                <c:pt idx="17">
                  <c:v>0</c:v>
                </c:pt>
                <c:pt idx="18">
                  <c:v>0</c:v>
                </c:pt>
                <c:pt idx="19">
                  <c:v>0</c:v>
                </c:pt>
              </c:numCache>
            </c:numRef>
          </c:val>
          <c:extLst>
            <c:ext xmlns:c16="http://schemas.microsoft.com/office/drawing/2014/chart" uri="{C3380CC4-5D6E-409C-BE32-E72D297353CC}">
              <c16:uniqueId val="{00000000-150E-4243-88FB-F9A4D2DC9201}"/>
            </c:ext>
          </c:extLst>
        </c:ser>
        <c:dLbls>
          <c:dLblPos val="outEnd"/>
          <c:showLegendKey val="0"/>
          <c:showVal val="1"/>
          <c:showCatName val="0"/>
          <c:showSerName val="0"/>
          <c:showPercent val="0"/>
          <c:showBubbleSize val="0"/>
        </c:dLbls>
        <c:gapWidth val="100"/>
        <c:overlap val="-27"/>
        <c:axId val="2133317103"/>
        <c:axId val="2124973103"/>
      </c:barChart>
      <c:catAx>
        <c:axId val="213331710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124973103"/>
        <c:crosses val="autoZero"/>
        <c:auto val="1"/>
        <c:lblAlgn val="ctr"/>
        <c:lblOffset val="100"/>
        <c:noMultiLvlLbl val="0"/>
      </c:catAx>
      <c:valAx>
        <c:axId val="2124973103"/>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133317103"/>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fr-FR" sz="1050">
                <a:solidFill>
                  <a:schemeClr val="tx1"/>
                </a:solidFill>
                <a:latin typeface="Arial" panose="020B0604020202020204" pitchFamily="34" charset="0"/>
                <a:cs typeface="Arial" panose="020B0604020202020204" pitchFamily="34" charset="0"/>
              </a:rPr>
              <a:t>c/ </a:t>
            </a:r>
            <a:r>
              <a:rPr lang="fr-FR" sz="1050" b="0" i="0" u="none" strike="noStrike" baseline="0">
                <a:solidFill>
                  <a:schemeClr val="tx1"/>
                </a:solidFill>
                <a:effectLst/>
                <a:latin typeface="Arial" panose="020B0604020202020204" pitchFamily="34" charset="0"/>
                <a:cs typeface="Arial" panose="020B0604020202020204" pitchFamily="34" charset="0"/>
              </a:rPr>
              <a:t>Distribution de la part des produits carnés dans les s</a:t>
            </a:r>
            <a:r>
              <a:rPr lang="fr-FR" sz="1050">
                <a:solidFill>
                  <a:schemeClr val="tx1"/>
                </a:solidFill>
                <a:latin typeface="Arial" panose="020B0604020202020204" pitchFamily="34" charset="0"/>
                <a:cs typeface="Arial" panose="020B0604020202020204" pitchFamily="34" charset="0"/>
              </a:rPr>
              <a:t>andwiches</a:t>
            </a:r>
          </a:p>
        </c:rich>
      </c:tx>
      <c:layout>
        <c:manualLayout>
          <c:xMode val="edge"/>
          <c:yMode val="edge"/>
          <c:x val="0.24614030594878814"/>
          <c:y val="3.518029903254178E-2"/>
        </c:manualLayout>
      </c:layout>
      <c:overlay val="0"/>
      <c:spPr>
        <a:noFill/>
        <a:ln>
          <a:noFill/>
        </a:ln>
        <a:effectLst/>
      </c:spPr>
      <c:txPr>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endParaRPr lang="fr-FR"/>
        </a:p>
      </c:txPr>
    </c:title>
    <c:autoTitleDeleted val="0"/>
    <c:plotArea>
      <c:layout/>
      <c:barChart>
        <c:barDir val="col"/>
        <c:grouping val="clustered"/>
        <c:varyColors val="0"/>
        <c:ser>
          <c:idx val="0"/>
          <c:order val="0"/>
          <c:spPr>
            <a:solidFill>
              <a:schemeClr val="tx1">
                <a:lumMod val="85000"/>
                <a:lumOff val="15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'1,7 PLATS CONTENANT VIANDE'!$A$179:$A$198</c:f>
              <c:strCache>
                <c:ptCount val="20"/>
                <c:pt idx="0">
                  <c:v>0-5</c:v>
                </c:pt>
                <c:pt idx="1">
                  <c:v>5-10</c:v>
                </c:pt>
                <c:pt idx="2">
                  <c:v>10-15</c:v>
                </c:pt>
                <c:pt idx="3">
                  <c:v>15-20</c:v>
                </c:pt>
                <c:pt idx="4">
                  <c:v>20-25</c:v>
                </c:pt>
                <c:pt idx="5">
                  <c:v>25-30</c:v>
                </c:pt>
                <c:pt idx="6">
                  <c:v>30-35</c:v>
                </c:pt>
                <c:pt idx="7">
                  <c:v>35-40</c:v>
                </c:pt>
                <c:pt idx="8">
                  <c:v>40-45</c:v>
                </c:pt>
                <c:pt idx="9">
                  <c:v>45-50</c:v>
                </c:pt>
                <c:pt idx="10">
                  <c:v>50-55</c:v>
                </c:pt>
                <c:pt idx="11">
                  <c:v>55-60</c:v>
                </c:pt>
                <c:pt idx="12">
                  <c:v>60-65</c:v>
                </c:pt>
                <c:pt idx="13">
                  <c:v>65-70</c:v>
                </c:pt>
                <c:pt idx="14">
                  <c:v>70-75</c:v>
                </c:pt>
                <c:pt idx="15">
                  <c:v>75-80</c:v>
                </c:pt>
                <c:pt idx="16">
                  <c:v>80-85</c:v>
                </c:pt>
                <c:pt idx="17">
                  <c:v>85-90</c:v>
                </c:pt>
                <c:pt idx="18">
                  <c:v>90-95</c:v>
                </c:pt>
                <c:pt idx="19">
                  <c:v>95-100</c:v>
                </c:pt>
              </c:strCache>
            </c:strRef>
          </c:cat>
          <c:val>
            <c:numRef>
              <c:f>'1,7 PLATS CONTENANT VIANDE'!$G$179:$G$198</c:f>
              <c:numCache>
                <c:formatCode>0%</c:formatCode>
                <c:ptCount val="20"/>
                <c:pt idx="0">
                  <c:v>0</c:v>
                </c:pt>
                <c:pt idx="1">
                  <c:v>0</c:v>
                </c:pt>
                <c:pt idx="2">
                  <c:v>0</c:v>
                </c:pt>
                <c:pt idx="3">
                  <c:v>8.5226129506717624E-2</c:v>
                </c:pt>
                <c:pt idx="4">
                  <c:v>0.13806633348093406</c:v>
                </c:pt>
                <c:pt idx="5">
                  <c:v>0.20340196844116606</c:v>
                </c:pt>
                <c:pt idx="6">
                  <c:v>0.39976583832079987</c:v>
                </c:pt>
                <c:pt idx="7">
                  <c:v>1.5624118800159679E-2</c:v>
                </c:pt>
                <c:pt idx="8">
                  <c:v>0.15791561145022276</c:v>
                </c:pt>
                <c:pt idx="9">
                  <c:v>0</c:v>
                </c:pt>
                <c:pt idx="10">
                  <c:v>0</c:v>
                </c:pt>
                <c:pt idx="11">
                  <c:v>0</c:v>
                </c:pt>
                <c:pt idx="12">
                  <c:v>0</c:v>
                </c:pt>
                <c:pt idx="13">
                  <c:v>0</c:v>
                </c:pt>
                <c:pt idx="14">
                  <c:v>0</c:v>
                </c:pt>
                <c:pt idx="15">
                  <c:v>0</c:v>
                </c:pt>
                <c:pt idx="16">
                  <c:v>0</c:v>
                </c:pt>
                <c:pt idx="17">
                  <c:v>0</c:v>
                </c:pt>
                <c:pt idx="18">
                  <c:v>0</c:v>
                </c:pt>
                <c:pt idx="19">
                  <c:v>0</c:v>
                </c:pt>
              </c:numCache>
            </c:numRef>
          </c:val>
          <c:extLst>
            <c:ext xmlns:c16="http://schemas.microsoft.com/office/drawing/2014/chart" uri="{C3380CC4-5D6E-409C-BE32-E72D297353CC}">
              <c16:uniqueId val="{00000000-DE6A-4E20-8124-CE33B7E586F6}"/>
            </c:ext>
          </c:extLst>
        </c:ser>
        <c:dLbls>
          <c:dLblPos val="outEnd"/>
          <c:showLegendKey val="0"/>
          <c:showVal val="1"/>
          <c:showCatName val="0"/>
          <c:showSerName val="0"/>
          <c:showPercent val="0"/>
          <c:showBubbleSize val="0"/>
        </c:dLbls>
        <c:gapWidth val="100"/>
        <c:overlap val="-27"/>
        <c:axId val="2124258047"/>
        <c:axId val="2050819647"/>
      </c:barChart>
      <c:catAx>
        <c:axId val="21242580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050819647"/>
        <c:crosses val="autoZero"/>
        <c:auto val="1"/>
        <c:lblAlgn val="ctr"/>
        <c:lblOffset val="100"/>
        <c:noMultiLvlLbl val="0"/>
      </c:catAx>
      <c:valAx>
        <c:axId val="2050819647"/>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212425804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fr-FR"/>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withinLinear" id="16">
  <a:schemeClr val="accent3"/>
</cs:colorStyle>
</file>

<file path=word/charts/colors4.xml><?xml version="1.0" encoding="utf-8"?>
<cs:colorStyle xmlns:cs="http://schemas.microsoft.com/office/drawing/2012/chartStyle" xmlns:a="http://schemas.openxmlformats.org/drawingml/2006/main" meth="withinLinear" id="16">
  <a:schemeClr val="accent3"/>
</cs:colorStyle>
</file>

<file path=word/charts/colors5.xml><?xml version="1.0" encoding="utf-8"?>
<cs:colorStyle xmlns:cs="http://schemas.microsoft.com/office/drawing/2012/chartStyle" xmlns:a="http://schemas.openxmlformats.org/drawingml/2006/main" meth="withinLinear" id="16">
  <a:schemeClr val="accent3"/>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withinLinear" id="16">
  <a:schemeClr val="accent3"/>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withinLinear" id="16">
  <a:schemeClr val="accent3"/>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4.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5.xml><?xml version="1.0" encoding="utf-8"?>
<cs:colorStyle xmlns:cs="http://schemas.microsoft.com/office/drawing/2012/chartStyle" xmlns:a="http://schemas.openxmlformats.org/drawingml/2006/main" meth="withinLinear" id="16">
  <a:schemeClr val="accent3"/>
</cs:colorStyle>
</file>

<file path=word/charts/colors16.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17.xml><?xml version="1.0" encoding="utf-8"?>
<cs:colorStyle xmlns:cs="http://schemas.microsoft.com/office/drawing/2012/chartStyle" xmlns:a="http://schemas.openxmlformats.org/drawingml/2006/main" meth="withinLinearReversed" id="23">
  <a:schemeClr val="accent3"/>
</cs:colorStyle>
</file>

<file path=word/charts/colors18.xml><?xml version="1.0" encoding="utf-8"?>
<cs:colorStyle xmlns:cs="http://schemas.microsoft.com/office/drawing/2012/chartStyle" xmlns:a="http://schemas.openxmlformats.org/drawingml/2006/main" meth="withinLinearReversed" id="23">
  <a:schemeClr val="accent3"/>
</cs:colorStyle>
</file>

<file path=word/charts/colors19.xml><?xml version="1.0" encoding="utf-8"?>
<cs:colorStyle xmlns:cs="http://schemas.microsoft.com/office/drawing/2012/chartStyle" xmlns:a="http://schemas.openxmlformats.org/drawingml/2006/main" meth="withinLinear" id="16">
  <a:schemeClr val="accent3"/>
</cs:colorStyle>
</file>

<file path=word/charts/colors20.xml><?xml version="1.0" encoding="utf-8"?>
<cs:colorStyle xmlns:cs="http://schemas.microsoft.com/office/drawing/2012/chartStyle" xmlns:a="http://schemas.openxmlformats.org/drawingml/2006/main" meth="withinLinear" id="16">
  <a:schemeClr val="accent3"/>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withinLinear" id="16">
  <a:schemeClr val="accent3"/>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1.xml><?xml version="1.0" encoding="utf-8"?>
<cs:colorStyle xmlns:cs="http://schemas.microsoft.com/office/drawing/2012/chartStyle" xmlns:a="http://schemas.openxmlformats.org/drawingml/2006/main" meth="withinLinear" id="16">
  <a:schemeClr val="accent3"/>
</cs:colorStyle>
</file>

<file path=word/charts/colors32.xml><?xml version="1.0" encoding="utf-8"?>
<cs:colorStyle xmlns:cs="http://schemas.microsoft.com/office/drawing/2012/chartStyle" xmlns:a="http://schemas.openxmlformats.org/drawingml/2006/main" meth="withinLinear" id="16">
  <a:schemeClr val="accent3"/>
</cs:colorStyle>
</file>

<file path=word/charts/colors33.xml><?xml version="1.0" encoding="utf-8"?>
<cs:colorStyle xmlns:cs="http://schemas.microsoft.com/office/drawing/2012/chartStyle" xmlns:a="http://schemas.openxmlformats.org/drawingml/2006/main" meth="cycle" id="20">
  <a:schemeClr val="dk1"/>
  <cs:variation>
    <a:tint val="88500"/>
  </cs:variation>
  <cs:variation>
    <a:tint val="55000"/>
  </cs:variation>
  <cs:variation>
    <a:tint val="75000"/>
  </cs:variation>
  <cs:variation>
    <a:tint val="98500"/>
  </cs:variation>
  <cs:variation>
    <a:tint val="30000"/>
  </cs:variation>
  <cs:variation>
    <a:tint val="60000"/>
  </cs:variation>
  <cs:variation>
    <a:tint val="80000"/>
  </cs:variation>
</cs:colorStyle>
</file>

<file path=word/charts/colors34.xml><?xml version="1.0" encoding="utf-8"?>
<cs:colorStyle xmlns:cs="http://schemas.microsoft.com/office/drawing/2012/chartStyle" xmlns:a="http://schemas.openxmlformats.org/drawingml/2006/main" meth="withinLinear" id="16">
  <a:schemeClr val="accent3"/>
</cs:colorStyle>
</file>

<file path=word/charts/colors35.xml><?xml version="1.0" encoding="utf-8"?>
<cs:colorStyle xmlns:cs="http://schemas.microsoft.com/office/drawing/2012/chartStyle" xmlns:a="http://schemas.openxmlformats.org/drawingml/2006/main" meth="withinLinearReversed" id="23">
  <a:schemeClr val="accent3"/>
</cs:colorStyle>
</file>

<file path=word/charts/colors36.xml><?xml version="1.0" encoding="utf-8"?>
<cs:colorStyle xmlns:cs="http://schemas.microsoft.com/office/drawing/2012/chartStyle" xmlns:a="http://schemas.openxmlformats.org/drawingml/2006/main" meth="withinLinear" id="16">
  <a:schemeClr val="accent3"/>
</cs:colorStyle>
</file>

<file path=word/charts/colors37.xml><?xml version="1.0" encoding="utf-8"?>
<cs:colorStyle xmlns:cs="http://schemas.microsoft.com/office/drawing/2012/chartStyle" xmlns:a="http://schemas.openxmlformats.org/drawingml/2006/main" meth="withinLinearReversed" id="23">
  <a:schemeClr val="accent3"/>
</cs:colorStyle>
</file>

<file path=word/charts/colors38.xml><?xml version="1.0" encoding="utf-8"?>
<cs:colorStyle xmlns:cs="http://schemas.microsoft.com/office/drawing/2012/chartStyle" xmlns:a="http://schemas.openxmlformats.org/drawingml/2006/main" meth="withinLinearReversed" id="23">
  <a:schemeClr val="accent3"/>
</cs:colorStyle>
</file>

<file path=word/charts/colors39.xml><?xml version="1.0" encoding="utf-8"?>
<cs:colorStyle xmlns:cs="http://schemas.microsoft.com/office/drawing/2012/chartStyle" xmlns:a="http://schemas.openxmlformats.org/drawingml/2006/main" meth="withinLinear" id="16">
  <a:schemeClr val="accent3"/>
</cs:colorStyle>
</file>

<file path=word/charts/colors4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7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ln w="9525" cap="flat" cmpd="sng" algn="ctr">
        <a:solidFill>
          <a:schemeClr val="tx1">
            <a:lumMod val="15000"/>
            <a:lumOff val="85000"/>
          </a:schemeClr>
        </a:solidFill>
        <a:round/>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4.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3.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5.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6.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7.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8.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0.67932</cdr:x>
      <cdr:y>0.32955</cdr:y>
    </cdr:from>
    <cdr:to>
      <cdr:x>0.77019</cdr:x>
      <cdr:y>0.40591</cdr:y>
    </cdr:to>
    <cdr:sp macro="" textlink="">
      <cdr:nvSpPr>
        <cdr:cNvPr id="199681" name="Texte 1"/>
        <cdr:cNvSpPr txBox="1">
          <a:spLocks xmlns:a="http://schemas.openxmlformats.org/drawingml/2006/main" noChangeArrowheads="1"/>
        </cdr:cNvSpPr>
      </cdr:nvSpPr>
      <cdr:spPr bwMode="auto">
        <a:xfrm xmlns:a="http://schemas.openxmlformats.org/drawingml/2006/main">
          <a:off x="2620544" y="899425"/>
          <a:ext cx="350545" cy="208390"/>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fr-FR" sz="1100" b="1" i="0" strike="noStrike" dirty="0">
              <a:solidFill>
                <a:schemeClr val="bg1">
                  <a:lumMod val="65000"/>
                </a:schemeClr>
              </a:solidFill>
              <a:latin typeface="Arial" panose="020B0604020202020204" pitchFamily="34" charset="0"/>
              <a:cs typeface="Arial" panose="020B0604020202020204" pitchFamily="34" charset="0"/>
            </a:rPr>
            <a:t>Porc</a:t>
          </a:r>
        </a:p>
      </cdr:txBody>
    </cdr:sp>
  </cdr:relSizeAnchor>
  <cdr:relSizeAnchor xmlns:cdr="http://schemas.openxmlformats.org/drawingml/2006/chartDrawing">
    <cdr:from>
      <cdr:x>0.67921</cdr:x>
      <cdr:y>0.59176</cdr:y>
    </cdr:from>
    <cdr:to>
      <cdr:x>0.91766</cdr:x>
      <cdr:y>0.66541</cdr:y>
    </cdr:to>
    <cdr:sp macro="" textlink="">
      <cdr:nvSpPr>
        <cdr:cNvPr id="199682" name="Texte 2"/>
        <cdr:cNvSpPr txBox="1">
          <a:spLocks xmlns:a="http://schemas.openxmlformats.org/drawingml/2006/main" noChangeArrowheads="1"/>
        </cdr:cNvSpPr>
      </cdr:nvSpPr>
      <cdr:spPr bwMode="auto">
        <a:xfrm xmlns:a="http://schemas.openxmlformats.org/drawingml/2006/main">
          <a:off x="2620122" y="1615045"/>
          <a:ext cx="919867" cy="201017"/>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fr-FR" sz="1050" b="1" i="0" strike="noStrike" dirty="0" err="1">
              <a:solidFill>
                <a:schemeClr val="tx1">
                  <a:lumMod val="65000"/>
                  <a:lumOff val="35000"/>
                </a:schemeClr>
              </a:solidFill>
              <a:latin typeface="Arial" panose="020B0604020202020204" pitchFamily="34" charset="0"/>
              <a:cs typeface="Arial" panose="020B0604020202020204" pitchFamily="34" charset="0"/>
            </a:rPr>
            <a:t>Boeuf</a:t>
          </a:r>
          <a:r>
            <a:rPr lang="fr-FR" sz="1050" b="1" i="0" strike="noStrike" dirty="0">
              <a:solidFill>
                <a:schemeClr val="tx1">
                  <a:lumMod val="65000"/>
                  <a:lumOff val="35000"/>
                </a:schemeClr>
              </a:solidFill>
              <a:latin typeface="Arial" panose="020B0604020202020204" pitchFamily="34" charset="0"/>
              <a:cs typeface="Arial" panose="020B0604020202020204" pitchFamily="34" charset="0"/>
            </a:rPr>
            <a:t> et veau</a:t>
          </a:r>
        </a:p>
      </cdr:txBody>
    </cdr:sp>
  </cdr:relSizeAnchor>
  <cdr:relSizeAnchor xmlns:cdr="http://schemas.openxmlformats.org/drawingml/2006/chartDrawing">
    <cdr:from>
      <cdr:x>0.66829</cdr:x>
      <cdr:y>0.08233</cdr:y>
    </cdr:from>
    <cdr:to>
      <cdr:x>0.8059</cdr:x>
      <cdr:y>0.15869</cdr:y>
    </cdr:to>
    <cdr:sp macro="" textlink="">
      <cdr:nvSpPr>
        <cdr:cNvPr id="199683" name="Texte 3"/>
        <cdr:cNvSpPr txBox="1">
          <a:spLocks xmlns:a="http://schemas.openxmlformats.org/drawingml/2006/main" noChangeArrowheads="1"/>
        </cdr:cNvSpPr>
      </cdr:nvSpPr>
      <cdr:spPr bwMode="auto">
        <a:xfrm xmlns:a="http://schemas.openxmlformats.org/drawingml/2006/main">
          <a:off x="2578017" y="224705"/>
          <a:ext cx="530850" cy="208390"/>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fr-FR" sz="1100" b="1" i="0" strike="noStrike" dirty="0">
              <a:solidFill>
                <a:sysClr val="windowText" lastClr="000000"/>
              </a:solidFill>
              <a:latin typeface="Arial" panose="020B0604020202020204" pitchFamily="34" charset="0"/>
              <a:cs typeface="Arial" panose="020B0604020202020204" pitchFamily="34" charset="0"/>
            </a:rPr>
            <a:t>Volaille</a:t>
          </a:r>
        </a:p>
      </cdr:txBody>
    </cdr:sp>
  </cdr:relSizeAnchor>
  <cdr:relSizeAnchor xmlns:cdr="http://schemas.openxmlformats.org/drawingml/2006/chartDrawing">
    <cdr:from>
      <cdr:x>0.54756</cdr:x>
      <cdr:y>0.79408</cdr:y>
    </cdr:from>
    <cdr:to>
      <cdr:x>0.80104</cdr:x>
      <cdr:y>0.87044</cdr:y>
    </cdr:to>
    <cdr:sp macro="" textlink="">
      <cdr:nvSpPr>
        <cdr:cNvPr id="199684" name="Texte 4"/>
        <cdr:cNvSpPr txBox="1">
          <a:spLocks xmlns:a="http://schemas.openxmlformats.org/drawingml/2006/main" noChangeArrowheads="1"/>
        </cdr:cNvSpPr>
      </cdr:nvSpPr>
      <cdr:spPr bwMode="auto">
        <a:xfrm xmlns:a="http://schemas.openxmlformats.org/drawingml/2006/main">
          <a:off x="2112286" y="2167234"/>
          <a:ext cx="977832" cy="208390"/>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wrap="none" lIns="18288" tIns="22860" rIns="18288" bIns="22860" anchor="ctr" upright="1">
          <a:spAutoFit/>
        </a:bodyPr>
        <a:lstStyle xmlns:a="http://schemas.openxmlformats.org/drawingml/2006/main"/>
        <a:p xmlns:a="http://schemas.openxmlformats.org/drawingml/2006/main">
          <a:pPr algn="ctr" rtl="0">
            <a:defRPr sz="1000"/>
          </a:pPr>
          <a:r>
            <a:rPr lang="fr-FR" sz="1100" b="1" i="0" strike="noStrike">
              <a:solidFill>
                <a:schemeClr val="bg2">
                  <a:lumMod val="25000"/>
                </a:schemeClr>
              </a:solidFill>
              <a:latin typeface="Arial" panose="020B0604020202020204" pitchFamily="34" charset="0"/>
              <a:cs typeface="Arial" panose="020B0604020202020204" pitchFamily="34" charset="0"/>
            </a:rPr>
            <a:t>Ovins-caprins</a:t>
          </a:r>
        </a:p>
      </cdr:txBody>
    </cdr:sp>
  </cdr:relSizeAnchor>
  <cdr:relSizeAnchor xmlns:cdr="http://schemas.openxmlformats.org/drawingml/2006/chartDrawing">
    <cdr:from>
      <cdr:x>0.10897</cdr:x>
      <cdr:y>0.80177</cdr:y>
    </cdr:from>
    <cdr:to>
      <cdr:x>0.50494</cdr:x>
      <cdr:y>0.88995</cdr:y>
    </cdr:to>
    <cdr:sp macro="" textlink="">
      <cdr:nvSpPr>
        <cdr:cNvPr id="6" name="ZoneTexte 1"/>
        <cdr:cNvSpPr txBox="1"/>
      </cdr:nvSpPr>
      <cdr:spPr>
        <a:xfrm xmlns:a="http://schemas.openxmlformats.org/drawingml/2006/main">
          <a:off x="420378" y="2188210"/>
          <a:ext cx="1527485" cy="240665"/>
        </a:xfrm>
        <a:prstGeom xmlns:a="http://schemas.openxmlformats.org/drawingml/2006/main" prst="rect">
          <a:avLst/>
        </a:prstGeom>
        <a:noFill xmlns:a="http://schemas.openxmlformats.org/drawingml/2006/main"/>
      </cdr:spPr>
      <cdr:txBody>
        <a:bodyPr xmlns:a="http://schemas.openxmlformats.org/drawingml/2006/main" wrap="none" rtlCol="0">
          <a:noAutofit/>
        </a:bodyPr>
        <a:lstStyle xmlns:a="http://schemas.openxmlformats.org/drawingml/2006/main"/>
        <a:p xmlns:a="http://schemas.openxmlformats.org/drawingml/2006/main">
          <a:pPr>
            <a:lnSpc>
              <a:spcPct val="107000"/>
            </a:lnSpc>
            <a:spcAft>
              <a:spcPts val="800"/>
            </a:spcAft>
          </a:pPr>
          <a:r>
            <a:rPr lang="fr-FR" sz="1000" i="1" kern="1200">
              <a:solidFill>
                <a:srgbClr val="000000"/>
              </a:solidFill>
              <a:effectLst/>
              <a:latin typeface="Arial" panose="020B0604020202020204" pitchFamily="34" charset="0"/>
              <a:ea typeface="Calibri" panose="020F0502020204030204" pitchFamily="34" charset="0"/>
              <a:cs typeface="Times New Roman" panose="02020603050405020304" pitchFamily="18" charset="0"/>
            </a:rPr>
            <a:t>Indice base 100 en 90</a:t>
          </a:r>
          <a:endParaRPr lang="fr-FR" sz="1100">
            <a:effectLst/>
            <a:latin typeface="Calibri" panose="020F0502020204030204" pitchFamily="34" charset="0"/>
            <a:ea typeface="Calibri" panose="020F0502020204030204" pitchFamily="34" charset="0"/>
            <a:cs typeface="Times New Roman" panose="02020603050405020304" pitchFamily="18" charset="0"/>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0.02436</cdr:x>
      <cdr:y>0.07785</cdr:y>
    </cdr:from>
    <cdr:to>
      <cdr:x>0.30311</cdr:x>
      <cdr:y>0.22964</cdr:y>
    </cdr:to>
    <cdr:sp macro="" textlink="">
      <cdr:nvSpPr>
        <cdr:cNvPr id="2" name="Zone de texte 1"/>
        <cdr:cNvSpPr txBox="1"/>
      </cdr:nvSpPr>
      <cdr:spPr>
        <a:xfrm xmlns:a="http://schemas.openxmlformats.org/drawingml/2006/main">
          <a:off x="148281" y="164757"/>
          <a:ext cx="1696995" cy="32127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000">
              <a:latin typeface="Arial" panose="020B0604020202020204" pitchFamily="34" charset="0"/>
              <a:cs typeface="Arial" panose="020B0604020202020204" pitchFamily="34" charset="0"/>
            </a:rPr>
            <a:t>a/ Enfants (0</a:t>
          </a:r>
          <a:r>
            <a:rPr lang="fr-FR" sz="1000" baseline="0">
              <a:latin typeface="Arial" panose="020B0604020202020204" pitchFamily="34" charset="0"/>
              <a:cs typeface="Arial" panose="020B0604020202020204" pitchFamily="34" charset="0"/>
            </a:rPr>
            <a:t> à 17 ans)</a:t>
          </a:r>
          <a:endParaRPr lang="fr-FR" sz="1000">
            <a:latin typeface="Arial" panose="020B0604020202020204" pitchFamily="34" charset="0"/>
            <a:cs typeface="Arial" panose="020B0604020202020204" pitchFamily="34"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0.0266</cdr:x>
      <cdr:y>0.05469</cdr:y>
    </cdr:from>
    <cdr:to>
      <cdr:x>0.17423</cdr:x>
      <cdr:y>0.48829</cdr:y>
    </cdr:to>
    <cdr:sp macro="" textlink="">
      <cdr:nvSpPr>
        <cdr:cNvPr id="2" name="Zone de texte 1"/>
        <cdr:cNvSpPr txBox="1"/>
      </cdr:nvSpPr>
      <cdr:spPr>
        <a:xfrm xmlns:a="http://schemas.openxmlformats.org/drawingml/2006/main">
          <a:off x="164757" y="115330"/>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fr-FR" sz="1100"/>
            <a:t>b/ Adultes (18 à 79 ans)</a:t>
          </a:r>
        </a:p>
      </cdr:txBody>
    </cdr:sp>
  </cdr:relSizeAnchor>
</c:userShapes>
</file>

<file path=word/drawings/drawing4.xml><?xml version="1.0" encoding="utf-8"?>
<c:userShapes xmlns:c="http://schemas.openxmlformats.org/drawingml/2006/chart">
  <cdr:relSizeAnchor xmlns:cdr="http://schemas.openxmlformats.org/drawingml/2006/chartDrawing">
    <cdr:from>
      <cdr:x>0.01545</cdr:x>
      <cdr:y>0.01322</cdr:y>
    </cdr:from>
    <cdr:to>
      <cdr:x>0.31647</cdr:x>
      <cdr:y>0.14537</cdr:y>
    </cdr:to>
    <cdr:sp macro="" textlink="">
      <cdr:nvSpPr>
        <cdr:cNvPr id="2" name="Zone de texte 1"/>
        <cdr:cNvSpPr txBox="1"/>
      </cdr:nvSpPr>
      <cdr:spPr>
        <a:xfrm xmlns:a="http://schemas.openxmlformats.org/drawingml/2006/main">
          <a:off x="87983" y="28575"/>
          <a:ext cx="1714635" cy="2857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000">
              <a:latin typeface="Arial" panose="020B0604020202020204" pitchFamily="34" charset="0"/>
              <a:cs typeface="Arial" panose="020B0604020202020204" pitchFamily="34" charset="0"/>
            </a:rPr>
            <a:t>b/ Adultes (18 à 79 ans)</a:t>
          </a:r>
        </a:p>
      </cdr:txBody>
    </cdr:sp>
  </cdr:relSizeAnchor>
</c:userShapes>
</file>

<file path=word/drawings/drawing5.xml><?xml version="1.0" encoding="utf-8"?>
<c:userShapes xmlns:c="http://schemas.openxmlformats.org/drawingml/2006/chart">
  <cdr:relSizeAnchor xmlns:cdr="http://schemas.openxmlformats.org/drawingml/2006/chartDrawing">
    <cdr:from>
      <cdr:x>0.13246</cdr:x>
      <cdr:y>0.15045</cdr:y>
    </cdr:from>
    <cdr:to>
      <cdr:x>0.35091</cdr:x>
      <cdr:y>0.45025</cdr:y>
    </cdr:to>
    <cdr:sp macro="" textlink="">
      <cdr:nvSpPr>
        <cdr:cNvPr id="2" name="Zone de texte 1"/>
        <cdr:cNvSpPr txBox="1"/>
      </cdr:nvSpPr>
      <cdr:spPr>
        <a:xfrm xmlns:a="http://schemas.openxmlformats.org/drawingml/2006/main">
          <a:off x="760818" y="383872"/>
          <a:ext cx="1254642" cy="76491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fr-FR" sz="1000">
              <a:latin typeface="Arial" panose="020B0604020202020204" pitchFamily="34" charset="0"/>
              <a:cs typeface="Arial" panose="020B0604020202020204" pitchFamily="34" charset="0"/>
            </a:rPr>
            <a:t>Feuilletés, friands,</a:t>
          </a:r>
        </a:p>
        <a:p xmlns:a="http://schemas.openxmlformats.org/drawingml/2006/main">
          <a:r>
            <a:rPr lang="fr-FR" sz="1000">
              <a:latin typeface="Arial" panose="020B0604020202020204" pitchFamily="34" charset="0"/>
              <a:cs typeface="Arial" panose="020B0604020202020204" pitchFamily="34" charset="0"/>
            </a:rPr>
            <a:t>nems, produits</a:t>
          </a:r>
          <a:r>
            <a:rPr lang="fr-FR" sz="1000" baseline="0">
              <a:latin typeface="Arial" panose="020B0604020202020204" pitchFamily="34" charset="0"/>
              <a:cs typeface="Arial" panose="020B0604020202020204" pitchFamily="34" charset="0"/>
            </a:rPr>
            <a:t> apéritifs</a:t>
          </a:r>
          <a:endParaRPr lang="fr-FR" sz="1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0.69153</cdr:x>
      <cdr:y>0.09511</cdr:y>
    </cdr:from>
    <cdr:to>
      <cdr:x>0.87151</cdr:x>
      <cdr:y>0.4272</cdr:y>
    </cdr:to>
    <cdr:sp macro="" textlink="">
      <cdr:nvSpPr>
        <cdr:cNvPr id="3" name="Zone de texte 1"/>
        <cdr:cNvSpPr txBox="1"/>
      </cdr:nvSpPr>
      <cdr:spPr>
        <a:xfrm xmlns:a="http://schemas.openxmlformats.org/drawingml/2006/main">
          <a:off x="3971851" y="242658"/>
          <a:ext cx="1033721" cy="847308"/>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fr-FR" sz="1000">
              <a:latin typeface="Arial" panose="020B0604020202020204" pitchFamily="34" charset="0"/>
              <a:cs typeface="Arial" panose="020B0604020202020204" pitchFamily="34" charset="0"/>
            </a:rPr>
            <a:t>Pâtés</a:t>
          </a:r>
          <a:r>
            <a:rPr lang="fr-FR" sz="1000" baseline="0">
              <a:latin typeface="Arial" panose="020B0604020202020204" pitchFamily="34" charset="0"/>
              <a:cs typeface="Arial" panose="020B0604020202020204" pitchFamily="34" charset="0"/>
            </a:rPr>
            <a:t> croûtes, saucissons briochés, tourtes à la viande </a:t>
          </a:r>
          <a:endParaRPr lang="fr-FR" sz="1000">
            <a:latin typeface="Arial" panose="020B0604020202020204" pitchFamily="34" charset="0"/>
            <a:cs typeface="Arial" panose="020B0604020202020204" pitchFamily="34" charset="0"/>
          </a:endParaRPr>
        </a:p>
      </cdr:txBody>
    </cdr:sp>
  </cdr:relSizeAnchor>
  <cdr:relSizeAnchor xmlns:cdr="http://schemas.openxmlformats.org/drawingml/2006/chartDrawing">
    <cdr:from>
      <cdr:x>0.00512</cdr:x>
      <cdr:y>0.02236</cdr:y>
    </cdr:from>
    <cdr:to>
      <cdr:x>0.26791</cdr:x>
      <cdr:y>0.15247</cdr:y>
    </cdr:to>
    <cdr:sp macro="" textlink="">
      <cdr:nvSpPr>
        <cdr:cNvPr id="4" name="Zone de texte 30"/>
        <cdr:cNvSpPr txBox="1"/>
      </cdr:nvSpPr>
      <cdr:spPr>
        <a:xfrm xmlns:a="http://schemas.openxmlformats.org/drawingml/2006/main">
          <a:off x="29387" y="43756"/>
          <a:ext cx="1509395" cy="254635"/>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370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userShapes>
</file>

<file path=word/drawings/drawing6.xml><?xml version="1.0" encoding="utf-8"?>
<c:userShapes xmlns:c="http://schemas.openxmlformats.org/drawingml/2006/chart">
  <cdr:relSizeAnchor xmlns:cdr="http://schemas.openxmlformats.org/drawingml/2006/chartDrawing">
    <cdr:from>
      <cdr:x>0.01359</cdr:x>
      <cdr:y>0.05417</cdr:y>
    </cdr:from>
    <cdr:to>
      <cdr:x>0.26937</cdr:x>
      <cdr:y>0.21824</cdr:y>
    </cdr:to>
    <cdr:sp macro="" textlink="">
      <cdr:nvSpPr>
        <cdr:cNvPr id="3" name="Zone de texte 30"/>
        <cdr:cNvSpPr txBox="1"/>
      </cdr:nvSpPr>
      <cdr:spPr>
        <a:xfrm xmlns:a="http://schemas.openxmlformats.org/drawingml/2006/main">
          <a:off x="80187" y="105942"/>
          <a:ext cx="1509395" cy="320896"/>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306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0.01131</cdr:x>
      <cdr:y>0.00987</cdr:y>
    </cdr:from>
    <cdr:to>
      <cdr:x>0.2654</cdr:x>
      <cdr:y>0.18088</cdr:y>
    </cdr:to>
    <cdr:sp macro="" textlink="">
      <cdr:nvSpPr>
        <cdr:cNvPr id="2" name="Zone de texte 30"/>
        <cdr:cNvSpPr txBox="1"/>
      </cdr:nvSpPr>
      <cdr:spPr>
        <a:xfrm xmlns:a="http://schemas.openxmlformats.org/drawingml/2006/main">
          <a:off x="67192" y="18519"/>
          <a:ext cx="1509395" cy="320896"/>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189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0.00964</cdr:x>
      <cdr:y>0</cdr:y>
    </cdr:from>
    <cdr:to>
      <cdr:x>0.26683</cdr:x>
      <cdr:y>0.08425</cdr:y>
    </cdr:to>
    <cdr:sp macro="" textlink="">
      <cdr:nvSpPr>
        <cdr:cNvPr id="2" name="Zone de texte 30"/>
        <cdr:cNvSpPr txBox="1"/>
      </cdr:nvSpPr>
      <cdr:spPr>
        <a:xfrm xmlns:a="http://schemas.openxmlformats.org/drawingml/2006/main">
          <a:off x="56559" y="-3625702"/>
          <a:ext cx="1509395" cy="222987"/>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102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dr:relSizeAnchor xmlns:cdr="http://schemas.openxmlformats.org/drawingml/2006/chartDrawing">
    <cdr:from>
      <cdr:x>0.09421</cdr:x>
      <cdr:y>0.10409</cdr:y>
    </cdr:from>
    <cdr:to>
      <cdr:x>0.41489</cdr:x>
      <cdr:y>0.9436</cdr:y>
    </cdr:to>
    <cdr:sp macro="" textlink="">
      <cdr:nvSpPr>
        <cdr:cNvPr id="3" name="Cadre 2"/>
        <cdr:cNvSpPr/>
      </cdr:nvSpPr>
      <cdr:spPr>
        <a:xfrm xmlns:a="http://schemas.openxmlformats.org/drawingml/2006/main">
          <a:off x="552887" y="244558"/>
          <a:ext cx="1881965" cy="1972429"/>
        </a:xfrm>
        <a:prstGeom xmlns:a="http://schemas.openxmlformats.org/drawingml/2006/main" prst="frame">
          <a:avLst>
            <a:gd name="adj1" fmla="val 0"/>
          </a:avLst>
        </a:prstGeom>
        <a:solidFill xmlns:a="http://schemas.openxmlformats.org/drawingml/2006/main">
          <a:srgbClr val="C00000"/>
        </a:solidFill>
        <a:ln xmlns:a="http://schemas.openxmlformats.org/drawingml/2006/main">
          <a:solidFill>
            <a:srgbClr val="C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endParaRPr lang="fr-FR"/>
        </a:p>
      </cdr:txBody>
    </cdr:sp>
  </cdr:relSizeAnchor>
  <cdr:relSizeAnchor xmlns:cdr="http://schemas.openxmlformats.org/drawingml/2006/chartDrawing">
    <cdr:from>
      <cdr:x>0.81348</cdr:x>
      <cdr:y>0.10861</cdr:y>
    </cdr:from>
    <cdr:to>
      <cdr:x>0.91675</cdr:x>
      <cdr:y>0.93626</cdr:y>
    </cdr:to>
    <cdr:sp macro="" textlink="">
      <cdr:nvSpPr>
        <cdr:cNvPr id="4" name="Cadre 3"/>
        <cdr:cNvSpPr/>
      </cdr:nvSpPr>
      <cdr:spPr>
        <a:xfrm xmlns:a="http://schemas.openxmlformats.org/drawingml/2006/main">
          <a:off x="4774046" y="255179"/>
          <a:ext cx="606057" cy="1944557"/>
        </a:xfrm>
        <a:prstGeom xmlns:a="http://schemas.openxmlformats.org/drawingml/2006/main" prst="frame">
          <a:avLst>
            <a:gd name="adj1" fmla="val 0"/>
          </a:avLst>
        </a:prstGeom>
        <a:solidFill xmlns:a="http://schemas.openxmlformats.org/drawingml/2006/main">
          <a:srgbClr val="C00000"/>
        </a:solidFill>
        <a:ln xmlns:a="http://schemas.openxmlformats.org/drawingml/2006/main">
          <a:solidFill>
            <a:srgbClr val="C00000"/>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wrap="square">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endParaRPr lang="fr-F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0.02825</cdr:y>
    </cdr:from>
    <cdr:to>
      <cdr:x>0.22505</cdr:x>
      <cdr:y>0.15537</cdr:y>
    </cdr:to>
    <cdr:sp macro="" textlink="">
      <cdr:nvSpPr>
        <cdr:cNvPr id="2" name="Zone de texte 30"/>
        <cdr:cNvSpPr txBox="1"/>
      </cdr:nvSpPr>
      <cdr:spPr>
        <a:xfrm xmlns:a="http://schemas.openxmlformats.org/drawingml/2006/main">
          <a:off x="0" y="42531"/>
          <a:ext cx="1318437" cy="191386"/>
        </a:xfrm>
        <a:prstGeom xmlns:a="http://schemas.openxmlformats.org/drawingml/2006/main" prst="rect">
          <a:avLst/>
        </a:prstGeom>
        <a:solidFill xmlns:a="http://schemas.openxmlformats.org/drawingml/2006/main">
          <a:schemeClr val="lt1"/>
        </a:solidFill>
        <a:ln xmlns:a="http://schemas.openxmlformats.org/drawingml/2006/main" w="6350">
          <a:noFill/>
        </a:ln>
      </cdr:spPr>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just">
            <a:lnSpc>
              <a:spcPct val="107000"/>
            </a:lnSpc>
            <a:spcAft>
              <a:spcPts val="800"/>
            </a:spcAft>
          </a:pPr>
          <a:r>
            <a:rPr lang="fr-FR" sz="1000" i="1" u="sng">
              <a:effectLst/>
              <a:latin typeface="Arial" panose="020B0604020202020204" pitchFamily="34" charset="0"/>
              <a:ea typeface="Calibri" panose="020F0502020204030204" pitchFamily="34" charset="0"/>
              <a:cs typeface="Times New Roman" panose="02020603050405020304" pitchFamily="18" charset="0"/>
            </a:rPr>
            <a:t>n = 81 références</a:t>
          </a:r>
          <a:endParaRPr lang="fr-FR" sz="1000">
            <a:effectLst/>
            <a:latin typeface="Arial" panose="020B0604020202020204" pitchFamily="34" charset="0"/>
            <a:ea typeface="Calibri" panose="020F0502020204030204" pitchFamily="34" charset="0"/>
            <a:cs typeface="Times New Roman" panose="02020603050405020304" pitchFamily="18" charset="0"/>
          </a:endParaRPr>
        </a:p>
      </cdr:txBody>
    </cdr: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1da35c6-efe3-499f-bfdd-69ff62f566e5" xsi:nil="true"/>
    <lcf76f155ced4ddcb4097134ff3c332f xmlns="253d9861-5057-4c6b-aa55-c1bece854d8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54A0A362C8B81F47807DE03BF445B4E9" ma:contentTypeVersion="13" ma:contentTypeDescription="Crée un document." ma:contentTypeScope="" ma:versionID="5ad6da251cf0eca1e40657ac4a3d2d78">
  <xsd:schema xmlns:xsd="http://www.w3.org/2001/XMLSchema" xmlns:xs="http://www.w3.org/2001/XMLSchema" xmlns:p="http://schemas.microsoft.com/office/2006/metadata/properties" xmlns:ns2="253d9861-5057-4c6b-aa55-c1bece854d8d" xmlns:ns3="21da35c6-efe3-499f-bfdd-69ff62f566e5" targetNamespace="http://schemas.microsoft.com/office/2006/metadata/properties" ma:root="true" ma:fieldsID="769b99e218d21a6967416441a23af94e" ns2:_="" ns3:_="">
    <xsd:import namespace="253d9861-5057-4c6b-aa55-c1bece854d8d"/>
    <xsd:import namespace="21da35c6-efe3-499f-bfdd-69ff62f566e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53d9861-5057-4c6b-aa55-c1bece854d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86865b46-2695-4a22-9ac0-c3708c6513bf"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1da35c6-efe3-499f-bfdd-69ff62f566e5" elementFormDefault="qualified">
    <xsd:import namespace="http://schemas.microsoft.com/office/2006/documentManagement/types"/>
    <xsd:import namespace="http://schemas.microsoft.com/office/infopath/2007/PartnerControls"/>
    <xsd:element name="SharedWithUsers" ma:index="1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78832a73-8ad6-4ad4-8f0e-b55d00c027ad}" ma:internalName="TaxCatchAll" ma:showField="CatchAllData" ma:web="21da35c6-efe3-499f-bfdd-69ff62f566e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AC0324-277A-4DD1-9102-7A19FBDDFD7D}">
  <ds:schemaRefs>
    <ds:schemaRef ds:uri="http://schemas.microsoft.com/office/2006/metadata/properties"/>
    <ds:schemaRef ds:uri="http://schemas.microsoft.com/office/infopath/2007/PartnerControls"/>
    <ds:schemaRef ds:uri="21da35c6-efe3-499f-bfdd-69ff62f566e5"/>
    <ds:schemaRef ds:uri="253d9861-5057-4c6b-aa55-c1bece854d8d"/>
  </ds:schemaRefs>
</ds:datastoreItem>
</file>

<file path=customXml/itemProps2.xml><?xml version="1.0" encoding="utf-8"?>
<ds:datastoreItem xmlns:ds="http://schemas.openxmlformats.org/officeDocument/2006/customXml" ds:itemID="{A4CDE62C-E70C-4119-AB64-86F97BA7D46A}">
  <ds:schemaRefs>
    <ds:schemaRef ds:uri="http://schemas.microsoft.com/sharepoint/v3/contenttype/forms"/>
  </ds:schemaRefs>
</ds:datastoreItem>
</file>

<file path=customXml/itemProps3.xml><?xml version="1.0" encoding="utf-8"?>
<ds:datastoreItem xmlns:ds="http://schemas.openxmlformats.org/officeDocument/2006/customXml" ds:itemID="{BEC90C2A-C9AE-4A94-9E90-2F7984E3DFF3}">
  <ds:schemaRefs>
    <ds:schemaRef ds:uri="http://schemas.openxmlformats.org/officeDocument/2006/bibliography"/>
  </ds:schemaRefs>
</ds:datastoreItem>
</file>

<file path=customXml/itemProps4.xml><?xml version="1.0" encoding="utf-8"?>
<ds:datastoreItem xmlns:ds="http://schemas.openxmlformats.org/officeDocument/2006/customXml" ds:itemID="{4C2FD66B-6B99-4B42-B6C4-70AB2C874D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53d9861-5057-4c6b-aa55-c1bece854d8d"/>
    <ds:schemaRef ds:uri="21da35c6-efe3-499f-bfdd-69ff62f566e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172</Pages>
  <Words>67879</Words>
  <Characters>373339</Characters>
  <Application>Microsoft Office Word</Application>
  <DocSecurity>0</DocSecurity>
  <Lines>3111</Lines>
  <Paragraphs>880</Paragraphs>
  <ScaleCrop>false</ScaleCrop>
  <HeadingPairs>
    <vt:vector size="2" baseType="variant">
      <vt:variant>
        <vt:lpstr>Titre</vt:lpstr>
      </vt:variant>
      <vt:variant>
        <vt:i4>1</vt:i4>
      </vt:variant>
    </vt:vector>
  </HeadingPairs>
  <TitlesOfParts>
    <vt:vector size="1" baseType="lpstr">
      <vt:lpstr/>
    </vt:vector>
  </TitlesOfParts>
  <Company>IFIP Institut Du Porc</Company>
  <LinksUpToDate>false</LinksUpToDate>
  <CharactersWithSpaces>440338</CharactersWithSpaces>
  <SharedDoc>false</SharedDoc>
  <HLinks>
    <vt:vector size="1494" baseType="variant">
      <vt:variant>
        <vt:i4>3866736</vt:i4>
      </vt:variant>
      <vt:variant>
        <vt:i4>1857</vt:i4>
      </vt:variant>
      <vt:variant>
        <vt:i4>0</vt:i4>
      </vt:variant>
      <vt:variant>
        <vt:i4>5</vt:i4>
      </vt:variant>
      <vt:variant>
        <vt:lpwstr>https://www.cairn.info/sociologie-de-l-alimentation--9782200621049.htm</vt:lpwstr>
      </vt:variant>
      <vt:variant>
        <vt:lpwstr/>
      </vt:variant>
      <vt:variant>
        <vt:i4>3866736</vt:i4>
      </vt:variant>
      <vt:variant>
        <vt:i4>1854</vt:i4>
      </vt:variant>
      <vt:variant>
        <vt:i4>0</vt:i4>
      </vt:variant>
      <vt:variant>
        <vt:i4>5</vt:i4>
      </vt:variant>
      <vt:variant>
        <vt:lpwstr>https://www.cairn.info/sociologie-de-l-alimentation--9782200621049.htm</vt:lpwstr>
      </vt:variant>
      <vt:variant>
        <vt:lpwstr/>
      </vt:variant>
      <vt:variant>
        <vt:i4>7340131</vt:i4>
      </vt:variant>
      <vt:variant>
        <vt:i4>1851</vt:i4>
      </vt:variant>
      <vt:variant>
        <vt:i4>0</vt:i4>
      </vt:variant>
      <vt:variant>
        <vt:i4>5</vt:i4>
      </vt:variant>
      <vt:variant>
        <vt:lpwstr>https://www.cairn.info/publications-de-Marie-Plessz--699151.htm</vt:lpwstr>
      </vt:variant>
      <vt:variant>
        <vt:lpwstr/>
      </vt:variant>
      <vt:variant>
        <vt:i4>8126580</vt:i4>
      </vt:variant>
      <vt:variant>
        <vt:i4>1848</vt:i4>
      </vt:variant>
      <vt:variant>
        <vt:i4>0</vt:i4>
      </vt:variant>
      <vt:variant>
        <vt:i4>5</vt:i4>
      </vt:variant>
      <vt:variant>
        <vt:lpwstr>https://www.cairn.info/publications-de-Thomas-Depecker--120891.htm</vt:lpwstr>
      </vt:variant>
      <vt:variant>
        <vt:lpwstr/>
      </vt:variant>
      <vt:variant>
        <vt:i4>1310784</vt:i4>
      </vt:variant>
      <vt:variant>
        <vt:i4>1845</vt:i4>
      </vt:variant>
      <vt:variant>
        <vt:i4>0</vt:i4>
      </vt:variant>
      <vt:variant>
        <vt:i4>5</vt:i4>
      </vt:variant>
      <vt:variant>
        <vt:lpwstr>https://www.cairn.info/publications-de-Philippe-Cardon--37036.htm</vt:lpwstr>
      </vt:variant>
      <vt:variant>
        <vt:lpwstr/>
      </vt:variant>
      <vt:variant>
        <vt:i4>458765</vt:i4>
      </vt:variant>
      <vt:variant>
        <vt:i4>1842</vt:i4>
      </vt:variant>
      <vt:variant>
        <vt:i4>0</vt:i4>
      </vt:variant>
      <vt:variant>
        <vt:i4>5</vt:i4>
      </vt:variant>
      <vt:variant>
        <vt:lpwstr>https://hal.inrae.fr/hal-02824221</vt:lpwstr>
      </vt:variant>
      <vt:variant>
        <vt:lpwstr/>
      </vt:variant>
      <vt:variant>
        <vt:i4>2359360</vt:i4>
      </vt:variant>
      <vt:variant>
        <vt:i4>1839</vt:i4>
      </vt:variant>
      <vt:variant>
        <vt:i4>0</vt:i4>
      </vt:variant>
      <vt:variant>
        <vt:i4>5</vt:i4>
      </vt:variant>
      <vt:variant>
        <vt:lpwstr>http://www.inra.fr/les_partenariats/expertise/expertises_realisees/les_fruits_et_legumes_dans_l_alimentation_rapport_d_expertise</vt:lpwstr>
      </vt:variant>
      <vt:variant>
        <vt:lpwstr/>
      </vt:variant>
      <vt:variant>
        <vt:i4>589838</vt:i4>
      </vt:variant>
      <vt:variant>
        <vt:i4>1836</vt:i4>
      </vt:variant>
      <vt:variant>
        <vt:i4>0</vt:i4>
      </vt:variant>
      <vt:variant>
        <vt:i4>5</vt:i4>
      </vt:variant>
      <vt:variant>
        <vt:lpwstr>https://hal.inrae.fr/hal-02635036</vt:lpwstr>
      </vt:variant>
      <vt:variant>
        <vt:lpwstr/>
      </vt:variant>
      <vt:variant>
        <vt:i4>5046351</vt:i4>
      </vt:variant>
      <vt:variant>
        <vt:i4>1833</vt:i4>
      </vt:variant>
      <vt:variant>
        <vt:i4>0</vt:i4>
      </vt:variant>
      <vt:variant>
        <vt:i4>5</vt:i4>
      </vt:variant>
      <vt:variant>
        <vt:lpwstr>https://dx.doi.org/10.15454/1.4622711884167021E12</vt:lpwstr>
      </vt:variant>
      <vt:variant>
        <vt:lpwstr/>
      </vt:variant>
      <vt:variant>
        <vt:i4>4980780</vt:i4>
      </vt:variant>
      <vt:variant>
        <vt:i4>1830</vt:i4>
      </vt:variant>
      <vt:variant>
        <vt:i4>0</vt:i4>
      </vt:variant>
      <vt:variant>
        <vt:i4>5</vt:i4>
      </vt:variant>
      <vt:variant>
        <vt:lpwstr>https://hal.inrae.fr/search/index/q/*/authIdHal_s/benedicte-lebret</vt:lpwstr>
      </vt:variant>
      <vt:variant>
        <vt:lpwstr/>
      </vt:variant>
      <vt:variant>
        <vt:i4>7602191</vt:i4>
      </vt:variant>
      <vt:variant>
        <vt:i4>1827</vt:i4>
      </vt:variant>
      <vt:variant>
        <vt:i4>0</vt:i4>
      </vt:variant>
      <vt:variant>
        <vt:i4>5</vt:i4>
      </vt:variant>
      <vt:variant>
        <vt:lpwstr>https://hal.inrae.fr/search/index/q/*/authIdHal_s/juliette-riquet</vt:lpwstr>
      </vt:variant>
      <vt:variant>
        <vt:lpwstr/>
      </vt:variant>
      <vt:variant>
        <vt:i4>3670026</vt:i4>
      </vt:variant>
      <vt:variant>
        <vt:i4>1824</vt:i4>
      </vt:variant>
      <vt:variant>
        <vt:i4>0</vt:i4>
      </vt:variant>
      <vt:variant>
        <vt:i4>5</vt:i4>
      </vt:variant>
      <vt:variant>
        <vt:lpwstr>https://hal.inrae.fr/search/index/q/*/authFullName_s/Y.+Salaun</vt:lpwstr>
      </vt:variant>
      <vt:variant>
        <vt:lpwstr/>
      </vt:variant>
      <vt:variant>
        <vt:i4>5439525</vt:i4>
      </vt:variant>
      <vt:variant>
        <vt:i4>1821</vt:i4>
      </vt:variant>
      <vt:variant>
        <vt:i4>0</vt:i4>
      </vt:variant>
      <vt:variant>
        <vt:i4>5</vt:i4>
      </vt:variant>
      <vt:variant>
        <vt:lpwstr>https://hal.inrae.fr/search/index/q/*/authFullName_s/Gilles+Nassy</vt:lpwstr>
      </vt:variant>
      <vt:variant>
        <vt:lpwstr/>
      </vt:variant>
      <vt:variant>
        <vt:i4>5832822</vt:i4>
      </vt:variant>
      <vt:variant>
        <vt:i4>1818</vt:i4>
      </vt:variant>
      <vt:variant>
        <vt:i4>0</vt:i4>
      </vt:variant>
      <vt:variant>
        <vt:i4>5</vt:i4>
      </vt:variant>
      <vt:variant>
        <vt:lpwstr>https://hal.inrae.fr/search/index/q/*/authIdHal_s/jean-yves-dourmad</vt:lpwstr>
      </vt:variant>
      <vt:variant>
        <vt:lpwstr/>
      </vt:variant>
      <vt:variant>
        <vt:i4>786446</vt:i4>
      </vt:variant>
      <vt:variant>
        <vt:i4>1815</vt:i4>
      </vt:variant>
      <vt:variant>
        <vt:i4>0</vt:i4>
      </vt:variant>
      <vt:variant>
        <vt:i4>5</vt:i4>
      </vt:variant>
      <vt:variant>
        <vt:lpwstr>https://hal.inrae.fr/hal-02630037</vt:lpwstr>
      </vt:variant>
      <vt:variant>
        <vt:lpwstr/>
      </vt:variant>
      <vt:variant>
        <vt:i4>4653125</vt:i4>
      </vt:variant>
      <vt:variant>
        <vt:i4>1812</vt:i4>
      </vt:variant>
      <vt:variant>
        <vt:i4>0</vt:i4>
      </vt:variant>
      <vt:variant>
        <vt:i4>5</vt:i4>
      </vt:variant>
      <vt:variant>
        <vt:lpwstr>https://dx.doi.org/10.15454/1.4622710500090479E12</vt:lpwstr>
      </vt:variant>
      <vt:variant>
        <vt:lpwstr/>
      </vt:variant>
      <vt:variant>
        <vt:i4>1638467</vt:i4>
      </vt:variant>
      <vt:variant>
        <vt:i4>1809</vt:i4>
      </vt:variant>
      <vt:variant>
        <vt:i4>0</vt:i4>
      </vt:variant>
      <vt:variant>
        <vt:i4>5</vt:i4>
      </vt:variant>
      <vt:variant>
        <vt:lpwstr>https://hal.archives-ouvertes.fr/hal-00851376</vt:lpwstr>
      </vt:variant>
      <vt:variant>
        <vt:lpwstr/>
      </vt:variant>
      <vt:variant>
        <vt:i4>3866692</vt:i4>
      </vt:variant>
      <vt:variant>
        <vt:i4>1806</vt:i4>
      </vt:variant>
      <vt:variant>
        <vt:i4>0</vt:i4>
      </vt:variant>
      <vt:variant>
        <vt:i4>5</vt:i4>
      </vt:variant>
      <vt:variant>
        <vt:lpwstr>https://www.entreprises.gouv.fr/files/files/directions_services/etudes-et-statistiques/4p-DGE/2019-07-4Pn88-EVE.pdf</vt:lpwstr>
      </vt:variant>
      <vt:variant>
        <vt:lpwstr/>
      </vt:variant>
      <vt:variant>
        <vt:i4>196615</vt:i4>
      </vt:variant>
      <vt:variant>
        <vt:i4>1803</vt:i4>
      </vt:variant>
      <vt:variant>
        <vt:i4>0</vt:i4>
      </vt:variant>
      <vt:variant>
        <vt:i4>5</vt:i4>
      </vt:variant>
      <vt:variant>
        <vt:lpwstr>http://www.anses.fr/</vt:lpwstr>
      </vt:variant>
      <vt:variant>
        <vt:lpwstr/>
      </vt:variant>
      <vt:variant>
        <vt:i4>7012394</vt:i4>
      </vt:variant>
      <vt:variant>
        <vt:i4>1800</vt:i4>
      </vt:variant>
      <vt:variant>
        <vt:i4>0</vt:i4>
      </vt:variant>
      <vt:variant>
        <vt:i4>5</vt:i4>
      </vt:variant>
      <vt:variant>
        <vt:lpwstr>https://www.santepubliquefrance.fr/</vt:lpwstr>
      </vt:variant>
      <vt:variant>
        <vt:lpwstr/>
      </vt:variant>
      <vt:variant>
        <vt:i4>327752</vt:i4>
      </vt:variant>
      <vt:variant>
        <vt:i4>1797</vt:i4>
      </vt:variant>
      <vt:variant>
        <vt:i4>0</vt:i4>
      </vt:variant>
      <vt:variant>
        <vt:i4>5</vt:i4>
      </vt:variant>
      <vt:variant>
        <vt:lpwstr>http://www.fao.org/3/ai6583e.pdf</vt:lpwstr>
      </vt:variant>
      <vt:variant>
        <vt:lpwstr/>
      </vt:variant>
      <vt:variant>
        <vt:i4>3080287</vt:i4>
      </vt:variant>
      <vt:variant>
        <vt:i4>1794</vt:i4>
      </vt:variant>
      <vt:variant>
        <vt:i4>0</vt:i4>
      </vt:variant>
      <vt:variant>
        <vt:i4>5</vt:i4>
      </vt:variant>
      <vt:variant>
        <vt:lpwstr>https://www6.angers-nantes.inrae.fr/bioepar_eng/content/download/3906/44744/version/1/file/Diaporama+Poulet+de+chair.pdf</vt:lpwstr>
      </vt:variant>
      <vt:variant>
        <vt:lpwstr/>
      </vt:variant>
      <vt:variant>
        <vt:i4>3604600</vt:i4>
      </vt:variant>
      <vt:variant>
        <vt:i4>1665</vt:i4>
      </vt:variant>
      <vt:variant>
        <vt:i4>0</vt:i4>
      </vt:variant>
      <vt:variant>
        <vt:i4>5</vt:i4>
      </vt:variant>
      <vt:variant>
        <vt:lpwstr>http://world.openfoodfacts.org/</vt:lpwstr>
      </vt:variant>
      <vt:variant>
        <vt:lpwstr/>
      </vt:variant>
      <vt:variant>
        <vt:i4>1900551</vt:i4>
      </vt:variant>
      <vt:variant>
        <vt:i4>1461</vt:i4>
      </vt:variant>
      <vt:variant>
        <vt:i4>0</vt:i4>
      </vt:variant>
      <vt:variant>
        <vt:i4>5</vt:i4>
      </vt:variant>
      <vt:variant>
        <vt:lpwstr>http://www.insee.fr/</vt:lpwstr>
      </vt:variant>
      <vt:variant>
        <vt:lpwstr/>
      </vt:variant>
      <vt:variant>
        <vt:i4>1638448</vt:i4>
      </vt:variant>
      <vt:variant>
        <vt:i4>1352</vt:i4>
      </vt:variant>
      <vt:variant>
        <vt:i4>0</vt:i4>
      </vt:variant>
      <vt:variant>
        <vt:i4>5</vt:i4>
      </vt:variant>
      <vt:variant>
        <vt:lpwstr/>
      </vt:variant>
      <vt:variant>
        <vt:lpwstr>_Toc69511422</vt:lpwstr>
      </vt:variant>
      <vt:variant>
        <vt:i4>1703984</vt:i4>
      </vt:variant>
      <vt:variant>
        <vt:i4>1346</vt:i4>
      </vt:variant>
      <vt:variant>
        <vt:i4>0</vt:i4>
      </vt:variant>
      <vt:variant>
        <vt:i4>5</vt:i4>
      </vt:variant>
      <vt:variant>
        <vt:lpwstr/>
      </vt:variant>
      <vt:variant>
        <vt:lpwstr>_Toc69511421</vt:lpwstr>
      </vt:variant>
      <vt:variant>
        <vt:i4>1769520</vt:i4>
      </vt:variant>
      <vt:variant>
        <vt:i4>1340</vt:i4>
      </vt:variant>
      <vt:variant>
        <vt:i4>0</vt:i4>
      </vt:variant>
      <vt:variant>
        <vt:i4>5</vt:i4>
      </vt:variant>
      <vt:variant>
        <vt:lpwstr/>
      </vt:variant>
      <vt:variant>
        <vt:lpwstr>_Toc69511420</vt:lpwstr>
      </vt:variant>
      <vt:variant>
        <vt:i4>1179699</vt:i4>
      </vt:variant>
      <vt:variant>
        <vt:i4>1334</vt:i4>
      </vt:variant>
      <vt:variant>
        <vt:i4>0</vt:i4>
      </vt:variant>
      <vt:variant>
        <vt:i4>5</vt:i4>
      </vt:variant>
      <vt:variant>
        <vt:lpwstr/>
      </vt:variant>
      <vt:variant>
        <vt:lpwstr>_Toc69511419</vt:lpwstr>
      </vt:variant>
      <vt:variant>
        <vt:i4>1245235</vt:i4>
      </vt:variant>
      <vt:variant>
        <vt:i4>1328</vt:i4>
      </vt:variant>
      <vt:variant>
        <vt:i4>0</vt:i4>
      </vt:variant>
      <vt:variant>
        <vt:i4>5</vt:i4>
      </vt:variant>
      <vt:variant>
        <vt:lpwstr/>
      </vt:variant>
      <vt:variant>
        <vt:lpwstr>_Toc69511418</vt:lpwstr>
      </vt:variant>
      <vt:variant>
        <vt:i4>1835059</vt:i4>
      </vt:variant>
      <vt:variant>
        <vt:i4>1322</vt:i4>
      </vt:variant>
      <vt:variant>
        <vt:i4>0</vt:i4>
      </vt:variant>
      <vt:variant>
        <vt:i4>5</vt:i4>
      </vt:variant>
      <vt:variant>
        <vt:lpwstr/>
      </vt:variant>
      <vt:variant>
        <vt:lpwstr>_Toc69511417</vt:lpwstr>
      </vt:variant>
      <vt:variant>
        <vt:i4>1900595</vt:i4>
      </vt:variant>
      <vt:variant>
        <vt:i4>1316</vt:i4>
      </vt:variant>
      <vt:variant>
        <vt:i4>0</vt:i4>
      </vt:variant>
      <vt:variant>
        <vt:i4>5</vt:i4>
      </vt:variant>
      <vt:variant>
        <vt:lpwstr/>
      </vt:variant>
      <vt:variant>
        <vt:lpwstr>_Toc69511416</vt:lpwstr>
      </vt:variant>
      <vt:variant>
        <vt:i4>1966131</vt:i4>
      </vt:variant>
      <vt:variant>
        <vt:i4>1310</vt:i4>
      </vt:variant>
      <vt:variant>
        <vt:i4>0</vt:i4>
      </vt:variant>
      <vt:variant>
        <vt:i4>5</vt:i4>
      </vt:variant>
      <vt:variant>
        <vt:lpwstr/>
      </vt:variant>
      <vt:variant>
        <vt:lpwstr>_Toc69511415</vt:lpwstr>
      </vt:variant>
      <vt:variant>
        <vt:i4>2031667</vt:i4>
      </vt:variant>
      <vt:variant>
        <vt:i4>1304</vt:i4>
      </vt:variant>
      <vt:variant>
        <vt:i4>0</vt:i4>
      </vt:variant>
      <vt:variant>
        <vt:i4>5</vt:i4>
      </vt:variant>
      <vt:variant>
        <vt:lpwstr/>
      </vt:variant>
      <vt:variant>
        <vt:lpwstr>_Toc69511414</vt:lpwstr>
      </vt:variant>
      <vt:variant>
        <vt:i4>1572915</vt:i4>
      </vt:variant>
      <vt:variant>
        <vt:i4>1298</vt:i4>
      </vt:variant>
      <vt:variant>
        <vt:i4>0</vt:i4>
      </vt:variant>
      <vt:variant>
        <vt:i4>5</vt:i4>
      </vt:variant>
      <vt:variant>
        <vt:lpwstr/>
      </vt:variant>
      <vt:variant>
        <vt:lpwstr>_Toc69511413</vt:lpwstr>
      </vt:variant>
      <vt:variant>
        <vt:i4>1638451</vt:i4>
      </vt:variant>
      <vt:variant>
        <vt:i4>1292</vt:i4>
      </vt:variant>
      <vt:variant>
        <vt:i4>0</vt:i4>
      </vt:variant>
      <vt:variant>
        <vt:i4>5</vt:i4>
      </vt:variant>
      <vt:variant>
        <vt:lpwstr/>
      </vt:variant>
      <vt:variant>
        <vt:lpwstr>_Toc69511412</vt:lpwstr>
      </vt:variant>
      <vt:variant>
        <vt:i4>1703987</vt:i4>
      </vt:variant>
      <vt:variant>
        <vt:i4>1286</vt:i4>
      </vt:variant>
      <vt:variant>
        <vt:i4>0</vt:i4>
      </vt:variant>
      <vt:variant>
        <vt:i4>5</vt:i4>
      </vt:variant>
      <vt:variant>
        <vt:lpwstr/>
      </vt:variant>
      <vt:variant>
        <vt:lpwstr>_Toc69511411</vt:lpwstr>
      </vt:variant>
      <vt:variant>
        <vt:i4>1769523</vt:i4>
      </vt:variant>
      <vt:variant>
        <vt:i4>1280</vt:i4>
      </vt:variant>
      <vt:variant>
        <vt:i4>0</vt:i4>
      </vt:variant>
      <vt:variant>
        <vt:i4>5</vt:i4>
      </vt:variant>
      <vt:variant>
        <vt:lpwstr/>
      </vt:variant>
      <vt:variant>
        <vt:lpwstr>_Toc69511410</vt:lpwstr>
      </vt:variant>
      <vt:variant>
        <vt:i4>1179698</vt:i4>
      </vt:variant>
      <vt:variant>
        <vt:i4>1274</vt:i4>
      </vt:variant>
      <vt:variant>
        <vt:i4>0</vt:i4>
      </vt:variant>
      <vt:variant>
        <vt:i4>5</vt:i4>
      </vt:variant>
      <vt:variant>
        <vt:lpwstr/>
      </vt:variant>
      <vt:variant>
        <vt:lpwstr>_Toc69511409</vt:lpwstr>
      </vt:variant>
      <vt:variant>
        <vt:i4>1245234</vt:i4>
      </vt:variant>
      <vt:variant>
        <vt:i4>1268</vt:i4>
      </vt:variant>
      <vt:variant>
        <vt:i4>0</vt:i4>
      </vt:variant>
      <vt:variant>
        <vt:i4>5</vt:i4>
      </vt:variant>
      <vt:variant>
        <vt:lpwstr/>
      </vt:variant>
      <vt:variant>
        <vt:lpwstr>_Toc69511408</vt:lpwstr>
      </vt:variant>
      <vt:variant>
        <vt:i4>1835058</vt:i4>
      </vt:variant>
      <vt:variant>
        <vt:i4>1262</vt:i4>
      </vt:variant>
      <vt:variant>
        <vt:i4>0</vt:i4>
      </vt:variant>
      <vt:variant>
        <vt:i4>5</vt:i4>
      </vt:variant>
      <vt:variant>
        <vt:lpwstr/>
      </vt:variant>
      <vt:variant>
        <vt:lpwstr>_Toc69511407</vt:lpwstr>
      </vt:variant>
      <vt:variant>
        <vt:i4>1900594</vt:i4>
      </vt:variant>
      <vt:variant>
        <vt:i4>1256</vt:i4>
      </vt:variant>
      <vt:variant>
        <vt:i4>0</vt:i4>
      </vt:variant>
      <vt:variant>
        <vt:i4>5</vt:i4>
      </vt:variant>
      <vt:variant>
        <vt:lpwstr/>
      </vt:variant>
      <vt:variant>
        <vt:lpwstr>_Toc69511406</vt:lpwstr>
      </vt:variant>
      <vt:variant>
        <vt:i4>1966130</vt:i4>
      </vt:variant>
      <vt:variant>
        <vt:i4>1250</vt:i4>
      </vt:variant>
      <vt:variant>
        <vt:i4>0</vt:i4>
      </vt:variant>
      <vt:variant>
        <vt:i4>5</vt:i4>
      </vt:variant>
      <vt:variant>
        <vt:lpwstr/>
      </vt:variant>
      <vt:variant>
        <vt:lpwstr>_Toc69511405</vt:lpwstr>
      </vt:variant>
      <vt:variant>
        <vt:i4>2031666</vt:i4>
      </vt:variant>
      <vt:variant>
        <vt:i4>1244</vt:i4>
      </vt:variant>
      <vt:variant>
        <vt:i4>0</vt:i4>
      </vt:variant>
      <vt:variant>
        <vt:i4>5</vt:i4>
      </vt:variant>
      <vt:variant>
        <vt:lpwstr/>
      </vt:variant>
      <vt:variant>
        <vt:lpwstr>_Toc69511404</vt:lpwstr>
      </vt:variant>
      <vt:variant>
        <vt:i4>1572914</vt:i4>
      </vt:variant>
      <vt:variant>
        <vt:i4>1238</vt:i4>
      </vt:variant>
      <vt:variant>
        <vt:i4>0</vt:i4>
      </vt:variant>
      <vt:variant>
        <vt:i4>5</vt:i4>
      </vt:variant>
      <vt:variant>
        <vt:lpwstr/>
      </vt:variant>
      <vt:variant>
        <vt:lpwstr>_Toc69511403</vt:lpwstr>
      </vt:variant>
      <vt:variant>
        <vt:i4>1638450</vt:i4>
      </vt:variant>
      <vt:variant>
        <vt:i4>1232</vt:i4>
      </vt:variant>
      <vt:variant>
        <vt:i4>0</vt:i4>
      </vt:variant>
      <vt:variant>
        <vt:i4>5</vt:i4>
      </vt:variant>
      <vt:variant>
        <vt:lpwstr/>
      </vt:variant>
      <vt:variant>
        <vt:lpwstr>_Toc69511402</vt:lpwstr>
      </vt:variant>
      <vt:variant>
        <vt:i4>1703986</vt:i4>
      </vt:variant>
      <vt:variant>
        <vt:i4>1226</vt:i4>
      </vt:variant>
      <vt:variant>
        <vt:i4>0</vt:i4>
      </vt:variant>
      <vt:variant>
        <vt:i4>5</vt:i4>
      </vt:variant>
      <vt:variant>
        <vt:lpwstr/>
      </vt:variant>
      <vt:variant>
        <vt:lpwstr>_Toc69511401</vt:lpwstr>
      </vt:variant>
      <vt:variant>
        <vt:i4>1769522</vt:i4>
      </vt:variant>
      <vt:variant>
        <vt:i4>1220</vt:i4>
      </vt:variant>
      <vt:variant>
        <vt:i4>0</vt:i4>
      </vt:variant>
      <vt:variant>
        <vt:i4>5</vt:i4>
      </vt:variant>
      <vt:variant>
        <vt:lpwstr/>
      </vt:variant>
      <vt:variant>
        <vt:lpwstr>_Toc69511400</vt:lpwstr>
      </vt:variant>
      <vt:variant>
        <vt:i4>1376315</vt:i4>
      </vt:variant>
      <vt:variant>
        <vt:i4>1214</vt:i4>
      </vt:variant>
      <vt:variant>
        <vt:i4>0</vt:i4>
      </vt:variant>
      <vt:variant>
        <vt:i4>5</vt:i4>
      </vt:variant>
      <vt:variant>
        <vt:lpwstr/>
      </vt:variant>
      <vt:variant>
        <vt:lpwstr>_Toc69511399</vt:lpwstr>
      </vt:variant>
      <vt:variant>
        <vt:i4>1310779</vt:i4>
      </vt:variant>
      <vt:variant>
        <vt:i4>1208</vt:i4>
      </vt:variant>
      <vt:variant>
        <vt:i4>0</vt:i4>
      </vt:variant>
      <vt:variant>
        <vt:i4>5</vt:i4>
      </vt:variant>
      <vt:variant>
        <vt:lpwstr/>
      </vt:variant>
      <vt:variant>
        <vt:lpwstr>_Toc69511398</vt:lpwstr>
      </vt:variant>
      <vt:variant>
        <vt:i4>1769531</vt:i4>
      </vt:variant>
      <vt:variant>
        <vt:i4>1202</vt:i4>
      </vt:variant>
      <vt:variant>
        <vt:i4>0</vt:i4>
      </vt:variant>
      <vt:variant>
        <vt:i4>5</vt:i4>
      </vt:variant>
      <vt:variant>
        <vt:lpwstr/>
      </vt:variant>
      <vt:variant>
        <vt:lpwstr>_Toc69511397</vt:lpwstr>
      </vt:variant>
      <vt:variant>
        <vt:i4>1703995</vt:i4>
      </vt:variant>
      <vt:variant>
        <vt:i4>1196</vt:i4>
      </vt:variant>
      <vt:variant>
        <vt:i4>0</vt:i4>
      </vt:variant>
      <vt:variant>
        <vt:i4>5</vt:i4>
      </vt:variant>
      <vt:variant>
        <vt:lpwstr/>
      </vt:variant>
      <vt:variant>
        <vt:lpwstr>_Toc69511396</vt:lpwstr>
      </vt:variant>
      <vt:variant>
        <vt:i4>1638459</vt:i4>
      </vt:variant>
      <vt:variant>
        <vt:i4>1190</vt:i4>
      </vt:variant>
      <vt:variant>
        <vt:i4>0</vt:i4>
      </vt:variant>
      <vt:variant>
        <vt:i4>5</vt:i4>
      </vt:variant>
      <vt:variant>
        <vt:lpwstr/>
      </vt:variant>
      <vt:variant>
        <vt:lpwstr>_Toc69511395</vt:lpwstr>
      </vt:variant>
      <vt:variant>
        <vt:i4>1572923</vt:i4>
      </vt:variant>
      <vt:variant>
        <vt:i4>1184</vt:i4>
      </vt:variant>
      <vt:variant>
        <vt:i4>0</vt:i4>
      </vt:variant>
      <vt:variant>
        <vt:i4>5</vt:i4>
      </vt:variant>
      <vt:variant>
        <vt:lpwstr/>
      </vt:variant>
      <vt:variant>
        <vt:lpwstr>_Toc69511394</vt:lpwstr>
      </vt:variant>
      <vt:variant>
        <vt:i4>2031675</vt:i4>
      </vt:variant>
      <vt:variant>
        <vt:i4>1178</vt:i4>
      </vt:variant>
      <vt:variant>
        <vt:i4>0</vt:i4>
      </vt:variant>
      <vt:variant>
        <vt:i4>5</vt:i4>
      </vt:variant>
      <vt:variant>
        <vt:lpwstr/>
      </vt:variant>
      <vt:variant>
        <vt:lpwstr>_Toc69511393</vt:lpwstr>
      </vt:variant>
      <vt:variant>
        <vt:i4>1966141</vt:i4>
      </vt:variant>
      <vt:variant>
        <vt:i4>1169</vt:i4>
      </vt:variant>
      <vt:variant>
        <vt:i4>0</vt:i4>
      </vt:variant>
      <vt:variant>
        <vt:i4>5</vt:i4>
      </vt:variant>
      <vt:variant>
        <vt:lpwstr/>
      </vt:variant>
      <vt:variant>
        <vt:lpwstr>_Toc69546783</vt:lpwstr>
      </vt:variant>
      <vt:variant>
        <vt:i4>2031677</vt:i4>
      </vt:variant>
      <vt:variant>
        <vt:i4>1163</vt:i4>
      </vt:variant>
      <vt:variant>
        <vt:i4>0</vt:i4>
      </vt:variant>
      <vt:variant>
        <vt:i4>5</vt:i4>
      </vt:variant>
      <vt:variant>
        <vt:lpwstr/>
      </vt:variant>
      <vt:variant>
        <vt:lpwstr>_Toc69546782</vt:lpwstr>
      </vt:variant>
      <vt:variant>
        <vt:i4>1835069</vt:i4>
      </vt:variant>
      <vt:variant>
        <vt:i4>1157</vt:i4>
      </vt:variant>
      <vt:variant>
        <vt:i4>0</vt:i4>
      </vt:variant>
      <vt:variant>
        <vt:i4>5</vt:i4>
      </vt:variant>
      <vt:variant>
        <vt:lpwstr/>
      </vt:variant>
      <vt:variant>
        <vt:lpwstr>_Toc69546781</vt:lpwstr>
      </vt:variant>
      <vt:variant>
        <vt:i4>1900605</vt:i4>
      </vt:variant>
      <vt:variant>
        <vt:i4>1151</vt:i4>
      </vt:variant>
      <vt:variant>
        <vt:i4>0</vt:i4>
      </vt:variant>
      <vt:variant>
        <vt:i4>5</vt:i4>
      </vt:variant>
      <vt:variant>
        <vt:lpwstr/>
      </vt:variant>
      <vt:variant>
        <vt:lpwstr>_Toc69546780</vt:lpwstr>
      </vt:variant>
      <vt:variant>
        <vt:i4>1310770</vt:i4>
      </vt:variant>
      <vt:variant>
        <vt:i4>1145</vt:i4>
      </vt:variant>
      <vt:variant>
        <vt:i4>0</vt:i4>
      </vt:variant>
      <vt:variant>
        <vt:i4>5</vt:i4>
      </vt:variant>
      <vt:variant>
        <vt:lpwstr/>
      </vt:variant>
      <vt:variant>
        <vt:lpwstr>_Toc69546779</vt:lpwstr>
      </vt:variant>
      <vt:variant>
        <vt:i4>1376306</vt:i4>
      </vt:variant>
      <vt:variant>
        <vt:i4>1139</vt:i4>
      </vt:variant>
      <vt:variant>
        <vt:i4>0</vt:i4>
      </vt:variant>
      <vt:variant>
        <vt:i4>5</vt:i4>
      </vt:variant>
      <vt:variant>
        <vt:lpwstr/>
      </vt:variant>
      <vt:variant>
        <vt:lpwstr>_Toc69546778</vt:lpwstr>
      </vt:variant>
      <vt:variant>
        <vt:i4>1703986</vt:i4>
      </vt:variant>
      <vt:variant>
        <vt:i4>1133</vt:i4>
      </vt:variant>
      <vt:variant>
        <vt:i4>0</vt:i4>
      </vt:variant>
      <vt:variant>
        <vt:i4>5</vt:i4>
      </vt:variant>
      <vt:variant>
        <vt:lpwstr/>
      </vt:variant>
      <vt:variant>
        <vt:lpwstr>_Toc69546777</vt:lpwstr>
      </vt:variant>
      <vt:variant>
        <vt:i4>1769522</vt:i4>
      </vt:variant>
      <vt:variant>
        <vt:i4>1127</vt:i4>
      </vt:variant>
      <vt:variant>
        <vt:i4>0</vt:i4>
      </vt:variant>
      <vt:variant>
        <vt:i4>5</vt:i4>
      </vt:variant>
      <vt:variant>
        <vt:lpwstr/>
      </vt:variant>
      <vt:variant>
        <vt:lpwstr>_Toc69546776</vt:lpwstr>
      </vt:variant>
      <vt:variant>
        <vt:i4>1572914</vt:i4>
      </vt:variant>
      <vt:variant>
        <vt:i4>1121</vt:i4>
      </vt:variant>
      <vt:variant>
        <vt:i4>0</vt:i4>
      </vt:variant>
      <vt:variant>
        <vt:i4>5</vt:i4>
      </vt:variant>
      <vt:variant>
        <vt:lpwstr/>
      </vt:variant>
      <vt:variant>
        <vt:lpwstr>_Toc69546775</vt:lpwstr>
      </vt:variant>
      <vt:variant>
        <vt:i4>1638450</vt:i4>
      </vt:variant>
      <vt:variant>
        <vt:i4>1115</vt:i4>
      </vt:variant>
      <vt:variant>
        <vt:i4>0</vt:i4>
      </vt:variant>
      <vt:variant>
        <vt:i4>5</vt:i4>
      </vt:variant>
      <vt:variant>
        <vt:lpwstr/>
      </vt:variant>
      <vt:variant>
        <vt:lpwstr>_Toc69546774</vt:lpwstr>
      </vt:variant>
      <vt:variant>
        <vt:i4>1966130</vt:i4>
      </vt:variant>
      <vt:variant>
        <vt:i4>1109</vt:i4>
      </vt:variant>
      <vt:variant>
        <vt:i4>0</vt:i4>
      </vt:variant>
      <vt:variant>
        <vt:i4>5</vt:i4>
      </vt:variant>
      <vt:variant>
        <vt:lpwstr/>
      </vt:variant>
      <vt:variant>
        <vt:lpwstr>_Toc69546773</vt:lpwstr>
      </vt:variant>
      <vt:variant>
        <vt:i4>2031666</vt:i4>
      </vt:variant>
      <vt:variant>
        <vt:i4>1103</vt:i4>
      </vt:variant>
      <vt:variant>
        <vt:i4>0</vt:i4>
      </vt:variant>
      <vt:variant>
        <vt:i4>5</vt:i4>
      </vt:variant>
      <vt:variant>
        <vt:lpwstr/>
      </vt:variant>
      <vt:variant>
        <vt:lpwstr>_Toc69546772</vt:lpwstr>
      </vt:variant>
      <vt:variant>
        <vt:i4>1835058</vt:i4>
      </vt:variant>
      <vt:variant>
        <vt:i4>1097</vt:i4>
      </vt:variant>
      <vt:variant>
        <vt:i4>0</vt:i4>
      </vt:variant>
      <vt:variant>
        <vt:i4>5</vt:i4>
      </vt:variant>
      <vt:variant>
        <vt:lpwstr/>
      </vt:variant>
      <vt:variant>
        <vt:lpwstr>_Toc69546771</vt:lpwstr>
      </vt:variant>
      <vt:variant>
        <vt:i4>1900594</vt:i4>
      </vt:variant>
      <vt:variant>
        <vt:i4>1091</vt:i4>
      </vt:variant>
      <vt:variant>
        <vt:i4>0</vt:i4>
      </vt:variant>
      <vt:variant>
        <vt:i4>5</vt:i4>
      </vt:variant>
      <vt:variant>
        <vt:lpwstr/>
      </vt:variant>
      <vt:variant>
        <vt:lpwstr>_Toc69546770</vt:lpwstr>
      </vt:variant>
      <vt:variant>
        <vt:i4>1310771</vt:i4>
      </vt:variant>
      <vt:variant>
        <vt:i4>1085</vt:i4>
      </vt:variant>
      <vt:variant>
        <vt:i4>0</vt:i4>
      </vt:variant>
      <vt:variant>
        <vt:i4>5</vt:i4>
      </vt:variant>
      <vt:variant>
        <vt:lpwstr/>
      </vt:variant>
      <vt:variant>
        <vt:lpwstr>_Toc69546769</vt:lpwstr>
      </vt:variant>
      <vt:variant>
        <vt:i4>1376307</vt:i4>
      </vt:variant>
      <vt:variant>
        <vt:i4>1079</vt:i4>
      </vt:variant>
      <vt:variant>
        <vt:i4>0</vt:i4>
      </vt:variant>
      <vt:variant>
        <vt:i4>5</vt:i4>
      </vt:variant>
      <vt:variant>
        <vt:lpwstr/>
      </vt:variant>
      <vt:variant>
        <vt:lpwstr>_Toc69546768</vt:lpwstr>
      </vt:variant>
      <vt:variant>
        <vt:i4>1703987</vt:i4>
      </vt:variant>
      <vt:variant>
        <vt:i4>1073</vt:i4>
      </vt:variant>
      <vt:variant>
        <vt:i4>0</vt:i4>
      </vt:variant>
      <vt:variant>
        <vt:i4>5</vt:i4>
      </vt:variant>
      <vt:variant>
        <vt:lpwstr/>
      </vt:variant>
      <vt:variant>
        <vt:lpwstr>_Toc69546767</vt:lpwstr>
      </vt:variant>
      <vt:variant>
        <vt:i4>1769523</vt:i4>
      </vt:variant>
      <vt:variant>
        <vt:i4>1067</vt:i4>
      </vt:variant>
      <vt:variant>
        <vt:i4>0</vt:i4>
      </vt:variant>
      <vt:variant>
        <vt:i4>5</vt:i4>
      </vt:variant>
      <vt:variant>
        <vt:lpwstr/>
      </vt:variant>
      <vt:variant>
        <vt:lpwstr>_Toc69546766</vt:lpwstr>
      </vt:variant>
      <vt:variant>
        <vt:i4>1572915</vt:i4>
      </vt:variant>
      <vt:variant>
        <vt:i4>1061</vt:i4>
      </vt:variant>
      <vt:variant>
        <vt:i4>0</vt:i4>
      </vt:variant>
      <vt:variant>
        <vt:i4>5</vt:i4>
      </vt:variant>
      <vt:variant>
        <vt:lpwstr/>
      </vt:variant>
      <vt:variant>
        <vt:lpwstr>_Toc69546765</vt:lpwstr>
      </vt:variant>
      <vt:variant>
        <vt:i4>1638451</vt:i4>
      </vt:variant>
      <vt:variant>
        <vt:i4>1055</vt:i4>
      </vt:variant>
      <vt:variant>
        <vt:i4>0</vt:i4>
      </vt:variant>
      <vt:variant>
        <vt:i4>5</vt:i4>
      </vt:variant>
      <vt:variant>
        <vt:lpwstr/>
      </vt:variant>
      <vt:variant>
        <vt:lpwstr>_Toc69546764</vt:lpwstr>
      </vt:variant>
      <vt:variant>
        <vt:i4>1966131</vt:i4>
      </vt:variant>
      <vt:variant>
        <vt:i4>1049</vt:i4>
      </vt:variant>
      <vt:variant>
        <vt:i4>0</vt:i4>
      </vt:variant>
      <vt:variant>
        <vt:i4>5</vt:i4>
      </vt:variant>
      <vt:variant>
        <vt:lpwstr/>
      </vt:variant>
      <vt:variant>
        <vt:lpwstr>_Toc69546763</vt:lpwstr>
      </vt:variant>
      <vt:variant>
        <vt:i4>2031667</vt:i4>
      </vt:variant>
      <vt:variant>
        <vt:i4>1043</vt:i4>
      </vt:variant>
      <vt:variant>
        <vt:i4>0</vt:i4>
      </vt:variant>
      <vt:variant>
        <vt:i4>5</vt:i4>
      </vt:variant>
      <vt:variant>
        <vt:lpwstr/>
      </vt:variant>
      <vt:variant>
        <vt:lpwstr>_Toc69546762</vt:lpwstr>
      </vt:variant>
      <vt:variant>
        <vt:i4>1835059</vt:i4>
      </vt:variant>
      <vt:variant>
        <vt:i4>1037</vt:i4>
      </vt:variant>
      <vt:variant>
        <vt:i4>0</vt:i4>
      </vt:variant>
      <vt:variant>
        <vt:i4>5</vt:i4>
      </vt:variant>
      <vt:variant>
        <vt:lpwstr/>
      </vt:variant>
      <vt:variant>
        <vt:lpwstr>_Toc69546761</vt:lpwstr>
      </vt:variant>
      <vt:variant>
        <vt:i4>1900595</vt:i4>
      </vt:variant>
      <vt:variant>
        <vt:i4>1031</vt:i4>
      </vt:variant>
      <vt:variant>
        <vt:i4>0</vt:i4>
      </vt:variant>
      <vt:variant>
        <vt:i4>5</vt:i4>
      </vt:variant>
      <vt:variant>
        <vt:lpwstr/>
      </vt:variant>
      <vt:variant>
        <vt:lpwstr>_Toc69546760</vt:lpwstr>
      </vt:variant>
      <vt:variant>
        <vt:i4>1310768</vt:i4>
      </vt:variant>
      <vt:variant>
        <vt:i4>1025</vt:i4>
      </vt:variant>
      <vt:variant>
        <vt:i4>0</vt:i4>
      </vt:variant>
      <vt:variant>
        <vt:i4>5</vt:i4>
      </vt:variant>
      <vt:variant>
        <vt:lpwstr/>
      </vt:variant>
      <vt:variant>
        <vt:lpwstr>_Toc69546759</vt:lpwstr>
      </vt:variant>
      <vt:variant>
        <vt:i4>1376304</vt:i4>
      </vt:variant>
      <vt:variant>
        <vt:i4>1019</vt:i4>
      </vt:variant>
      <vt:variant>
        <vt:i4>0</vt:i4>
      </vt:variant>
      <vt:variant>
        <vt:i4>5</vt:i4>
      </vt:variant>
      <vt:variant>
        <vt:lpwstr/>
      </vt:variant>
      <vt:variant>
        <vt:lpwstr>_Toc69546758</vt:lpwstr>
      </vt:variant>
      <vt:variant>
        <vt:i4>1703984</vt:i4>
      </vt:variant>
      <vt:variant>
        <vt:i4>1013</vt:i4>
      </vt:variant>
      <vt:variant>
        <vt:i4>0</vt:i4>
      </vt:variant>
      <vt:variant>
        <vt:i4>5</vt:i4>
      </vt:variant>
      <vt:variant>
        <vt:lpwstr/>
      </vt:variant>
      <vt:variant>
        <vt:lpwstr>_Toc69546757</vt:lpwstr>
      </vt:variant>
      <vt:variant>
        <vt:i4>1769520</vt:i4>
      </vt:variant>
      <vt:variant>
        <vt:i4>1007</vt:i4>
      </vt:variant>
      <vt:variant>
        <vt:i4>0</vt:i4>
      </vt:variant>
      <vt:variant>
        <vt:i4>5</vt:i4>
      </vt:variant>
      <vt:variant>
        <vt:lpwstr/>
      </vt:variant>
      <vt:variant>
        <vt:lpwstr>_Toc69546756</vt:lpwstr>
      </vt:variant>
      <vt:variant>
        <vt:i4>1572912</vt:i4>
      </vt:variant>
      <vt:variant>
        <vt:i4>1001</vt:i4>
      </vt:variant>
      <vt:variant>
        <vt:i4>0</vt:i4>
      </vt:variant>
      <vt:variant>
        <vt:i4>5</vt:i4>
      </vt:variant>
      <vt:variant>
        <vt:lpwstr/>
      </vt:variant>
      <vt:variant>
        <vt:lpwstr>_Toc69546755</vt:lpwstr>
      </vt:variant>
      <vt:variant>
        <vt:i4>1638448</vt:i4>
      </vt:variant>
      <vt:variant>
        <vt:i4>995</vt:i4>
      </vt:variant>
      <vt:variant>
        <vt:i4>0</vt:i4>
      </vt:variant>
      <vt:variant>
        <vt:i4>5</vt:i4>
      </vt:variant>
      <vt:variant>
        <vt:lpwstr/>
      </vt:variant>
      <vt:variant>
        <vt:lpwstr>_Toc69546754</vt:lpwstr>
      </vt:variant>
      <vt:variant>
        <vt:i4>1966128</vt:i4>
      </vt:variant>
      <vt:variant>
        <vt:i4>989</vt:i4>
      </vt:variant>
      <vt:variant>
        <vt:i4>0</vt:i4>
      </vt:variant>
      <vt:variant>
        <vt:i4>5</vt:i4>
      </vt:variant>
      <vt:variant>
        <vt:lpwstr/>
      </vt:variant>
      <vt:variant>
        <vt:lpwstr>_Toc69546753</vt:lpwstr>
      </vt:variant>
      <vt:variant>
        <vt:i4>2031664</vt:i4>
      </vt:variant>
      <vt:variant>
        <vt:i4>983</vt:i4>
      </vt:variant>
      <vt:variant>
        <vt:i4>0</vt:i4>
      </vt:variant>
      <vt:variant>
        <vt:i4>5</vt:i4>
      </vt:variant>
      <vt:variant>
        <vt:lpwstr/>
      </vt:variant>
      <vt:variant>
        <vt:lpwstr>_Toc69546752</vt:lpwstr>
      </vt:variant>
      <vt:variant>
        <vt:i4>1835056</vt:i4>
      </vt:variant>
      <vt:variant>
        <vt:i4>977</vt:i4>
      </vt:variant>
      <vt:variant>
        <vt:i4>0</vt:i4>
      </vt:variant>
      <vt:variant>
        <vt:i4>5</vt:i4>
      </vt:variant>
      <vt:variant>
        <vt:lpwstr/>
      </vt:variant>
      <vt:variant>
        <vt:lpwstr>_Toc69546751</vt:lpwstr>
      </vt:variant>
      <vt:variant>
        <vt:i4>1900592</vt:i4>
      </vt:variant>
      <vt:variant>
        <vt:i4>971</vt:i4>
      </vt:variant>
      <vt:variant>
        <vt:i4>0</vt:i4>
      </vt:variant>
      <vt:variant>
        <vt:i4>5</vt:i4>
      </vt:variant>
      <vt:variant>
        <vt:lpwstr/>
      </vt:variant>
      <vt:variant>
        <vt:lpwstr>_Toc69546750</vt:lpwstr>
      </vt:variant>
      <vt:variant>
        <vt:i4>1310769</vt:i4>
      </vt:variant>
      <vt:variant>
        <vt:i4>965</vt:i4>
      </vt:variant>
      <vt:variant>
        <vt:i4>0</vt:i4>
      </vt:variant>
      <vt:variant>
        <vt:i4>5</vt:i4>
      </vt:variant>
      <vt:variant>
        <vt:lpwstr/>
      </vt:variant>
      <vt:variant>
        <vt:lpwstr>_Toc69546749</vt:lpwstr>
      </vt:variant>
      <vt:variant>
        <vt:i4>1376305</vt:i4>
      </vt:variant>
      <vt:variant>
        <vt:i4>959</vt:i4>
      </vt:variant>
      <vt:variant>
        <vt:i4>0</vt:i4>
      </vt:variant>
      <vt:variant>
        <vt:i4>5</vt:i4>
      </vt:variant>
      <vt:variant>
        <vt:lpwstr/>
      </vt:variant>
      <vt:variant>
        <vt:lpwstr>_Toc69546748</vt:lpwstr>
      </vt:variant>
      <vt:variant>
        <vt:i4>1703985</vt:i4>
      </vt:variant>
      <vt:variant>
        <vt:i4>953</vt:i4>
      </vt:variant>
      <vt:variant>
        <vt:i4>0</vt:i4>
      </vt:variant>
      <vt:variant>
        <vt:i4>5</vt:i4>
      </vt:variant>
      <vt:variant>
        <vt:lpwstr/>
      </vt:variant>
      <vt:variant>
        <vt:lpwstr>_Toc69546747</vt:lpwstr>
      </vt:variant>
      <vt:variant>
        <vt:i4>1769521</vt:i4>
      </vt:variant>
      <vt:variant>
        <vt:i4>947</vt:i4>
      </vt:variant>
      <vt:variant>
        <vt:i4>0</vt:i4>
      </vt:variant>
      <vt:variant>
        <vt:i4>5</vt:i4>
      </vt:variant>
      <vt:variant>
        <vt:lpwstr/>
      </vt:variant>
      <vt:variant>
        <vt:lpwstr>_Toc69546746</vt:lpwstr>
      </vt:variant>
      <vt:variant>
        <vt:i4>1572913</vt:i4>
      </vt:variant>
      <vt:variant>
        <vt:i4>941</vt:i4>
      </vt:variant>
      <vt:variant>
        <vt:i4>0</vt:i4>
      </vt:variant>
      <vt:variant>
        <vt:i4>5</vt:i4>
      </vt:variant>
      <vt:variant>
        <vt:lpwstr/>
      </vt:variant>
      <vt:variant>
        <vt:lpwstr>_Toc69546745</vt:lpwstr>
      </vt:variant>
      <vt:variant>
        <vt:i4>1638449</vt:i4>
      </vt:variant>
      <vt:variant>
        <vt:i4>935</vt:i4>
      </vt:variant>
      <vt:variant>
        <vt:i4>0</vt:i4>
      </vt:variant>
      <vt:variant>
        <vt:i4>5</vt:i4>
      </vt:variant>
      <vt:variant>
        <vt:lpwstr/>
      </vt:variant>
      <vt:variant>
        <vt:lpwstr>_Toc69546744</vt:lpwstr>
      </vt:variant>
      <vt:variant>
        <vt:i4>1966129</vt:i4>
      </vt:variant>
      <vt:variant>
        <vt:i4>929</vt:i4>
      </vt:variant>
      <vt:variant>
        <vt:i4>0</vt:i4>
      </vt:variant>
      <vt:variant>
        <vt:i4>5</vt:i4>
      </vt:variant>
      <vt:variant>
        <vt:lpwstr/>
      </vt:variant>
      <vt:variant>
        <vt:lpwstr>_Toc69546743</vt:lpwstr>
      </vt:variant>
      <vt:variant>
        <vt:i4>2031665</vt:i4>
      </vt:variant>
      <vt:variant>
        <vt:i4>923</vt:i4>
      </vt:variant>
      <vt:variant>
        <vt:i4>0</vt:i4>
      </vt:variant>
      <vt:variant>
        <vt:i4>5</vt:i4>
      </vt:variant>
      <vt:variant>
        <vt:lpwstr/>
      </vt:variant>
      <vt:variant>
        <vt:lpwstr>_Toc69546742</vt:lpwstr>
      </vt:variant>
      <vt:variant>
        <vt:i4>1835057</vt:i4>
      </vt:variant>
      <vt:variant>
        <vt:i4>917</vt:i4>
      </vt:variant>
      <vt:variant>
        <vt:i4>0</vt:i4>
      </vt:variant>
      <vt:variant>
        <vt:i4>5</vt:i4>
      </vt:variant>
      <vt:variant>
        <vt:lpwstr/>
      </vt:variant>
      <vt:variant>
        <vt:lpwstr>_Toc69546741</vt:lpwstr>
      </vt:variant>
      <vt:variant>
        <vt:i4>1900593</vt:i4>
      </vt:variant>
      <vt:variant>
        <vt:i4>911</vt:i4>
      </vt:variant>
      <vt:variant>
        <vt:i4>0</vt:i4>
      </vt:variant>
      <vt:variant>
        <vt:i4>5</vt:i4>
      </vt:variant>
      <vt:variant>
        <vt:lpwstr/>
      </vt:variant>
      <vt:variant>
        <vt:lpwstr>_Toc69546740</vt:lpwstr>
      </vt:variant>
      <vt:variant>
        <vt:i4>1310774</vt:i4>
      </vt:variant>
      <vt:variant>
        <vt:i4>905</vt:i4>
      </vt:variant>
      <vt:variant>
        <vt:i4>0</vt:i4>
      </vt:variant>
      <vt:variant>
        <vt:i4>5</vt:i4>
      </vt:variant>
      <vt:variant>
        <vt:lpwstr/>
      </vt:variant>
      <vt:variant>
        <vt:lpwstr>_Toc69546739</vt:lpwstr>
      </vt:variant>
      <vt:variant>
        <vt:i4>1376310</vt:i4>
      </vt:variant>
      <vt:variant>
        <vt:i4>899</vt:i4>
      </vt:variant>
      <vt:variant>
        <vt:i4>0</vt:i4>
      </vt:variant>
      <vt:variant>
        <vt:i4>5</vt:i4>
      </vt:variant>
      <vt:variant>
        <vt:lpwstr/>
      </vt:variant>
      <vt:variant>
        <vt:lpwstr>_Toc69546738</vt:lpwstr>
      </vt:variant>
      <vt:variant>
        <vt:i4>1703990</vt:i4>
      </vt:variant>
      <vt:variant>
        <vt:i4>893</vt:i4>
      </vt:variant>
      <vt:variant>
        <vt:i4>0</vt:i4>
      </vt:variant>
      <vt:variant>
        <vt:i4>5</vt:i4>
      </vt:variant>
      <vt:variant>
        <vt:lpwstr/>
      </vt:variant>
      <vt:variant>
        <vt:lpwstr>_Toc69546737</vt:lpwstr>
      </vt:variant>
      <vt:variant>
        <vt:i4>1769526</vt:i4>
      </vt:variant>
      <vt:variant>
        <vt:i4>887</vt:i4>
      </vt:variant>
      <vt:variant>
        <vt:i4>0</vt:i4>
      </vt:variant>
      <vt:variant>
        <vt:i4>5</vt:i4>
      </vt:variant>
      <vt:variant>
        <vt:lpwstr/>
      </vt:variant>
      <vt:variant>
        <vt:lpwstr>_Toc69546736</vt:lpwstr>
      </vt:variant>
      <vt:variant>
        <vt:i4>1572918</vt:i4>
      </vt:variant>
      <vt:variant>
        <vt:i4>881</vt:i4>
      </vt:variant>
      <vt:variant>
        <vt:i4>0</vt:i4>
      </vt:variant>
      <vt:variant>
        <vt:i4>5</vt:i4>
      </vt:variant>
      <vt:variant>
        <vt:lpwstr/>
      </vt:variant>
      <vt:variant>
        <vt:lpwstr>_Toc69546735</vt:lpwstr>
      </vt:variant>
      <vt:variant>
        <vt:i4>1638454</vt:i4>
      </vt:variant>
      <vt:variant>
        <vt:i4>875</vt:i4>
      </vt:variant>
      <vt:variant>
        <vt:i4>0</vt:i4>
      </vt:variant>
      <vt:variant>
        <vt:i4>5</vt:i4>
      </vt:variant>
      <vt:variant>
        <vt:lpwstr/>
      </vt:variant>
      <vt:variant>
        <vt:lpwstr>_Toc69546734</vt:lpwstr>
      </vt:variant>
      <vt:variant>
        <vt:i4>1966134</vt:i4>
      </vt:variant>
      <vt:variant>
        <vt:i4>869</vt:i4>
      </vt:variant>
      <vt:variant>
        <vt:i4>0</vt:i4>
      </vt:variant>
      <vt:variant>
        <vt:i4>5</vt:i4>
      </vt:variant>
      <vt:variant>
        <vt:lpwstr/>
      </vt:variant>
      <vt:variant>
        <vt:lpwstr>_Toc69546733</vt:lpwstr>
      </vt:variant>
      <vt:variant>
        <vt:i4>2031670</vt:i4>
      </vt:variant>
      <vt:variant>
        <vt:i4>863</vt:i4>
      </vt:variant>
      <vt:variant>
        <vt:i4>0</vt:i4>
      </vt:variant>
      <vt:variant>
        <vt:i4>5</vt:i4>
      </vt:variant>
      <vt:variant>
        <vt:lpwstr/>
      </vt:variant>
      <vt:variant>
        <vt:lpwstr>_Toc69546732</vt:lpwstr>
      </vt:variant>
      <vt:variant>
        <vt:i4>1835062</vt:i4>
      </vt:variant>
      <vt:variant>
        <vt:i4>857</vt:i4>
      </vt:variant>
      <vt:variant>
        <vt:i4>0</vt:i4>
      </vt:variant>
      <vt:variant>
        <vt:i4>5</vt:i4>
      </vt:variant>
      <vt:variant>
        <vt:lpwstr/>
      </vt:variant>
      <vt:variant>
        <vt:lpwstr>_Toc69546731</vt:lpwstr>
      </vt:variant>
      <vt:variant>
        <vt:i4>1900598</vt:i4>
      </vt:variant>
      <vt:variant>
        <vt:i4>851</vt:i4>
      </vt:variant>
      <vt:variant>
        <vt:i4>0</vt:i4>
      </vt:variant>
      <vt:variant>
        <vt:i4>5</vt:i4>
      </vt:variant>
      <vt:variant>
        <vt:lpwstr/>
      </vt:variant>
      <vt:variant>
        <vt:lpwstr>_Toc69546730</vt:lpwstr>
      </vt:variant>
      <vt:variant>
        <vt:i4>1179702</vt:i4>
      </vt:variant>
      <vt:variant>
        <vt:i4>842</vt:i4>
      </vt:variant>
      <vt:variant>
        <vt:i4>0</vt:i4>
      </vt:variant>
      <vt:variant>
        <vt:i4>5</vt:i4>
      </vt:variant>
      <vt:variant>
        <vt:lpwstr/>
      </vt:variant>
      <vt:variant>
        <vt:lpwstr>_Toc70271321</vt:lpwstr>
      </vt:variant>
      <vt:variant>
        <vt:i4>1245238</vt:i4>
      </vt:variant>
      <vt:variant>
        <vt:i4>836</vt:i4>
      </vt:variant>
      <vt:variant>
        <vt:i4>0</vt:i4>
      </vt:variant>
      <vt:variant>
        <vt:i4>5</vt:i4>
      </vt:variant>
      <vt:variant>
        <vt:lpwstr/>
      </vt:variant>
      <vt:variant>
        <vt:lpwstr>_Toc70271320</vt:lpwstr>
      </vt:variant>
      <vt:variant>
        <vt:i4>1703989</vt:i4>
      </vt:variant>
      <vt:variant>
        <vt:i4>830</vt:i4>
      </vt:variant>
      <vt:variant>
        <vt:i4>0</vt:i4>
      </vt:variant>
      <vt:variant>
        <vt:i4>5</vt:i4>
      </vt:variant>
      <vt:variant>
        <vt:lpwstr/>
      </vt:variant>
      <vt:variant>
        <vt:lpwstr>_Toc70271319</vt:lpwstr>
      </vt:variant>
      <vt:variant>
        <vt:i4>1769525</vt:i4>
      </vt:variant>
      <vt:variant>
        <vt:i4>824</vt:i4>
      </vt:variant>
      <vt:variant>
        <vt:i4>0</vt:i4>
      </vt:variant>
      <vt:variant>
        <vt:i4>5</vt:i4>
      </vt:variant>
      <vt:variant>
        <vt:lpwstr/>
      </vt:variant>
      <vt:variant>
        <vt:lpwstr>_Toc70271318</vt:lpwstr>
      </vt:variant>
      <vt:variant>
        <vt:i4>1310773</vt:i4>
      </vt:variant>
      <vt:variant>
        <vt:i4>818</vt:i4>
      </vt:variant>
      <vt:variant>
        <vt:i4>0</vt:i4>
      </vt:variant>
      <vt:variant>
        <vt:i4>5</vt:i4>
      </vt:variant>
      <vt:variant>
        <vt:lpwstr/>
      </vt:variant>
      <vt:variant>
        <vt:lpwstr>_Toc70271317</vt:lpwstr>
      </vt:variant>
      <vt:variant>
        <vt:i4>1376309</vt:i4>
      </vt:variant>
      <vt:variant>
        <vt:i4>812</vt:i4>
      </vt:variant>
      <vt:variant>
        <vt:i4>0</vt:i4>
      </vt:variant>
      <vt:variant>
        <vt:i4>5</vt:i4>
      </vt:variant>
      <vt:variant>
        <vt:lpwstr/>
      </vt:variant>
      <vt:variant>
        <vt:lpwstr>_Toc70271316</vt:lpwstr>
      </vt:variant>
      <vt:variant>
        <vt:i4>1441845</vt:i4>
      </vt:variant>
      <vt:variant>
        <vt:i4>806</vt:i4>
      </vt:variant>
      <vt:variant>
        <vt:i4>0</vt:i4>
      </vt:variant>
      <vt:variant>
        <vt:i4>5</vt:i4>
      </vt:variant>
      <vt:variant>
        <vt:lpwstr/>
      </vt:variant>
      <vt:variant>
        <vt:lpwstr>_Toc70271315</vt:lpwstr>
      </vt:variant>
      <vt:variant>
        <vt:i4>1507381</vt:i4>
      </vt:variant>
      <vt:variant>
        <vt:i4>800</vt:i4>
      </vt:variant>
      <vt:variant>
        <vt:i4>0</vt:i4>
      </vt:variant>
      <vt:variant>
        <vt:i4>5</vt:i4>
      </vt:variant>
      <vt:variant>
        <vt:lpwstr/>
      </vt:variant>
      <vt:variant>
        <vt:lpwstr>_Toc70271314</vt:lpwstr>
      </vt:variant>
      <vt:variant>
        <vt:i4>1048629</vt:i4>
      </vt:variant>
      <vt:variant>
        <vt:i4>794</vt:i4>
      </vt:variant>
      <vt:variant>
        <vt:i4>0</vt:i4>
      </vt:variant>
      <vt:variant>
        <vt:i4>5</vt:i4>
      </vt:variant>
      <vt:variant>
        <vt:lpwstr/>
      </vt:variant>
      <vt:variant>
        <vt:lpwstr>_Toc70271313</vt:lpwstr>
      </vt:variant>
      <vt:variant>
        <vt:i4>1114165</vt:i4>
      </vt:variant>
      <vt:variant>
        <vt:i4>788</vt:i4>
      </vt:variant>
      <vt:variant>
        <vt:i4>0</vt:i4>
      </vt:variant>
      <vt:variant>
        <vt:i4>5</vt:i4>
      </vt:variant>
      <vt:variant>
        <vt:lpwstr/>
      </vt:variant>
      <vt:variant>
        <vt:lpwstr>_Toc70271312</vt:lpwstr>
      </vt:variant>
      <vt:variant>
        <vt:i4>1179701</vt:i4>
      </vt:variant>
      <vt:variant>
        <vt:i4>782</vt:i4>
      </vt:variant>
      <vt:variant>
        <vt:i4>0</vt:i4>
      </vt:variant>
      <vt:variant>
        <vt:i4>5</vt:i4>
      </vt:variant>
      <vt:variant>
        <vt:lpwstr/>
      </vt:variant>
      <vt:variant>
        <vt:lpwstr>_Toc70271311</vt:lpwstr>
      </vt:variant>
      <vt:variant>
        <vt:i4>1245237</vt:i4>
      </vt:variant>
      <vt:variant>
        <vt:i4>776</vt:i4>
      </vt:variant>
      <vt:variant>
        <vt:i4>0</vt:i4>
      </vt:variant>
      <vt:variant>
        <vt:i4>5</vt:i4>
      </vt:variant>
      <vt:variant>
        <vt:lpwstr/>
      </vt:variant>
      <vt:variant>
        <vt:lpwstr>_Toc70271310</vt:lpwstr>
      </vt:variant>
      <vt:variant>
        <vt:i4>1703988</vt:i4>
      </vt:variant>
      <vt:variant>
        <vt:i4>770</vt:i4>
      </vt:variant>
      <vt:variant>
        <vt:i4>0</vt:i4>
      </vt:variant>
      <vt:variant>
        <vt:i4>5</vt:i4>
      </vt:variant>
      <vt:variant>
        <vt:lpwstr/>
      </vt:variant>
      <vt:variant>
        <vt:lpwstr>_Toc70271309</vt:lpwstr>
      </vt:variant>
      <vt:variant>
        <vt:i4>1769524</vt:i4>
      </vt:variant>
      <vt:variant>
        <vt:i4>764</vt:i4>
      </vt:variant>
      <vt:variant>
        <vt:i4>0</vt:i4>
      </vt:variant>
      <vt:variant>
        <vt:i4>5</vt:i4>
      </vt:variant>
      <vt:variant>
        <vt:lpwstr/>
      </vt:variant>
      <vt:variant>
        <vt:lpwstr>_Toc70271308</vt:lpwstr>
      </vt:variant>
      <vt:variant>
        <vt:i4>1310772</vt:i4>
      </vt:variant>
      <vt:variant>
        <vt:i4>758</vt:i4>
      </vt:variant>
      <vt:variant>
        <vt:i4>0</vt:i4>
      </vt:variant>
      <vt:variant>
        <vt:i4>5</vt:i4>
      </vt:variant>
      <vt:variant>
        <vt:lpwstr/>
      </vt:variant>
      <vt:variant>
        <vt:lpwstr>_Toc70271307</vt:lpwstr>
      </vt:variant>
      <vt:variant>
        <vt:i4>1376308</vt:i4>
      </vt:variant>
      <vt:variant>
        <vt:i4>752</vt:i4>
      </vt:variant>
      <vt:variant>
        <vt:i4>0</vt:i4>
      </vt:variant>
      <vt:variant>
        <vt:i4>5</vt:i4>
      </vt:variant>
      <vt:variant>
        <vt:lpwstr/>
      </vt:variant>
      <vt:variant>
        <vt:lpwstr>_Toc70271306</vt:lpwstr>
      </vt:variant>
      <vt:variant>
        <vt:i4>1441844</vt:i4>
      </vt:variant>
      <vt:variant>
        <vt:i4>746</vt:i4>
      </vt:variant>
      <vt:variant>
        <vt:i4>0</vt:i4>
      </vt:variant>
      <vt:variant>
        <vt:i4>5</vt:i4>
      </vt:variant>
      <vt:variant>
        <vt:lpwstr/>
      </vt:variant>
      <vt:variant>
        <vt:lpwstr>_Toc70271305</vt:lpwstr>
      </vt:variant>
      <vt:variant>
        <vt:i4>1507380</vt:i4>
      </vt:variant>
      <vt:variant>
        <vt:i4>740</vt:i4>
      </vt:variant>
      <vt:variant>
        <vt:i4>0</vt:i4>
      </vt:variant>
      <vt:variant>
        <vt:i4>5</vt:i4>
      </vt:variant>
      <vt:variant>
        <vt:lpwstr/>
      </vt:variant>
      <vt:variant>
        <vt:lpwstr>_Toc70271304</vt:lpwstr>
      </vt:variant>
      <vt:variant>
        <vt:i4>1048628</vt:i4>
      </vt:variant>
      <vt:variant>
        <vt:i4>734</vt:i4>
      </vt:variant>
      <vt:variant>
        <vt:i4>0</vt:i4>
      </vt:variant>
      <vt:variant>
        <vt:i4>5</vt:i4>
      </vt:variant>
      <vt:variant>
        <vt:lpwstr/>
      </vt:variant>
      <vt:variant>
        <vt:lpwstr>_Toc70271303</vt:lpwstr>
      </vt:variant>
      <vt:variant>
        <vt:i4>1114164</vt:i4>
      </vt:variant>
      <vt:variant>
        <vt:i4>728</vt:i4>
      </vt:variant>
      <vt:variant>
        <vt:i4>0</vt:i4>
      </vt:variant>
      <vt:variant>
        <vt:i4>5</vt:i4>
      </vt:variant>
      <vt:variant>
        <vt:lpwstr/>
      </vt:variant>
      <vt:variant>
        <vt:lpwstr>_Toc70271302</vt:lpwstr>
      </vt:variant>
      <vt:variant>
        <vt:i4>1179700</vt:i4>
      </vt:variant>
      <vt:variant>
        <vt:i4>722</vt:i4>
      </vt:variant>
      <vt:variant>
        <vt:i4>0</vt:i4>
      </vt:variant>
      <vt:variant>
        <vt:i4>5</vt:i4>
      </vt:variant>
      <vt:variant>
        <vt:lpwstr/>
      </vt:variant>
      <vt:variant>
        <vt:lpwstr>_Toc70271301</vt:lpwstr>
      </vt:variant>
      <vt:variant>
        <vt:i4>1245236</vt:i4>
      </vt:variant>
      <vt:variant>
        <vt:i4>716</vt:i4>
      </vt:variant>
      <vt:variant>
        <vt:i4>0</vt:i4>
      </vt:variant>
      <vt:variant>
        <vt:i4>5</vt:i4>
      </vt:variant>
      <vt:variant>
        <vt:lpwstr/>
      </vt:variant>
      <vt:variant>
        <vt:lpwstr>_Toc70271300</vt:lpwstr>
      </vt:variant>
      <vt:variant>
        <vt:i4>1769533</vt:i4>
      </vt:variant>
      <vt:variant>
        <vt:i4>710</vt:i4>
      </vt:variant>
      <vt:variant>
        <vt:i4>0</vt:i4>
      </vt:variant>
      <vt:variant>
        <vt:i4>5</vt:i4>
      </vt:variant>
      <vt:variant>
        <vt:lpwstr/>
      </vt:variant>
      <vt:variant>
        <vt:lpwstr>_Toc70271299</vt:lpwstr>
      </vt:variant>
      <vt:variant>
        <vt:i4>1703997</vt:i4>
      </vt:variant>
      <vt:variant>
        <vt:i4>704</vt:i4>
      </vt:variant>
      <vt:variant>
        <vt:i4>0</vt:i4>
      </vt:variant>
      <vt:variant>
        <vt:i4>5</vt:i4>
      </vt:variant>
      <vt:variant>
        <vt:lpwstr/>
      </vt:variant>
      <vt:variant>
        <vt:lpwstr>_Toc70271298</vt:lpwstr>
      </vt:variant>
      <vt:variant>
        <vt:i4>1376317</vt:i4>
      </vt:variant>
      <vt:variant>
        <vt:i4>698</vt:i4>
      </vt:variant>
      <vt:variant>
        <vt:i4>0</vt:i4>
      </vt:variant>
      <vt:variant>
        <vt:i4>5</vt:i4>
      </vt:variant>
      <vt:variant>
        <vt:lpwstr/>
      </vt:variant>
      <vt:variant>
        <vt:lpwstr>_Toc70271297</vt:lpwstr>
      </vt:variant>
      <vt:variant>
        <vt:i4>1310781</vt:i4>
      </vt:variant>
      <vt:variant>
        <vt:i4>692</vt:i4>
      </vt:variant>
      <vt:variant>
        <vt:i4>0</vt:i4>
      </vt:variant>
      <vt:variant>
        <vt:i4>5</vt:i4>
      </vt:variant>
      <vt:variant>
        <vt:lpwstr/>
      </vt:variant>
      <vt:variant>
        <vt:lpwstr>_Toc70271296</vt:lpwstr>
      </vt:variant>
      <vt:variant>
        <vt:i4>1507389</vt:i4>
      </vt:variant>
      <vt:variant>
        <vt:i4>686</vt:i4>
      </vt:variant>
      <vt:variant>
        <vt:i4>0</vt:i4>
      </vt:variant>
      <vt:variant>
        <vt:i4>5</vt:i4>
      </vt:variant>
      <vt:variant>
        <vt:lpwstr/>
      </vt:variant>
      <vt:variant>
        <vt:lpwstr>_Toc70271295</vt:lpwstr>
      </vt:variant>
      <vt:variant>
        <vt:i4>1441853</vt:i4>
      </vt:variant>
      <vt:variant>
        <vt:i4>680</vt:i4>
      </vt:variant>
      <vt:variant>
        <vt:i4>0</vt:i4>
      </vt:variant>
      <vt:variant>
        <vt:i4>5</vt:i4>
      </vt:variant>
      <vt:variant>
        <vt:lpwstr/>
      </vt:variant>
      <vt:variant>
        <vt:lpwstr>_Toc70271294</vt:lpwstr>
      </vt:variant>
      <vt:variant>
        <vt:i4>1114173</vt:i4>
      </vt:variant>
      <vt:variant>
        <vt:i4>674</vt:i4>
      </vt:variant>
      <vt:variant>
        <vt:i4>0</vt:i4>
      </vt:variant>
      <vt:variant>
        <vt:i4>5</vt:i4>
      </vt:variant>
      <vt:variant>
        <vt:lpwstr/>
      </vt:variant>
      <vt:variant>
        <vt:lpwstr>_Toc70271293</vt:lpwstr>
      </vt:variant>
      <vt:variant>
        <vt:i4>1048637</vt:i4>
      </vt:variant>
      <vt:variant>
        <vt:i4>668</vt:i4>
      </vt:variant>
      <vt:variant>
        <vt:i4>0</vt:i4>
      </vt:variant>
      <vt:variant>
        <vt:i4>5</vt:i4>
      </vt:variant>
      <vt:variant>
        <vt:lpwstr/>
      </vt:variant>
      <vt:variant>
        <vt:lpwstr>_Toc70271292</vt:lpwstr>
      </vt:variant>
      <vt:variant>
        <vt:i4>1245245</vt:i4>
      </vt:variant>
      <vt:variant>
        <vt:i4>662</vt:i4>
      </vt:variant>
      <vt:variant>
        <vt:i4>0</vt:i4>
      </vt:variant>
      <vt:variant>
        <vt:i4>5</vt:i4>
      </vt:variant>
      <vt:variant>
        <vt:lpwstr/>
      </vt:variant>
      <vt:variant>
        <vt:lpwstr>_Toc70271291</vt:lpwstr>
      </vt:variant>
      <vt:variant>
        <vt:i4>1179709</vt:i4>
      </vt:variant>
      <vt:variant>
        <vt:i4>656</vt:i4>
      </vt:variant>
      <vt:variant>
        <vt:i4>0</vt:i4>
      </vt:variant>
      <vt:variant>
        <vt:i4>5</vt:i4>
      </vt:variant>
      <vt:variant>
        <vt:lpwstr/>
      </vt:variant>
      <vt:variant>
        <vt:lpwstr>_Toc70271290</vt:lpwstr>
      </vt:variant>
      <vt:variant>
        <vt:i4>1769532</vt:i4>
      </vt:variant>
      <vt:variant>
        <vt:i4>650</vt:i4>
      </vt:variant>
      <vt:variant>
        <vt:i4>0</vt:i4>
      </vt:variant>
      <vt:variant>
        <vt:i4>5</vt:i4>
      </vt:variant>
      <vt:variant>
        <vt:lpwstr/>
      </vt:variant>
      <vt:variant>
        <vt:lpwstr>_Toc70271289</vt:lpwstr>
      </vt:variant>
      <vt:variant>
        <vt:i4>1703996</vt:i4>
      </vt:variant>
      <vt:variant>
        <vt:i4>644</vt:i4>
      </vt:variant>
      <vt:variant>
        <vt:i4>0</vt:i4>
      </vt:variant>
      <vt:variant>
        <vt:i4>5</vt:i4>
      </vt:variant>
      <vt:variant>
        <vt:lpwstr/>
      </vt:variant>
      <vt:variant>
        <vt:lpwstr>_Toc70271288</vt:lpwstr>
      </vt:variant>
      <vt:variant>
        <vt:i4>1376316</vt:i4>
      </vt:variant>
      <vt:variant>
        <vt:i4>638</vt:i4>
      </vt:variant>
      <vt:variant>
        <vt:i4>0</vt:i4>
      </vt:variant>
      <vt:variant>
        <vt:i4>5</vt:i4>
      </vt:variant>
      <vt:variant>
        <vt:lpwstr/>
      </vt:variant>
      <vt:variant>
        <vt:lpwstr>_Toc70271287</vt:lpwstr>
      </vt:variant>
      <vt:variant>
        <vt:i4>1310780</vt:i4>
      </vt:variant>
      <vt:variant>
        <vt:i4>632</vt:i4>
      </vt:variant>
      <vt:variant>
        <vt:i4>0</vt:i4>
      </vt:variant>
      <vt:variant>
        <vt:i4>5</vt:i4>
      </vt:variant>
      <vt:variant>
        <vt:lpwstr/>
      </vt:variant>
      <vt:variant>
        <vt:lpwstr>_Toc70271286</vt:lpwstr>
      </vt:variant>
      <vt:variant>
        <vt:i4>1507388</vt:i4>
      </vt:variant>
      <vt:variant>
        <vt:i4>626</vt:i4>
      </vt:variant>
      <vt:variant>
        <vt:i4>0</vt:i4>
      </vt:variant>
      <vt:variant>
        <vt:i4>5</vt:i4>
      </vt:variant>
      <vt:variant>
        <vt:lpwstr/>
      </vt:variant>
      <vt:variant>
        <vt:lpwstr>_Toc70271285</vt:lpwstr>
      </vt:variant>
      <vt:variant>
        <vt:i4>1441852</vt:i4>
      </vt:variant>
      <vt:variant>
        <vt:i4>620</vt:i4>
      </vt:variant>
      <vt:variant>
        <vt:i4>0</vt:i4>
      </vt:variant>
      <vt:variant>
        <vt:i4>5</vt:i4>
      </vt:variant>
      <vt:variant>
        <vt:lpwstr/>
      </vt:variant>
      <vt:variant>
        <vt:lpwstr>_Toc70271284</vt:lpwstr>
      </vt:variant>
      <vt:variant>
        <vt:i4>1114172</vt:i4>
      </vt:variant>
      <vt:variant>
        <vt:i4>614</vt:i4>
      </vt:variant>
      <vt:variant>
        <vt:i4>0</vt:i4>
      </vt:variant>
      <vt:variant>
        <vt:i4>5</vt:i4>
      </vt:variant>
      <vt:variant>
        <vt:lpwstr/>
      </vt:variant>
      <vt:variant>
        <vt:lpwstr>_Toc70271283</vt:lpwstr>
      </vt:variant>
      <vt:variant>
        <vt:i4>1048636</vt:i4>
      </vt:variant>
      <vt:variant>
        <vt:i4>608</vt:i4>
      </vt:variant>
      <vt:variant>
        <vt:i4>0</vt:i4>
      </vt:variant>
      <vt:variant>
        <vt:i4>5</vt:i4>
      </vt:variant>
      <vt:variant>
        <vt:lpwstr/>
      </vt:variant>
      <vt:variant>
        <vt:lpwstr>_Toc70271282</vt:lpwstr>
      </vt:variant>
      <vt:variant>
        <vt:i4>1245244</vt:i4>
      </vt:variant>
      <vt:variant>
        <vt:i4>602</vt:i4>
      </vt:variant>
      <vt:variant>
        <vt:i4>0</vt:i4>
      </vt:variant>
      <vt:variant>
        <vt:i4>5</vt:i4>
      </vt:variant>
      <vt:variant>
        <vt:lpwstr/>
      </vt:variant>
      <vt:variant>
        <vt:lpwstr>_Toc70271281</vt:lpwstr>
      </vt:variant>
      <vt:variant>
        <vt:i4>1179708</vt:i4>
      </vt:variant>
      <vt:variant>
        <vt:i4>596</vt:i4>
      </vt:variant>
      <vt:variant>
        <vt:i4>0</vt:i4>
      </vt:variant>
      <vt:variant>
        <vt:i4>5</vt:i4>
      </vt:variant>
      <vt:variant>
        <vt:lpwstr/>
      </vt:variant>
      <vt:variant>
        <vt:lpwstr>_Toc70271280</vt:lpwstr>
      </vt:variant>
      <vt:variant>
        <vt:i4>1769523</vt:i4>
      </vt:variant>
      <vt:variant>
        <vt:i4>590</vt:i4>
      </vt:variant>
      <vt:variant>
        <vt:i4>0</vt:i4>
      </vt:variant>
      <vt:variant>
        <vt:i4>5</vt:i4>
      </vt:variant>
      <vt:variant>
        <vt:lpwstr/>
      </vt:variant>
      <vt:variant>
        <vt:lpwstr>_Toc70271279</vt:lpwstr>
      </vt:variant>
      <vt:variant>
        <vt:i4>1703987</vt:i4>
      </vt:variant>
      <vt:variant>
        <vt:i4>584</vt:i4>
      </vt:variant>
      <vt:variant>
        <vt:i4>0</vt:i4>
      </vt:variant>
      <vt:variant>
        <vt:i4>5</vt:i4>
      </vt:variant>
      <vt:variant>
        <vt:lpwstr/>
      </vt:variant>
      <vt:variant>
        <vt:lpwstr>_Toc70271278</vt:lpwstr>
      </vt:variant>
      <vt:variant>
        <vt:i4>1376307</vt:i4>
      </vt:variant>
      <vt:variant>
        <vt:i4>578</vt:i4>
      </vt:variant>
      <vt:variant>
        <vt:i4>0</vt:i4>
      </vt:variant>
      <vt:variant>
        <vt:i4>5</vt:i4>
      </vt:variant>
      <vt:variant>
        <vt:lpwstr/>
      </vt:variant>
      <vt:variant>
        <vt:lpwstr>_Toc70271277</vt:lpwstr>
      </vt:variant>
      <vt:variant>
        <vt:i4>1310771</vt:i4>
      </vt:variant>
      <vt:variant>
        <vt:i4>572</vt:i4>
      </vt:variant>
      <vt:variant>
        <vt:i4>0</vt:i4>
      </vt:variant>
      <vt:variant>
        <vt:i4>5</vt:i4>
      </vt:variant>
      <vt:variant>
        <vt:lpwstr/>
      </vt:variant>
      <vt:variant>
        <vt:lpwstr>_Toc70271276</vt:lpwstr>
      </vt:variant>
      <vt:variant>
        <vt:i4>1507379</vt:i4>
      </vt:variant>
      <vt:variant>
        <vt:i4>566</vt:i4>
      </vt:variant>
      <vt:variant>
        <vt:i4>0</vt:i4>
      </vt:variant>
      <vt:variant>
        <vt:i4>5</vt:i4>
      </vt:variant>
      <vt:variant>
        <vt:lpwstr/>
      </vt:variant>
      <vt:variant>
        <vt:lpwstr>_Toc70271275</vt:lpwstr>
      </vt:variant>
      <vt:variant>
        <vt:i4>1441843</vt:i4>
      </vt:variant>
      <vt:variant>
        <vt:i4>560</vt:i4>
      </vt:variant>
      <vt:variant>
        <vt:i4>0</vt:i4>
      </vt:variant>
      <vt:variant>
        <vt:i4>5</vt:i4>
      </vt:variant>
      <vt:variant>
        <vt:lpwstr/>
      </vt:variant>
      <vt:variant>
        <vt:lpwstr>_Toc70271274</vt:lpwstr>
      </vt:variant>
      <vt:variant>
        <vt:i4>1114163</vt:i4>
      </vt:variant>
      <vt:variant>
        <vt:i4>554</vt:i4>
      </vt:variant>
      <vt:variant>
        <vt:i4>0</vt:i4>
      </vt:variant>
      <vt:variant>
        <vt:i4>5</vt:i4>
      </vt:variant>
      <vt:variant>
        <vt:lpwstr/>
      </vt:variant>
      <vt:variant>
        <vt:lpwstr>_Toc70271273</vt:lpwstr>
      </vt:variant>
      <vt:variant>
        <vt:i4>1048627</vt:i4>
      </vt:variant>
      <vt:variant>
        <vt:i4>548</vt:i4>
      </vt:variant>
      <vt:variant>
        <vt:i4>0</vt:i4>
      </vt:variant>
      <vt:variant>
        <vt:i4>5</vt:i4>
      </vt:variant>
      <vt:variant>
        <vt:lpwstr/>
      </vt:variant>
      <vt:variant>
        <vt:lpwstr>_Toc70271272</vt:lpwstr>
      </vt:variant>
      <vt:variant>
        <vt:i4>1245235</vt:i4>
      </vt:variant>
      <vt:variant>
        <vt:i4>542</vt:i4>
      </vt:variant>
      <vt:variant>
        <vt:i4>0</vt:i4>
      </vt:variant>
      <vt:variant>
        <vt:i4>5</vt:i4>
      </vt:variant>
      <vt:variant>
        <vt:lpwstr/>
      </vt:variant>
      <vt:variant>
        <vt:lpwstr>_Toc70271271</vt:lpwstr>
      </vt:variant>
      <vt:variant>
        <vt:i4>1179699</vt:i4>
      </vt:variant>
      <vt:variant>
        <vt:i4>536</vt:i4>
      </vt:variant>
      <vt:variant>
        <vt:i4>0</vt:i4>
      </vt:variant>
      <vt:variant>
        <vt:i4>5</vt:i4>
      </vt:variant>
      <vt:variant>
        <vt:lpwstr/>
      </vt:variant>
      <vt:variant>
        <vt:lpwstr>_Toc70271270</vt:lpwstr>
      </vt:variant>
      <vt:variant>
        <vt:i4>1769522</vt:i4>
      </vt:variant>
      <vt:variant>
        <vt:i4>530</vt:i4>
      </vt:variant>
      <vt:variant>
        <vt:i4>0</vt:i4>
      </vt:variant>
      <vt:variant>
        <vt:i4>5</vt:i4>
      </vt:variant>
      <vt:variant>
        <vt:lpwstr/>
      </vt:variant>
      <vt:variant>
        <vt:lpwstr>_Toc70271269</vt:lpwstr>
      </vt:variant>
      <vt:variant>
        <vt:i4>1703986</vt:i4>
      </vt:variant>
      <vt:variant>
        <vt:i4>524</vt:i4>
      </vt:variant>
      <vt:variant>
        <vt:i4>0</vt:i4>
      </vt:variant>
      <vt:variant>
        <vt:i4>5</vt:i4>
      </vt:variant>
      <vt:variant>
        <vt:lpwstr/>
      </vt:variant>
      <vt:variant>
        <vt:lpwstr>_Toc70271268</vt:lpwstr>
      </vt:variant>
      <vt:variant>
        <vt:i4>1376306</vt:i4>
      </vt:variant>
      <vt:variant>
        <vt:i4>518</vt:i4>
      </vt:variant>
      <vt:variant>
        <vt:i4>0</vt:i4>
      </vt:variant>
      <vt:variant>
        <vt:i4>5</vt:i4>
      </vt:variant>
      <vt:variant>
        <vt:lpwstr/>
      </vt:variant>
      <vt:variant>
        <vt:lpwstr>_Toc70271267</vt:lpwstr>
      </vt:variant>
      <vt:variant>
        <vt:i4>1310770</vt:i4>
      </vt:variant>
      <vt:variant>
        <vt:i4>512</vt:i4>
      </vt:variant>
      <vt:variant>
        <vt:i4>0</vt:i4>
      </vt:variant>
      <vt:variant>
        <vt:i4>5</vt:i4>
      </vt:variant>
      <vt:variant>
        <vt:lpwstr/>
      </vt:variant>
      <vt:variant>
        <vt:lpwstr>_Toc70271266</vt:lpwstr>
      </vt:variant>
      <vt:variant>
        <vt:i4>1507378</vt:i4>
      </vt:variant>
      <vt:variant>
        <vt:i4>506</vt:i4>
      </vt:variant>
      <vt:variant>
        <vt:i4>0</vt:i4>
      </vt:variant>
      <vt:variant>
        <vt:i4>5</vt:i4>
      </vt:variant>
      <vt:variant>
        <vt:lpwstr/>
      </vt:variant>
      <vt:variant>
        <vt:lpwstr>_Toc70271265</vt:lpwstr>
      </vt:variant>
      <vt:variant>
        <vt:i4>1441842</vt:i4>
      </vt:variant>
      <vt:variant>
        <vt:i4>500</vt:i4>
      </vt:variant>
      <vt:variant>
        <vt:i4>0</vt:i4>
      </vt:variant>
      <vt:variant>
        <vt:i4>5</vt:i4>
      </vt:variant>
      <vt:variant>
        <vt:lpwstr/>
      </vt:variant>
      <vt:variant>
        <vt:lpwstr>_Toc70271264</vt:lpwstr>
      </vt:variant>
      <vt:variant>
        <vt:i4>1114162</vt:i4>
      </vt:variant>
      <vt:variant>
        <vt:i4>494</vt:i4>
      </vt:variant>
      <vt:variant>
        <vt:i4>0</vt:i4>
      </vt:variant>
      <vt:variant>
        <vt:i4>5</vt:i4>
      </vt:variant>
      <vt:variant>
        <vt:lpwstr/>
      </vt:variant>
      <vt:variant>
        <vt:lpwstr>_Toc70271263</vt:lpwstr>
      </vt:variant>
      <vt:variant>
        <vt:i4>1048626</vt:i4>
      </vt:variant>
      <vt:variant>
        <vt:i4>488</vt:i4>
      </vt:variant>
      <vt:variant>
        <vt:i4>0</vt:i4>
      </vt:variant>
      <vt:variant>
        <vt:i4>5</vt:i4>
      </vt:variant>
      <vt:variant>
        <vt:lpwstr/>
      </vt:variant>
      <vt:variant>
        <vt:lpwstr>_Toc70271262</vt:lpwstr>
      </vt:variant>
      <vt:variant>
        <vt:i4>1245234</vt:i4>
      </vt:variant>
      <vt:variant>
        <vt:i4>482</vt:i4>
      </vt:variant>
      <vt:variant>
        <vt:i4>0</vt:i4>
      </vt:variant>
      <vt:variant>
        <vt:i4>5</vt:i4>
      </vt:variant>
      <vt:variant>
        <vt:lpwstr/>
      </vt:variant>
      <vt:variant>
        <vt:lpwstr>_Toc70271261</vt:lpwstr>
      </vt:variant>
      <vt:variant>
        <vt:i4>1179698</vt:i4>
      </vt:variant>
      <vt:variant>
        <vt:i4>476</vt:i4>
      </vt:variant>
      <vt:variant>
        <vt:i4>0</vt:i4>
      </vt:variant>
      <vt:variant>
        <vt:i4>5</vt:i4>
      </vt:variant>
      <vt:variant>
        <vt:lpwstr/>
      </vt:variant>
      <vt:variant>
        <vt:lpwstr>_Toc70271260</vt:lpwstr>
      </vt:variant>
      <vt:variant>
        <vt:i4>1769521</vt:i4>
      </vt:variant>
      <vt:variant>
        <vt:i4>470</vt:i4>
      </vt:variant>
      <vt:variant>
        <vt:i4>0</vt:i4>
      </vt:variant>
      <vt:variant>
        <vt:i4>5</vt:i4>
      </vt:variant>
      <vt:variant>
        <vt:lpwstr/>
      </vt:variant>
      <vt:variant>
        <vt:lpwstr>_Toc70271259</vt:lpwstr>
      </vt:variant>
      <vt:variant>
        <vt:i4>1703985</vt:i4>
      </vt:variant>
      <vt:variant>
        <vt:i4>464</vt:i4>
      </vt:variant>
      <vt:variant>
        <vt:i4>0</vt:i4>
      </vt:variant>
      <vt:variant>
        <vt:i4>5</vt:i4>
      </vt:variant>
      <vt:variant>
        <vt:lpwstr/>
      </vt:variant>
      <vt:variant>
        <vt:lpwstr>_Toc70271258</vt:lpwstr>
      </vt:variant>
      <vt:variant>
        <vt:i4>1376305</vt:i4>
      </vt:variant>
      <vt:variant>
        <vt:i4>458</vt:i4>
      </vt:variant>
      <vt:variant>
        <vt:i4>0</vt:i4>
      </vt:variant>
      <vt:variant>
        <vt:i4>5</vt:i4>
      </vt:variant>
      <vt:variant>
        <vt:lpwstr/>
      </vt:variant>
      <vt:variant>
        <vt:lpwstr>_Toc70271257</vt:lpwstr>
      </vt:variant>
      <vt:variant>
        <vt:i4>1310769</vt:i4>
      </vt:variant>
      <vt:variant>
        <vt:i4>452</vt:i4>
      </vt:variant>
      <vt:variant>
        <vt:i4>0</vt:i4>
      </vt:variant>
      <vt:variant>
        <vt:i4>5</vt:i4>
      </vt:variant>
      <vt:variant>
        <vt:lpwstr/>
      </vt:variant>
      <vt:variant>
        <vt:lpwstr>_Toc70271256</vt:lpwstr>
      </vt:variant>
      <vt:variant>
        <vt:i4>1507377</vt:i4>
      </vt:variant>
      <vt:variant>
        <vt:i4>446</vt:i4>
      </vt:variant>
      <vt:variant>
        <vt:i4>0</vt:i4>
      </vt:variant>
      <vt:variant>
        <vt:i4>5</vt:i4>
      </vt:variant>
      <vt:variant>
        <vt:lpwstr/>
      </vt:variant>
      <vt:variant>
        <vt:lpwstr>_Toc70271255</vt:lpwstr>
      </vt:variant>
      <vt:variant>
        <vt:i4>1441841</vt:i4>
      </vt:variant>
      <vt:variant>
        <vt:i4>440</vt:i4>
      </vt:variant>
      <vt:variant>
        <vt:i4>0</vt:i4>
      </vt:variant>
      <vt:variant>
        <vt:i4>5</vt:i4>
      </vt:variant>
      <vt:variant>
        <vt:lpwstr/>
      </vt:variant>
      <vt:variant>
        <vt:lpwstr>_Toc70271254</vt:lpwstr>
      </vt:variant>
      <vt:variant>
        <vt:i4>1114161</vt:i4>
      </vt:variant>
      <vt:variant>
        <vt:i4>434</vt:i4>
      </vt:variant>
      <vt:variant>
        <vt:i4>0</vt:i4>
      </vt:variant>
      <vt:variant>
        <vt:i4>5</vt:i4>
      </vt:variant>
      <vt:variant>
        <vt:lpwstr/>
      </vt:variant>
      <vt:variant>
        <vt:lpwstr>_Toc70271253</vt:lpwstr>
      </vt:variant>
      <vt:variant>
        <vt:i4>1048625</vt:i4>
      </vt:variant>
      <vt:variant>
        <vt:i4>428</vt:i4>
      </vt:variant>
      <vt:variant>
        <vt:i4>0</vt:i4>
      </vt:variant>
      <vt:variant>
        <vt:i4>5</vt:i4>
      </vt:variant>
      <vt:variant>
        <vt:lpwstr/>
      </vt:variant>
      <vt:variant>
        <vt:lpwstr>_Toc70271252</vt:lpwstr>
      </vt:variant>
      <vt:variant>
        <vt:i4>1245233</vt:i4>
      </vt:variant>
      <vt:variant>
        <vt:i4>422</vt:i4>
      </vt:variant>
      <vt:variant>
        <vt:i4>0</vt:i4>
      </vt:variant>
      <vt:variant>
        <vt:i4>5</vt:i4>
      </vt:variant>
      <vt:variant>
        <vt:lpwstr/>
      </vt:variant>
      <vt:variant>
        <vt:lpwstr>_Toc70271251</vt:lpwstr>
      </vt:variant>
      <vt:variant>
        <vt:i4>1179697</vt:i4>
      </vt:variant>
      <vt:variant>
        <vt:i4>416</vt:i4>
      </vt:variant>
      <vt:variant>
        <vt:i4>0</vt:i4>
      </vt:variant>
      <vt:variant>
        <vt:i4>5</vt:i4>
      </vt:variant>
      <vt:variant>
        <vt:lpwstr/>
      </vt:variant>
      <vt:variant>
        <vt:lpwstr>_Toc70271250</vt:lpwstr>
      </vt:variant>
      <vt:variant>
        <vt:i4>1769520</vt:i4>
      </vt:variant>
      <vt:variant>
        <vt:i4>410</vt:i4>
      </vt:variant>
      <vt:variant>
        <vt:i4>0</vt:i4>
      </vt:variant>
      <vt:variant>
        <vt:i4>5</vt:i4>
      </vt:variant>
      <vt:variant>
        <vt:lpwstr/>
      </vt:variant>
      <vt:variant>
        <vt:lpwstr>_Toc70271249</vt:lpwstr>
      </vt:variant>
      <vt:variant>
        <vt:i4>1703984</vt:i4>
      </vt:variant>
      <vt:variant>
        <vt:i4>404</vt:i4>
      </vt:variant>
      <vt:variant>
        <vt:i4>0</vt:i4>
      </vt:variant>
      <vt:variant>
        <vt:i4>5</vt:i4>
      </vt:variant>
      <vt:variant>
        <vt:lpwstr/>
      </vt:variant>
      <vt:variant>
        <vt:lpwstr>_Toc70271248</vt:lpwstr>
      </vt:variant>
      <vt:variant>
        <vt:i4>1376304</vt:i4>
      </vt:variant>
      <vt:variant>
        <vt:i4>398</vt:i4>
      </vt:variant>
      <vt:variant>
        <vt:i4>0</vt:i4>
      </vt:variant>
      <vt:variant>
        <vt:i4>5</vt:i4>
      </vt:variant>
      <vt:variant>
        <vt:lpwstr/>
      </vt:variant>
      <vt:variant>
        <vt:lpwstr>_Toc70271247</vt:lpwstr>
      </vt:variant>
      <vt:variant>
        <vt:i4>1310768</vt:i4>
      </vt:variant>
      <vt:variant>
        <vt:i4>392</vt:i4>
      </vt:variant>
      <vt:variant>
        <vt:i4>0</vt:i4>
      </vt:variant>
      <vt:variant>
        <vt:i4>5</vt:i4>
      </vt:variant>
      <vt:variant>
        <vt:lpwstr/>
      </vt:variant>
      <vt:variant>
        <vt:lpwstr>_Toc70271246</vt:lpwstr>
      </vt:variant>
      <vt:variant>
        <vt:i4>1507376</vt:i4>
      </vt:variant>
      <vt:variant>
        <vt:i4>386</vt:i4>
      </vt:variant>
      <vt:variant>
        <vt:i4>0</vt:i4>
      </vt:variant>
      <vt:variant>
        <vt:i4>5</vt:i4>
      </vt:variant>
      <vt:variant>
        <vt:lpwstr/>
      </vt:variant>
      <vt:variant>
        <vt:lpwstr>_Toc70271245</vt:lpwstr>
      </vt:variant>
      <vt:variant>
        <vt:i4>1441840</vt:i4>
      </vt:variant>
      <vt:variant>
        <vt:i4>380</vt:i4>
      </vt:variant>
      <vt:variant>
        <vt:i4>0</vt:i4>
      </vt:variant>
      <vt:variant>
        <vt:i4>5</vt:i4>
      </vt:variant>
      <vt:variant>
        <vt:lpwstr/>
      </vt:variant>
      <vt:variant>
        <vt:lpwstr>_Toc70271244</vt:lpwstr>
      </vt:variant>
      <vt:variant>
        <vt:i4>1114160</vt:i4>
      </vt:variant>
      <vt:variant>
        <vt:i4>374</vt:i4>
      </vt:variant>
      <vt:variant>
        <vt:i4>0</vt:i4>
      </vt:variant>
      <vt:variant>
        <vt:i4>5</vt:i4>
      </vt:variant>
      <vt:variant>
        <vt:lpwstr/>
      </vt:variant>
      <vt:variant>
        <vt:lpwstr>_Toc70271243</vt:lpwstr>
      </vt:variant>
      <vt:variant>
        <vt:i4>1048624</vt:i4>
      </vt:variant>
      <vt:variant>
        <vt:i4>368</vt:i4>
      </vt:variant>
      <vt:variant>
        <vt:i4>0</vt:i4>
      </vt:variant>
      <vt:variant>
        <vt:i4>5</vt:i4>
      </vt:variant>
      <vt:variant>
        <vt:lpwstr/>
      </vt:variant>
      <vt:variant>
        <vt:lpwstr>_Toc70271242</vt:lpwstr>
      </vt:variant>
      <vt:variant>
        <vt:i4>1245232</vt:i4>
      </vt:variant>
      <vt:variant>
        <vt:i4>362</vt:i4>
      </vt:variant>
      <vt:variant>
        <vt:i4>0</vt:i4>
      </vt:variant>
      <vt:variant>
        <vt:i4>5</vt:i4>
      </vt:variant>
      <vt:variant>
        <vt:lpwstr/>
      </vt:variant>
      <vt:variant>
        <vt:lpwstr>_Toc70271241</vt:lpwstr>
      </vt:variant>
      <vt:variant>
        <vt:i4>1179696</vt:i4>
      </vt:variant>
      <vt:variant>
        <vt:i4>356</vt:i4>
      </vt:variant>
      <vt:variant>
        <vt:i4>0</vt:i4>
      </vt:variant>
      <vt:variant>
        <vt:i4>5</vt:i4>
      </vt:variant>
      <vt:variant>
        <vt:lpwstr/>
      </vt:variant>
      <vt:variant>
        <vt:lpwstr>_Toc70271240</vt:lpwstr>
      </vt:variant>
      <vt:variant>
        <vt:i4>1769527</vt:i4>
      </vt:variant>
      <vt:variant>
        <vt:i4>350</vt:i4>
      </vt:variant>
      <vt:variant>
        <vt:i4>0</vt:i4>
      </vt:variant>
      <vt:variant>
        <vt:i4>5</vt:i4>
      </vt:variant>
      <vt:variant>
        <vt:lpwstr/>
      </vt:variant>
      <vt:variant>
        <vt:lpwstr>_Toc70271239</vt:lpwstr>
      </vt:variant>
      <vt:variant>
        <vt:i4>1703991</vt:i4>
      </vt:variant>
      <vt:variant>
        <vt:i4>344</vt:i4>
      </vt:variant>
      <vt:variant>
        <vt:i4>0</vt:i4>
      </vt:variant>
      <vt:variant>
        <vt:i4>5</vt:i4>
      </vt:variant>
      <vt:variant>
        <vt:lpwstr/>
      </vt:variant>
      <vt:variant>
        <vt:lpwstr>_Toc70271238</vt:lpwstr>
      </vt:variant>
      <vt:variant>
        <vt:i4>1376311</vt:i4>
      </vt:variant>
      <vt:variant>
        <vt:i4>338</vt:i4>
      </vt:variant>
      <vt:variant>
        <vt:i4>0</vt:i4>
      </vt:variant>
      <vt:variant>
        <vt:i4>5</vt:i4>
      </vt:variant>
      <vt:variant>
        <vt:lpwstr/>
      </vt:variant>
      <vt:variant>
        <vt:lpwstr>_Toc70271237</vt:lpwstr>
      </vt:variant>
      <vt:variant>
        <vt:i4>1310775</vt:i4>
      </vt:variant>
      <vt:variant>
        <vt:i4>332</vt:i4>
      </vt:variant>
      <vt:variant>
        <vt:i4>0</vt:i4>
      </vt:variant>
      <vt:variant>
        <vt:i4>5</vt:i4>
      </vt:variant>
      <vt:variant>
        <vt:lpwstr/>
      </vt:variant>
      <vt:variant>
        <vt:lpwstr>_Toc70271236</vt:lpwstr>
      </vt:variant>
      <vt:variant>
        <vt:i4>1507383</vt:i4>
      </vt:variant>
      <vt:variant>
        <vt:i4>326</vt:i4>
      </vt:variant>
      <vt:variant>
        <vt:i4>0</vt:i4>
      </vt:variant>
      <vt:variant>
        <vt:i4>5</vt:i4>
      </vt:variant>
      <vt:variant>
        <vt:lpwstr/>
      </vt:variant>
      <vt:variant>
        <vt:lpwstr>_Toc70271235</vt:lpwstr>
      </vt:variant>
      <vt:variant>
        <vt:i4>1441847</vt:i4>
      </vt:variant>
      <vt:variant>
        <vt:i4>320</vt:i4>
      </vt:variant>
      <vt:variant>
        <vt:i4>0</vt:i4>
      </vt:variant>
      <vt:variant>
        <vt:i4>5</vt:i4>
      </vt:variant>
      <vt:variant>
        <vt:lpwstr/>
      </vt:variant>
      <vt:variant>
        <vt:lpwstr>_Toc70271234</vt:lpwstr>
      </vt:variant>
      <vt:variant>
        <vt:i4>1114167</vt:i4>
      </vt:variant>
      <vt:variant>
        <vt:i4>314</vt:i4>
      </vt:variant>
      <vt:variant>
        <vt:i4>0</vt:i4>
      </vt:variant>
      <vt:variant>
        <vt:i4>5</vt:i4>
      </vt:variant>
      <vt:variant>
        <vt:lpwstr/>
      </vt:variant>
      <vt:variant>
        <vt:lpwstr>_Toc70271233</vt:lpwstr>
      </vt:variant>
      <vt:variant>
        <vt:i4>1048631</vt:i4>
      </vt:variant>
      <vt:variant>
        <vt:i4>308</vt:i4>
      </vt:variant>
      <vt:variant>
        <vt:i4>0</vt:i4>
      </vt:variant>
      <vt:variant>
        <vt:i4>5</vt:i4>
      </vt:variant>
      <vt:variant>
        <vt:lpwstr/>
      </vt:variant>
      <vt:variant>
        <vt:lpwstr>_Toc70271232</vt:lpwstr>
      </vt:variant>
      <vt:variant>
        <vt:i4>1245239</vt:i4>
      </vt:variant>
      <vt:variant>
        <vt:i4>302</vt:i4>
      </vt:variant>
      <vt:variant>
        <vt:i4>0</vt:i4>
      </vt:variant>
      <vt:variant>
        <vt:i4>5</vt:i4>
      </vt:variant>
      <vt:variant>
        <vt:lpwstr/>
      </vt:variant>
      <vt:variant>
        <vt:lpwstr>_Toc70271231</vt:lpwstr>
      </vt:variant>
      <vt:variant>
        <vt:i4>1179703</vt:i4>
      </vt:variant>
      <vt:variant>
        <vt:i4>296</vt:i4>
      </vt:variant>
      <vt:variant>
        <vt:i4>0</vt:i4>
      </vt:variant>
      <vt:variant>
        <vt:i4>5</vt:i4>
      </vt:variant>
      <vt:variant>
        <vt:lpwstr/>
      </vt:variant>
      <vt:variant>
        <vt:lpwstr>_Toc70271230</vt:lpwstr>
      </vt:variant>
      <vt:variant>
        <vt:i4>1769526</vt:i4>
      </vt:variant>
      <vt:variant>
        <vt:i4>290</vt:i4>
      </vt:variant>
      <vt:variant>
        <vt:i4>0</vt:i4>
      </vt:variant>
      <vt:variant>
        <vt:i4>5</vt:i4>
      </vt:variant>
      <vt:variant>
        <vt:lpwstr/>
      </vt:variant>
      <vt:variant>
        <vt:lpwstr>_Toc70271229</vt:lpwstr>
      </vt:variant>
      <vt:variant>
        <vt:i4>1703990</vt:i4>
      </vt:variant>
      <vt:variant>
        <vt:i4>284</vt:i4>
      </vt:variant>
      <vt:variant>
        <vt:i4>0</vt:i4>
      </vt:variant>
      <vt:variant>
        <vt:i4>5</vt:i4>
      </vt:variant>
      <vt:variant>
        <vt:lpwstr/>
      </vt:variant>
      <vt:variant>
        <vt:lpwstr>_Toc70271228</vt:lpwstr>
      </vt:variant>
      <vt:variant>
        <vt:i4>1376310</vt:i4>
      </vt:variant>
      <vt:variant>
        <vt:i4>278</vt:i4>
      </vt:variant>
      <vt:variant>
        <vt:i4>0</vt:i4>
      </vt:variant>
      <vt:variant>
        <vt:i4>5</vt:i4>
      </vt:variant>
      <vt:variant>
        <vt:lpwstr/>
      </vt:variant>
      <vt:variant>
        <vt:lpwstr>_Toc70271227</vt:lpwstr>
      </vt:variant>
      <vt:variant>
        <vt:i4>1310774</vt:i4>
      </vt:variant>
      <vt:variant>
        <vt:i4>272</vt:i4>
      </vt:variant>
      <vt:variant>
        <vt:i4>0</vt:i4>
      </vt:variant>
      <vt:variant>
        <vt:i4>5</vt:i4>
      </vt:variant>
      <vt:variant>
        <vt:lpwstr/>
      </vt:variant>
      <vt:variant>
        <vt:lpwstr>_Toc70271226</vt:lpwstr>
      </vt:variant>
      <vt:variant>
        <vt:i4>1507382</vt:i4>
      </vt:variant>
      <vt:variant>
        <vt:i4>266</vt:i4>
      </vt:variant>
      <vt:variant>
        <vt:i4>0</vt:i4>
      </vt:variant>
      <vt:variant>
        <vt:i4>5</vt:i4>
      </vt:variant>
      <vt:variant>
        <vt:lpwstr/>
      </vt:variant>
      <vt:variant>
        <vt:lpwstr>_Toc70271225</vt:lpwstr>
      </vt:variant>
      <vt:variant>
        <vt:i4>1441846</vt:i4>
      </vt:variant>
      <vt:variant>
        <vt:i4>260</vt:i4>
      </vt:variant>
      <vt:variant>
        <vt:i4>0</vt:i4>
      </vt:variant>
      <vt:variant>
        <vt:i4>5</vt:i4>
      </vt:variant>
      <vt:variant>
        <vt:lpwstr/>
      </vt:variant>
      <vt:variant>
        <vt:lpwstr>_Toc70271224</vt:lpwstr>
      </vt:variant>
      <vt:variant>
        <vt:i4>1114166</vt:i4>
      </vt:variant>
      <vt:variant>
        <vt:i4>254</vt:i4>
      </vt:variant>
      <vt:variant>
        <vt:i4>0</vt:i4>
      </vt:variant>
      <vt:variant>
        <vt:i4>5</vt:i4>
      </vt:variant>
      <vt:variant>
        <vt:lpwstr/>
      </vt:variant>
      <vt:variant>
        <vt:lpwstr>_Toc70271223</vt:lpwstr>
      </vt:variant>
      <vt:variant>
        <vt:i4>1048630</vt:i4>
      </vt:variant>
      <vt:variant>
        <vt:i4>248</vt:i4>
      </vt:variant>
      <vt:variant>
        <vt:i4>0</vt:i4>
      </vt:variant>
      <vt:variant>
        <vt:i4>5</vt:i4>
      </vt:variant>
      <vt:variant>
        <vt:lpwstr/>
      </vt:variant>
      <vt:variant>
        <vt:lpwstr>_Toc70271222</vt:lpwstr>
      </vt:variant>
      <vt:variant>
        <vt:i4>1245238</vt:i4>
      </vt:variant>
      <vt:variant>
        <vt:i4>242</vt:i4>
      </vt:variant>
      <vt:variant>
        <vt:i4>0</vt:i4>
      </vt:variant>
      <vt:variant>
        <vt:i4>5</vt:i4>
      </vt:variant>
      <vt:variant>
        <vt:lpwstr/>
      </vt:variant>
      <vt:variant>
        <vt:lpwstr>_Toc70271221</vt:lpwstr>
      </vt:variant>
      <vt:variant>
        <vt:i4>1179702</vt:i4>
      </vt:variant>
      <vt:variant>
        <vt:i4>236</vt:i4>
      </vt:variant>
      <vt:variant>
        <vt:i4>0</vt:i4>
      </vt:variant>
      <vt:variant>
        <vt:i4>5</vt:i4>
      </vt:variant>
      <vt:variant>
        <vt:lpwstr/>
      </vt:variant>
      <vt:variant>
        <vt:lpwstr>_Toc70271220</vt:lpwstr>
      </vt:variant>
      <vt:variant>
        <vt:i4>1769525</vt:i4>
      </vt:variant>
      <vt:variant>
        <vt:i4>230</vt:i4>
      </vt:variant>
      <vt:variant>
        <vt:i4>0</vt:i4>
      </vt:variant>
      <vt:variant>
        <vt:i4>5</vt:i4>
      </vt:variant>
      <vt:variant>
        <vt:lpwstr/>
      </vt:variant>
      <vt:variant>
        <vt:lpwstr>_Toc70271219</vt:lpwstr>
      </vt:variant>
      <vt:variant>
        <vt:i4>1703989</vt:i4>
      </vt:variant>
      <vt:variant>
        <vt:i4>224</vt:i4>
      </vt:variant>
      <vt:variant>
        <vt:i4>0</vt:i4>
      </vt:variant>
      <vt:variant>
        <vt:i4>5</vt:i4>
      </vt:variant>
      <vt:variant>
        <vt:lpwstr/>
      </vt:variant>
      <vt:variant>
        <vt:lpwstr>_Toc70271218</vt:lpwstr>
      </vt:variant>
      <vt:variant>
        <vt:i4>1376309</vt:i4>
      </vt:variant>
      <vt:variant>
        <vt:i4>218</vt:i4>
      </vt:variant>
      <vt:variant>
        <vt:i4>0</vt:i4>
      </vt:variant>
      <vt:variant>
        <vt:i4>5</vt:i4>
      </vt:variant>
      <vt:variant>
        <vt:lpwstr/>
      </vt:variant>
      <vt:variant>
        <vt:lpwstr>_Toc70271217</vt:lpwstr>
      </vt:variant>
      <vt:variant>
        <vt:i4>1310773</vt:i4>
      </vt:variant>
      <vt:variant>
        <vt:i4>212</vt:i4>
      </vt:variant>
      <vt:variant>
        <vt:i4>0</vt:i4>
      </vt:variant>
      <vt:variant>
        <vt:i4>5</vt:i4>
      </vt:variant>
      <vt:variant>
        <vt:lpwstr/>
      </vt:variant>
      <vt:variant>
        <vt:lpwstr>_Toc70271216</vt:lpwstr>
      </vt:variant>
      <vt:variant>
        <vt:i4>1507381</vt:i4>
      </vt:variant>
      <vt:variant>
        <vt:i4>206</vt:i4>
      </vt:variant>
      <vt:variant>
        <vt:i4>0</vt:i4>
      </vt:variant>
      <vt:variant>
        <vt:i4>5</vt:i4>
      </vt:variant>
      <vt:variant>
        <vt:lpwstr/>
      </vt:variant>
      <vt:variant>
        <vt:lpwstr>_Toc70271215</vt:lpwstr>
      </vt:variant>
      <vt:variant>
        <vt:i4>1441845</vt:i4>
      </vt:variant>
      <vt:variant>
        <vt:i4>200</vt:i4>
      </vt:variant>
      <vt:variant>
        <vt:i4>0</vt:i4>
      </vt:variant>
      <vt:variant>
        <vt:i4>5</vt:i4>
      </vt:variant>
      <vt:variant>
        <vt:lpwstr/>
      </vt:variant>
      <vt:variant>
        <vt:lpwstr>_Toc70271214</vt:lpwstr>
      </vt:variant>
      <vt:variant>
        <vt:i4>1114165</vt:i4>
      </vt:variant>
      <vt:variant>
        <vt:i4>194</vt:i4>
      </vt:variant>
      <vt:variant>
        <vt:i4>0</vt:i4>
      </vt:variant>
      <vt:variant>
        <vt:i4>5</vt:i4>
      </vt:variant>
      <vt:variant>
        <vt:lpwstr/>
      </vt:variant>
      <vt:variant>
        <vt:lpwstr>_Toc70271213</vt:lpwstr>
      </vt:variant>
      <vt:variant>
        <vt:i4>1048629</vt:i4>
      </vt:variant>
      <vt:variant>
        <vt:i4>188</vt:i4>
      </vt:variant>
      <vt:variant>
        <vt:i4>0</vt:i4>
      </vt:variant>
      <vt:variant>
        <vt:i4>5</vt:i4>
      </vt:variant>
      <vt:variant>
        <vt:lpwstr/>
      </vt:variant>
      <vt:variant>
        <vt:lpwstr>_Toc70271212</vt:lpwstr>
      </vt:variant>
      <vt:variant>
        <vt:i4>1245237</vt:i4>
      </vt:variant>
      <vt:variant>
        <vt:i4>182</vt:i4>
      </vt:variant>
      <vt:variant>
        <vt:i4>0</vt:i4>
      </vt:variant>
      <vt:variant>
        <vt:i4>5</vt:i4>
      </vt:variant>
      <vt:variant>
        <vt:lpwstr/>
      </vt:variant>
      <vt:variant>
        <vt:lpwstr>_Toc70271211</vt:lpwstr>
      </vt:variant>
      <vt:variant>
        <vt:i4>1179701</vt:i4>
      </vt:variant>
      <vt:variant>
        <vt:i4>176</vt:i4>
      </vt:variant>
      <vt:variant>
        <vt:i4>0</vt:i4>
      </vt:variant>
      <vt:variant>
        <vt:i4>5</vt:i4>
      </vt:variant>
      <vt:variant>
        <vt:lpwstr/>
      </vt:variant>
      <vt:variant>
        <vt:lpwstr>_Toc70271210</vt:lpwstr>
      </vt:variant>
      <vt:variant>
        <vt:i4>1769524</vt:i4>
      </vt:variant>
      <vt:variant>
        <vt:i4>170</vt:i4>
      </vt:variant>
      <vt:variant>
        <vt:i4>0</vt:i4>
      </vt:variant>
      <vt:variant>
        <vt:i4>5</vt:i4>
      </vt:variant>
      <vt:variant>
        <vt:lpwstr/>
      </vt:variant>
      <vt:variant>
        <vt:lpwstr>_Toc70271209</vt:lpwstr>
      </vt:variant>
      <vt:variant>
        <vt:i4>1703988</vt:i4>
      </vt:variant>
      <vt:variant>
        <vt:i4>164</vt:i4>
      </vt:variant>
      <vt:variant>
        <vt:i4>0</vt:i4>
      </vt:variant>
      <vt:variant>
        <vt:i4>5</vt:i4>
      </vt:variant>
      <vt:variant>
        <vt:lpwstr/>
      </vt:variant>
      <vt:variant>
        <vt:lpwstr>_Toc70271208</vt:lpwstr>
      </vt:variant>
      <vt:variant>
        <vt:i4>1376308</vt:i4>
      </vt:variant>
      <vt:variant>
        <vt:i4>158</vt:i4>
      </vt:variant>
      <vt:variant>
        <vt:i4>0</vt:i4>
      </vt:variant>
      <vt:variant>
        <vt:i4>5</vt:i4>
      </vt:variant>
      <vt:variant>
        <vt:lpwstr/>
      </vt:variant>
      <vt:variant>
        <vt:lpwstr>_Toc70271207</vt:lpwstr>
      </vt:variant>
      <vt:variant>
        <vt:i4>1310772</vt:i4>
      </vt:variant>
      <vt:variant>
        <vt:i4>152</vt:i4>
      </vt:variant>
      <vt:variant>
        <vt:i4>0</vt:i4>
      </vt:variant>
      <vt:variant>
        <vt:i4>5</vt:i4>
      </vt:variant>
      <vt:variant>
        <vt:lpwstr/>
      </vt:variant>
      <vt:variant>
        <vt:lpwstr>_Toc70271206</vt:lpwstr>
      </vt:variant>
      <vt:variant>
        <vt:i4>1507380</vt:i4>
      </vt:variant>
      <vt:variant>
        <vt:i4>146</vt:i4>
      </vt:variant>
      <vt:variant>
        <vt:i4>0</vt:i4>
      </vt:variant>
      <vt:variant>
        <vt:i4>5</vt:i4>
      </vt:variant>
      <vt:variant>
        <vt:lpwstr/>
      </vt:variant>
      <vt:variant>
        <vt:lpwstr>_Toc70271205</vt:lpwstr>
      </vt:variant>
      <vt:variant>
        <vt:i4>1441844</vt:i4>
      </vt:variant>
      <vt:variant>
        <vt:i4>140</vt:i4>
      </vt:variant>
      <vt:variant>
        <vt:i4>0</vt:i4>
      </vt:variant>
      <vt:variant>
        <vt:i4>5</vt:i4>
      </vt:variant>
      <vt:variant>
        <vt:lpwstr/>
      </vt:variant>
      <vt:variant>
        <vt:lpwstr>_Toc70271204</vt:lpwstr>
      </vt:variant>
      <vt:variant>
        <vt:i4>1114164</vt:i4>
      </vt:variant>
      <vt:variant>
        <vt:i4>134</vt:i4>
      </vt:variant>
      <vt:variant>
        <vt:i4>0</vt:i4>
      </vt:variant>
      <vt:variant>
        <vt:i4>5</vt:i4>
      </vt:variant>
      <vt:variant>
        <vt:lpwstr/>
      </vt:variant>
      <vt:variant>
        <vt:lpwstr>_Toc70271203</vt:lpwstr>
      </vt:variant>
      <vt:variant>
        <vt:i4>1048628</vt:i4>
      </vt:variant>
      <vt:variant>
        <vt:i4>128</vt:i4>
      </vt:variant>
      <vt:variant>
        <vt:i4>0</vt:i4>
      </vt:variant>
      <vt:variant>
        <vt:i4>5</vt:i4>
      </vt:variant>
      <vt:variant>
        <vt:lpwstr/>
      </vt:variant>
      <vt:variant>
        <vt:lpwstr>_Toc70271202</vt:lpwstr>
      </vt:variant>
      <vt:variant>
        <vt:i4>1245236</vt:i4>
      </vt:variant>
      <vt:variant>
        <vt:i4>122</vt:i4>
      </vt:variant>
      <vt:variant>
        <vt:i4>0</vt:i4>
      </vt:variant>
      <vt:variant>
        <vt:i4>5</vt:i4>
      </vt:variant>
      <vt:variant>
        <vt:lpwstr/>
      </vt:variant>
      <vt:variant>
        <vt:lpwstr>_Toc70271201</vt:lpwstr>
      </vt:variant>
      <vt:variant>
        <vt:i4>1179700</vt:i4>
      </vt:variant>
      <vt:variant>
        <vt:i4>116</vt:i4>
      </vt:variant>
      <vt:variant>
        <vt:i4>0</vt:i4>
      </vt:variant>
      <vt:variant>
        <vt:i4>5</vt:i4>
      </vt:variant>
      <vt:variant>
        <vt:lpwstr/>
      </vt:variant>
      <vt:variant>
        <vt:lpwstr>_Toc70271200</vt:lpwstr>
      </vt:variant>
      <vt:variant>
        <vt:i4>1572925</vt:i4>
      </vt:variant>
      <vt:variant>
        <vt:i4>110</vt:i4>
      </vt:variant>
      <vt:variant>
        <vt:i4>0</vt:i4>
      </vt:variant>
      <vt:variant>
        <vt:i4>5</vt:i4>
      </vt:variant>
      <vt:variant>
        <vt:lpwstr/>
      </vt:variant>
      <vt:variant>
        <vt:lpwstr>_Toc70271199</vt:lpwstr>
      </vt:variant>
      <vt:variant>
        <vt:i4>1638461</vt:i4>
      </vt:variant>
      <vt:variant>
        <vt:i4>104</vt:i4>
      </vt:variant>
      <vt:variant>
        <vt:i4>0</vt:i4>
      </vt:variant>
      <vt:variant>
        <vt:i4>5</vt:i4>
      </vt:variant>
      <vt:variant>
        <vt:lpwstr/>
      </vt:variant>
      <vt:variant>
        <vt:lpwstr>_Toc70271198</vt:lpwstr>
      </vt:variant>
      <vt:variant>
        <vt:i4>1441853</vt:i4>
      </vt:variant>
      <vt:variant>
        <vt:i4>98</vt:i4>
      </vt:variant>
      <vt:variant>
        <vt:i4>0</vt:i4>
      </vt:variant>
      <vt:variant>
        <vt:i4>5</vt:i4>
      </vt:variant>
      <vt:variant>
        <vt:lpwstr/>
      </vt:variant>
      <vt:variant>
        <vt:lpwstr>_Toc70271197</vt:lpwstr>
      </vt:variant>
      <vt:variant>
        <vt:i4>1507389</vt:i4>
      </vt:variant>
      <vt:variant>
        <vt:i4>92</vt:i4>
      </vt:variant>
      <vt:variant>
        <vt:i4>0</vt:i4>
      </vt:variant>
      <vt:variant>
        <vt:i4>5</vt:i4>
      </vt:variant>
      <vt:variant>
        <vt:lpwstr/>
      </vt:variant>
      <vt:variant>
        <vt:lpwstr>_Toc70271196</vt:lpwstr>
      </vt:variant>
      <vt:variant>
        <vt:i4>1310781</vt:i4>
      </vt:variant>
      <vt:variant>
        <vt:i4>86</vt:i4>
      </vt:variant>
      <vt:variant>
        <vt:i4>0</vt:i4>
      </vt:variant>
      <vt:variant>
        <vt:i4>5</vt:i4>
      </vt:variant>
      <vt:variant>
        <vt:lpwstr/>
      </vt:variant>
      <vt:variant>
        <vt:lpwstr>_Toc70271195</vt:lpwstr>
      </vt:variant>
      <vt:variant>
        <vt:i4>1376317</vt:i4>
      </vt:variant>
      <vt:variant>
        <vt:i4>80</vt:i4>
      </vt:variant>
      <vt:variant>
        <vt:i4>0</vt:i4>
      </vt:variant>
      <vt:variant>
        <vt:i4>5</vt:i4>
      </vt:variant>
      <vt:variant>
        <vt:lpwstr/>
      </vt:variant>
      <vt:variant>
        <vt:lpwstr>_Toc70271194</vt:lpwstr>
      </vt:variant>
      <vt:variant>
        <vt:i4>1179709</vt:i4>
      </vt:variant>
      <vt:variant>
        <vt:i4>74</vt:i4>
      </vt:variant>
      <vt:variant>
        <vt:i4>0</vt:i4>
      </vt:variant>
      <vt:variant>
        <vt:i4>5</vt:i4>
      </vt:variant>
      <vt:variant>
        <vt:lpwstr/>
      </vt:variant>
      <vt:variant>
        <vt:lpwstr>_Toc70271193</vt:lpwstr>
      </vt:variant>
      <vt:variant>
        <vt:i4>1245245</vt:i4>
      </vt:variant>
      <vt:variant>
        <vt:i4>68</vt:i4>
      </vt:variant>
      <vt:variant>
        <vt:i4>0</vt:i4>
      </vt:variant>
      <vt:variant>
        <vt:i4>5</vt:i4>
      </vt:variant>
      <vt:variant>
        <vt:lpwstr/>
      </vt:variant>
      <vt:variant>
        <vt:lpwstr>_Toc70271192</vt:lpwstr>
      </vt:variant>
      <vt:variant>
        <vt:i4>1048637</vt:i4>
      </vt:variant>
      <vt:variant>
        <vt:i4>62</vt:i4>
      </vt:variant>
      <vt:variant>
        <vt:i4>0</vt:i4>
      </vt:variant>
      <vt:variant>
        <vt:i4>5</vt:i4>
      </vt:variant>
      <vt:variant>
        <vt:lpwstr/>
      </vt:variant>
      <vt:variant>
        <vt:lpwstr>_Toc70271191</vt:lpwstr>
      </vt:variant>
      <vt:variant>
        <vt:i4>1114173</vt:i4>
      </vt:variant>
      <vt:variant>
        <vt:i4>56</vt:i4>
      </vt:variant>
      <vt:variant>
        <vt:i4>0</vt:i4>
      </vt:variant>
      <vt:variant>
        <vt:i4>5</vt:i4>
      </vt:variant>
      <vt:variant>
        <vt:lpwstr/>
      </vt:variant>
      <vt:variant>
        <vt:lpwstr>_Toc70271190</vt:lpwstr>
      </vt:variant>
      <vt:variant>
        <vt:i4>1572924</vt:i4>
      </vt:variant>
      <vt:variant>
        <vt:i4>50</vt:i4>
      </vt:variant>
      <vt:variant>
        <vt:i4>0</vt:i4>
      </vt:variant>
      <vt:variant>
        <vt:i4>5</vt:i4>
      </vt:variant>
      <vt:variant>
        <vt:lpwstr/>
      </vt:variant>
      <vt:variant>
        <vt:lpwstr>_Toc70271189</vt:lpwstr>
      </vt:variant>
      <vt:variant>
        <vt:i4>1638460</vt:i4>
      </vt:variant>
      <vt:variant>
        <vt:i4>44</vt:i4>
      </vt:variant>
      <vt:variant>
        <vt:i4>0</vt:i4>
      </vt:variant>
      <vt:variant>
        <vt:i4>5</vt:i4>
      </vt:variant>
      <vt:variant>
        <vt:lpwstr/>
      </vt:variant>
      <vt:variant>
        <vt:lpwstr>_Toc70271188</vt:lpwstr>
      </vt:variant>
      <vt:variant>
        <vt:i4>1441852</vt:i4>
      </vt:variant>
      <vt:variant>
        <vt:i4>38</vt:i4>
      </vt:variant>
      <vt:variant>
        <vt:i4>0</vt:i4>
      </vt:variant>
      <vt:variant>
        <vt:i4>5</vt:i4>
      </vt:variant>
      <vt:variant>
        <vt:lpwstr/>
      </vt:variant>
      <vt:variant>
        <vt:lpwstr>_Toc70271187</vt:lpwstr>
      </vt:variant>
      <vt:variant>
        <vt:i4>1507388</vt:i4>
      </vt:variant>
      <vt:variant>
        <vt:i4>32</vt:i4>
      </vt:variant>
      <vt:variant>
        <vt:i4>0</vt:i4>
      </vt:variant>
      <vt:variant>
        <vt:i4>5</vt:i4>
      </vt:variant>
      <vt:variant>
        <vt:lpwstr/>
      </vt:variant>
      <vt:variant>
        <vt:lpwstr>_Toc70271186</vt:lpwstr>
      </vt:variant>
      <vt:variant>
        <vt:i4>1310780</vt:i4>
      </vt:variant>
      <vt:variant>
        <vt:i4>26</vt:i4>
      </vt:variant>
      <vt:variant>
        <vt:i4>0</vt:i4>
      </vt:variant>
      <vt:variant>
        <vt:i4>5</vt:i4>
      </vt:variant>
      <vt:variant>
        <vt:lpwstr/>
      </vt:variant>
      <vt:variant>
        <vt:lpwstr>_Toc70271185</vt:lpwstr>
      </vt:variant>
      <vt:variant>
        <vt:i4>1376316</vt:i4>
      </vt:variant>
      <vt:variant>
        <vt:i4>20</vt:i4>
      </vt:variant>
      <vt:variant>
        <vt:i4>0</vt:i4>
      </vt:variant>
      <vt:variant>
        <vt:i4>5</vt:i4>
      </vt:variant>
      <vt:variant>
        <vt:lpwstr/>
      </vt:variant>
      <vt:variant>
        <vt:lpwstr>_Toc70271184</vt:lpwstr>
      </vt:variant>
      <vt:variant>
        <vt:i4>1179708</vt:i4>
      </vt:variant>
      <vt:variant>
        <vt:i4>14</vt:i4>
      </vt:variant>
      <vt:variant>
        <vt:i4>0</vt:i4>
      </vt:variant>
      <vt:variant>
        <vt:i4>5</vt:i4>
      </vt:variant>
      <vt:variant>
        <vt:lpwstr/>
      </vt:variant>
      <vt:variant>
        <vt:lpwstr>_Toc70271183</vt:lpwstr>
      </vt:variant>
      <vt:variant>
        <vt:i4>1245244</vt:i4>
      </vt:variant>
      <vt:variant>
        <vt:i4>8</vt:i4>
      </vt:variant>
      <vt:variant>
        <vt:i4>0</vt:i4>
      </vt:variant>
      <vt:variant>
        <vt:i4>5</vt:i4>
      </vt:variant>
      <vt:variant>
        <vt:lpwstr/>
      </vt:variant>
      <vt:variant>
        <vt:lpwstr>_Toc70271182</vt:lpwstr>
      </vt:variant>
      <vt:variant>
        <vt:i4>1048636</vt:i4>
      </vt:variant>
      <vt:variant>
        <vt:i4>2</vt:i4>
      </vt:variant>
      <vt:variant>
        <vt:i4>0</vt:i4>
      </vt:variant>
      <vt:variant>
        <vt:i4>5</vt:i4>
      </vt:variant>
      <vt:variant>
        <vt:lpwstr/>
      </vt:variant>
      <vt:variant>
        <vt:lpwstr>_Toc70271181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Valerie Diot</dc:creator>
  <cp:keywords/>
  <dc:description/>
  <cp:lastModifiedBy>Julien Alapetite</cp:lastModifiedBy>
  <cp:revision>3</cp:revision>
  <cp:lastPrinted>2021-05-06T15:34:00Z</cp:lastPrinted>
  <dcterms:created xsi:type="dcterms:W3CDTF">2022-04-06T13:10:00Z</dcterms:created>
  <dcterms:modified xsi:type="dcterms:W3CDTF">2024-03-29T16:23:00Z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0x01010054A0A362C8B81F47807DE03BF445B4E9</vt:lpwstr>
  </property>
  <property fmtid="{D5CDD505-2E9C-101B-9397-08002B2CF9AE}" pid="3" name="Order">
    <vt:r8>327700</vt:r8>
  </property>
  <property fmtid="{D5CDD505-2E9C-101B-9397-08002B2CF9AE}" pid="4" name="_ExtendedDescription">
    <vt:lpwstr/>
  </property>
  <property fmtid="{D5CDD505-2E9C-101B-9397-08002B2CF9AE}" pid="5" name="TriggerFlowInfo">
    <vt:lpwstr/>
  </property>
  <property fmtid="{D5CDD505-2E9C-101B-9397-08002B2CF9AE}" pid="6" name="ComplianceAssetId">
    <vt:lpwstr/>
  </property>
  <property fmtid="{D5CDD505-2E9C-101B-9397-08002B2CF9AE}" pid="7" name="MediaServiceImageTags">
    <vt:lpwstr/>
  </property>
</Properties>
</file>